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00F6A2">
      <w:pPr>
        <w:ind w:firstLine="562" w:firstLineChars="201"/>
        <w:jc w:val="left"/>
        <w:rPr>
          <w:rFonts w:ascii="仿宋" w:hAnsi="仿宋"/>
          <w:bCs/>
          <w:sz w:val="28"/>
          <w:szCs w:val="28"/>
        </w:rPr>
      </w:pPr>
      <w:bookmarkStart w:id="0" w:name="_Toc102481185"/>
      <w:bookmarkStart w:id="1" w:name="_Toc102481236"/>
      <w:bookmarkStart w:id="2" w:name="_Toc40778426"/>
      <w:bookmarkStart w:id="3" w:name="_Toc26437"/>
    </w:p>
    <w:p w14:paraId="2EFB4BFA">
      <w:pPr>
        <w:ind w:firstLine="562" w:firstLineChars="201"/>
        <w:jc w:val="left"/>
        <w:rPr>
          <w:rFonts w:ascii="仿宋" w:hAnsi="仿宋"/>
          <w:bCs/>
          <w:sz w:val="28"/>
          <w:szCs w:val="28"/>
        </w:rPr>
      </w:pPr>
    </w:p>
    <w:p w14:paraId="345B9286">
      <w:pPr>
        <w:ind w:firstLine="562" w:firstLineChars="201"/>
        <w:jc w:val="left"/>
        <w:rPr>
          <w:rFonts w:ascii="仿宋" w:hAnsi="仿宋"/>
          <w:bCs/>
          <w:sz w:val="28"/>
          <w:szCs w:val="28"/>
        </w:rPr>
      </w:pPr>
    </w:p>
    <w:p w14:paraId="109ACE42">
      <w:pPr>
        <w:ind w:firstLine="565" w:firstLineChars="201"/>
        <w:jc w:val="center"/>
        <w:rPr>
          <w:rFonts w:hint="eastAsia" w:ascii="仿宋" w:hAnsi="仿宋"/>
          <w:b/>
          <w:bCs/>
          <w:sz w:val="28"/>
          <w:szCs w:val="28"/>
        </w:rPr>
      </w:pPr>
      <w:r>
        <w:rPr>
          <w:rFonts w:hint="eastAsia" w:ascii="仿宋" w:hAnsi="仿宋"/>
          <w:b/>
          <w:bCs/>
          <w:sz w:val="28"/>
          <w:szCs w:val="28"/>
        </w:rPr>
        <w:t>十巫南高速公路SWYZ-2标项目</w:t>
      </w:r>
    </w:p>
    <w:p w14:paraId="0DB846CD">
      <w:pPr>
        <w:ind w:firstLine="565" w:firstLineChars="201"/>
        <w:jc w:val="center"/>
        <w:rPr>
          <w:rFonts w:hint="eastAsia" w:ascii="仿宋" w:hAnsi="仿宋"/>
          <w:b/>
          <w:bCs/>
          <w:sz w:val="28"/>
          <w:szCs w:val="28"/>
        </w:rPr>
      </w:pPr>
      <w:r>
        <w:rPr>
          <w:rFonts w:hint="eastAsia" w:ascii="仿宋" w:hAnsi="仿宋"/>
          <w:b/>
          <w:bCs/>
          <w:sz w:val="28"/>
          <w:szCs w:val="28"/>
          <w:lang w:eastAsia="zh-CN"/>
        </w:rPr>
        <w:t>XGT7022-12S</w:t>
      </w:r>
      <w:r>
        <w:rPr>
          <w:rFonts w:hint="eastAsia" w:ascii="仿宋" w:hAnsi="仿宋"/>
          <w:b/>
          <w:bCs/>
          <w:sz w:val="28"/>
          <w:szCs w:val="28"/>
        </w:rPr>
        <w:t>（1</w:t>
      </w:r>
      <w:r>
        <w:rPr>
          <w:rFonts w:hint="eastAsia" w:ascii="仿宋" w:hAnsi="仿宋"/>
          <w:b/>
          <w:bCs/>
          <w:sz w:val="28"/>
          <w:szCs w:val="28"/>
          <w:lang w:val="en-US" w:eastAsia="zh-CN"/>
        </w:rPr>
        <w:t>1</w:t>
      </w:r>
      <w:r>
        <w:rPr>
          <w:rFonts w:hint="eastAsia" w:ascii="仿宋" w:hAnsi="仿宋"/>
          <w:b/>
          <w:bCs/>
          <w:sz w:val="28"/>
          <w:szCs w:val="28"/>
        </w:rPr>
        <w:t>#）塔式起重机</w:t>
      </w:r>
    </w:p>
    <w:p w14:paraId="3000FC8A">
      <w:pPr>
        <w:ind w:firstLine="565" w:firstLineChars="201"/>
        <w:jc w:val="center"/>
        <w:rPr>
          <w:rFonts w:ascii="仿宋" w:hAnsi="仿宋"/>
          <w:b/>
          <w:bCs/>
          <w:sz w:val="28"/>
          <w:szCs w:val="28"/>
        </w:rPr>
      </w:pPr>
      <w:r>
        <w:rPr>
          <w:rFonts w:hint="eastAsia" w:ascii="仿宋" w:hAnsi="仿宋"/>
          <w:b/>
          <w:bCs/>
          <w:sz w:val="28"/>
          <w:szCs w:val="28"/>
        </w:rPr>
        <w:t>安装专项施工方案</w:t>
      </w:r>
    </w:p>
    <w:p w14:paraId="4C7D7032">
      <w:pPr>
        <w:pStyle w:val="52"/>
        <w:rPr>
          <w:rFonts w:ascii="仿宋" w:hAnsi="仿宋"/>
          <w:sz w:val="28"/>
          <w:szCs w:val="28"/>
        </w:rPr>
      </w:pPr>
    </w:p>
    <w:p w14:paraId="6911ECF6">
      <w:pPr>
        <w:pStyle w:val="52"/>
        <w:rPr>
          <w:rFonts w:ascii="仿宋" w:hAnsi="仿宋"/>
          <w:sz w:val="28"/>
          <w:szCs w:val="28"/>
        </w:rPr>
      </w:pPr>
    </w:p>
    <w:p w14:paraId="1F2279A7">
      <w:pPr>
        <w:pStyle w:val="52"/>
        <w:rPr>
          <w:rFonts w:ascii="仿宋" w:hAnsi="仿宋"/>
          <w:sz w:val="28"/>
          <w:szCs w:val="28"/>
        </w:rPr>
      </w:pPr>
    </w:p>
    <w:p w14:paraId="16F88E4D">
      <w:pPr>
        <w:pStyle w:val="52"/>
        <w:rPr>
          <w:rFonts w:ascii="仿宋" w:hAnsi="仿宋"/>
          <w:sz w:val="28"/>
          <w:szCs w:val="28"/>
        </w:rPr>
      </w:pPr>
    </w:p>
    <w:p w14:paraId="22B23B9B">
      <w:pPr>
        <w:pStyle w:val="52"/>
        <w:rPr>
          <w:rFonts w:ascii="仿宋" w:hAnsi="仿宋"/>
          <w:sz w:val="28"/>
          <w:szCs w:val="28"/>
        </w:rPr>
      </w:pPr>
    </w:p>
    <w:p w14:paraId="444989CA">
      <w:pPr>
        <w:ind w:firstLine="565" w:firstLineChars="201"/>
        <w:jc w:val="left"/>
        <w:rPr>
          <w:rFonts w:ascii="仿宋" w:hAnsi="仿宋"/>
          <w:b/>
          <w:sz w:val="28"/>
          <w:szCs w:val="28"/>
        </w:rPr>
      </w:pPr>
    </w:p>
    <w:p w14:paraId="2B58A8CC">
      <w:pPr>
        <w:ind w:firstLine="565" w:firstLineChars="201"/>
        <w:jc w:val="left"/>
        <w:rPr>
          <w:rFonts w:ascii="仿宋" w:hAnsi="仿宋"/>
          <w:b/>
          <w:sz w:val="28"/>
          <w:szCs w:val="28"/>
        </w:rPr>
      </w:pPr>
    </w:p>
    <w:p w14:paraId="0787EBF4">
      <w:pPr>
        <w:ind w:firstLine="565" w:firstLineChars="201"/>
        <w:jc w:val="left"/>
        <w:rPr>
          <w:rFonts w:ascii="仿宋" w:hAnsi="仿宋"/>
          <w:b/>
          <w:sz w:val="28"/>
          <w:szCs w:val="28"/>
        </w:rPr>
      </w:pPr>
    </w:p>
    <w:p w14:paraId="5C31AC50">
      <w:pPr>
        <w:ind w:firstLine="565" w:firstLineChars="201"/>
        <w:jc w:val="left"/>
        <w:rPr>
          <w:rFonts w:ascii="仿宋" w:hAnsi="仿宋"/>
          <w:b/>
          <w:sz w:val="28"/>
          <w:szCs w:val="28"/>
        </w:rPr>
      </w:pPr>
    </w:p>
    <w:p w14:paraId="6054E254">
      <w:pPr>
        <w:ind w:firstLine="565" w:firstLineChars="201"/>
        <w:jc w:val="center"/>
        <w:rPr>
          <w:rFonts w:hint="default" w:ascii="仿宋" w:hAnsi="仿宋"/>
          <w:b/>
          <w:sz w:val="28"/>
          <w:szCs w:val="28"/>
          <w:lang w:val="en-US" w:eastAsia="zh-CN"/>
        </w:rPr>
      </w:pPr>
      <w:bookmarkStart w:id="4" w:name="_Toc13605"/>
      <w:r>
        <w:rPr>
          <w:rFonts w:hint="eastAsia" w:ascii="仿宋" w:hAnsi="仿宋"/>
          <w:b/>
          <w:sz w:val="28"/>
          <w:szCs w:val="28"/>
          <w:lang w:val="en-US" w:eastAsia="zh-CN"/>
        </w:rPr>
        <w:t>四川科斗文智能装备有限公司</w:t>
      </w:r>
    </w:p>
    <w:p w14:paraId="61D03100">
      <w:pPr>
        <w:ind w:firstLine="565" w:firstLineChars="201"/>
        <w:jc w:val="center"/>
        <w:rPr>
          <w:rFonts w:ascii="仿宋" w:hAnsi="仿宋"/>
          <w:b/>
          <w:sz w:val="28"/>
          <w:szCs w:val="28"/>
        </w:rPr>
      </w:pPr>
      <w:r>
        <w:rPr>
          <w:rFonts w:hint="eastAsia" w:ascii="仿宋" w:hAnsi="仿宋"/>
          <w:b/>
          <w:sz w:val="28"/>
          <w:szCs w:val="28"/>
        </w:rPr>
        <w:t>二零二</w:t>
      </w:r>
      <w:r>
        <w:rPr>
          <w:rFonts w:hint="eastAsia" w:ascii="仿宋" w:hAnsi="仿宋"/>
          <w:b/>
          <w:sz w:val="28"/>
          <w:szCs w:val="28"/>
          <w:lang w:val="en-US" w:eastAsia="zh-CN"/>
        </w:rPr>
        <w:t>四</w:t>
      </w:r>
      <w:r>
        <w:rPr>
          <w:rFonts w:hint="eastAsia" w:ascii="仿宋" w:hAnsi="仿宋"/>
          <w:b/>
          <w:sz w:val="28"/>
          <w:szCs w:val="28"/>
        </w:rPr>
        <w:t>年</w:t>
      </w:r>
      <w:r>
        <w:rPr>
          <w:rFonts w:hint="eastAsia" w:ascii="仿宋" w:hAnsi="仿宋"/>
          <w:b/>
          <w:sz w:val="28"/>
          <w:szCs w:val="28"/>
          <w:lang w:val="en-US" w:eastAsia="zh-CN"/>
        </w:rPr>
        <w:t>十</w:t>
      </w:r>
      <w:r>
        <w:rPr>
          <w:rFonts w:hint="eastAsia" w:ascii="仿宋" w:hAnsi="仿宋"/>
          <w:b/>
          <w:sz w:val="28"/>
          <w:szCs w:val="28"/>
        </w:rPr>
        <w:t>月</w:t>
      </w:r>
      <w:bookmarkEnd w:id="4"/>
      <w:bookmarkStart w:id="5" w:name="_Toc276521510"/>
      <w:bookmarkEnd w:id="5"/>
      <w:bookmarkStart w:id="6" w:name="_Toc271909489"/>
      <w:bookmarkEnd w:id="6"/>
      <w:bookmarkStart w:id="7" w:name="_Toc277275498"/>
      <w:bookmarkEnd w:id="7"/>
    </w:p>
    <w:p w14:paraId="5DC6459F">
      <w:pPr>
        <w:ind w:firstLine="562" w:firstLineChars="201"/>
        <w:jc w:val="left"/>
        <w:rPr>
          <w:rFonts w:ascii="仿宋" w:hAnsi="仿宋"/>
          <w:sz w:val="28"/>
          <w:szCs w:val="28"/>
        </w:rPr>
      </w:pPr>
    </w:p>
    <w:p w14:paraId="188A9950">
      <w:pPr>
        <w:ind w:firstLine="565" w:firstLineChars="201"/>
        <w:jc w:val="left"/>
        <w:rPr>
          <w:rFonts w:ascii="仿宋" w:hAnsi="仿宋"/>
          <w:b/>
          <w:sz w:val="28"/>
          <w:szCs w:val="28"/>
        </w:rPr>
      </w:pPr>
      <w:r>
        <w:rPr>
          <w:rFonts w:hint="eastAsia" w:ascii="仿宋" w:hAnsi="仿宋"/>
          <w:b/>
          <w:sz w:val="28"/>
          <w:szCs w:val="28"/>
        </w:rPr>
        <w:t xml:space="preserve">         </w:t>
      </w:r>
    </w:p>
    <w:p w14:paraId="75174AF2">
      <w:pPr>
        <w:ind w:firstLine="565" w:firstLineChars="201"/>
        <w:jc w:val="center"/>
        <w:rPr>
          <w:rFonts w:ascii="仿宋" w:hAnsi="仿宋"/>
          <w:b/>
          <w:bCs/>
          <w:sz w:val="28"/>
          <w:szCs w:val="28"/>
        </w:rPr>
      </w:pPr>
    </w:p>
    <w:p w14:paraId="724F60F5">
      <w:pPr>
        <w:ind w:firstLine="565" w:firstLineChars="201"/>
        <w:jc w:val="center"/>
        <w:rPr>
          <w:rFonts w:ascii="仿宋" w:hAnsi="仿宋"/>
          <w:b/>
          <w:bCs/>
          <w:sz w:val="28"/>
          <w:szCs w:val="28"/>
        </w:rPr>
      </w:pPr>
    </w:p>
    <w:p w14:paraId="06294B7B">
      <w:pPr>
        <w:widowControl/>
        <w:spacing w:line="240" w:lineRule="auto"/>
        <w:ind w:firstLine="0" w:firstLineChars="0"/>
        <w:jc w:val="left"/>
        <w:rPr>
          <w:rFonts w:ascii="仿宋" w:hAnsi="仿宋"/>
          <w:b/>
          <w:bCs/>
          <w:sz w:val="32"/>
          <w:szCs w:val="32"/>
        </w:rPr>
      </w:pPr>
    </w:p>
    <w:p w14:paraId="557D7F99">
      <w:pPr>
        <w:ind w:firstLine="646" w:firstLineChars="201"/>
        <w:jc w:val="center"/>
        <w:rPr>
          <w:rFonts w:ascii="仿宋" w:hAnsi="仿宋"/>
          <w:b/>
          <w:bCs/>
          <w:sz w:val="32"/>
          <w:szCs w:val="32"/>
        </w:rPr>
      </w:pPr>
    </w:p>
    <w:p w14:paraId="74959DBE">
      <w:pPr>
        <w:ind w:firstLine="646" w:firstLineChars="201"/>
        <w:jc w:val="center"/>
        <w:rPr>
          <w:rFonts w:ascii="仿宋" w:hAnsi="仿宋"/>
          <w:b/>
          <w:bCs/>
          <w:sz w:val="32"/>
          <w:szCs w:val="32"/>
        </w:rPr>
      </w:pPr>
    </w:p>
    <w:p w14:paraId="560C56E4">
      <w:pPr>
        <w:ind w:firstLine="646" w:firstLineChars="201"/>
        <w:jc w:val="center"/>
        <w:rPr>
          <w:rFonts w:ascii="仿宋" w:hAnsi="仿宋"/>
          <w:b/>
          <w:bCs/>
          <w:sz w:val="32"/>
          <w:szCs w:val="32"/>
        </w:rPr>
      </w:pPr>
    </w:p>
    <w:p w14:paraId="12BFB816">
      <w:pPr>
        <w:ind w:firstLine="565" w:firstLineChars="201"/>
        <w:jc w:val="center"/>
        <w:rPr>
          <w:rFonts w:hint="eastAsia" w:ascii="仿宋" w:hAnsi="仿宋"/>
          <w:b/>
          <w:bCs/>
          <w:sz w:val="28"/>
          <w:szCs w:val="28"/>
        </w:rPr>
      </w:pPr>
      <w:r>
        <w:rPr>
          <w:rFonts w:hint="eastAsia" w:ascii="仿宋" w:hAnsi="仿宋"/>
          <w:b/>
          <w:bCs/>
          <w:sz w:val="28"/>
          <w:szCs w:val="28"/>
        </w:rPr>
        <w:t>十巫南高速公路SWYZ-2标项目</w:t>
      </w:r>
    </w:p>
    <w:p w14:paraId="34BF8E1F">
      <w:pPr>
        <w:ind w:firstLine="565" w:firstLineChars="201"/>
        <w:jc w:val="center"/>
        <w:rPr>
          <w:rFonts w:hint="eastAsia" w:ascii="仿宋" w:hAnsi="仿宋"/>
          <w:b/>
          <w:bCs/>
          <w:sz w:val="28"/>
          <w:szCs w:val="28"/>
        </w:rPr>
      </w:pPr>
      <w:r>
        <w:rPr>
          <w:rFonts w:hint="eastAsia" w:ascii="仿宋" w:hAnsi="仿宋"/>
          <w:b/>
          <w:bCs/>
          <w:sz w:val="28"/>
          <w:szCs w:val="28"/>
          <w:lang w:eastAsia="zh-CN"/>
        </w:rPr>
        <w:t>XGT7022-12S</w:t>
      </w:r>
      <w:r>
        <w:rPr>
          <w:rFonts w:hint="eastAsia" w:ascii="仿宋" w:hAnsi="仿宋"/>
          <w:b/>
          <w:bCs/>
          <w:sz w:val="28"/>
          <w:szCs w:val="28"/>
        </w:rPr>
        <w:t>（1</w:t>
      </w:r>
      <w:r>
        <w:rPr>
          <w:rFonts w:hint="eastAsia" w:ascii="仿宋" w:hAnsi="仿宋"/>
          <w:b/>
          <w:bCs/>
          <w:sz w:val="28"/>
          <w:szCs w:val="28"/>
          <w:lang w:val="en-US" w:eastAsia="zh-CN"/>
        </w:rPr>
        <w:t>1</w:t>
      </w:r>
      <w:r>
        <w:rPr>
          <w:rFonts w:hint="eastAsia" w:ascii="仿宋" w:hAnsi="仿宋"/>
          <w:b/>
          <w:bCs/>
          <w:sz w:val="28"/>
          <w:szCs w:val="28"/>
        </w:rPr>
        <w:t>#）塔式起重机</w:t>
      </w:r>
    </w:p>
    <w:p w14:paraId="034D671A">
      <w:pPr>
        <w:ind w:firstLine="565" w:firstLineChars="201"/>
        <w:jc w:val="center"/>
        <w:rPr>
          <w:rFonts w:ascii="仿宋" w:hAnsi="仿宋"/>
          <w:b/>
          <w:bCs/>
          <w:sz w:val="28"/>
          <w:szCs w:val="28"/>
        </w:rPr>
      </w:pPr>
      <w:r>
        <w:rPr>
          <w:rFonts w:hint="eastAsia" w:ascii="仿宋" w:hAnsi="仿宋"/>
          <w:b/>
          <w:bCs/>
          <w:sz w:val="28"/>
          <w:szCs w:val="28"/>
        </w:rPr>
        <w:t>安装专项施工方案</w:t>
      </w:r>
    </w:p>
    <w:p w14:paraId="2E760362">
      <w:pPr>
        <w:ind w:firstLine="565" w:firstLineChars="201"/>
        <w:jc w:val="left"/>
        <w:rPr>
          <w:rFonts w:ascii="仿宋" w:hAnsi="仿宋"/>
          <w:b/>
          <w:sz w:val="28"/>
          <w:szCs w:val="28"/>
        </w:rPr>
      </w:pPr>
    </w:p>
    <w:p w14:paraId="1B514F09">
      <w:pPr>
        <w:ind w:firstLine="565" w:firstLineChars="201"/>
        <w:jc w:val="left"/>
        <w:rPr>
          <w:rFonts w:ascii="仿宋" w:hAnsi="仿宋"/>
          <w:b/>
          <w:sz w:val="28"/>
          <w:szCs w:val="28"/>
        </w:rPr>
      </w:pPr>
    </w:p>
    <w:p w14:paraId="1C1E9378">
      <w:pPr>
        <w:ind w:firstLine="562"/>
        <w:jc w:val="left"/>
        <w:rPr>
          <w:rFonts w:ascii="仿宋" w:hAnsi="仿宋"/>
          <w:b/>
          <w:sz w:val="28"/>
          <w:szCs w:val="28"/>
        </w:rPr>
      </w:pPr>
    </w:p>
    <w:p w14:paraId="10F92072">
      <w:pPr>
        <w:ind w:firstLine="565" w:firstLineChars="201"/>
        <w:jc w:val="left"/>
        <w:rPr>
          <w:rFonts w:ascii="仿宋" w:hAnsi="仿宋"/>
          <w:b/>
          <w:sz w:val="28"/>
          <w:szCs w:val="28"/>
        </w:rPr>
      </w:pPr>
    </w:p>
    <w:p w14:paraId="751D8E8A">
      <w:pPr>
        <w:ind w:firstLine="565" w:firstLineChars="201"/>
        <w:jc w:val="left"/>
        <w:rPr>
          <w:rFonts w:ascii="仿宋" w:hAnsi="仿宋"/>
          <w:b/>
          <w:sz w:val="28"/>
          <w:szCs w:val="28"/>
        </w:rPr>
      </w:pPr>
    </w:p>
    <w:p w14:paraId="3303EEB2">
      <w:pPr>
        <w:ind w:firstLine="3360" w:firstLineChars="1400"/>
        <w:rPr>
          <w:rFonts w:hint="default" w:eastAsia="宋体"/>
          <w:lang w:val="en-US" w:eastAsia="zh-CN"/>
        </w:rPr>
      </w:pPr>
      <w:r>
        <w:t>编制</w:t>
      </w:r>
      <w:r>
        <w:rPr>
          <w:rFonts w:hint="eastAsia"/>
          <w:lang w:eastAsia="zh-CN"/>
        </w:rPr>
        <w:t>：</w:t>
      </w:r>
      <w:r>
        <w:rPr>
          <w:rFonts w:hint="eastAsia"/>
          <w:u w:val="single"/>
          <w:lang w:val="en-US" w:eastAsia="zh-CN"/>
        </w:rPr>
        <w:t xml:space="preserve">                        </w:t>
      </w:r>
    </w:p>
    <w:p w14:paraId="117EC23B">
      <w:pPr>
        <w:ind w:firstLine="3360" w:firstLineChars="1400"/>
        <w:rPr>
          <w:rFonts w:hint="default" w:eastAsia="宋体"/>
          <w:lang w:val="en-US" w:eastAsia="zh-CN"/>
        </w:rPr>
      </w:pPr>
      <w:r>
        <w:t>校核：</w:t>
      </w:r>
      <w:r>
        <w:rPr>
          <w:rFonts w:hint="eastAsia"/>
          <w:u w:val="single"/>
          <w:lang w:val="en-US" w:eastAsia="zh-CN"/>
        </w:rPr>
        <w:t xml:space="preserve">                        </w:t>
      </w:r>
    </w:p>
    <w:p w14:paraId="567C20FB">
      <w:pPr>
        <w:ind w:firstLine="3360" w:firstLineChars="1400"/>
        <w:rPr>
          <w:rFonts w:hint="default" w:eastAsia="宋体"/>
          <w:lang w:val="en-US" w:eastAsia="zh-CN"/>
        </w:rPr>
      </w:pPr>
      <w:r>
        <w:t>审批：</w:t>
      </w:r>
      <w:r>
        <w:rPr>
          <w:rFonts w:hint="eastAsia"/>
          <w:u w:val="single"/>
          <w:lang w:val="en-US" w:eastAsia="zh-CN"/>
        </w:rPr>
        <w:t xml:space="preserve">                        </w:t>
      </w:r>
    </w:p>
    <w:p w14:paraId="585ED3BB">
      <w:pPr>
        <w:ind w:firstLine="565" w:firstLineChars="201"/>
        <w:jc w:val="left"/>
        <w:rPr>
          <w:rFonts w:ascii="仿宋" w:hAnsi="仿宋"/>
          <w:b/>
          <w:sz w:val="28"/>
          <w:szCs w:val="28"/>
        </w:rPr>
      </w:pPr>
    </w:p>
    <w:p w14:paraId="690A18AB">
      <w:pPr>
        <w:ind w:firstLine="562" w:firstLineChars="201"/>
        <w:jc w:val="left"/>
        <w:rPr>
          <w:rFonts w:ascii="仿宋" w:hAnsi="仿宋"/>
          <w:sz w:val="28"/>
          <w:szCs w:val="28"/>
        </w:rPr>
      </w:pPr>
    </w:p>
    <w:p w14:paraId="270B06DA">
      <w:pPr>
        <w:pStyle w:val="13"/>
        <w:rPr>
          <w:rFonts w:ascii="仿宋" w:hAnsi="仿宋"/>
          <w:sz w:val="28"/>
          <w:szCs w:val="28"/>
        </w:rPr>
      </w:pPr>
    </w:p>
    <w:p w14:paraId="048A3E1E">
      <w:pPr>
        <w:pStyle w:val="14"/>
        <w:rPr>
          <w:rFonts w:ascii="仿宋" w:hAnsi="仿宋"/>
          <w:sz w:val="28"/>
          <w:szCs w:val="28"/>
        </w:rPr>
      </w:pPr>
    </w:p>
    <w:p w14:paraId="4005DC8A"/>
    <w:p w14:paraId="5CA3B483">
      <w:pPr>
        <w:ind w:left="0" w:leftChars="0" w:firstLine="0" w:firstLineChars="0"/>
        <w:jc w:val="center"/>
        <w:rPr>
          <w:rFonts w:hint="default" w:ascii="仿宋" w:hAnsi="仿宋" w:eastAsia="宋体"/>
          <w:sz w:val="28"/>
          <w:szCs w:val="28"/>
          <w:lang w:val="en-US" w:eastAsia="zh-CN"/>
        </w:rPr>
      </w:pPr>
      <w:r>
        <w:rPr>
          <w:rFonts w:hint="eastAsia" w:ascii="仿宋" w:hAnsi="仿宋"/>
          <w:sz w:val="28"/>
          <w:szCs w:val="28"/>
          <w:lang w:val="en-US" w:eastAsia="zh-CN"/>
        </w:rPr>
        <w:t>四川科斗文智能装备有限公司</w:t>
      </w:r>
    </w:p>
    <w:p w14:paraId="108637C3">
      <w:pPr>
        <w:ind w:left="0" w:leftChars="0" w:firstLine="0" w:firstLineChars="0"/>
      </w:pPr>
    </w:p>
    <w:p w14:paraId="1C534F5C">
      <w:pPr>
        <w:widowControl/>
        <w:spacing w:line="240" w:lineRule="auto"/>
        <w:ind w:firstLine="0" w:firstLineChars="0"/>
        <w:jc w:val="left"/>
      </w:pPr>
      <w:r>
        <w:br w:type="page"/>
      </w:r>
    </w:p>
    <w:p w14:paraId="2C3EEC07">
      <w:pPr>
        <w:ind w:firstLine="480"/>
      </w:pPr>
    </w:p>
    <w:p w14:paraId="39000C3F">
      <w:pPr>
        <w:ind w:firstLine="0" w:firstLineChars="0"/>
        <w:jc w:val="center"/>
        <w:rPr>
          <w:sz w:val="32"/>
          <w:szCs w:val="32"/>
        </w:rPr>
      </w:pPr>
      <w:bookmarkStart w:id="8" w:name="_Toc102825360"/>
      <w:r>
        <w:rPr>
          <w:rFonts w:hint="eastAsia"/>
          <w:b/>
          <w:bCs/>
          <w:sz w:val="32"/>
          <w:szCs w:val="32"/>
        </w:rPr>
        <w:t xml:space="preserve">目 </w:t>
      </w:r>
      <w:r>
        <w:rPr>
          <w:b/>
          <w:bCs/>
          <w:sz w:val="32"/>
          <w:szCs w:val="32"/>
        </w:rPr>
        <w:t xml:space="preserve">   </w:t>
      </w:r>
      <w:r>
        <w:rPr>
          <w:rFonts w:hint="eastAsia"/>
          <w:b/>
          <w:bCs/>
          <w:sz w:val="32"/>
          <w:szCs w:val="32"/>
        </w:rPr>
        <w:t>录</w:t>
      </w:r>
    </w:p>
    <w:p w14:paraId="672E4820">
      <w:pPr>
        <w:pStyle w:val="30"/>
        <w:tabs>
          <w:tab w:val="right" w:leader="dot" w:pos="9070"/>
        </w:tabs>
      </w:pPr>
      <w:r>
        <w:rPr>
          <w:rFonts w:ascii="宋体" w:hAnsi="宋体"/>
          <w:b/>
          <w:bCs w:val="0"/>
          <w:caps w:val="0"/>
          <w:szCs w:val="24"/>
        </w:rPr>
        <w:fldChar w:fldCharType="begin"/>
      </w:r>
      <w:r>
        <w:rPr>
          <w:rFonts w:ascii="宋体" w:hAnsi="宋体"/>
          <w:b/>
          <w:bCs w:val="0"/>
          <w:caps w:val="0"/>
          <w:szCs w:val="24"/>
        </w:rPr>
        <w:instrText xml:space="preserve"> TOC \o "1-2" \h \z \u </w:instrText>
      </w:r>
      <w:r>
        <w:rPr>
          <w:rFonts w:ascii="宋体" w:hAnsi="宋体"/>
          <w:b/>
          <w:bCs w:val="0"/>
          <w:caps w:val="0"/>
          <w:szCs w:val="24"/>
        </w:rPr>
        <w:fldChar w:fldCharType="separate"/>
      </w:r>
      <w:r>
        <w:rPr>
          <w:rFonts w:ascii="宋体" w:hAnsi="宋体"/>
          <w:bCs w:val="0"/>
          <w:caps w:val="0"/>
          <w:szCs w:val="24"/>
        </w:rPr>
        <w:fldChar w:fldCharType="begin"/>
      </w:r>
      <w:r>
        <w:rPr>
          <w:rFonts w:ascii="宋体" w:hAnsi="宋体"/>
          <w:bCs w:val="0"/>
          <w:caps w:val="0"/>
          <w:szCs w:val="24"/>
        </w:rPr>
        <w:instrText xml:space="preserve"> HYPERLINK \l _Toc29052 </w:instrText>
      </w:r>
      <w:r>
        <w:rPr>
          <w:rFonts w:ascii="宋体" w:hAnsi="宋体"/>
          <w:bCs w:val="0"/>
          <w:caps w:val="0"/>
          <w:szCs w:val="24"/>
        </w:rPr>
        <w:fldChar w:fldCharType="separate"/>
      </w:r>
      <w:r>
        <w:rPr>
          <w:rFonts w:hint="default"/>
        </w:rPr>
        <w:t xml:space="preserve">1 </w:t>
      </w:r>
      <w:r>
        <w:rPr>
          <w:rFonts w:hint="eastAsia"/>
        </w:rPr>
        <w:t>编制</w:t>
      </w:r>
      <w:r>
        <w:rPr>
          <w:rFonts w:hint="eastAsia"/>
          <w:lang w:val="en-US" w:eastAsia="zh-CN"/>
        </w:rPr>
        <w:t>说明、</w:t>
      </w:r>
      <w:r>
        <w:rPr>
          <w:rFonts w:hint="eastAsia"/>
        </w:rPr>
        <w:t>依据</w:t>
      </w:r>
      <w:r>
        <w:rPr>
          <w:rFonts w:hint="eastAsia"/>
          <w:lang w:val="en-US" w:eastAsia="zh-CN"/>
        </w:rPr>
        <w:t>及适用范围</w:t>
      </w:r>
      <w:r>
        <w:tab/>
      </w:r>
      <w:r>
        <w:fldChar w:fldCharType="begin"/>
      </w:r>
      <w:r>
        <w:instrText xml:space="preserve"> PAGEREF _Toc29052 \h </w:instrText>
      </w:r>
      <w:r>
        <w:fldChar w:fldCharType="separate"/>
      </w:r>
      <w:r>
        <w:t>1</w:t>
      </w:r>
      <w:r>
        <w:fldChar w:fldCharType="end"/>
      </w:r>
      <w:r>
        <w:rPr>
          <w:rFonts w:ascii="宋体" w:hAnsi="宋体"/>
          <w:bCs w:val="0"/>
          <w:caps w:val="0"/>
          <w:szCs w:val="24"/>
        </w:rPr>
        <w:fldChar w:fldCharType="end"/>
      </w:r>
    </w:p>
    <w:p w14:paraId="6D5A7460">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_Toc14694 </w:instrText>
      </w:r>
      <w:r>
        <w:rPr>
          <w:rFonts w:ascii="宋体" w:hAnsi="宋体" w:cstheme="minorHAnsi"/>
          <w:bCs/>
          <w:caps/>
          <w:szCs w:val="24"/>
        </w:rPr>
        <w:fldChar w:fldCharType="separate"/>
      </w:r>
      <w:r>
        <w:rPr>
          <w:rFonts w:hint="default"/>
          <w:bCs/>
          <w:szCs w:val="28"/>
        </w:rPr>
        <w:t xml:space="preserve">1.1 </w:t>
      </w:r>
      <w:r>
        <w:rPr>
          <w:rFonts w:hint="eastAsia"/>
          <w:bCs w:val="0"/>
          <w:szCs w:val="28"/>
        </w:rPr>
        <w:t>编制说明</w:t>
      </w:r>
      <w:r>
        <w:tab/>
      </w:r>
      <w:r>
        <w:fldChar w:fldCharType="begin"/>
      </w:r>
      <w:r>
        <w:instrText xml:space="preserve"> PAGEREF _Toc14694 \h </w:instrText>
      </w:r>
      <w:r>
        <w:fldChar w:fldCharType="separate"/>
      </w:r>
      <w:r>
        <w:t>1</w:t>
      </w:r>
      <w:r>
        <w:fldChar w:fldCharType="end"/>
      </w:r>
      <w:r>
        <w:rPr>
          <w:rFonts w:ascii="宋体" w:hAnsi="宋体" w:cstheme="minorHAnsi"/>
          <w:bCs/>
          <w:caps/>
          <w:szCs w:val="24"/>
        </w:rPr>
        <w:fldChar w:fldCharType="end"/>
      </w:r>
    </w:p>
    <w:p w14:paraId="786D3603">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_Toc15205 </w:instrText>
      </w:r>
      <w:r>
        <w:rPr>
          <w:rFonts w:ascii="宋体" w:hAnsi="宋体" w:cstheme="minorHAnsi"/>
          <w:bCs/>
          <w:caps/>
          <w:szCs w:val="24"/>
        </w:rPr>
        <w:fldChar w:fldCharType="separate"/>
      </w:r>
      <w:r>
        <w:rPr>
          <w:rFonts w:hint="default"/>
          <w:bCs/>
          <w:szCs w:val="28"/>
        </w:rPr>
        <w:t xml:space="preserve">1.2 </w:t>
      </w:r>
      <w:r>
        <w:rPr>
          <w:rFonts w:hint="eastAsia"/>
          <w:bCs w:val="0"/>
          <w:szCs w:val="28"/>
          <w:lang w:val="en-US" w:eastAsia="zh-CN"/>
        </w:rPr>
        <w:t>编制依据</w:t>
      </w:r>
      <w:r>
        <w:tab/>
      </w:r>
      <w:r>
        <w:fldChar w:fldCharType="begin"/>
      </w:r>
      <w:r>
        <w:instrText xml:space="preserve"> PAGEREF _Toc15205 \h </w:instrText>
      </w:r>
      <w:r>
        <w:fldChar w:fldCharType="separate"/>
      </w:r>
      <w:r>
        <w:t>1</w:t>
      </w:r>
      <w:r>
        <w:fldChar w:fldCharType="end"/>
      </w:r>
      <w:r>
        <w:rPr>
          <w:rFonts w:ascii="宋体" w:hAnsi="宋体" w:cstheme="minorHAnsi"/>
          <w:bCs/>
          <w:caps/>
          <w:szCs w:val="24"/>
        </w:rPr>
        <w:fldChar w:fldCharType="end"/>
      </w:r>
    </w:p>
    <w:p w14:paraId="3454AB8D">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_Toc18915 </w:instrText>
      </w:r>
      <w:r>
        <w:rPr>
          <w:rFonts w:ascii="宋体" w:hAnsi="宋体" w:cstheme="minorHAnsi"/>
          <w:bCs/>
          <w:caps/>
          <w:szCs w:val="24"/>
        </w:rPr>
        <w:fldChar w:fldCharType="separate"/>
      </w:r>
      <w:r>
        <w:rPr>
          <w:rFonts w:hint="default"/>
          <w:bCs/>
          <w:szCs w:val="28"/>
        </w:rPr>
        <w:t xml:space="preserve">1.3 </w:t>
      </w:r>
      <w:r>
        <w:rPr>
          <w:rFonts w:hint="eastAsia"/>
          <w:bCs w:val="0"/>
          <w:szCs w:val="28"/>
        </w:rPr>
        <w:t>适用范围</w:t>
      </w:r>
      <w:r>
        <w:tab/>
      </w:r>
      <w:r>
        <w:fldChar w:fldCharType="begin"/>
      </w:r>
      <w:r>
        <w:instrText xml:space="preserve"> PAGEREF _Toc18915 \h </w:instrText>
      </w:r>
      <w:r>
        <w:fldChar w:fldCharType="separate"/>
      </w:r>
      <w:r>
        <w:t>2</w:t>
      </w:r>
      <w:r>
        <w:fldChar w:fldCharType="end"/>
      </w:r>
      <w:r>
        <w:rPr>
          <w:rFonts w:ascii="宋体" w:hAnsi="宋体" w:cstheme="minorHAnsi"/>
          <w:bCs/>
          <w:caps/>
          <w:szCs w:val="24"/>
        </w:rPr>
        <w:fldChar w:fldCharType="end"/>
      </w:r>
    </w:p>
    <w:p w14:paraId="70D4D0B7">
      <w:pPr>
        <w:pStyle w:val="30"/>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_Toc15338 </w:instrText>
      </w:r>
      <w:r>
        <w:rPr>
          <w:rFonts w:ascii="宋体" w:hAnsi="宋体" w:cstheme="minorHAnsi"/>
          <w:bCs/>
          <w:caps/>
          <w:szCs w:val="24"/>
        </w:rPr>
        <w:fldChar w:fldCharType="separate"/>
      </w:r>
      <w:r>
        <w:rPr>
          <w:rFonts w:hint="default"/>
        </w:rPr>
        <w:t xml:space="preserve">2 </w:t>
      </w:r>
      <w:r>
        <w:rPr>
          <w:rFonts w:hint="eastAsia"/>
        </w:rPr>
        <w:t>工程概况</w:t>
      </w:r>
      <w:r>
        <w:tab/>
      </w:r>
      <w:r>
        <w:fldChar w:fldCharType="begin"/>
      </w:r>
      <w:r>
        <w:instrText xml:space="preserve"> PAGEREF _Toc15338 \h </w:instrText>
      </w:r>
      <w:r>
        <w:fldChar w:fldCharType="separate"/>
      </w:r>
      <w:r>
        <w:t>3</w:t>
      </w:r>
      <w:r>
        <w:fldChar w:fldCharType="end"/>
      </w:r>
      <w:r>
        <w:rPr>
          <w:rFonts w:ascii="宋体" w:hAnsi="宋体" w:cstheme="minorHAnsi"/>
          <w:bCs/>
          <w:caps/>
          <w:szCs w:val="24"/>
        </w:rPr>
        <w:fldChar w:fldCharType="end"/>
      </w:r>
    </w:p>
    <w:p w14:paraId="1A2F05BE">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_Toc15488 </w:instrText>
      </w:r>
      <w:r>
        <w:rPr>
          <w:rFonts w:ascii="宋体" w:hAnsi="宋体" w:cstheme="minorHAnsi"/>
          <w:bCs/>
          <w:caps/>
          <w:szCs w:val="24"/>
        </w:rPr>
        <w:fldChar w:fldCharType="separate"/>
      </w:r>
      <w:r>
        <w:rPr>
          <w:rFonts w:hint="default"/>
          <w:bCs/>
          <w:szCs w:val="28"/>
        </w:rPr>
        <w:t xml:space="preserve">2.1 </w:t>
      </w:r>
      <w:r>
        <w:rPr>
          <w:rFonts w:hint="eastAsia"/>
          <w:bCs w:val="0"/>
          <w:szCs w:val="28"/>
        </w:rPr>
        <w:t>工程概况</w:t>
      </w:r>
      <w:r>
        <w:tab/>
      </w:r>
      <w:r>
        <w:fldChar w:fldCharType="begin"/>
      </w:r>
      <w:r>
        <w:instrText xml:space="preserve"> PAGEREF _Toc15488 \h </w:instrText>
      </w:r>
      <w:r>
        <w:fldChar w:fldCharType="separate"/>
      </w:r>
      <w:r>
        <w:t>3</w:t>
      </w:r>
      <w:r>
        <w:fldChar w:fldCharType="end"/>
      </w:r>
      <w:r>
        <w:rPr>
          <w:rFonts w:ascii="宋体" w:hAnsi="宋体" w:cstheme="minorHAnsi"/>
          <w:bCs/>
          <w:caps/>
          <w:szCs w:val="24"/>
        </w:rPr>
        <w:fldChar w:fldCharType="end"/>
      </w:r>
    </w:p>
    <w:p w14:paraId="586C9D30">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_Toc26928 </w:instrText>
      </w:r>
      <w:r>
        <w:rPr>
          <w:rFonts w:ascii="宋体" w:hAnsi="宋体" w:cstheme="minorHAnsi"/>
          <w:bCs/>
          <w:caps/>
          <w:szCs w:val="24"/>
        </w:rPr>
        <w:fldChar w:fldCharType="separate"/>
      </w:r>
      <w:r>
        <w:rPr>
          <w:rFonts w:hint="default"/>
          <w:bCs/>
          <w:szCs w:val="28"/>
        </w:rPr>
        <w:t xml:space="preserve">2.2 </w:t>
      </w:r>
      <w:r>
        <w:rPr>
          <w:bCs w:val="0"/>
          <w:szCs w:val="28"/>
        </w:rPr>
        <w:t>工程特点</w:t>
      </w:r>
      <w:r>
        <w:tab/>
      </w:r>
      <w:r>
        <w:fldChar w:fldCharType="begin"/>
      </w:r>
      <w:r>
        <w:instrText xml:space="preserve"> PAGEREF _Toc26928 \h </w:instrText>
      </w:r>
      <w:r>
        <w:fldChar w:fldCharType="separate"/>
      </w:r>
      <w:r>
        <w:t>19</w:t>
      </w:r>
      <w:r>
        <w:fldChar w:fldCharType="end"/>
      </w:r>
      <w:r>
        <w:rPr>
          <w:rFonts w:ascii="宋体" w:hAnsi="宋体" w:cstheme="minorHAnsi"/>
          <w:bCs/>
          <w:caps/>
          <w:szCs w:val="24"/>
        </w:rPr>
        <w:fldChar w:fldCharType="end"/>
      </w:r>
    </w:p>
    <w:p w14:paraId="7A22B270">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_Toc121 </w:instrText>
      </w:r>
      <w:r>
        <w:rPr>
          <w:rFonts w:ascii="宋体" w:hAnsi="宋体" w:cstheme="minorHAnsi"/>
          <w:bCs/>
          <w:caps/>
          <w:szCs w:val="24"/>
        </w:rPr>
        <w:fldChar w:fldCharType="separate"/>
      </w:r>
      <w:r>
        <w:rPr>
          <w:rFonts w:hint="default"/>
          <w:bCs/>
          <w:szCs w:val="28"/>
        </w:rPr>
        <w:t xml:space="preserve">2.3 </w:t>
      </w:r>
      <w:r>
        <w:rPr>
          <w:rFonts w:hint="eastAsia"/>
          <w:bCs w:val="0"/>
          <w:szCs w:val="28"/>
        </w:rPr>
        <w:t>施工平面布置</w:t>
      </w:r>
      <w:r>
        <w:rPr>
          <w:rFonts w:hint="eastAsia"/>
          <w:bCs w:val="0"/>
          <w:szCs w:val="28"/>
          <w:lang w:val="en-US" w:eastAsia="zh-CN"/>
        </w:rPr>
        <w:t>图</w:t>
      </w:r>
      <w:r>
        <w:tab/>
      </w:r>
      <w:r>
        <w:fldChar w:fldCharType="begin"/>
      </w:r>
      <w:r>
        <w:instrText xml:space="preserve"> PAGEREF _Toc121 \h </w:instrText>
      </w:r>
      <w:r>
        <w:fldChar w:fldCharType="separate"/>
      </w:r>
      <w:r>
        <w:t>19</w:t>
      </w:r>
      <w:r>
        <w:fldChar w:fldCharType="end"/>
      </w:r>
      <w:r>
        <w:rPr>
          <w:rFonts w:ascii="宋体" w:hAnsi="宋体" w:cstheme="minorHAnsi"/>
          <w:bCs/>
          <w:caps/>
          <w:szCs w:val="24"/>
        </w:rPr>
        <w:fldChar w:fldCharType="end"/>
      </w:r>
    </w:p>
    <w:p w14:paraId="02164D1B">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_Toc10370 </w:instrText>
      </w:r>
      <w:r>
        <w:rPr>
          <w:rFonts w:ascii="宋体" w:hAnsi="宋体" w:cstheme="minorHAnsi"/>
          <w:bCs/>
          <w:caps/>
          <w:szCs w:val="24"/>
        </w:rPr>
        <w:fldChar w:fldCharType="separate"/>
      </w:r>
      <w:r>
        <w:rPr>
          <w:rFonts w:hint="default"/>
          <w:bCs/>
          <w:szCs w:val="28"/>
        </w:rPr>
        <w:t xml:space="preserve">2.4 </w:t>
      </w:r>
      <w:r>
        <w:rPr>
          <w:rFonts w:hint="eastAsia"/>
          <w:bCs w:val="0"/>
          <w:szCs w:val="28"/>
        </w:rPr>
        <w:t>施工要求</w:t>
      </w:r>
      <w:r>
        <w:tab/>
      </w:r>
      <w:r>
        <w:fldChar w:fldCharType="begin"/>
      </w:r>
      <w:r>
        <w:instrText xml:space="preserve"> PAGEREF _Toc10370 \h </w:instrText>
      </w:r>
      <w:r>
        <w:fldChar w:fldCharType="separate"/>
      </w:r>
      <w:r>
        <w:t>22</w:t>
      </w:r>
      <w:r>
        <w:fldChar w:fldCharType="end"/>
      </w:r>
      <w:r>
        <w:rPr>
          <w:rFonts w:ascii="宋体" w:hAnsi="宋体" w:cstheme="minorHAnsi"/>
          <w:bCs/>
          <w:caps/>
          <w:szCs w:val="24"/>
        </w:rPr>
        <w:fldChar w:fldCharType="end"/>
      </w:r>
    </w:p>
    <w:p w14:paraId="010555C9">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_Toc21735 </w:instrText>
      </w:r>
      <w:r>
        <w:rPr>
          <w:rFonts w:ascii="宋体" w:hAnsi="宋体" w:cstheme="minorHAnsi"/>
          <w:bCs/>
          <w:caps/>
          <w:szCs w:val="24"/>
        </w:rPr>
        <w:fldChar w:fldCharType="separate"/>
      </w:r>
      <w:r>
        <w:rPr>
          <w:rFonts w:hint="default"/>
          <w:bCs/>
          <w:szCs w:val="28"/>
          <w:lang w:val="en-US" w:eastAsia="zh-CN"/>
        </w:rPr>
        <w:t xml:space="preserve">2.5 </w:t>
      </w:r>
      <w:r>
        <w:rPr>
          <w:rFonts w:hint="eastAsia"/>
          <w:bCs w:val="0"/>
          <w:szCs w:val="28"/>
          <w:lang w:val="en-US" w:eastAsia="zh-CN"/>
        </w:rPr>
        <w:t>技术保证条件</w:t>
      </w:r>
      <w:r>
        <w:tab/>
      </w:r>
      <w:r>
        <w:fldChar w:fldCharType="begin"/>
      </w:r>
      <w:r>
        <w:instrText xml:space="preserve"> PAGEREF _Toc21735 \h </w:instrText>
      </w:r>
      <w:r>
        <w:fldChar w:fldCharType="separate"/>
      </w:r>
      <w:r>
        <w:t>22</w:t>
      </w:r>
      <w:r>
        <w:fldChar w:fldCharType="end"/>
      </w:r>
      <w:r>
        <w:rPr>
          <w:rFonts w:ascii="宋体" w:hAnsi="宋体" w:cstheme="minorHAnsi"/>
          <w:bCs/>
          <w:caps/>
          <w:szCs w:val="24"/>
        </w:rPr>
        <w:fldChar w:fldCharType="end"/>
      </w:r>
    </w:p>
    <w:p w14:paraId="6644C366">
      <w:pPr>
        <w:pStyle w:val="30"/>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_Toc22444 </w:instrText>
      </w:r>
      <w:r>
        <w:rPr>
          <w:rFonts w:ascii="宋体" w:hAnsi="宋体" w:cstheme="minorHAnsi"/>
          <w:bCs/>
          <w:caps/>
          <w:szCs w:val="24"/>
        </w:rPr>
        <w:fldChar w:fldCharType="separate"/>
      </w:r>
      <w:r>
        <w:rPr>
          <w:rFonts w:hint="default"/>
        </w:rPr>
        <w:t xml:space="preserve">3 </w:t>
      </w:r>
      <w:r>
        <w:rPr>
          <w:rFonts w:hint="eastAsia"/>
        </w:rPr>
        <w:t>施工计划</w:t>
      </w:r>
      <w:r>
        <w:tab/>
      </w:r>
      <w:r>
        <w:fldChar w:fldCharType="begin"/>
      </w:r>
      <w:r>
        <w:instrText xml:space="preserve"> PAGEREF _Toc22444 \h </w:instrText>
      </w:r>
      <w:r>
        <w:fldChar w:fldCharType="separate"/>
      </w:r>
      <w:r>
        <w:t>24</w:t>
      </w:r>
      <w:r>
        <w:fldChar w:fldCharType="end"/>
      </w:r>
      <w:r>
        <w:rPr>
          <w:rFonts w:ascii="宋体" w:hAnsi="宋体" w:cstheme="minorHAnsi"/>
          <w:bCs/>
          <w:caps/>
          <w:szCs w:val="24"/>
        </w:rPr>
        <w:fldChar w:fldCharType="end"/>
      </w:r>
    </w:p>
    <w:p w14:paraId="37B01707">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_Toc8725 </w:instrText>
      </w:r>
      <w:r>
        <w:rPr>
          <w:rFonts w:ascii="宋体" w:hAnsi="宋体" w:cstheme="minorHAnsi"/>
          <w:bCs/>
          <w:caps/>
          <w:szCs w:val="24"/>
        </w:rPr>
        <w:fldChar w:fldCharType="separate"/>
      </w:r>
      <w:r>
        <w:rPr>
          <w:rFonts w:hint="default"/>
          <w:bCs/>
          <w:szCs w:val="28"/>
        </w:rPr>
        <w:t xml:space="preserve">3.1 </w:t>
      </w:r>
      <w:r>
        <w:rPr>
          <w:rFonts w:hint="eastAsia"/>
          <w:bCs w:val="0"/>
          <w:szCs w:val="28"/>
        </w:rPr>
        <w:t>工程总体目标</w:t>
      </w:r>
      <w:r>
        <w:tab/>
      </w:r>
      <w:r>
        <w:fldChar w:fldCharType="begin"/>
      </w:r>
      <w:r>
        <w:instrText xml:space="preserve"> PAGEREF _Toc8725 \h </w:instrText>
      </w:r>
      <w:r>
        <w:fldChar w:fldCharType="separate"/>
      </w:r>
      <w:r>
        <w:t>24</w:t>
      </w:r>
      <w:r>
        <w:fldChar w:fldCharType="end"/>
      </w:r>
      <w:r>
        <w:rPr>
          <w:rFonts w:ascii="宋体" w:hAnsi="宋体" w:cstheme="minorHAnsi"/>
          <w:bCs/>
          <w:caps/>
          <w:szCs w:val="24"/>
        </w:rPr>
        <w:fldChar w:fldCharType="end"/>
      </w:r>
    </w:p>
    <w:p w14:paraId="26AB07E9">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_Toc569 </w:instrText>
      </w:r>
      <w:r>
        <w:rPr>
          <w:rFonts w:ascii="宋体" w:hAnsi="宋体" w:cstheme="minorHAnsi"/>
          <w:bCs/>
          <w:caps/>
          <w:szCs w:val="24"/>
        </w:rPr>
        <w:fldChar w:fldCharType="separate"/>
      </w:r>
      <w:r>
        <w:rPr>
          <w:rFonts w:hint="default"/>
          <w:bCs/>
          <w:szCs w:val="28"/>
        </w:rPr>
        <w:t xml:space="preserve">3.2 </w:t>
      </w:r>
      <w:r>
        <w:rPr>
          <w:rFonts w:hint="eastAsia"/>
          <w:bCs w:val="0"/>
          <w:szCs w:val="28"/>
        </w:rPr>
        <w:t>施工进度计划</w:t>
      </w:r>
      <w:r>
        <w:tab/>
      </w:r>
      <w:r>
        <w:fldChar w:fldCharType="begin"/>
      </w:r>
      <w:r>
        <w:instrText xml:space="preserve"> PAGEREF _Toc569 \h </w:instrText>
      </w:r>
      <w:r>
        <w:fldChar w:fldCharType="separate"/>
      </w:r>
      <w:r>
        <w:t>24</w:t>
      </w:r>
      <w:r>
        <w:fldChar w:fldCharType="end"/>
      </w:r>
      <w:r>
        <w:rPr>
          <w:rFonts w:ascii="宋体" w:hAnsi="宋体" w:cstheme="minorHAnsi"/>
          <w:bCs/>
          <w:caps/>
          <w:szCs w:val="24"/>
        </w:rPr>
        <w:fldChar w:fldCharType="end"/>
      </w:r>
    </w:p>
    <w:p w14:paraId="3D9B2F90">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_Toc2000 </w:instrText>
      </w:r>
      <w:r>
        <w:rPr>
          <w:rFonts w:ascii="宋体" w:hAnsi="宋体" w:cstheme="minorHAnsi"/>
          <w:bCs/>
          <w:caps/>
          <w:szCs w:val="24"/>
        </w:rPr>
        <w:fldChar w:fldCharType="separate"/>
      </w:r>
      <w:r>
        <w:rPr>
          <w:rFonts w:hint="default"/>
          <w:bCs/>
          <w:szCs w:val="28"/>
        </w:rPr>
        <w:t xml:space="preserve">3.3 </w:t>
      </w:r>
      <w:r>
        <w:rPr>
          <w:rFonts w:hint="eastAsia"/>
          <w:bCs w:val="0"/>
          <w:szCs w:val="28"/>
        </w:rPr>
        <w:t>材料及设备计划</w:t>
      </w:r>
      <w:r>
        <w:tab/>
      </w:r>
      <w:r>
        <w:fldChar w:fldCharType="begin"/>
      </w:r>
      <w:r>
        <w:instrText xml:space="preserve"> PAGEREF _Toc2000 \h </w:instrText>
      </w:r>
      <w:r>
        <w:fldChar w:fldCharType="separate"/>
      </w:r>
      <w:r>
        <w:t>24</w:t>
      </w:r>
      <w:r>
        <w:fldChar w:fldCharType="end"/>
      </w:r>
      <w:r>
        <w:rPr>
          <w:rFonts w:ascii="宋体" w:hAnsi="宋体" w:cstheme="minorHAnsi"/>
          <w:bCs/>
          <w:caps/>
          <w:szCs w:val="24"/>
        </w:rPr>
        <w:fldChar w:fldCharType="end"/>
      </w:r>
    </w:p>
    <w:p w14:paraId="47E2123D">
      <w:pPr>
        <w:pStyle w:val="30"/>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_Toc19383 </w:instrText>
      </w:r>
      <w:r>
        <w:rPr>
          <w:rFonts w:ascii="宋体" w:hAnsi="宋体" w:cstheme="minorHAnsi"/>
          <w:bCs/>
          <w:caps/>
          <w:szCs w:val="24"/>
        </w:rPr>
        <w:fldChar w:fldCharType="separate"/>
      </w:r>
      <w:r>
        <w:rPr>
          <w:rFonts w:hint="default"/>
        </w:rPr>
        <w:t xml:space="preserve">4 </w:t>
      </w:r>
      <w:r>
        <w:rPr>
          <w:rFonts w:hint="eastAsia"/>
          <w:lang w:val="en-US" w:eastAsia="zh-CN"/>
        </w:rPr>
        <w:t>施工方案概述</w:t>
      </w:r>
      <w:r>
        <w:tab/>
      </w:r>
      <w:r>
        <w:fldChar w:fldCharType="begin"/>
      </w:r>
      <w:r>
        <w:instrText xml:space="preserve"> PAGEREF _Toc19383 \h </w:instrText>
      </w:r>
      <w:r>
        <w:fldChar w:fldCharType="separate"/>
      </w:r>
      <w:r>
        <w:t>26</w:t>
      </w:r>
      <w:r>
        <w:fldChar w:fldCharType="end"/>
      </w:r>
      <w:r>
        <w:rPr>
          <w:rFonts w:ascii="宋体" w:hAnsi="宋体" w:cstheme="minorHAnsi"/>
          <w:bCs/>
          <w:caps/>
          <w:szCs w:val="24"/>
        </w:rPr>
        <w:fldChar w:fldCharType="end"/>
      </w:r>
    </w:p>
    <w:p w14:paraId="591FD2F0">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_Toc28146 </w:instrText>
      </w:r>
      <w:r>
        <w:rPr>
          <w:rFonts w:ascii="宋体" w:hAnsi="宋体" w:cstheme="minorHAnsi"/>
          <w:bCs/>
          <w:caps/>
          <w:szCs w:val="24"/>
        </w:rPr>
        <w:fldChar w:fldCharType="separate"/>
      </w:r>
      <w:r>
        <w:rPr>
          <w:rFonts w:hint="default"/>
          <w:bCs/>
          <w:szCs w:val="28"/>
        </w:rPr>
        <w:t xml:space="preserve">4.1 </w:t>
      </w:r>
      <w:r>
        <w:rPr>
          <w:rFonts w:hint="eastAsia"/>
          <w:bCs w:val="0"/>
          <w:szCs w:val="28"/>
        </w:rPr>
        <w:t>塔吊安装施工工艺流程</w:t>
      </w:r>
      <w:r>
        <w:tab/>
      </w:r>
      <w:r>
        <w:fldChar w:fldCharType="begin"/>
      </w:r>
      <w:r>
        <w:instrText xml:space="preserve"> PAGEREF _Toc28146 \h </w:instrText>
      </w:r>
      <w:r>
        <w:fldChar w:fldCharType="separate"/>
      </w:r>
      <w:r>
        <w:t>26</w:t>
      </w:r>
      <w:r>
        <w:fldChar w:fldCharType="end"/>
      </w:r>
      <w:r>
        <w:rPr>
          <w:rFonts w:ascii="宋体" w:hAnsi="宋体" w:cstheme="minorHAnsi"/>
          <w:bCs/>
          <w:caps/>
          <w:szCs w:val="24"/>
        </w:rPr>
        <w:fldChar w:fldCharType="end"/>
      </w:r>
    </w:p>
    <w:p w14:paraId="33CA88EB">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_Toc14748 </w:instrText>
      </w:r>
      <w:r>
        <w:rPr>
          <w:rFonts w:ascii="宋体" w:hAnsi="宋体" w:cstheme="minorHAnsi"/>
          <w:bCs/>
          <w:caps/>
          <w:szCs w:val="24"/>
        </w:rPr>
        <w:fldChar w:fldCharType="separate"/>
      </w:r>
      <w:r>
        <w:rPr>
          <w:rFonts w:hint="default"/>
          <w:bCs/>
          <w:szCs w:val="28"/>
        </w:rPr>
        <w:t xml:space="preserve">4.2 </w:t>
      </w:r>
      <w:r>
        <w:rPr>
          <w:rFonts w:hint="eastAsia"/>
          <w:bCs w:val="0"/>
          <w:szCs w:val="28"/>
        </w:rPr>
        <w:t>主要设备选型</w:t>
      </w:r>
      <w:r>
        <w:tab/>
      </w:r>
      <w:r>
        <w:fldChar w:fldCharType="begin"/>
      </w:r>
      <w:r>
        <w:instrText xml:space="preserve"> PAGEREF _Toc14748 \h </w:instrText>
      </w:r>
      <w:r>
        <w:fldChar w:fldCharType="separate"/>
      </w:r>
      <w:r>
        <w:t>26</w:t>
      </w:r>
      <w:r>
        <w:fldChar w:fldCharType="end"/>
      </w:r>
      <w:r>
        <w:rPr>
          <w:rFonts w:ascii="宋体" w:hAnsi="宋体" w:cstheme="minorHAnsi"/>
          <w:bCs/>
          <w:caps/>
          <w:szCs w:val="24"/>
        </w:rPr>
        <w:fldChar w:fldCharType="end"/>
      </w:r>
    </w:p>
    <w:p w14:paraId="144FCC6F">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_Toc2810 </w:instrText>
      </w:r>
      <w:r>
        <w:rPr>
          <w:rFonts w:ascii="宋体" w:hAnsi="宋体" w:cstheme="minorHAnsi"/>
          <w:bCs/>
          <w:caps/>
          <w:szCs w:val="24"/>
        </w:rPr>
        <w:fldChar w:fldCharType="separate"/>
      </w:r>
      <w:r>
        <w:rPr>
          <w:rFonts w:hint="default"/>
          <w:bCs/>
          <w:szCs w:val="28"/>
        </w:rPr>
        <w:t xml:space="preserve">4.3 </w:t>
      </w:r>
      <w:r>
        <w:rPr>
          <w:rFonts w:hint="eastAsia"/>
          <w:bCs w:val="0"/>
          <w:szCs w:val="28"/>
        </w:rPr>
        <w:t>塔吊安装前施工准备</w:t>
      </w:r>
      <w:r>
        <w:tab/>
      </w:r>
      <w:r>
        <w:fldChar w:fldCharType="begin"/>
      </w:r>
      <w:r>
        <w:instrText xml:space="preserve"> PAGEREF _Toc2810 \h </w:instrText>
      </w:r>
      <w:r>
        <w:fldChar w:fldCharType="separate"/>
      </w:r>
      <w:r>
        <w:t>30</w:t>
      </w:r>
      <w:r>
        <w:fldChar w:fldCharType="end"/>
      </w:r>
      <w:r>
        <w:rPr>
          <w:rFonts w:ascii="宋体" w:hAnsi="宋体" w:cstheme="minorHAnsi"/>
          <w:bCs/>
          <w:caps/>
          <w:szCs w:val="24"/>
        </w:rPr>
        <w:fldChar w:fldCharType="end"/>
      </w:r>
    </w:p>
    <w:p w14:paraId="78A22427">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_Toc22399 </w:instrText>
      </w:r>
      <w:r>
        <w:rPr>
          <w:rFonts w:ascii="宋体" w:hAnsi="宋体" w:cstheme="minorHAnsi"/>
          <w:bCs/>
          <w:caps/>
          <w:szCs w:val="24"/>
        </w:rPr>
        <w:fldChar w:fldCharType="separate"/>
      </w:r>
      <w:r>
        <w:rPr>
          <w:rFonts w:hint="default"/>
          <w:bCs/>
          <w:szCs w:val="28"/>
        </w:rPr>
        <w:t xml:space="preserve">4.4 </w:t>
      </w:r>
      <w:r>
        <w:rPr>
          <w:rFonts w:hint="eastAsia"/>
          <w:bCs w:val="0"/>
          <w:szCs w:val="28"/>
        </w:rPr>
        <w:t>塔吊安装具体步骤</w:t>
      </w:r>
      <w:r>
        <w:tab/>
      </w:r>
      <w:r>
        <w:fldChar w:fldCharType="begin"/>
      </w:r>
      <w:r>
        <w:instrText xml:space="preserve"> PAGEREF _Toc22399 \h </w:instrText>
      </w:r>
      <w:r>
        <w:fldChar w:fldCharType="separate"/>
      </w:r>
      <w:r>
        <w:t>32</w:t>
      </w:r>
      <w:r>
        <w:fldChar w:fldCharType="end"/>
      </w:r>
      <w:r>
        <w:rPr>
          <w:rFonts w:ascii="宋体" w:hAnsi="宋体" w:cstheme="minorHAnsi"/>
          <w:bCs/>
          <w:caps/>
          <w:szCs w:val="24"/>
        </w:rPr>
        <w:fldChar w:fldCharType="end"/>
      </w:r>
    </w:p>
    <w:p w14:paraId="4EABFB6B">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_Toc22280 </w:instrText>
      </w:r>
      <w:r>
        <w:rPr>
          <w:rFonts w:ascii="宋体" w:hAnsi="宋体" w:cstheme="minorHAnsi"/>
          <w:bCs/>
          <w:caps/>
          <w:szCs w:val="24"/>
        </w:rPr>
        <w:fldChar w:fldCharType="separate"/>
      </w:r>
      <w:r>
        <w:rPr>
          <w:rFonts w:hint="default"/>
          <w:bCs/>
          <w:szCs w:val="28"/>
          <w:lang w:val="en-US" w:eastAsia="zh-CN"/>
        </w:rPr>
        <w:t xml:space="preserve">4.5 </w:t>
      </w:r>
      <w:r>
        <w:rPr>
          <w:rFonts w:hint="eastAsia"/>
          <w:bCs w:val="0"/>
          <w:szCs w:val="28"/>
          <w:lang w:val="en-US" w:eastAsia="zh-CN"/>
        </w:rPr>
        <w:t>试验</w:t>
      </w:r>
      <w:r>
        <w:tab/>
      </w:r>
      <w:r>
        <w:fldChar w:fldCharType="begin"/>
      </w:r>
      <w:r>
        <w:instrText xml:space="preserve"> PAGEREF _Toc22280 \h </w:instrText>
      </w:r>
      <w:r>
        <w:fldChar w:fldCharType="separate"/>
      </w:r>
      <w:r>
        <w:t>61</w:t>
      </w:r>
      <w:r>
        <w:fldChar w:fldCharType="end"/>
      </w:r>
      <w:r>
        <w:rPr>
          <w:rFonts w:ascii="宋体" w:hAnsi="宋体" w:cstheme="minorHAnsi"/>
          <w:bCs/>
          <w:caps/>
          <w:szCs w:val="24"/>
        </w:rPr>
        <w:fldChar w:fldCharType="end"/>
      </w:r>
    </w:p>
    <w:p w14:paraId="2E5E5FAE">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_Toc29779 </w:instrText>
      </w:r>
      <w:r>
        <w:rPr>
          <w:rFonts w:ascii="宋体" w:hAnsi="宋体" w:cstheme="minorHAnsi"/>
          <w:bCs/>
          <w:caps/>
          <w:szCs w:val="24"/>
        </w:rPr>
        <w:fldChar w:fldCharType="separate"/>
      </w:r>
      <w:r>
        <w:rPr>
          <w:rFonts w:hint="default"/>
          <w:bCs/>
        </w:rPr>
        <w:t xml:space="preserve">4.6 </w:t>
      </w:r>
      <w:r>
        <w:rPr>
          <w:rFonts w:hint="eastAsia"/>
          <w:bCs w:val="0"/>
        </w:rPr>
        <w:t>检查要求</w:t>
      </w:r>
      <w:r>
        <w:tab/>
      </w:r>
      <w:r>
        <w:fldChar w:fldCharType="begin"/>
      </w:r>
      <w:r>
        <w:instrText xml:space="preserve"> PAGEREF _Toc29779 \h </w:instrText>
      </w:r>
      <w:r>
        <w:fldChar w:fldCharType="separate"/>
      </w:r>
      <w:r>
        <w:t>63</w:t>
      </w:r>
      <w:r>
        <w:fldChar w:fldCharType="end"/>
      </w:r>
      <w:r>
        <w:rPr>
          <w:rFonts w:ascii="宋体" w:hAnsi="宋体" w:cstheme="minorHAnsi"/>
          <w:bCs/>
          <w:caps/>
          <w:szCs w:val="24"/>
        </w:rPr>
        <w:fldChar w:fldCharType="end"/>
      </w:r>
    </w:p>
    <w:p w14:paraId="5B72884B">
      <w:pPr>
        <w:pStyle w:val="30"/>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_Toc10035 </w:instrText>
      </w:r>
      <w:r>
        <w:rPr>
          <w:rFonts w:ascii="宋体" w:hAnsi="宋体" w:cstheme="minorHAnsi"/>
          <w:bCs/>
          <w:caps/>
          <w:szCs w:val="24"/>
        </w:rPr>
        <w:fldChar w:fldCharType="separate"/>
      </w:r>
      <w:r>
        <w:rPr>
          <w:rFonts w:hint="default"/>
        </w:rPr>
        <w:t xml:space="preserve">5 </w:t>
      </w:r>
      <w:r>
        <w:rPr>
          <w:rFonts w:hint="eastAsia"/>
        </w:rPr>
        <w:t>质量控制措施</w:t>
      </w:r>
      <w:r>
        <w:tab/>
      </w:r>
      <w:r>
        <w:fldChar w:fldCharType="begin"/>
      </w:r>
      <w:r>
        <w:instrText xml:space="preserve"> PAGEREF _Toc10035 \h </w:instrText>
      </w:r>
      <w:r>
        <w:fldChar w:fldCharType="separate"/>
      </w:r>
      <w:r>
        <w:t>65</w:t>
      </w:r>
      <w:r>
        <w:fldChar w:fldCharType="end"/>
      </w:r>
      <w:r>
        <w:rPr>
          <w:rFonts w:ascii="宋体" w:hAnsi="宋体" w:cstheme="minorHAnsi"/>
          <w:bCs/>
          <w:caps/>
          <w:szCs w:val="24"/>
        </w:rPr>
        <w:fldChar w:fldCharType="end"/>
      </w:r>
    </w:p>
    <w:p w14:paraId="372D6026">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_Toc4862 </w:instrText>
      </w:r>
      <w:r>
        <w:rPr>
          <w:rFonts w:ascii="宋体" w:hAnsi="宋体" w:cstheme="minorHAnsi"/>
          <w:bCs/>
          <w:caps/>
          <w:szCs w:val="24"/>
        </w:rPr>
        <w:fldChar w:fldCharType="separate"/>
      </w:r>
      <w:r>
        <w:rPr>
          <w:rFonts w:hint="default"/>
          <w:bCs/>
          <w:szCs w:val="28"/>
          <w:lang w:val="en-US" w:eastAsia="zh-CN"/>
        </w:rPr>
        <w:t xml:space="preserve">5.1 </w:t>
      </w:r>
      <w:r>
        <w:rPr>
          <w:bCs w:val="0"/>
          <w:szCs w:val="28"/>
          <w:lang w:val="en-US" w:eastAsia="zh-CN"/>
        </w:rPr>
        <w:t>质量管理组织机构</w:t>
      </w:r>
      <w:r>
        <w:tab/>
      </w:r>
      <w:r>
        <w:fldChar w:fldCharType="begin"/>
      </w:r>
      <w:r>
        <w:instrText xml:space="preserve"> PAGEREF _Toc4862 \h </w:instrText>
      </w:r>
      <w:r>
        <w:fldChar w:fldCharType="separate"/>
      </w:r>
      <w:r>
        <w:t>65</w:t>
      </w:r>
      <w:r>
        <w:fldChar w:fldCharType="end"/>
      </w:r>
      <w:r>
        <w:rPr>
          <w:rFonts w:ascii="宋体" w:hAnsi="宋体" w:cstheme="minorHAnsi"/>
          <w:bCs/>
          <w:caps/>
          <w:szCs w:val="24"/>
        </w:rPr>
        <w:fldChar w:fldCharType="end"/>
      </w:r>
    </w:p>
    <w:p w14:paraId="363819F5">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_Toc5194 </w:instrText>
      </w:r>
      <w:r>
        <w:rPr>
          <w:rFonts w:ascii="宋体" w:hAnsi="宋体" w:cstheme="minorHAnsi"/>
          <w:bCs/>
          <w:caps/>
          <w:szCs w:val="24"/>
        </w:rPr>
        <w:fldChar w:fldCharType="separate"/>
      </w:r>
      <w:r>
        <w:rPr>
          <w:rFonts w:hint="default"/>
          <w:bCs/>
          <w:szCs w:val="28"/>
        </w:rPr>
        <w:t xml:space="preserve">5.2 </w:t>
      </w:r>
      <w:r>
        <w:rPr>
          <w:rFonts w:hint="eastAsia"/>
          <w:bCs w:val="0"/>
          <w:szCs w:val="28"/>
        </w:rPr>
        <w:t>质量通病及质量通病预防</w:t>
      </w:r>
      <w:r>
        <w:tab/>
      </w:r>
      <w:r>
        <w:fldChar w:fldCharType="begin"/>
      </w:r>
      <w:r>
        <w:instrText xml:space="preserve"> PAGEREF _Toc5194 \h </w:instrText>
      </w:r>
      <w:r>
        <w:fldChar w:fldCharType="separate"/>
      </w:r>
      <w:r>
        <w:t>65</w:t>
      </w:r>
      <w:r>
        <w:fldChar w:fldCharType="end"/>
      </w:r>
      <w:r>
        <w:rPr>
          <w:rFonts w:ascii="宋体" w:hAnsi="宋体" w:cstheme="minorHAnsi"/>
          <w:bCs/>
          <w:caps/>
          <w:szCs w:val="24"/>
        </w:rPr>
        <w:fldChar w:fldCharType="end"/>
      </w:r>
    </w:p>
    <w:p w14:paraId="738F68DD">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_Toc3215 </w:instrText>
      </w:r>
      <w:r>
        <w:rPr>
          <w:rFonts w:ascii="宋体" w:hAnsi="宋体" w:cstheme="minorHAnsi"/>
          <w:bCs/>
          <w:caps/>
          <w:szCs w:val="24"/>
        </w:rPr>
        <w:fldChar w:fldCharType="separate"/>
      </w:r>
      <w:r>
        <w:rPr>
          <w:rFonts w:hint="default"/>
          <w:bCs/>
          <w:szCs w:val="28"/>
        </w:rPr>
        <w:t xml:space="preserve">5.3 </w:t>
      </w:r>
      <w:r>
        <w:rPr>
          <w:rFonts w:hint="eastAsia"/>
          <w:bCs w:val="0"/>
          <w:szCs w:val="28"/>
        </w:rPr>
        <w:t>质量保证措施</w:t>
      </w:r>
      <w:r>
        <w:tab/>
      </w:r>
      <w:r>
        <w:fldChar w:fldCharType="begin"/>
      </w:r>
      <w:r>
        <w:instrText xml:space="preserve"> PAGEREF _Toc3215 \h </w:instrText>
      </w:r>
      <w:r>
        <w:fldChar w:fldCharType="separate"/>
      </w:r>
      <w:r>
        <w:t>66</w:t>
      </w:r>
      <w:r>
        <w:fldChar w:fldCharType="end"/>
      </w:r>
      <w:r>
        <w:rPr>
          <w:rFonts w:ascii="宋体" w:hAnsi="宋体" w:cstheme="minorHAnsi"/>
          <w:bCs/>
          <w:caps/>
          <w:szCs w:val="24"/>
        </w:rPr>
        <w:fldChar w:fldCharType="end"/>
      </w:r>
    </w:p>
    <w:p w14:paraId="30DFEF45">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_Toc4276 </w:instrText>
      </w:r>
      <w:r>
        <w:rPr>
          <w:rFonts w:ascii="宋体" w:hAnsi="宋体" w:cstheme="minorHAnsi"/>
          <w:bCs/>
          <w:caps/>
          <w:szCs w:val="24"/>
        </w:rPr>
        <w:fldChar w:fldCharType="separate"/>
      </w:r>
      <w:r>
        <w:rPr>
          <w:rFonts w:hint="default"/>
          <w:bCs/>
          <w:szCs w:val="28"/>
        </w:rPr>
        <w:t xml:space="preserve">5.4 </w:t>
      </w:r>
      <w:r>
        <w:rPr>
          <w:rFonts w:hint="eastAsia"/>
          <w:bCs w:val="0"/>
          <w:szCs w:val="28"/>
        </w:rPr>
        <w:t>作业过程中控制点的设置</w:t>
      </w:r>
      <w:r>
        <w:tab/>
      </w:r>
      <w:r>
        <w:fldChar w:fldCharType="begin"/>
      </w:r>
      <w:r>
        <w:instrText xml:space="preserve"> PAGEREF _Toc4276 \h </w:instrText>
      </w:r>
      <w:r>
        <w:fldChar w:fldCharType="separate"/>
      </w:r>
      <w:r>
        <w:t>66</w:t>
      </w:r>
      <w:r>
        <w:fldChar w:fldCharType="end"/>
      </w:r>
      <w:r>
        <w:rPr>
          <w:rFonts w:ascii="宋体" w:hAnsi="宋体" w:cstheme="minorHAnsi"/>
          <w:bCs/>
          <w:caps/>
          <w:szCs w:val="24"/>
        </w:rPr>
        <w:fldChar w:fldCharType="end"/>
      </w:r>
    </w:p>
    <w:p w14:paraId="41BCBE39">
      <w:pPr>
        <w:pStyle w:val="30"/>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_Toc22809 </w:instrText>
      </w:r>
      <w:r>
        <w:rPr>
          <w:rFonts w:ascii="宋体" w:hAnsi="宋体" w:cstheme="minorHAnsi"/>
          <w:bCs/>
          <w:caps/>
          <w:szCs w:val="24"/>
        </w:rPr>
        <w:fldChar w:fldCharType="separate"/>
      </w:r>
      <w:r>
        <w:rPr>
          <w:rFonts w:hint="default"/>
        </w:rPr>
        <w:t xml:space="preserve">6 </w:t>
      </w:r>
      <w:r>
        <w:rPr>
          <w:rFonts w:hint="eastAsia"/>
        </w:rPr>
        <w:t>施工安全保障措施</w:t>
      </w:r>
      <w:r>
        <w:tab/>
      </w:r>
      <w:r>
        <w:fldChar w:fldCharType="begin"/>
      </w:r>
      <w:r>
        <w:instrText xml:space="preserve"> PAGEREF _Toc22809 \h </w:instrText>
      </w:r>
      <w:r>
        <w:fldChar w:fldCharType="separate"/>
      </w:r>
      <w:r>
        <w:t>68</w:t>
      </w:r>
      <w:r>
        <w:fldChar w:fldCharType="end"/>
      </w:r>
      <w:r>
        <w:rPr>
          <w:rFonts w:ascii="宋体" w:hAnsi="宋体" w:cstheme="minorHAnsi"/>
          <w:bCs/>
          <w:caps/>
          <w:szCs w:val="24"/>
        </w:rPr>
        <w:fldChar w:fldCharType="end"/>
      </w:r>
    </w:p>
    <w:p w14:paraId="7C05748A">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_Toc28248 </w:instrText>
      </w:r>
      <w:r>
        <w:rPr>
          <w:rFonts w:ascii="宋体" w:hAnsi="宋体" w:cstheme="minorHAnsi"/>
          <w:bCs/>
          <w:caps/>
          <w:szCs w:val="24"/>
        </w:rPr>
        <w:fldChar w:fldCharType="separate"/>
      </w:r>
      <w:r>
        <w:rPr>
          <w:rFonts w:hint="default"/>
          <w:bCs/>
          <w:szCs w:val="28"/>
        </w:rPr>
        <w:t xml:space="preserve">6.1 </w:t>
      </w:r>
      <w:r>
        <w:rPr>
          <w:rFonts w:hint="eastAsia"/>
          <w:bCs w:val="0"/>
          <w:szCs w:val="28"/>
          <w:lang w:val="en-US" w:eastAsia="zh-CN"/>
        </w:rPr>
        <w:t>危险源辨识及方法</w:t>
      </w:r>
      <w:r>
        <w:tab/>
      </w:r>
      <w:r>
        <w:fldChar w:fldCharType="begin"/>
      </w:r>
      <w:r>
        <w:instrText xml:space="preserve"> PAGEREF _Toc28248 \h </w:instrText>
      </w:r>
      <w:r>
        <w:fldChar w:fldCharType="separate"/>
      </w:r>
      <w:r>
        <w:t>68</w:t>
      </w:r>
      <w:r>
        <w:fldChar w:fldCharType="end"/>
      </w:r>
      <w:r>
        <w:rPr>
          <w:rFonts w:ascii="宋体" w:hAnsi="宋体" w:cstheme="minorHAnsi"/>
          <w:bCs/>
          <w:caps/>
          <w:szCs w:val="24"/>
        </w:rPr>
        <w:fldChar w:fldCharType="end"/>
      </w:r>
    </w:p>
    <w:p w14:paraId="225A57C6">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_Toc23687 </w:instrText>
      </w:r>
      <w:r>
        <w:rPr>
          <w:rFonts w:ascii="宋体" w:hAnsi="宋体" w:cstheme="minorHAnsi"/>
          <w:bCs/>
          <w:caps/>
          <w:szCs w:val="24"/>
        </w:rPr>
        <w:fldChar w:fldCharType="separate"/>
      </w:r>
      <w:r>
        <w:rPr>
          <w:rFonts w:hint="default"/>
          <w:bCs/>
          <w:szCs w:val="28"/>
          <w:lang w:val="en-US" w:eastAsia="zh-CN"/>
        </w:rPr>
        <w:t xml:space="preserve">6.2 </w:t>
      </w:r>
      <w:r>
        <w:rPr>
          <w:bCs w:val="0"/>
          <w:szCs w:val="28"/>
          <w:lang w:val="en-US" w:eastAsia="zh-CN"/>
        </w:rPr>
        <w:t>组织保障措施</w:t>
      </w:r>
      <w:r>
        <w:tab/>
      </w:r>
      <w:r>
        <w:fldChar w:fldCharType="begin"/>
      </w:r>
      <w:r>
        <w:instrText xml:space="preserve"> PAGEREF _Toc23687 \h </w:instrText>
      </w:r>
      <w:r>
        <w:fldChar w:fldCharType="separate"/>
      </w:r>
      <w:r>
        <w:t>71</w:t>
      </w:r>
      <w:r>
        <w:fldChar w:fldCharType="end"/>
      </w:r>
      <w:r>
        <w:rPr>
          <w:rFonts w:ascii="宋体" w:hAnsi="宋体" w:cstheme="minorHAnsi"/>
          <w:bCs/>
          <w:caps/>
          <w:szCs w:val="24"/>
        </w:rPr>
        <w:fldChar w:fldCharType="end"/>
      </w:r>
    </w:p>
    <w:p w14:paraId="11937A65">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_Toc23722 </w:instrText>
      </w:r>
      <w:r>
        <w:rPr>
          <w:rFonts w:ascii="宋体" w:hAnsi="宋体" w:cstheme="minorHAnsi"/>
          <w:bCs/>
          <w:caps/>
          <w:szCs w:val="24"/>
        </w:rPr>
        <w:fldChar w:fldCharType="separate"/>
      </w:r>
      <w:r>
        <w:rPr>
          <w:rFonts w:hint="default"/>
          <w:bCs/>
          <w:shd w:val="clear" w:fill="FFFFFF" w:themeFill="background1"/>
        </w:rPr>
        <w:t xml:space="preserve">6.3 </w:t>
      </w:r>
      <w:r>
        <w:rPr>
          <w:rFonts w:hint="eastAsia"/>
          <w:bCs w:val="0"/>
          <w:shd w:val="clear" w:color="auto" w:fill="FFFFFF" w:themeFill="background1"/>
        </w:rPr>
        <w:t>施工安全技术控制措施</w:t>
      </w:r>
      <w:r>
        <w:tab/>
      </w:r>
      <w:r>
        <w:fldChar w:fldCharType="begin"/>
      </w:r>
      <w:r>
        <w:instrText xml:space="preserve"> PAGEREF _Toc23722 \h </w:instrText>
      </w:r>
      <w:r>
        <w:fldChar w:fldCharType="separate"/>
      </w:r>
      <w:r>
        <w:t>73</w:t>
      </w:r>
      <w:r>
        <w:fldChar w:fldCharType="end"/>
      </w:r>
      <w:r>
        <w:rPr>
          <w:rFonts w:ascii="宋体" w:hAnsi="宋体" w:cstheme="minorHAnsi"/>
          <w:bCs/>
          <w:caps/>
          <w:szCs w:val="24"/>
        </w:rPr>
        <w:fldChar w:fldCharType="end"/>
      </w:r>
    </w:p>
    <w:p w14:paraId="2372FA30">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_Toc16094 </w:instrText>
      </w:r>
      <w:r>
        <w:rPr>
          <w:rFonts w:ascii="宋体" w:hAnsi="宋体" w:cstheme="minorHAnsi"/>
          <w:bCs/>
          <w:caps/>
          <w:szCs w:val="24"/>
        </w:rPr>
        <w:fldChar w:fldCharType="separate"/>
      </w:r>
      <w:r>
        <w:rPr>
          <w:rFonts w:hint="default"/>
          <w:bCs/>
          <w:lang w:val="en-US" w:eastAsia="zh-CN"/>
        </w:rPr>
        <w:t xml:space="preserve">6.4 </w:t>
      </w:r>
      <w:r>
        <w:rPr>
          <w:rFonts w:hint="eastAsia"/>
          <w:bCs w:val="0"/>
          <w:lang w:val="en-US" w:eastAsia="zh-CN"/>
        </w:rPr>
        <w:t>监测监控措施</w:t>
      </w:r>
      <w:r>
        <w:tab/>
      </w:r>
      <w:r>
        <w:fldChar w:fldCharType="begin"/>
      </w:r>
      <w:r>
        <w:instrText xml:space="preserve"> PAGEREF _Toc16094 \h </w:instrText>
      </w:r>
      <w:r>
        <w:fldChar w:fldCharType="separate"/>
      </w:r>
      <w:r>
        <w:t>81</w:t>
      </w:r>
      <w:r>
        <w:fldChar w:fldCharType="end"/>
      </w:r>
      <w:r>
        <w:rPr>
          <w:rFonts w:ascii="宋体" w:hAnsi="宋体" w:cstheme="minorHAnsi"/>
          <w:bCs/>
          <w:caps/>
          <w:szCs w:val="24"/>
        </w:rPr>
        <w:fldChar w:fldCharType="end"/>
      </w:r>
    </w:p>
    <w:p w14:paraId="15088162">
      <w:pPr>
        <w:pStyle w:val="30"/>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_Toc26715 </w:instrText>
      </w:r>
      <w:r>
        <w:rPr>
          <w:rFonts w:ascii="宋体" w:hAnsi="宋体" w:cstheme="minorHAnsi"/>
          <w:bCs/>
          <w:caps/>
          <w:szCs w:val="24"/>
        </w:rPr>
        <w:fldChar w:fldCharType="separate"/>
      </w:r>
      <w:r>
        <w:rPr>
          <w:rFonts w:hint="default"/>
        </w:rPr>
        <w:t xml:space="preserve">7 </w:t>
      </w:r>
      <w:r>
        <w:rPr>
          <w:rFonts w:hint="eastAsia"/>
        </w:rPr>
        <w:t>施工管理及作业人员配备和分工</w:t>
      </w:r>
      <w:r>
        <w:tab/>
      </w:r>
      <w:r>
        <w:fldChar w:fldCharType="begin"/>
      </w:r>
      <w:r>
        <w:instrText xml:space="preserve"> PAGEREF _Toc26715 \h </w:instrText>
      </w:r>
      <w:r>
        <w:fldChar w:fldCharType="separate"/>
      </w:r>
      <w:r>
        <w:t>87</w:t>
      </w:r>
      <w:r>
        <w:fldChar w:fldCharType="end"/>
      </w:r>
      <w:r>
        <w:rPr>
          <w:rFonts w:ascii="宋体" w:hAnsi="宋体" w:cstheme="minorHAnsi"/>
          <w:bCs/>
          <w:caps/>
          <w:szCs w:val="24"/>
        </w:rPr>
        <w:fldChar w:fldCharType="end"/>
      </w:r>
    </w:p>
    <w:p w14:paraId="061B07E0">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_Toc21450 </w:instrText>
      </w:r>
      <w:r>
        <w:rPr>
          <w:rFonts w:ascii="宋体" w:hAnsi="宋体" w:cstheme="minorHAnsi"/>
          <w:bCs/>
          <w:caps/>
          <w:szCs w:val="24"/>
        </w:rPr>
        <w:fldChar w:fldCharType="separate"/>
      </w:r>
      <w:r>
        <w:rPr>
          <w:rFonts w:hint="default"/>
          <w:bCs/>
          <w:szCs w:val="28"/>
          <w:lang w:val="en-US" w:eastAsia="zh-CN"/>
        </w:rPr>
        <w:t xml:space="preserve">7.1 </w:t>
      </w:r>
      <w:r>
        <w:rPr>
          <w:bCs w:val="0"/>
          <w:szCs w:val="28"/>
          <w:lang w:val="en-US" w:eastAsia="zh-CN"/>
        </w:rPr>
        <w:t>施工管理人员配备和分工</w:t>
      </w:r>
      <w:r>
        <w:tab/>
      </w:r>
      <w:r>
        <w:fldChar w:fldCharType="begin"/>
      </w:r>
      <w:r>
        <w:instrText xml:space="preserve"> PAGEREF _Toc21450 \h </w:instrText>
      </w:r>
      <w:r>
        <w:fldChar w:fldCharType="separate"/>
      </w:r>
      <w:r>
        <w:t>87</w:t>
      </w:r>
      <w:r>
        <w:fldChar w:fldCharType="end"/>
      </w:r>
      <w:r>
        <w:rPr>
          <w:rFonts w:ascii="宋体" w:hAnsi="宋体" w:cstheme="minorHAnsi"/>
          <w:bCs/>
          <w:caps/>
          <w:szCs w:val="24"/>
        </w:rPr>
        <w:fldChar w:fldCharType="end"/>
      </w:r>
    </w:p>
    <w:p w14:paraId="605C5BAE">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_Toc4407 </w:instrText>
      </w:r>
      <w:r>
        <w:rPr>
          <w:rFonts w:ascii="宋体" w:hAnsi="宋体" w:cstheme="minorHAnsi"/>
          <w:bCs/>
          <w:caps/>
          <w:szCs w:val="24"/>
        </w:rPr>
        <w:fldChar w:fldCharType="separate"/>
      </w:r>
      <w:r>
        <w:rPr>
          <w:rFonts w:hint="default"/>
          <w:bCs/>
          <w:szCs w:val="28"/>
          <w:lang w:val="en-US" w:eastAsia="zh-CN"/>
        </w:rPr>
        <w:t xml:space="preserve">7.2 </w:t>
      </w:r>
      <w:r>
        <w:rPr>
          <w:bCs w:val="0"/>
          <w:szCs w:val="28"/>
          <w:lang w:val="en-US" w:eastAsia="zh-CN"/>
        </w:rPr>
        <w:t>专职安全生产管理人员配备和分工</w:t>
      </w:r>
      <w:r>
        <w:tab/>
      </w:r>
      <w:r>
        <w:fldChar w:fldCharType="begin"/>
      </w:r>
      <w:r>
        <w:instrText xml:space="preserve"> PAGEREF _Toc4407 \h </w:instrText>
      </w:r>
      <w:r>
        <w:fldChar w:fldCharType="separate"/>
      </w:r>
      <w:r>
        <w:t>87</w:t>
      </w:r>
      <w:r>
        <w:fldChar w:fldCharType="end"/>
      </w:r>
      <w:r>
        <w:rPr>
          <w:rFonts w:ascii="宋体" w:hAnsi="宋体" w:cstheme="minorHAnsi"/>
          <w:bCs/>
          <w:caps/>
          <w:szCs w:val="24"/>
        </w:rPr>
        <w:fldChar w:fldCharType="end"/>
      </w:r>
    </w:p>
    <w:p w14:paraId="2315D64F">
      <w:pPr>
        <w:pStyle w:val="30"/>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_Toc29554 </w:instrText>
      </w:r>
      <w:r>
        <w:rPr>
          <w:rFonts w:ascii="宋体" w:hAnsi="宋体" w:cstheme="minorHAnsi"/>
          <w:bCs/>
          <w:caps/>
          <w:szCs w:val="24"/>
        </w:rPr>
        <w:fldChar w:fldCharType="separate"/>
      </w:r>
      <w:r>
        <w:rPr>
          <w:rFonts w:hint="default"/>
        </w:rPr>
        <w:t xml:space="preserve">8 </w:t>
      </w:r>
      <w:r>
        <w:rPr>
          <w:rFonts w:hint="eastAsia"/>
        </w:rPr>
        <w:t>验收要求</w:t>
      </w:r>
      <w:r>
        <w:tab/>
      </w:r>
      <w:r>
        <w:fldChar w:fldCharType="begin"/>
      </w:r>
      <w:r>
        <w:instrText xml:space="preserve"> PAGEREF _Toc29554 \h </w:instrText>
      </w:r>
      <w:r>
        <w:fldChar w:fldCharType="separate"/>
      </w:r>
      <w:r>
        <w:t>89</w:t>
      </w:r>
      <w:r>
        <w:fldChar w:fldCharType="end"/>
      </w:r>
      <w:r>
        <w:rPr>
          <w:rFonts w:ascii="宋体" w:hAnsi="宋体" w:cstheme="minorHAnsi"/>
          <w:bCs/>
          <w:caps/>
          <w:szCs w:val="24"/>
        </w:rPr>
        <w:fldChar w:fldCharType="end"/>
      </w:r>
    </w:p>
    <w:p w14:paraId="6FD5CA22">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_Toc28720 </w:instrText>
      </w:r>
      <w:r>
        <w:rPr>
          <w:rFonts w:ascii="宋体" w:hAnsi="宋体" w:cstheme="minorHAnsi"/>
          <w:bCs/>
          <w:caps/>
          <w:szCs w:val="24"/>
        </w:rPr>
        <w:fldChar w:fldCharType="separate"/>
      </w:r>
      <w:r>
        <w:rPr>
          <w:rFonts w:hint="default"/>
          <w:bCs/>
          <w:szCs w:val="28"/>
        </w:rPr>
        <w:t xml:space="preserve">8.1 </w:t>
      </w:r>
      <w:r>
        <w:rPr>
          <w:rFonts w:hint="eastAsia"/>
          <w:bCs w:val="0"/>
          <w:szCs w:val="28"/>
        </w:rPr>
        <w:t>验收标准</w:t>
      </w:r>
      <w:r>
        <w:tab/>
      </w:r>
      <w:r>
        <w:fldChar w:fldCharType="begin"/>
      </w:r>
      <w:r>
        <w:instrText xml:space="preserve"> PAGEREF _Toc28720 \h </w:instrText>
      </w:r>
      <w:r>
        <w:fldChar w:fldCharType="separate"/>
      </w:r>
      <w:r>
        <w:t>89</w:t>
      </w:r>
      <w:r>
        <w:fldChar w:fldCharType="end"/>
      </w:r>
      <w:r>
        <w:rPr>
          <w:rFonts w:ascii="宋体" w:hAnsi="宋体" w:cstheme="minorHAnsi"/>
          <w:bCs/>
          <w:caps/>
          <w:szCs w:val="24"/>
        </w:rPr>
        <w:fldChar w:fldCharType="end"/>
      </w:r>
    </w:p>
    <w:p w14:paraId="61A0F23D">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_Toc30420 </w:instrText>
      </w:r>
      <w:r>
        <w:rPr>
          <w:rFonts w:ascii="宋体" w:hAnsi="宋体" w:cstheme="minorHAnsi"/>
          <w:bCs/>
          <w:caps/>
          <w:szCs w:val="24"/>
        </w:rPr>
        <w:fldChar w:fldCharType="separate"/>
      </w:r>
      <w:r>
        <w:rPr>
          <w:rFonts w:hint="default"/>
          <w:bCs/>
          <w:szCs w:val="28"/>
        </w:rPr>
        <w:t xml:space="preserve">8.2 </w:t>
      </w:r>
      <w:r>
        <w:rPr>
          <w:rFonts w:hint="eastAsia"/>
          <w:bCs w:val="0"/>
          <w:szCs w:val="28"/>
        </w:rPr>
        <w:t>验收程序和使用登记备案程序</w:t>
      </w:r>
      <w:r>
        <w:tab/>
      </w:r>
      <w:r>
        <w:fldChar w:fldCharType="begin"/>
      </w:r>
      <w:r>
        <w:instrText xml:space="preserve"> PAGEREF _Toc30420 \h </w:instrText>
      </w:r>
      <w:r>
        <w:fldChar w:fldCharType="separate"/>
      </w:r>
      <w:r>
        <w:t>89</w:t>
      </w:r>
      <w:r>
        <w:fldChar w:fldCharType="end"/>
      </w:r>
      <w:r>
        <w:rPr>
          <w:rFonts w:ascii="宋体" w:hAnsi="宋体" w:cstheme="minorHAnsi"/>
          <w:bCs/>
          <w:caps/>
          <w:szCs w:val="24"/>
        </w:rPr>
        <w:fldChar w:fldCharType="end"/>
      </w:r>
    </w:p>
    <w:p w14:paraId="334D378C">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_Toc30393 </w:instrText>
      </w:r>
      <w:r>
        <w:rPr>
          <w:rFonts w:ascii="宋体" w:hAnsi="宋体" w:cstheme="minorHAnsi"/>
          <w:bCs/>
          <w:caps/>
          <w:szCs w:val="24"/>
        </w:rPr>
        <w:fldChar w:fldCharType="separate"/>
      </w:r>
      <w:r>
        <w:rPr>
          <w:rFonts w:hint="default"/>
          <w:bCs/>
          <w:szCs w:val="28"/>
        </w:rPr>
        <w:t xml:space="preserve">8.3 </w:t>
      </w:r>
      <w:r>
        <w:rPr>
          <w:rFonts w:hint="eastAsia"/>
          <w:bCs w:val="0"/>
          <w:szCs w:val="28"/>
        </w:rPr>
        <w:t>验收内容</w:t>
      </w:r>
      <w:r>
        <w:tab/>
      </w:r>
      <w:r>
        <w:fldChar w:fldCharType="begin"/>
      </w:r>
      <w:r>
        <w:instrText xml:space="preserve"> PAGEREF _Toc30393 \h </w:instrText>
      </w:r>
      <w:r>
        <w:fldChar w:fldCharType="separate"/>
      </w:r>
      <w:r>
        <w:t>90</w:t>
      </w:r>
      <w:r>
        <w:fldChar w:fldCharType="end"/>
      </w:r>
      <w:r>
        <w:rPr>
          <w:rFonts w:ascii="宋体" w:hAnsi="宋体" w:cstheme="minorHAnsi"/>
          <w:bCs/>
          <w:caps/>
          <w:szCs w:val="24"/>
        </w:rPr>
        <w:fldChar w:fldCharType="end"/>
      </w:r>
    </w:p>
    <w:p w14:paraId="56DCD602">
      <w:pPr>
        <w:pStyle w:val="30"/>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_Toc23626 </w:instrText>
      </w:r>
      <w:r>
        <w:rPr>
          <w:rFonts w:ascii="宋体" w:hAnsi="宋体" w:cstheme="minorHAnsi"/>
          <w:bCs/>
          <w:caps/>
          <w:szCs w:val="24"/>
        </w:rPr>
        <w:fldChar w:fldCharType="separate"/>
      </w:r>
      <w:r>
        <w:rPr>
          <w:rFonts w:hint="default"/>
        </w:rPr>
        <w:t xml:space="preserve">9 </w:t>
      </w:r>
      <w:r>
        <w:rPr>
          <w:rFonts w:hint="eastAsia"/>
        </w:rPr>
        <w:t>应急处置措施</w:t>
      </w:r>
      <w:r>
        <w:tab/>
      </w:r>
      <w:r>
        <w:fldChar w:fldCharType="begin"/>
      </w:r>
      <w:r>
        <w:instrText xml:space="preserve"> PAGEREF _Toc23626 \h </w:instrText>
      </w:r>
      <w:r>
        <w:fldChar w:fldCharType="separate"/>
      </w:r>
      <w:r>
        <w:t>96</w:t>
      </w:r>
      <w:r>
        <w:fldChar w:fldCharType="end"/>
      </w:r>
      <w:r>
        <w:rPr>
          <w:rFonts w:ascii="宋体" w:hAnsi="宋体" w:cstheme="minorHAnsi"/>
          <w:bCs/>
          <w:caps/>
          <w:szCs w:val="24"/>
        </w:rPr>
        <w:fldChar w:fldCharType="end"/>
      </w:r>
    </w:p>
    <w:p w14:paraId="6C6CFD65">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_Toc22986 </w:instrText>
      </w:r>
      <w:r>
        <w:rPr>
          <w:rFonts w:ascii="宋体" w:hAnsi="宋体" w:cstheme="minorHAnsi"/>
          <w:bCs/>
          <w:caps/>
          <w:szCs w:val="24"/>
        </w:rPr>
        <w:fldChar w:fldCharType="separate"/>
      </w:r>
      <w:r>
        <w:rPr>
          <w:rFonts w:hint="default"/>
          <w:bCs/>
          <w:szCs w:val="28"/>
        </w:rPr>
        <w:t xml:space="preserve">9.1 </w:t>
      </w:r>
      <w:r>
        <w:rPr>
          <w:rFonts w:hint="eastAsia"/>
          <w:bCs w:val="0"/>
          <w:szCs w:val="28"/>
        </w:rPr>
        <w:t>组织机构</w:t>
      </w:r>
      <w:r>
        <w:tab/>
      </w:r>
      <w:r>
        <w:fldChar w:fldCharType="begin"/>
      </w:r>
      <w:r>
        <w:instrText xml:space="preserve"> PAGEREF _Toc22986 \h </w:instrText>
      </w:r>
      <w:r>
        <w:fldChar w:fldCharType="separate"/>
      </w:r>
      <w:r>
        <w:t>96</w:t>
      </w:r>
      <w:r>
        <w:fldChar w:fldCharType="end"/>
      </w:r>
      <w:r>
        <w:rPr>
          <w:rFonts w:ascii="宋体" w:hAnsi="宋体" w:cstheme="minorHAnsi"/>
          <w:bCs/>
          <w:caps/>
          <w:szCs w:val="24"/>
        </w:rPr>
        <w:fldChar w:fldCharType="end"/>
      </w:r>
    </w:p>
    <w:p w14:paraId="0980A70A">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_Toc31968 </w:instrText>
      </w:r>
      <w:r>
        <w:rPr>
          <w:rFonts w:ascii="宋体" w:hAnsi="宋体" w:cstheme="minorHAnsi"/>
          <w:bCs/>
          <w:caps/>
          <w:szCs w:val="24"/>
        </w:rPr>
        <w:fldChar w:fldCharType="separate"/>
      </w:r>
      <w:r>
        <w:rPr>
          <w:rFonts w:hint="default"/>
          <w:bCs/>
          <w:szCs w:val="28"/>
        </w:rPr>
        <w:t xml:space="preserve">9.2 </w:t>
      </w:r>
      <w:r>
        <w:rPr>
          <w:rFonts w:hint="eastAsia"/>
          <w:bCs w:val="0"/>
          <w:szCs w:val="28"/>
        </w:rPr>
        <w:t>应急处置措施</w:t>
      </w:r>
      <w:r>
        <w:tab/>
      </w:r>
      <w:r>
        <w:fldChar w:fldCharType="begin"/>
      </w:r>
      <w:r>
        <w:instrText xml:space="preserve"> PAGEREF _Toc31968 \h </w:instrText>
      </w:r>
      <w:r>
        <w:fldChar w:fldCharType="separate"/>
      </w:r>
      <w:r>
        <w:t>98</w:t>
      </w:r>
      <w:r>
        <w:fldChar w:fldCharType="end"/>
      </w:r>
      <w:r>
        <w:rPr>
          <w:rFonts w:ascii="宋体" w:hAnsi="宋体" w:cstheme="minorHAnsi"/>
          <w:bCs/>
          <w:caps/>
          <w:szCs w:val="24"/>
        </w:rPr>
        <w:fldChar w:fldCharType="end"/>
      </w:r>
    </w:p>
    <w:p w14:paraId="3AB26FD1">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_Toc3662 </w:instrText>
      </w:r>
      <w:r>
        <w:rPr>
          <w:rFonts w:ascii="宋体" w:hAnsi="宋体" w:cstheme="minorHAnsi"/>
          <w:bCs/>
          <w:caps/>
          <w:szCs w:val="24"/>
        </w:rPr>
        <w:fldChar w:fldCharType="separate"/>
      </w:r>
      <w:r>
        <w:rPr>
          <w:rFonts w:hint="default"/>
          <w:bCs/>
          <w:szCs w:val="28"/>
        </w:rPr>
        <w:t xml:space="preserve">9.3 </w:t>
      </w:r>
      <w:r>
        <w:rPr>
          <w:rFonts w:hint="eastAsia"/>
          <w:bCs w:val="0"/>
          <w:szCs w:val="28"/>
        </w:rPr>
        <w:t>应急车辆、物资及设备</w:t>
      </w:r>
      <w:r>
        <w:tab/>
      </w:r>
      <w:r>
        <w:fldChar w:fldCharType="begin"/>
      </w:r>
      <w:r>
        <w:instrText xml:space="preserve"> PAGEREF _Toc3662 \h </w:instrText>
      </w:r>
      <w:r>
        <w:fldChar w:fldCharType="separate"/>
      </w:r>
      <w:r>
        <w:t>104</w:t>
      </w:r>
      <w:r>
        <w:fldChar w:fldCharType="end"/>
      </w:r>
      <w:r>
        <w:rPr>
          <w:rFonts w:ascii="宋体" w:hAnsi="宋体" w:cstheme="minorHAnsi"/>
          <w:bCs/>
          <w:caps/>
          <w:szCs w:val="24"/>
        </w:rPr>
        <w:fldChar w:fldCharType="end"/>
      </w:r>
    </w:p>
    <w:p w14:paraId="6B08852B">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_Toc16798 </w:instrText>
      </w:r>
      <w:r>
        <w:rPr>
          <w:rFonts w:ascii="宋体" w:hAnsi="宋体" w:cstheme="minorHAnsi"/>
          <w:bCs/>
          <w:caps/>
          <w:szCs w:val="24"/>
        </w:rPr>
        <w:fldChar w:fldCharType="separate"/>
      </w:r>
      <w:r>
        <w:rPr>
          <w:rFonts w:hint="default"/>
          <w:bCs/>
          <w:szCs w:val="28"/>
        </w:rPr>
        <w:t xml:space="preserve">9.4 </w:t>
      </w:r>
      <w:r>
        <w:rPr>
          <w:rFonts w:hint="eastAsia"/>
          <w:bCs w:val="0"/>
          <w:szCs w:val="28"/>
        </w:rPr>
        <w:t>应急医院及线路图</w:t>
      </w:r>
      <w:r>
        <w:tab/>
      </w:r>
      <w:r>
        <w:fldChar w:fldCharType="begin"/>
      </w:r>
      <w:r>
        <w:instrText xml:space="preserve"> PAGEREF _Toc16798 \h </w:instrText>
      </w:r>
      <w:r>
        <w:fldChar w:fldCharType="separate"/>
      </w:r>
      <w:r>
        <w:t>104</w:t>
      </w:r>
      <w:r>
        <w:fldChar w:fldCharType="end"/>
      </w:r>
      <w:r>
        <w:rPr>
          <w:rFonts w:ascii="宋体" w:hAnsi="宋体" w:cstheme="minorHAnsi"/>
          <w:bCs/>
          <w:caps/>
          <w:szCs w:val="24"/>
        </w:rPr>
        <w:fldChar w:fldCharType="end"/>
      </w:r>
    </w:p>
    <w:p w14:paraId="71286EEB">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_Toc10705 </w:instrText>
      </w:r>
      <w:r>
        <w:rPr>
          <w:rFonts w:ascii="宋体" w:hAnsi="宋体" w:cstheme="minorHAnsi"/>
          <w:bCs/>
          <w:caps/>
          <w:szCs w:val="24"/>
        </w:rPr>
        <w:fldChar w:fldCharType="separate"/>
      </w:r>
      <w:r>
        <w:rPr>
          <w:rFonts w:hint="default"/>
          <w:bCs/>
          <w:szCs w:val="28"/>
        </w:rPr>
        <w:t xml:space="preserve">9.5 </w:t>
      </w:r>
      <w:r>
        <w:rPr>
          <w:rFonts w:hint="eastAsia"/>
          <w:bCs w:val="0"/>
          <w:szCs w:val="28"/>
          <w:lang w:val="en-US" w:eastAsia="zh-CN"/>
        </w:rPr>
        <w:t>事故善后及恢复生产</w:t>
      </w:r>
      <w:r>
        <w:tab/>
      </w:r>
      <w:r>
        <w:fldChar w:fldCharType="begin"/>
      </w:r>
      <w:r>
        <w:instrText xml:space="preserve"> PAGEREF _Toc10705 \h </w:instrText>
      </w:r>
      <w:r>
        <w:fldChar w:fldCharType="separate"/>
      </w:r>
      <w:r>
        <w:t>105</w:t>
      </w:r>
      <w:r>
        <w:fldChar w:fldCharType="end"/>
      </w:r>
      <w:r>
        <w:rPr>
          <w:rFonts w:ascii="宋体" w:hAnsi="宋体" w:cstheme="minorHAnsi"/>
          <w:bCs/>
          <w:caps/>
          <w:szCs w:val="24"/>
        </w:rPr>
        <w:fldChar w:fldCharType="end"/>
      </w:r>
    </w:p>
    <w:p w14:paraId="76258663">
      <w:pPr>
        <w:pStyle w:val="30"/>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_Toc32766 </w:instrText>
      </w:r>
      <w:r>
        <w:rPr>
          <w:rFonts w:ascii="宋体" w:hAnsi="宋体" w:cstheme="minorHAnsi"/>
          <w:bCs/>
          <w:caps/>
          <w:szCs w:val="24"/>
        </w:rPr>
        <w:fldChar w:fldCharType="separate"/>
      </w:r>
      <w:r>
        <w:rPr>
          <w:rFonts w:hint="default"/>
        </w:rPr>
        <w:t xml:space="preserve">10 </w:t>
      </w:r>
      <w:r>
        <w:rPr>
          <w:rFonts w:hint="eastAsia"/>
        </w:rPr>
        <w:t>绿色及文明施工</w:t>
      </w:r>
      <w:r>
        <w:tab/>
      </w:r>
      <w:r>
        <w:fldChar w:fldCharType="begin"/>
      </w:r>
      <w:r>
        <w:instrText xml:space="preserve"> PAGEREF _Toc32766 \h </w:instrText>
      </w:r>
      <w:r>
        <w:fldChar w:fldCharType="separate"/>
      </w:r>
      <w:r>
        <w:t>107</w:t>
      </w:r>
      <w:r>
        <w:fldChar w:fldCharType="end"/>
      </w:r>
      <w:r>
        <w:rPr>
          <w:rFonts w:ascii="宋体" w:hAnsi="宋体" w:cstheme="minorHAnsi"/>
          <w:bCs/>
          <w:caps/>
          <w:szCs w:val="24"/>
        </w:rPr>
        <w:fldChar w:fldCharType="end"/>
      </w:r>
    </w:p>
    <w:p w14:paraId="70E4A51C">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_Toc20888 </w:instrText>
      </w:r>
      <w:r>
        <w:rPr>
          <w:rFonts w:ascii="宋体" w:hAnsi="宋体" w:cstheme="minorHAnsi"/>
          <w:bCs/>
          <w:caps/>
          <w:szCs w:val="24"/>
        </w:rPr>
        <w:fldChar w:fldCharType="separate"/>
      </w:r>
      <w:r>
        <w:rPr>
          <w:rFonts w:hint="default"/>
          <w:bCs/>
          <w:szCs w:val="28"/>
        </w:rPr>
        <w:t xml:space="preserve">10.1 </w:t>
      </w:r>
      <w:r>
        <w:rPr>
          <w:rFonts w:hint="eastAsia"/>
          <w:bCs w:val="0"/>
          <w:szCs w:val="28"/>
          <w:lang w:val="en-US" w:eastAsia="zh-CN"/>
        </w:rPr>
        <w:t>管理</w:t>
      </w:r>
      <w:r>
        <w:rPr>
          <w:bCs w:val="0"/>
          <w:szCs w:val="28"/>
        </w:rPr>
        <w:t>组织机构</w:t>
      </w:r>
      <w:r>
        <w:tab/>
      </w:r>
      <w:r>
        <w:fldChar w:fldCharType="begin"/>
      </w:r>
      <w:r>
        <w:instrText xml:space="preserve"> PAGEREF _Toc20888 \h </w:instrText>
      </w:r>
      <w:r>
        <w:fldChar w:fldCharType="separate"/>
      </w:r>
      <w:r>
        <w:t>107</w:t>
      </w:r>
      <w:r>
        <w:fldChar w:fldCharType="end"/>
      </w:r>
      <w:r>
        <w:rPr>
          <w:rFonts w:ascii="宋体" w:hAnsi="宋体" w:cstheme="minorHAnsi"/>
          <w:bCs/>
          <w:caps/>
          <w:szCs w:val="24"/>
        </w:rPr>
        <w:fldChar w:fldCharType="end"/>
      </w:r>
    </w:p>
    <w:p w14:paraId="7CD698E3">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_Toc7963 </w:instrText>
      </w:r>
      <w:r>
        <w:rPr>
          <w:rFonts w:ascii="宋体" w:hAnsi="宋体" w:cstheme="minorHAnsi"/>
          <w:bCs/>
          <w:caps/>
          <w:szCs w:val="24"/>
        </w:rPr>
        <w:fldChar w:fldCharType="separate"/>
      </w:r>
      <w:r>
        <w:rPr>
          <w:rFonts w:hint="default"/>
          <w:bCs/>
          <w:szCs w:val="28"/>
        </w:rPr>
        <w:t xml:space="preserve">10.2 </w:t>
      </w:r>
      <w:r>
        <w:rPr>
          <w:bCs w:val="0"/>
          <w:szCs w:val="28"/>
        </w:rPr>
        <w:t>绿色及文明施工保证体系</w:t>
      </w:r>
      <w:r>
        <w:tab/>
      </w:r>
      <w:r>
        <w:fldChar w:fldCharType="begin"/>
      </w:r>
      <w:r>
        <w:instrText xml:space="preserve"> PAGEREF _Toc7963 \h </w:instrText>
      </w:r>
      <w:r>
        <w:fldChar w:fldCharType="separate"/>
      </w:r>
      <w:r>
        <w:t>107</w:t>
      </w:r>
      <w:r>
        <w:fldChar w:fldCharType="end"/>
      </w:r>
      <w:r>
        <w:rPr>
          <w:rFonts w:ascii="宋体" w:hAnsi="宋体" w:cstheme="minorHAnsi"/>
          <w:bCs/>
          <w:caps/>
          <w:szCs w:val="24"/>
        </w:rPr>
        <w:fldChar w:fldCharType="end"/>
      </w:r>
    </w:p>
    <w:p w14:paraId="43C6F664">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_Toc29583 </w:instrText>
      </w:r>
      <w:r>
        <w:rPr>
          <w:rFonts w:ascii="宋体" w:hAnsi="宋体" w:cstheme="minorHAnsi"/>
          <w:bCs/>
          <w:caps/>
          <w:szCs w:val="24"/>
        </w:rPr>
        <w:fldChar w:fldCharType="separate"/>
      </w:r>
      <w:r>
        <w:rPr>
          <w:rFonts w:hint="default"/>
          <w:bCs/>
          <w:szCs w:val="28"/>
          <w:lang w:val="en-US" w:eastAsia="zh-CN"/>
        </w:rPr>
        <w:t xml:space="preserve">10.3 </w:t>
      </w:r>
      <w:r>
        <w:rPr>
          <w:rFonts w:hint="eastAsia"/>
          <w:bCs w:val="0"/>
          <w:szCs w:val="28"/>
        </w:rPr>
        <w:t>绿色施工保证措施</w:t>
      </w:r>
      <w:r>
        <w:tab/>
      </w:r>
      <w:r>
        <w:fldChar w:fldCharType="begin"/>
      </w:r>
      <w:r>
        <w:instrText xml:space="preserve"> PAGEREF _Toc29583 \h </w:instrText>
      </w:r>
      <w:r>
        <w:fldChar w:fldCharType="separate"/>
      </w:r>
      <w:r>
        <w:t>108</w:t>
      </w:r>
      <w:r>
        <w:fldChar w:fldCharType="end"/>
      </w:r>
      <w:r>
        <w:rPr>
          <w:rFonts w:ascii="宋体" w:hAnsi="宋体" w:cstheme="minorHAnsi"/>
          <w:bCs/>
          <w:caps/>
          <w:szCs w:val="24"/>
        </w:rPr>
        <w:fldChar w:fldCharType="end"/>
      </w:r>
    </w:p>
    <w:p w14:paraId="2CCDD854">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_Toc29541 </w:instrText>
      </w:r>
      <w:r>
        <w:rPr>
          <w:rFonts w:ascii="宋体" w:hAnsi="宋体" w:cstheme="minorHAnsi"/>
          <w:bCs/>
          <w:caps/>
          <w:szCs w:val="24"/>
        </w:rPr>
        <w:fldChar w:fldCharType="separate"/>
      </w:r>
      <w:r>
        <w:rPr>
          <w:rFonts w:hint="default"/>
          <w:bCs/>
          <w:szCs w:val="28"/>
        </w:rPr>
        <w:t xml:space="preserve">10.4 </w:t>
      </w:r>
      <w:r>
        <w:rPr>
          <w:bCs w:val="0"/>
          <w:szCs w:val="28"/>
        </w:rPr>
        <w:t>文明施工</w:t>
      </w:r>
      <w:r>
        <w:rPr>
          <w:rFonts w:hint="eastAsia"/>
          <w:bCs w:val="0"/>
          <w:szCs w:val="28"/>
        </w:rPr>
        <w:t>保证措施</w:t>
      </w:r>
      <w:r>
        <w:tab/>
      </w:r>
      <w:r>
        <w:fldChar w:fldCharType="begin"/>
      </w:r>
      <w:r>
        <w:instrText xml:space="preserve"> PAGEREF _Toc29541 \h </w:instrText>
      </w:r>
      <w:r>
        <w:fldChar w:fldCharType="separate"/>
      </w:r>
      <w:r>
        <w:t>110</w:t>
      </w:r>
      <w:r>
        <w:fldChar w:fldCharType="end"/>
      </w:r>
      <w:r>
        <w:rPr>
          <w:rFonts w:ascii="宋体" w:hAnsi="宋体" w:cstheme="minorHAnsi"/>
          <w:bCs/>
          <w:caps/>
          <w:szCs w:val="24"/>
        </w:rPr>
        <w:fldChar w:fldCharType="end"/>
      </w:r>
    </w:p>
    <w:p w14:paraId="6220BECC">
      <w:pPr>
        <w:pStyle w:val="30"/>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_Toc8125 </w:instrText>
      </w:r>
      <w:r>
        <w:rPr>
          <w:rFonts w:ascii="宋体" w:hAnsi="宋体" w:cstheme="minorHAnsi"/>
          <w:bCs/>
          <w:caps/>
          <w:szCs w:val="24"/>
        </w:rPr>
        <w:fldChar w:fldCharType="separate"/>
      </w:r>
      <w:r>
        <w:rPr>
          <w:rFonts w:hint="default"/>
        </w:rPr>
        <w:t xml:space="preserve">11 </w:t>
      </w:r>
      <w:r>
        <w:rPr>
          <w:rFonts w:hint="eastAsia"/>
        </w:rPr>
        <w:t>计算书</w:t>
      </w:r>
      <w:r>
        <w:tab/>
      </w:r>
      <w:r>
        <w:fldChar w:fldCharType="begin"/>
      </w:r>
      <w:r>
        <w:instrText xml:space="preserve"> PAGEREF _Toc8125 \h </w:instrText>
      </w:r>
      <w:r>
        <w:fldChar w:fldCharType="separate"/>
      </w:r>
      <w:r>
        <w:t>114</w:t>
      </w:r>
      <w:r>
        <w:fldChar w:fldCharType="end"/>
      </w:r>
      <w:r>
        <w:rPr>
          <w:rFonts w:ascii="宋体" w:hAnsi="宋体" w:cstheme="minorHAnsi"/>
          <w:bCs/>
          <w:caps/>
          <w:szCs w:val="24"/>
        </w:rPr>
        <w:fldChar w:fldCharType="end"/>
      </w:r>
    </w:p>
    <w:p w14:paraId="21DC545E">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_Toc27865 </w:instrText>
      </w:r>
      <w:r>
        <w:rPr>
          <w:rFonts w:ascii="宋体" w:hAnsi="宋体" w:cstheme="minorHAnsi"/>
          <w:bCs/>
          <w:caps/>
          <w:szCs w:val="24"/>
        </w:rPr>
        <w:fldChar w:fldCharType="separate"/>
      </w:r>
      <w:r>
        <w:rPr>
          <w:rFonts w:hint="default"/>
          <w:bCs/>
          <w:szCs w:val="28"/>
        </w:rPr>
        <w:t xml:space="preserve">11.1 </w:t>
      </w:r>
      <w:r>
        <w:rPr>
          <w:rFonts w:hint="eastAsia"/>
          <w:bCs w:val="0"/>
          <w:szCs w:val="28"/>
        </w:rPr>
        <w:t>选用的吊索受力计算</w:t>
      </w:r>
      <w:r>
        <w:tab/>
      </w:r>
      <w:r>
        <w:fldChar w:fldCharType="begin"/>
      </w:r>
      <w:r>
        <w:instrText xml:space="preserve"> PAGEREF _Toc27865 \h </w:instrText>
      </w:r>
      <w:r>
        <w:fldChar w:fldCharType="separate"/>
      </w:r>
      <w:r>
        <w:t>114</w:t>
      </w:r>
      <w:r>
        <w:fldChar w:fldCharType="end"/>
      </w:r>
      <w:r>
        <w:rPr>
          <w:rFonts w:ascii="宋体" w:hAnsi="宋体" w:cstheme="minorHAnsi"/>
          <w:bCs/>
          <w:caps/>
          <w:szCs w:val="24"/>
        </w:rPr>
        <w:fldChar w:fldCharType="end"/>
      </w:r>
    </w:p>
    <w:p w14:paraId="6F480D68">
      <w:pPr>
        <w:pStyle w:val="30"/>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_Toc19981 </w:instrText>
      </w:r>
      <w:r>
        <w:rPr>
          <w:rFonts w:ascii="宋体" w:hAnsi="宋体" w:cstheme="minorHAnsi"/>
          <w:bCs/>
          <w:caps/>
          <w:szCs w:val="24"/>
        </w:rPr>
        <w:fldChar w:fldCharType="separate"/>
      </w:r>
      <w:r>
        <w:rPr>
          <w:rFonts w:hint="default"/>
        </w:rPr>
        <w:t xml:space="preserve">12 </w:t>
      </w:r>
      <w:r>
        <w:rPr>
          <w:rFonts w:hint="eastAsia"/>
        </w:rPr>
        <w:t>附件</w:t>
      </w:r>
      <w:r>
        <w:tab/>
      </w:r>
      <w:r>
        <w:fldChar w:fldCharType="begin"/>
      </w:r>
      <w:r>
        <w:instrText xml:space="preserve"> PAGEREF _Toc19981 \h </w:instrText>
      </w:r>
      <w:r>
        <w:fldChar w:fldCharType="separate"/>
      </w:r>
      <w:r>
        <w:t>117</w:t>
      </w:r>
      <w:r>
        <w:fldChar w:fldCharType="end"/>
      </w:r>
      <w:r>
        <w:rPr>
          <w:rFonts w:ascii="宋体" w:hAnsi="宋体" w:cstheme="minorHAnsi"/>
          <w:bCs/>
          <w:caps/>
          <w:szCs w:val="24"/>
        </w:rPr>
        <w:fldChar w:fldCharType="end"/>
      </w:r>
    </w:p>
    <w:p w14:paraId="57743E59">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_Toc21514 </w:instrText>
      </w:r>
      <w:r>
        <w:rPr>
          <w:rFonts w:ascii="宋体" w:hAnsi="宋体" w:cstheme="minorHAnsi"/>
          <w:bCs/>
          <w:caps/>
          <w:szCs w:val="24"/>
        </w:rPr>
        <w:fldChar w:fldCharType="separate"/>
      </w:r>
      <w:r>
        <w:rPr>
          <w:rFonts w:hint="default"/>
          <w:bCs/>
        </w:rPr>
        <w:t xml:space="preserve">12.1 </w:t>
      </w:r>
      <w:r>
        <w:rPr>
          <w:rFonts w:hint="eastAsia"/>
          <w:bCs w:val="0"/>
        </w:rPr>
        <w:t>附</w:t>
      </w:r>
      <w:r>
        <w:rPr>
          <w:rFonts w:hint="eastAsia"/>
          <w:bCs w:val="0"/>
          <w:lang w:val="en-US" w:eastAsia="zh-CN"/>
        </w:rPr>
        <w:t>件1：</w:t>
      </w:r>
      <w:r>
        <w:rPr>
          <w:rFonts w:hint="eastAsia"/>
          <w:bCs w:val="0"/>
        </w:rPr>
        <w:t>安装单位资质及人员证件</w:t>
      </w:r>
      <w:r>
        <w:tab/>
      </w:r>
      <w:r>
        <w:fldChar w:fldCharType="begin"/>
      </w:r>
      <w:r>
        <w:instrText xml:space="preserve"> PAGEREF _Toc21514 \h </w:instrText>
      </w:r>
      <w:r>
        <w:fldChar w:fldCharType="separate"/>
      </w:r>
      <w:r>
        <w:t>117</w:t>
      </w:r>
      <w:r>
        <w:fldChar w:fldCharType="end"/>
      </w:r>
      <w:r>
        <w:rPr>
          <w:rFonts w:ascii="宋体" w:hAnsi="宋体" w:cstheme="minorHAnsi"/>
          <w:bCs/>
          <w:caps/>
          <w:szCs w:val="24"/>
        </w:rPr>
        <w:fldChar w:fldCharType="end"/>
      </w:r>
    </w:p>
    <w:p w14:paraId="0C09E9DB">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_Toc31666 </w:instrText>
      </w:r>
      <w:r>
        <w:rPr>
          <w:rFonts w:ascii="宋体" w:hAnsi="宋体" w:cstheme="minorHAnsi"/>
          <w:bCs/>
          <w:caps/>
          <w:szCs w:val="24"/>
        </w:rPr>
        <w:fldChar w:fldCharType="separate"/>
      </w:r>
      <w:r>
        <w:rPr>
          <w:rFonts w:hint="default"/>
          <w:bCs/>
          <w:lang w:eastAsia="zh-CN"/>
        </w:rPr>
        <w:t xml:space="preserve">12.2 </w:t>
      </w:r>
      <w:r>
        <w:rPr>
          <w:rFonts w:hint="eastAsia"/>
          <w:bCs w:val="0"/>
        </w:rPr>
        <w:t>附</w:t>
      </w:r>
      <w:r>
        <w:rPr>
          <w:rFonts w:hint="eastAsia"/>
          <w:bCs w:val="0"/>
          <w:lang w:val="en-US" w:eastAsia="zh-CN"/>
        </w:rPr>
        <w:t>件2：</w:t>
      </w:r>
      <w:r>
        <w:rPr>
          <w:rFonts w:hint="eastAsia"/>
          <w:bCs w:val="0"/>
        </w:rPr>
        <w:t xml:space="preserve"> 制造单位资质</w:t>
      </w:r>
      <w:r>
        <w:tab/>
      </w:r>
      <w:r>
        <w:fldChar w:fldCharType="begin"/>
      </w:r>
      <w:r>
        <w:instrText xml:space="preserve"> PAGEREF _Toc31666 \h </w:instrText>
      </w:r>
      <w:r>
        <w:fldChar w:fldCharType="separate"/>
      </w:r>
      <w:r>
        <w:t>117</w:t>
      </w:r>
      <w:r>
        <w:fldChar w:fldCharType="end"/>
      </w:r>
      <w:r>
        <w:rPr>
          <w:rFonts w:ascii="宋体" w:hAnsi="宋体" w:cstheme="minorHAnsi"/>
          <w:bCs/>
          <w:caps/>
          <w:szCs w:val="24"/>
        </w:rPr>
        <w:fldChar w:fldCharType="end"/>
      </w:r>
    </w:p>
    <w:p w14:paraId="724EA8AF">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_Toc29836 </w:instrText>
      </w:r>
      <w:r>
        <w:rPr>
          <w:rFonts w:ascii="宋体" w:hAnsi="宋体" w:cstheme="minorHAnsi"/>
          <w:bCs/>
          <w:caps/>
          <w:szCs w:val="24"/>
        </w:rPr>
        <w:fldChar w:fldCharType="separate"/>
      </w:r>
      <w:r>
        <w:rPr>
          <w:rFonts w:hint="default"/>
          <w:bCs/>
          <w:lang w:val="en-US" w:eastAsia="zh-CN"/>
        </w:rPr>
        <w:t xml:space="preserve">12.3 </w:t>
      </w:r>
      <w:r>
        <w:rPr>
          <w:rFonts w:hint="eastAsia"/>
          <w:bCs w:val="0"/>
          <w:lang w:val="en-US" w:eastAsia="zh-CN"/>
        </w:rPr>
        <w:t>附件3：塔式起重机说明书</w:t>
      </w:r>
      <w:r>
        <w:tab/>
      </w:r>
      <w:r>
        <w:fldChar w:fldCharType="begin"/>
      </w:r>
      <w:r>
        <w:instrText xml:space="preserve"> PAGEREF _Toc29836 \h </w:instrText>
      </w:r>
      <w:r>
        <w:fldChar w:fldCharType="separate"/>
      </w:r>
      <w:r>
        <w:t>117</w:t>
      </w:r>
      <w:r>
        <w:fldChar w:fldCharType="end"/>
      </w:r>
      <w:r>
        <w:rPr>
          <w:rFonts w:ascii="宋体" w:hAnsi="宋体" w:cstheme="minorHAnsi"/>
          <w:bCs/>
          <w:caps/>
          <w:szCs w:val="24"/>
        </w:rPr>
        <w:fldChar w:fldCharType="end"/>
      </w:r>
    </w:p>
    <w:p w14:paraId="79B34D69">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_Toc9337 </w:instrText>
      </w:r>
      <w:r>
        <w:rPr>
          <w:rFonts w:ascii="宋体" w:hAnsi="宋体" w:cstheme="minorHAnsi"/>
          <w:bCs/>
          <w:caps/>
          <w:szCs w:val="24"/>
        </w:rPr>
        <w:fldChar w:fldCharType="separate"/>
      </w:r>
      <w:r>
        <w:rPr>
          <w:rFonts w:hint="default"/>
          <w:bCs/>
          <w:lang w:val="en-US" w:eastAsia="zh-CN"/>
        </w:rPr>
        <w:t xml:space="preserve">12.4 </w:t>
      </w:r>
      <w:r>
        <w:rPr>
          <w:rFonts w:hint="eastAsia"/>
          <w:bCs w:val="0"/>
          <w:lang w:val="en-US" w:eastAsia="zh-CN"/>
        </w:rPr>
        <w:t>附件4：塔式起重机安装自检验收表</w:t>
      </w:r>
      <w:r>
        <w:tab/>
      </w:r>
      <w:r>
        <w:fldChar w:fldCharType="begin"/>
      </w:r>
      <w:r>
        <w:instrText xml:space="preserve"> PAGEREF _Toc9337 \h </w:instrText>
      </w:r>
      <w:r>
        <w:fldChar w:fldCharType="separate"/>
      </w:r>
      <w:r>
        <w:t>117</w:t>
      </w:r>
      <w:r>
        <w:fldChar w:fldCharType="end"/>
      </w:r>
      <w:r>
        <w:rPr>
          <w:rFonts w:ascii="宋体" w:hAnsi="宋体" w:cstheme="minorHAnsi"/>
          <w:bCs/>
          <w:caps/>
          <w:szCs w:val="24"/>
        </w:rPr>
        <w:fldChar w:fldCharType="end"/>
      </w:r>
    </w:p>
    <w:p w14:paraId="5A55ADA3">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_Toc18290 </w:instrText>
      </w:r>
      <w:r>
        <w:rPr>
          <w:rFonts w:ascii="宋体" w:hAnsi="宋体" w:cstheme="minorHAnsi"/>
          <w:bCs/>
          <w:caps/>
          <w:szCs w:val="24"/>
        </w:rPr>
        <w:fldChar w:fldCharType="separate"/>
      </w:r>
      <w:r>
        <w:rPr>
          <w:rFonts w:hint="default"/>
          <w:bCs/>
          <w:lang w:val="en-US" w:eastAsia="zh-CN"/>
        </w:rPr>
        <w:t xml:space="preserve">12.5 </w:t>
      </w:r>
      <w:r>
        <w:rPr>
          <w:rFonts w:hint="eastAsia"/>
          <w:bCs w:val="0"/>
          <w:lang w:val="en-US" w:eastAsia="zh-CN"/>
        </w:rPr>
        <w:t>附件5：地基承载力计算书</w:t>
      </w:r>
      <w:r>
        <w:tab/>
      </w:r>
      <w:r>
        <w:fldChar w:fldCharType="begin"/>
      </w:r>
      <w:r>
        <w:instrText xml:space="preserve"> PAGEREF _Toc18290 \h </w:instrText>
      </w:r>
      <w:r>
        <w:fldChar w:fldCharType="separate"/>
      </w:r>
      <w:r>
        <w:t>117</w:t>
      </w:r>
      <w:r>
        <w:fldChar w:fldCharType="end"/>
      </w:r>
      <w:r>
        <w:rPr>
          <w:rFonts w:ascii="宋体" w:hAnsi="宋体" w:cstheme="minorHAnsi"/>
          <w:bCs/>
          <w:caps/>
          <w:szCs w:val="24"/>
        </w:rPr>
        <w:fldChar w:fldCharType="end"/>
      </w:r>
    </w:p>
    <w:p w14:paraId="1DDC387F">
      <w:pPr>
        <w:pStyle w:val="35"/>
        <w:tabs>
          <w:tab w:val="right" w:leader="dot" w:pos="9070"/>
        </w:tabs>
      </w:pPr>
      <w:r>
        <w:rPr>
          <w:rFonts w:ascii="宋体" w:hAnsi="宋体" w:cstheme="minorHAnsi"/>
          <w:bCs/>
          <w:caps/>
          <w:szCs w:val="24"/>
        </w:rPr>
        <w:fldChar w:fldCharType="begin"/>
      </w:r>
      <w:r>
        <w:rPr>
          <w:rFonts w:ascii="宋体" w:hAnsi="宋体" w:cstheme="minorHAnsi"/>
          <w:bCs/>
          <w:caps/>
          <w:szCs w:val="24"/>
        </w:rPr>
        <w:instrText xml:space="preserve"> HYPERLINK \l _Toc32698 </w:instrText>
      </w:r>
      <w:r>
        <w:rPr>
          <w:rFonts w:ascii="宋体" w:hAnsi="宋体" w:cstheme="minorHAnsi"/>
          <w:bCs/>
          <w:caps/>
          <w:szCs w:val="24"/>
        </w:rPr>
        <w:fldChar w:fldCharType="separate"/>
      </w:r>
      <w:r>
        <w:rPr>
          <w:rFonts w:hint="default"/>
          <w:bCs/>
          <w:lang w:val="en-US" w:eastAsia="zh-CN"/>
        </w:rPr>
        <w:t xml:space="preserve">12.6 </w:t>
      </w:r>
      <w:r>
        <w:rPr>
          <w:rFonts w:hint="eastAsia"/>
          <w:bCs w:val="0"/>
          <w:lang w:val="en-US" w:eastAsia="zh-CN"/>
        </w:rPr>
        <w:t>附件6：设备合格证</w:t>
      </w:r>
      <w:r>
        <w:tab/>
      </w:r>
      <w:r>
        <w:fldChar w:fldCharType="begin"/>
      </w:r>
      <w:r>
        <w:instrText xml:space="preserve"> PAGEREF _Toc32698 \h </w:instrText>
      </w:r>
      <w:r>
        <w:fldChar w:fldCharType="separate"/>
      </w:r>
      <w:r>
        <w:t>117</w:t>
      </w:r>
      <w:r>
        <w:fldChar w:fldCharType="end"/>
      </w:r>
      <w:r>
        <w:rPr>
          <w:rFonts w:ascii="宋体" w:hAnsi="宋体" w:cstheme="minorHAnsi"/>
          <w:bCs/>
          <w:caps/>
          <w:szCs w:val="24"/>
        </w:rPr>
        <w:fldChar w:fldCharType="end"/>
      </w:r>
    </w:p>
    <w:p w14:paraId="32309939">
      <w:pPr>
        <w:ind w:firstLine="480"/>
        <w:rPr>
          <w:rFonts w:ascii="宋体" w:hAnsi="宋体" w:cstheme="minorHAnsi"/>
          <w:bCs/>
          <w:caps/>
          <w:szCs w:val="24"/>
        </w:rPr>
        <w:sectPr>
          <w:headerReference r:id="rId5" w:type="default"/>
          <w:footerReference r:id="rId6" w:type="default"/>
          <w:pgSz w:w="11906" w:h="16838"/>
          <w:pgMar w:top="1418" w:right="1418" w:bottom="1134" w:left="1418" w:header="851" w:footer="992" w:gutter="0"/>
          <w:pgNumType w:start="1"/>
          <w:cols w:space="425" w:num="1"/>
          <w:docGrid w:type="lines" w:linePitch="326" w:charSpace="0"/>
        </w:sectPr>
      </w:pPr>
      <w:r>
        <w:rPr>
          <w:rFonts w:ascii="宋体" w:hAnsi="宋体" w:cstheme="minorHAnsi"/>
          <w:bCs/>
          <w:caps/>
          <w:szCs w:val="24"/>
        </w:rPr>
        <w:fldChar w:fldCharType="end"/>
      </w:r>
    </w:p>
    <w:bookmarkEnd w:id="0"/>
    <w:bookmarkEnd w:id="1"/>
    <w:bookmarkEnd w:id="2"/>
    <w:bookmarkEnd w:id="3"/>
    <w:bookmarkEnd w:id="8"/>
    <w:p w14:paraId="208E34A9">
      <w:pPr>
        <w:pStyle w:val="2"/>
        <w:bidi w:val="0"/>
        <w:ind w:left="432" w:leftChars="0" w:hanging="432" w:firstLineChars="0"/>
        <w:rPr>
          <w:rFonts w:hint="eastAsia"/>
        </w:rPr>
      </w:pPr>
      <w:bookmarkStart w:id="9" w:name="_Toc6980"/>
      <w:bookmarkStart w:id="10" w:name="_Toc25369"/>
      <w:bookmarkStart w:id="11" w:name="_Toc29052"/>
      <w:r>
        <w:rPr>
          <w:rFonts w:hint="eastAsia"/>
        </w:rPr>
        <w:t>编制</w:t>
      </w:r>
      <w:r>
        <w:rPr>
          <w:rFonts w:hint="eastAsia"/>
          <w:lang w:val="en-US" w:eastAsia="zh-CN"/>
        </w:rPr>
        <w:t>说明、</w:t>
      </w:r>
      <w:r>
        <w:rPr>
          <w:rFonts w:hint="eastAsia"/>
        </w:rPr>
        <w:t>依据</w:t>
      </w:r>
      <w:r>
        <w:rPr>
          <w:rFonts w:hint="eastAsia"/>
          <w:lang w:val="en-US" w:eastAsia="zh-CN"/>
        </w:rPr>
        <w:t>及适用范围</w:t>
      </w:r>
      <w:bookmarkEnd w:id="9"/>
      <w:bookmarkEnd w:id="10"/>
      <w:bookmarkEnd w:id="11"/>
    </w:p>
    <w:p w14:paraId="51EAE3DB">
      <w:pPr>
        <w:pStyle w:val="3"/>
        <w:bidi w:val="0"/>
        <w:ind w:left="575" w:leftChars="0" w:hanging="575" w:firstLineChars="0"/>
        <w:rPr>
          <w:b/>
          <w:bCs w:val="0"/>
          <w:sz w:val="28"/>
          <w:szCs w:val="28"/>
        </w:rPr>
      </w:pPr>
      <w:bookmarkStart w:id="12" w:name="_Toc11085"/>
      <w:bookmarkStart w:id="13" w:name="_Toc8941"/>
      <w:bookmarkStart w:id="14" w:name="_Toc14694"/>
      <w:r>
        <w:rPr>
          <w:rFonts w:hint="eastAsia"/>
          <w:b/>
          <w:bCs w:val="0"/>
          <w:sz w:val="28"/>
          <w:szCs w:val="28"/>
        </w:rPr>
        <w:t>编制说明</w:t>
      </w:r>
      <w:bookmarkEnd w:id="12"/>
      <w:bookmarkEnd w:id="13"/>
      <w:bookmarkEnd w:id="14"/>
    </w:p>
    <w:p w14:paraId="0839C731">
      <w:pPr>
        <w:ind w:firstLine="480"/>
        <w:rPr>
          <w:highlight w:val="none"/>
        </w:rPr>
      </w:pPr>
      <w:bookmarkStart w:id="15" w:name="_Toc21652"/>
      <w:bookmarkStart w:id="16" w:name="_Toc26514"/>
      <w:r>
        <w:rPr>
          <w:highlight w:val="none"/>
        </w:rPr>
        <w:fldChar w:fldCharType="begin"/>
      </w:r>
      <w:r>
        <w:rPr>
          <w:highlight w:val="none"/>
        </w:rPr>
        <w:instrText xml:space="preserve"> </w:instrText>
      </w:r>
      <w:r>
        <w:rPr>
          <w:rFonts w:hint="eastAsia"/>
          <w:highlight w:val="none"/>
        </w:rPr>
        <w:instrText xml:space="preserve">REF 设备类型 \h</w:instrText>
      </w:r>
      <w:r>
        <w:rPr>
          <w:highlight w:val="none"/>
        </w:rPr>
        <w:instrText xml:space="preserve"> </w:instrText>
      </w:r>
      <w:r>
        <w:rPr>
          <w:highlight w:val="none"/>
        </w:rPr>
        <w:fldChar w:fldCharType="separate"/>
      </w:r>
      <w:r>
        <w:rPr>
          <w:rFonts w:hint="eastAsia"/>
          <w:highlight w:val="none"/>
        </w:rPr>
        <w:t>塔式起重机</w:t>
      </w:r>
      <w:r>
        <w:rPr>
          <w:highlight w:val="none"/>
        </w:rPr>
        <w:fldChar w:fldCharType="end"/>
      </w:r>
      <w:r>
        <w:rPr>
          <w:rFonts w:hint="eastAsia"/>
          <w:highlight w:val="none"/>
        </w:rPr>
        <w:t>用于因</w:t>
      </w:r>
      <w:r>
        <w:rPr>
          <w:highlight w:val="none"/>
        </w:rPr>
        <w:fldChar w:fldCharType="begin"/>
      </w:r>
      <w:r>
        <w:rPr>
          <w:highlight w:val="none"/>
        </w:rPr>
        <w:instrText xml:space="preserve"> </w:instrText>
      </w:r>
      <w:r>
        <w:rPr>
          <w:rFonts w:hint="eastAsia"/>
          <w:highlight w:val="none"/>
        </w:rPr>
        <w:instrText xml:space="preserve">REF 项目名称</w:instrText>
      </w:r>
      <w:r>
        <w:rPr>
          <w:highlight w:val="none"/>
        </w:rPr>
        <w:instrText xml:space="preserve">  \* MERGEFORMAT </w:instrText>
      </w:r>
      <w:r>
        <w:rPr>
          <w:highlight w:val="none"/>
        </w:rPr>
        <w:fldChar w:fldCharType="separate"/>
      </w:r>
      <w:r>
        <w:rPr>
          <w:rFonts w:hint="eastAsia"/>
          <w:highlight w:val="none"/>
        </w:rPr>
        <w:t>十巫南高速公路SWYZ-2标项目</w:t>
      </w:r>
      <w:r>
        <w:rPr>
          <w:highlight w:val="none"/>
        </w:rPr>
        <w:fldChar w:fldCharType="end"/>
      </w:r>
      <w:r>
        <w:rPr>
          <w:rFonts w:hint="eastAsia"/>
          <w:highlight w:val="none"/>
        </w:rPr>
        <w:t>施工需要，需要采用</w:t>
      </w:r>
      <w:bookmarkStart w:id="17" w:name="设备型号1数量"/>
      <w:r>
        <w:rPr>
          <w:rFonts w:hint="eastAsia"/>
          <w:highlight w:val="none"/>
        </w:rPr>
        <w:t>1</w:t>
      </w:r>
      <w:bookmarkEnd w:id="17"/>
      <w:r>
        <w:rPr>
          <w:rFonts w:hint="eastAsia"/>
          <w:highlight w:val="none"/>
        </w:rPr>
        <w:t>台</w:t>
      </w:r>
      <w:r>
        <w:rPr>
          <w:rFonts w:hint="eastAsia"/>
          <w:highlight w:val="none"/>
          <w:lang w:eastAsia="zh-CN"/>
        </w:rPr>
        <w:t>XGT</w:t>
      </w:r>
      <w:r>
        <w:rPr>
          <w:rFonts w:hint="eastAsia"/>
          <w:highlight w:val="none"/>
          <w:lang w:val="en-US" w:eastAsia="zh-CN"/>
        </w:rPr>
        <w:t>7022</w:t>
      </w:r>
      <w:r>
        <w:rPr>
          <w:rFonts w:hint="eastAsia"/>
          <w:highlight w:val="none"/>
          <w:lang w:eastAsia="zh-CN"/>
        </w:rPr>
        <w:t>-1</w:t>
      </w:r>
      <w:r>
        <w:rPr>
          <w:rFonts w:hint="eastAsia"/>
          <w:highlight w:val="none"/>
          <w:lang w:val="en-US" w:eastAsia="zh-CN"/>
        </w:rPr>
        <w:t>2</w:t>
      </w:r>
      <w:r>
        <w:rPr>
          <w:rFonts w:hint="eastAsia"/>
          <w:highlight w:val="none"/>
          <w:lang w:eastAsia="zh-CN"/>
        </w:rPr>
        <w:t>S</w:t>
      </w:r>
      <w:r>
        <w:rPr>
          <w:rFonts w:hint="eastAsia"/>
          <w:highlight w:val="none"/>
          <w:lang w:val="en-US" w:eastAsia="zh-CN"/>
        </w:rPr>
        <w:t>用于</w:t>
      </w:r>
      <w:r>
        <w:rPr>
          <w:rFonts w:hint="eastAsia"/>
          <w:highlight w:val="none"/>
          <w:lang w:eastAsia="zh-CN"/>
        </w:rPr>
        <w:t>紫金洞2号大桥</w:t>
      </w:r>
      <w:r>
        <w:rPr>
          <w:rFonts w:hint="eastAsia"/>
          <w:highlight w:val="none"/>
        </w:rPr>
        <w:t>左幅</w:t>
      </w:r>
      <w:r>
        <w:rPr>
          <w:rFonts w:hint="eastAsia"/>
          <w:highlight w:val="none"/>
          <w:lang w:val="en-US" w:eastAsia="zh-CN"/>
        </w:rPr>
        <w:t>2-1</w:t>
      </w:r>
      <w:r>
        <w:rPr>
          <w:rFonts w:hint="eastAsia"/>
          <w:highlight w:val="none"/>
        </w:rPr>
        <w:t>号墩</w:t>
      </w:r>
      <w:r>
        <w:rPr>
          <w:rFonts w:hint="eastAsia"/>
          <w:highlight w:val="none"/>
          <w:lang w:eastAsia="zh-CN"/>
        </w:rPr>
        <w:t>、</w:t>
      </w:r>
      <w:r>
        <w:rPr>
          <w:rFonts w:hint="eastAsia"/>
          <w:highlight w:val="none"/>
          <w:lang w:val="en-US" w:eastAsia="zh-CN"/>
        </w:rPr>
        <w:t>2-2</w:t>
      </w:r>
      <w:r>
        <w:rPr>
          <w:rFonts w:hint="eastAsia"/>
          <w:highlight w:val="none"/>
        </w:rPr>
        <w:t>号墩与右幅</w:t>
      </w:r>
      <w:r>
        <w:rPr>
          <w:rFonts w:hint="eastAsia"/>
          <w:highlight w:val="none"/>
          <w:lang w:val="en-US" w:eastAsia="zh-CN"/>
        </w:rPr>
        <w:t>2</w:t>
      </w:r>
      <w:r>
        <w:rPr>
          <w:rFonts w:hint="eastAsia"/>
          <w:highlight w:val="none"/>
        </w:rPr>
        <w:t>号墩的使用，为认真、全面、系统地做好设备安装安全和质量等工作，防止环境污染，合理安排施工工期，编制本</w:t>
      </w:r>
      <w:r>
        <w:rPr>
          <w:highlight w:val="none"/>
        </w:rPr>
        <w:fldChar w:fldCharType="begin"/>
      </w:r>
      <w:r>
        <w:rPr>
          <w:highlight w:val="none"/>
        </w:rPr>
        <w:instrText xml:space="preserve"> </w:instrText>
      </w:r>
      <w:r>
        <w:rPr>
          <w:rFonts w:hint="eastAsia"/>
          <w:highlight w:val="none"/>
        </w:rPr>
        <w:instrText xml:space="preserve">REF 设备类型 \h</w:instrText>
      </w:r>
      <w:r>
        <w:rPr>
          <w:highlight w:val="none"/>
        </w:rPr>
        <w:instrText xml:space="preserve">  \* MERGEFORMAT </w:instrText>
      </w:r>
      <w:r>
        <w:rPr>
          <w:highlight w:val="none"/>
        </w:rPr>
        <w:fldChar w:fldCharType="separate"/>
      </w:r>
      <w:r>
        <w:rPr>
          <w:rFonts w:hint="eastAsia"/>
          <w:highlight w:val="none"/>
        </w:rPr>
        <w:t>塔式起重机</w:t>
      </w:r>
      <w:r>
        <w:rPr>
          <w:highlight w:val="none"/>
        </w:rPr>
        <w:fldChar w:fldCharType="end"/>
      </w:r>
      <w:r>
        <w:rPr>
          <w:highlight w:val="none"/>
        </w:rPr>
        <w:fldChar w:fldCharType="begin"/>
      </w:r>
      <w:r>
        <w:rPr>
          <w:highlight w:val="none"/>
        </w:rPr>
        <w:instrText xml:space="preserve"> REF 方案类别 \h  \* MERGEFORMAT </w:instrText>
      </w:r>
      <w:r>
        <w:rPr>
          <w:highlight w:val="none"/>
        </w:rPr>
        <w:fldChar w:fldCharType="separate"/>
      </w:r>
      <w:r>
        <w:rPr>
          <w:rFonts w:hint="eastAsia"/>
          <w:highlight w:val="none"/>
        </w:rPr>
        <w:t>安装专项施工方案</w:t>
      </w:r>
      <w:r>
        <w:rPr>
          <w:highlight w:val="none"/>
        </w:rPr>
        <w:fldChar w:fldCharType="end"/>
      </w:r>
      <w:r>
        <w:rPr>
          <w:rFonts w:hint="eastAsia"/>
          <w:highlight w:val="none"/>
        </w:rPr>
        <w:t>。</w:t>
      </w:r>
    </w:p>
    <w:p w14:paraId="3506C8CC">
      <w:pPr>
        <w:ind w:firstLine="48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rPr>
        <w:t>的安装、调试与试验、顶</w:t>
      </w:r>
      <w:r>
        <w:rPr>
          <w:rFonts w:hint="eastAsia"/>
          <w:highlight w:val="none"/>
        </w:rPr>
        <w:t>升等由</w:t>
      </w:r>
      <w:bookmarkStart w:id="18" w:name="安拆单位"/>
      <w:r>
        <w:rPr>
          <w:rFonts w:hint="eastAsia"/>
          <w:highlight w:val="none"/>
        </w:rPr>
        <w:t>四川科斗文智能装备有限公司</w:t>
      </w:r>
      <w:bookmarkEnd w:id="18"/>
      <w:r>
        <w:rPr>
          <w:rFonts w:hint="eastAsia"/>
          <w:highlight w:val="none"/>
        </w:rPr>
        <w:t>负</w:t>
      </w:r>
      <w:r>
        <w:rPr>
          <w:rFonts w:hint="eastAsia"/>
        </w:rPr>
        <w:t>责实施，项目部负责</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rPr>
        <w:t>的基础施工及全过程管控。</w:t>
      </w:r>
    </w:p>
    <w:p w14:paraId="1ED0873C">
      <w:pPr>
        <w:pStyle w:val="3"/>
        <w:bidi w:val="0"/>
        <w:ind w:left="575" w:leftChars="0" w:hanging="575" w:firstLineChars="0"/>
        <w:rPr>
          <w:b/>
          <w:bCs w:val="0"/>
          <w:sz w:val="28"/>
          <w:szCs w:val="28"/>
        </w:rPr>
      </w:pPr>
      <w:bookmarkStart w:id="19" w:name="_Toc15205"/>
      <w:r>
        <w:rPr>
          <w:rFonts w:hint="eastAsia"/>
          <w:b/>
          <w:bCs w:val="0"/>
          <w:sz w:val="28"/>
          <w:szCs w:val="28"/>
          <w:lang w:val="en-US" w:eastAsia="zh-CN"/>
        </w:rPr>
        <w:t>编制依据</w:t>
      </w:r>
      <w:bookmarkEnd w:id="15"/>
      <w:bookmarkEnd w:id="16"/>
      <w:bookmarkEnd w:id="19"/>
    </w:p>
    <w:p w14:paraId="22105635">
      <w:pPr>
        <w:ind w:left="480" w:firstLine="0" w:firstLineChars="0"/>
      </w:pPr>
      <w:r>
        <w:t>本方案的</w:t>
      </w:r>
      <w:r>
        <w:rPr>
          <w:rFonts w:hint="eastAsia"/>
        </w:rPr>
        <w:t>编制依据详见</w:t>
      </w:r>
      <w:r>
        <w:fldChar w:fldCharType="begin"/>
      </w:r>
      <w:r>
        <w:instrText xml:space="preserve"> </w:instrText>
      </w:r>
      <w:r>
        <w:rPr>
          <w:rFonts w:hint="eastAsia"/>
        </w:rPr>
        <w:instrText xml:space="preserve">REF _Ref89870064 \h</w:instrText>
      </w:r>
      <w:r>
        <w:instrText xml:space="preserve">  \* MERGEFORMAT </w:instrText>
      </w:r>
      <w:r>
        <w:fldChar w:fldCharType="separate"/>
      </w:r>
      <w:r>
        <w:rPr>
          <w:rFonts w:hint="eastAsia"/>
        </w:rPr>
        <w:t>表</w:t>
      </w:r>
      <w:r>
        <w:t>1.2</w:t>
      </w:r>
      <w:r>
        <w:rPr>
          <w:rFonts w:hint="eastAsia"/>
        </w:rPr>
        <w:t>-</w:t>
      </w:r>
      <w:r>
        <w:t>1</w:t>
      </w:r>
      <w:r>
        <w:fldChar w:fldCharType="end"/>
      </w:r>
      <w:r>
        <w:rPr>
          <w:rFonts w:hint="eastAsia"/>
        </w:rPr>
        <w:t>。</w:t>
      </w:r>
    </w:p>
    <w:p w14:paraId="44E453BA">
      <w:pPr>
        <w:pStyle w:val="16"/>
      </w:pPr>
      <w:bookmarkStart w:id="20" w:name="_Ref89870064"/>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1.2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20"/>
      <w:r>
        <w:rPr>
          <w:rFonts w:hint="eastAsia"/>
        </w:rPr>
        <w:t xml:space="preserve"> </w:t>
      </w:r>
      <w:bookmarkStart w:id="21" w:name="_Ref117609224"/>
      <w:r>
        <w:rPr>
          <w:rFonts w:hint="eastAsia"/>
        </w:rPr>
        <w:t>编制依据</w:t>
      </w:r>
      <w:bookmarkEnd w:id="21"/>
      <w:r>
        <w:rPr>
          <w:rFonts w:hint="eastAsia"/>
        </w:rPr>
        <w:t>表</w:t>
      </w:r>
    </w:p>
    <w:tbl>
      <w:tblPr>
        <w:tblStyle w:val="39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2190"/>
        <w:gridCol w:w="4526"/>
        <w:gridCol w:w="1093"/>
      </w:tblGrid>
      <w:tr w14:paraId="35550B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18" w:type="pct"/>
            <w:shd w:val="clear" w:color="auto" w:fill="auto"/>
            <w:vAlign w:val="center"/>
          </w:tcPr>
          <w:p w14:paraId="759C8CE7">
            <w:pPr>
              <w:pStyle w:val="50"/>
              <w:rPr>
                <w:b/>
              </w:rPr>
            </w:pPr>
            <w:r>
              <w:rPr>
                <w:rFonts w:hint="eastAsia"/>
                <w:b/>
              </w:rPr>
              <w:t>序号</w:t>
            </w:r>
          </w:p>
        </w:tc>
        <w:tc>
          <w:tcPr>
            <w:tcW w:w="1284" w:type="pct"/>
            <w:shd w:val="clear" w:color="auto" w:fill="auto"/>
            <w:vAlign w:val="center"/>
          </w:tcPr>
          <w:p w14:paraId="4D61186C">
            <w:pPr>
              <w:pStyle w:val="50"/>
              <w:rPr>
                <w:b/>
              </w:rPr>
            </w:pPr>
            <w:r>
              <w:rPr>
                <w:rFonts w:hint="eastAsia"/>
                <w:b/>
              </w:rPr>
              <w:t>标准号（文件日期）</w:t>
            </w:r>
          </w:p>
        </w:tc>
        <w:tc>
          <w:tcPr>
            <w:tcW w:w="2654" w:type="pct"/>
            <w:shd w:val="clear" w:color="auto" w:fill="auto"/>
            <w:vAlign w:val="center"/>
          </w:tcPr>
          <w:p w14:paraId="56F55E68">
            <w:pPr>
              <w:pStyle w:val="50"/>
              <w:rPr>
                <w:b/>
              </w:rPr>
            </w:pPr>
            <w:r>
              <w:rPr>
                <w:rFonts w:hint="eastAsia"/>
                <w:b/>
              </w:rPr>
              <w:t>标准（文件）名称</w:t>
            </w:r>
          </w:p>
        </w:tc>
        <w:tc>
          <w:tcPr>
            <w:tcW w:w="641" w:type="pct"/>
            <w:shd w:val="clear" w:color="auto" w:fill="auto"/>
            <w:vAlign w:val="center"/>
          </w:tcPr>
          <w:p w14:paraId="47326884">
            <w:pPr>
              <w:pStyle w:val="50"/>
              <w:rPr>
                <w:b/>
              </w:rPr>
            </w:pPr>
            <w:r>
              <w:rPr>
                <w:rFonts w:hint="eastAsia"/>
                <w:b/>
              </w:rPr>
              <w:t>备注</w:t>
            </w:r>
          </w:p>
        </w:tc>
      </w:tr>
      <w:tr w14:paraId="2FDC6B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9B003EF">
            <w:pPr>
              <w:pStyle w:val="50"/>
              <w:numPr>
                <w:ilvl w:val="0"/>
                <w:numId w:val="10"/>
              </w:numPr>
            </w:pPr>
          </w:p>
        </w:tc>
        <w:tc>
          <w:tcPr>
            <w:tcW w:w="1284" w:type="pct"/>
            <w:shd w:val="clear" w:color="auto" w:fill="auto"/>
            <w:vAlign w:val="center"/>
          </w:tcPr>
          <w:p w14:paraId="1652A779">
            <w:pPr>
              <w:pStyle w:val="50"/>
              <w:rPr>
                <w:b w:val="0"/>
                <w:bCs w:val="0"/>
              </w:rPr>
            </w:pPr>
          </w:p>
        </w:tc>
        <w:tc>
          <w:tcPr>
            <w:tcW w:w="2654" w:type="pct"/>
            <w:shd w:val="clear" w:color="auto" w:fill="auto"/>
            <w:vAlign w:val="center"/>
          </w:tcPr>
          <w:p w14:paraId="21FF7030">
            <w:pPr>
              <w:pStyle w:val="50"/>
              <w:rPr>
                <w:b w:val="0"/>
                <w:bCs w:val="0"/>
              </w:rPr>
            </w:pPr>
            <w:r>
              <w:rPr>
                <w:b w:val="0"/>
                <w:bCs w:val="0"/>
              </w:rPr>
              <w:fldChar w:fldCharType="begin"/>
            </w:r>
            <w:r>
              <w:rPr>
                <w:b w:val="0"/>
                <w:bCs w:val="0"/>
              </w:rPr>
              <w:instrText xml:space="preserve"> </w:instrText>
            </w:r>
            <w:r>
              <w:rPr>
                <w:rFonts w:hint="eastAsia"/>
                <w:b w:val="0"/>
                <w:bCs w:val="0"/>
              </w:rPr>
              <w:instrText xml:space="preserve">REF 项目名称 \h</w:instrText>
            </w:r>
            <w:r>
              <w:rPr>
                <w:b w:val="0"/>
                <w:bCs w:val="0"/>
              </w:rPr>
              <w:instrText xml:space="preserve">  \* MERGEFORMAT </w:instrText>
            </w:r>
            <w:r>
              <w:rPr>
                <w:b w:val="0"/>
                <w:bCs w:val="0"/>
              </w:rPr>
              <w:fldChar w:fldCharType="separate"/>
            </w:r>
            <w:r>
              <w:rPr>
                <w:rFonts w:hint="eastAsia"/>
                <w:b w:val="0"/>
                <w:bCs w:val="0"/>
              </w:rPr>
              <w:t>十巫南高速公路SWYZ-2标项目</w:t>
            </w:r>
            <w:r>
              <w:rPr>
                <w:b w:val="0"/>
                <w:bCs w:val="0"/>
              </w:rPr>
              <w:fldChar w:fldCharType="end"/>
            </w:r>
            <w:r>
              <w:rPr>
                <w:rFonts w:hint="eastAsia"/>
                <w:b w:val="0"/>
                <w:bCs w:val="0"/>
              </w:rPr>
              <w:t>地质勘察报告</w:t>
            </w:r>
          </w:p>
        </w:tc>
        <w:tc>
          <w:tcPr>
            <w:tcW w:w="641" w:type="pct"/>
            <w:shd w:val="clear" w:color="auto" w:fill="auto"/>
            <w:vAlign w:val="center"/>
          </w:tcPr>
          <w:p w14:paraId="62C11AF1">
            <w:pPr>
              <w:pStyle w:val="50"/>
              <w:rPr>
                <w:b w:val="0"/>
                <w:bCs w:val="0"/>
              </w:rPr>
            </w:pPr>
            <w:r>
              <w:rPr>
                <w:rFonts w:hint="eastAsia"/>
                <w:b w:val="0"/>
                <w:bCs w:val="0"/>
              </w:rPr>
              <w:t>勘察文件</w:t>
            </w:r>
          </w:p>
        </w:tc>
      </w:tr>
      <w:tr w14:paraId="36C55E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CD7A7A6">
            <w:pPr>
              <w:pStyle w:val="50"/>
              <w:numPr>
                <w:ilvl w:val="0"/>
                <w:numId w:val="10"/>
              </w:numPr>
            </w:pPr>
          </w:p>
        </w:tc>
        <w:tc>
          <w:tcPr>
            <w:tcW w:w="1284" w:type="pct"/>
            <w:shd w:val="clear" w:color="auto" w:fill="auto"/>
            <w:vAlign w:val="center"/>
          </w:tcPr>
          <w:p w14:paraId="3A020A4B">
            <w:pPr>
              <w:pStyle w:val="50"/>
              <w:rPr>
                <w:b w:val="0"/>
                <w:bCs w:val="0"/>
              </w:rPr>
            </w:pPr>
          </w:p>
        </w:tc>
        <w:tc>
          <w:tcPr>
            <w:tcW w:w="2654" w:type="pct"/>
            <w:shd w:val="clear" w:color="auto" w:fill="auto"/>
            <w:vAlign w:val="center"/>
          </w:tcPr>
          <w:p w14:paraId="45F59434">
            <w:pPr>
              <w:pStyle w:val="50"/>
              <w:rPr>
                <w:b w:val="0"/>
                <w:bCs w:val="0"/>
              </w:rPr>
            </w:pPr>
            <w:r>
              <w:rPr>
                <w:b w:val="0"/>
                <w:bCs w:val="0"/>
              </w:rPr>
              <w:fldChar w:fldCharType="begin"/>
            </w:r>
            <w:r>
              <w:rPr>
                <w:b w:val="0"/>
                <w:bCs w:val="0"/>
              </w:rPr>
              <w:instrText xml:space="preserve"> </w:instrText>
            </w:r>
            <w:r>
              <w:rPr>
                <w:rFonts w:hint="eastAsia"/>
                <w:b w:val="0"/>
                <w:bCs w:val="0"/>
              </w:rPr>
              <w:instrText xml:space="preserve">REF 项目名称 \h</w:instrText>
            </w:r>
            <w:r>
              <w:rPr>
                <w:b w:val="0"/>
                <w:bCs w:val="0"/>
              </w:rPr>
              <w:instrText xml:space="preserve">  \* MERGEFORMAT </w:instrText>
            </w:r>
            <w:r>
              <w:rPr>
                <w:b w:val="0"/>
                <w:bCs w:val="0"/>
              </w:rPr>
              <w:fldChar w:fldCharType="separate"/>
            </w:r>
            <w:r>
              <w:rPr>
                <w:rFonts w:hint="eastAsia"/>
                <w:b w:val="0"/>
                <w:bCs w:val="0"/>
              </w:rPr>
              <w:t>十巫南高速公路SWYZ-2标项目</w:t>
            </w:r>
            <w:r>
              <w:rPr>
                <w:b w:val="0"/>
                <w:bCs w:val="0"/>
              </w:rPr>
              <w:fldChar w:fldCharType="end"/>
            </w:r>
            <w:r>
              <w:rPr>
                <w:rFonts w:hint="eastAsia"/>
                <w:b w:val="0"/>
                <w:bCs w:val="0"/>
              </w:rPr>
              <w:t>施工组织设计</w:t>
            </w:r>
          </w:p>
        </w:tc>
        <w:tc>
          <w:tcPr>
            <w:tcW w:w="641" w:type="pct"/>
            <w:shd w:val="clear" w:color="auto" w:fill="auto"/>
            <w:vAlign w:val="center"/>
          </w:tcPr>
          <w:p w14:paraId="7AA783D5">
            <w:pPr>
              <w:pStyle w:val="50"/>
              <w:rPr>
                <w:b w:val="0"/>
                <w:bCs w:val="0"/>
              </w:rPr>
            </w:pPr>
            <w:r>
              <w:rPr>
                <w:rFonts w:hint="eastAsia"/>
                <w:b w:val="0"/>
                <w:bCs w:val="0"/>
              </w:rPr>
              <w:t>设计文件</w:t>
            </w:r>
          </w:p>
        </w:tc>
      </w:tr>
      <w:tr w14:paraId="6E454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5331C20">
            <w:pPr>
              <w:pStyle w:val="50"/>
              <w:numPr>
                <w:ilvl w:val="0"/>
                <w:numId w:val="10"/>
              </w:numPr>
            </w:pPr>
          </w:p>
        </w:tc>
        <w:tc>
          <w:tcPr>
            <w:tcW w:w="1284" w:type="pct"/>
            <w:shd w:val="clear" w:color="auto" w:fill="auto"/>
            <w:vAlign w:val="center"/>
          </w:tcPr>
          <w:p w14:paraId="44A7A739">
            <w:pPr>
              <w:pStyle w:val="50"/>
              <w:rPr>
                <w:b w:val="0"/>
                <w:bCs w:val="0"/>
              </w:rPr>
            </w:pPr>
            <w:r>
              <w:rPr>
                <w:rFonts w:hint="eastAsia"/>
                <w:b w:val="0"/>
                <w:bCs w:val="0"/>
              </w:rPr>
              <w:t>主席令第4号</w:t>
            </w:r>
          </w:p>
        </w:tc>
        <w:tc>
          <w:tcPr>
            <w:tcW w:w="2654" w:type="pct"/>
            <w:shd w:val="clear" w:color="auto" w:fill="auto"/>
            <w:vAlign w:val="center"/>
          </w:tcPr>
          <w:p w14:paraId="5E0AFF39">
            <w:pPr>
              <w:pStyle w:val="50"/>
              <w:rPr>
                <w:b w:val="0"/>
                <w:bCs w:val="0"/>
              </w:rPr>
            </w:pPr>
            <w:r>
              <w:rPr>
                <w:rFonts w:hint="eastAsia"/>
                <w:b w:val="0"/>
                <w:bCs w:val="0"/>
              </w:rPr>
              <w:t>中华人民共和国特种设备安全法</w:t>
            </w:r>
          </w:p>
        </w:tc>
        <w:tc>
          <w:tcPr>
            <w:tcW w:w="641" w:type="pct"/>
            <w:vMerge w:val="restart"/>
            <w:shd w:val="clear" w:color="auto" w:fill="auto"/>
            <w:vAlign w:val="center"/>
          </w:tcPr>
          <w:p w14:paraId="57E12A5A">
            <w:pPr>
              <w:pStyle w:val="50"/>
              <w:rPr>
                <w:b w:val="0"/>
                <w:bCs w:val="0"/>
              </w:rPr>
            </w:pPr>
            <w:r>
              <w:rPr>
                <w:rFonts w:hint="eastAsia"/>
                <w:b w:val="0"/>
                <w:bCs w:val="0"/>
              </w:rPr>
              <w:t>法律</w:t>
            </w:r>
          </w:p>
        </w:tc>
      </w:tr>
      <w:tr w14:paraId="340558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4019DA3">
            <w:pPr>
              <w:pStyle w:val="50"/>
              <w:numPr>
                <w:ilvl w:val="0"/>
                <w:numId w:val="10"/>
              </w:numPr>
            </w:pPr>
          </w:p>
        </w:tc>
        <w:tc>
          <w:tcPr>
            <w:tcW w:w="1284" w:type="pct"/>
            <w:shd w:val="clear" w:color="auto" w:fill="auto"/>
            <w:vAlign w:val="center"/>
          </w:tcPr>
          <w:p w14:paraId="3ACE1DB5">
            <w:pPr>
              <w:pStyle w:val="50"/>
              <w:rPr>
                <w:b w:val="0"/>
                <w:bCs w:val="0"/>
              </w:rPr>
            </w:pPr>
            <w:r>
              <w:rPr>
                <w:rFonts w:hint="eastAsia"/>
                <w:b w:val="0"/>
                <w:bCs w:val="0"/>
              </w:rPr>
              <w:t>主席令第</w:t>
            </w:r>
            <w:r>
              <w:rPr>
                <w:b w:val="0"/>
                <w:bCs w:val="0"/>
              </w:rPr>
              <w:t>9</w:t>
            </w:r>
            <w:r>
              <w:rPr>
                <w:rFonts w:hint="eastAsia"/>
                <w:b w:val="0"/>
                <w:bCs w:val="0"/>
              </w:rPr>
              <w:t>号</w:t>
            </w:r>
          </w:p>
        </w:tc>
        <w:tc>
          <w:tcPr>
            <w:tcW w:w="2654" w:type="pct"/>
            <w:shd w:val="clear" w:color="auto" w:fill="auto"/>
            <w:vAlign w:val="center"/>
          </w:tcPr>
          <w:p w14:paraId="00F8E051">
            <w:pPr>
              <w:pStyle w:val="50"/>
              <w:rPr>
                <w:b w:val="0"/>
                <w:bCs w:val="0"/>
              </w:rPr>
            </w:pPr>
            <w:r>
              <w:rPr>
                <w:rFonts w:hint="eastAsia"/>
                <w:b w:val="0"/>
                <w:bCs w:val="0"/>
              </w:rPr>
              <w:t>中华人民共和国环境保护法</w:t>
            </w:r>
          </w:p>
        </w:tc>
        <w:tc>
          <w:tcPr>
            <w:tcW w:w="641" w:type="pct"/>
            <w:vMerge w:val="continue"/>
            <w:shd w:val="clear" w:color="auto" w:fill="auto"/>
            <w:vAlign w:val="center"/>
          </w:tcPr>
          <w:p w14:paraId="60D6BCA4">
            <w:pPr>
              <w:pStyle w:val="50"/>
              <w:rPr>
                <w:b w:val="0"/>
                <w:bCs w:val="0"/>
              </w:rPr>
            </w:pPr>
          </w:p>
        </w:tc>
      </w:tr>
      <w:tr w14:paraId="2A9DA9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4369437">
            <w:pPr>
              <w:pStyle w:val="50"/>
              <w:numPr>
                <w:ilvl w:val="0"/>
                <w:numId w:val="10"/>
              </w:numPr>
            </w:pPr>
          </w:p>
        </w:tc>
        <w:tc>
          <w:tcPr>
            <w:tcW w:w="1284" w:type="pct"/>
            <w:shd w:val="clear" w:color="auto" w:fill="auto"/>
            <w:vAlign w:val="center"/>
          </w:tcPr>
          <w:p w14:paraId="4B307CC8">
            <w:pPr>
              <w:pStyle w:val="50"/>
              <w:rPr>
                <w:b w:val="0"/>
                <w:bCs w:val="0"/>
              </w:rPr>
            </w:pPr>
            <w:r>
              <w:rPr>
                <w:rFonts w:hint="eastAsia"/>
                <w:b w:val="0"/>
                <w:bCs w:val="0"/>
              </w:rPr>
              <w:t>主席令第</w:t>
            </w:r>
            <w:r>
              <w:rPr>
                <w:b w:val="0"/>
                <w:bCs w:val="0"/>
              </w:rPr>
              <w:t>29</w:t>
            </w:r>
            <w:r>
              <w:rPr>
                <w:rFonts w:hint="eastAsia"/>
                <w:b w:val="0"/>
                <w:bCs w:val="0"/>
              </w:rPr>
              <w:t>号</w:t>
            </w:r>
          </w:p>
        </w:tc>
        <w:tc>
          <w:tcPr>
            <w:tcW w:w="2654" w:type="pct"/>
            <w:shd w:val="clear" w:color="auto" w:fill="auto"/>
            <w:vAlign w:val="center"/>
          </w:tcPr>
          <w:p w14:paraId="2EE36C60">
            <w:pPr>
              <w:pStyle w:val="50"/>
              <w:rPr>
                <w:b w:val="0"/>
                <w:bCs w:val="0"/>
              </w:rPr>
            </w:pPr>
            <w:r>
              <w:rPr>
                <w:rFonts w:hint="eastAsia"/>
                <w:b w:val="0"/>
                <w:bCs w:val="0"/>
              </w:rPr>
              <w:t>中华人民共和国建筑法</w:t>
            </w:r>
          </w:p>
        </w:tc>
        <w:tc>
          <w:tcPr>
            <w:tcW w:w="641" w:type="pct"/>
            <w:vMerge w:val="continue"/>
            <w:shd w:val="clear" w:color="auto" w:fill="auto"/>
            <w:vAlign w:val="center"/>
          </w:tcPr>
          <w:p w14:paraId="7872D5A4">
            <w:pPr>
              <w:pStyle w:val="50"/>
              <w:rPr>
                <w:b w:val="0"/>
                <w:bCs w:val="0"/>
              </w:rPr>
            </w:pPr>
          </w:p>
        </w:tc>
      </w:tr>
      <w:tr w14:paraId="3A3944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DC92C84">
            <w:pPr>
              <w:pStyle w:val="50"/>
              <w:numPr>
                <w:ilvl w:val="0"/>
                <w:numId w:val="10"/>
              </w:numPr>
            </w:pPr>
          </w:p>
        </w:tc>
        <w:tc>
          <w:tcPr>
            <w:tcW w:w="1284" w:type="pct"/>
            <w:shd w:val="clear" w:color="auto" w:fill="auto"/>
            <w:vAlign w:val="center"/>
          </w:tcPr>
          <w:p w14:paraId="5B729433">
            <w:pPr>
              <w:pStyle w:val="50"/>
              <w:rPr>
                <w:b w:val="0"/>
                <w:bCs w:val="0"/>
              </w:rPr>
            </w:pPr>
            <w:r>
              <w:rPr>
                <w:rFonts w:hint="eastAsia" w:eastAsiaTheme="minorEastAsia"/>
                <w:b w:val="0"/>
                <w:bCs w:val="0"/>
              </w:rPr>
              <w:t>主席令第32号</w:t>
            </w:r>
          </w:p>
        </w:tc>
        <w:tc>
          <w:tcPr>
            <w:tcW w:w="2654" w:type="pct"/>
            <w:shd w:val="clear" w:color="auto" w:fill="auto"/>
            <w:vAlign w:val="center"/>
          </w:tcPr>
          <w:p w14:paraId="09BE94BC">
            <w:pPr>
              <w:pStyle w:val="50"/>
              <w:rPr>
                <w:b w:val="0"/>
                <w:bCs w:val="0"/>
              </w:rPr>
            </w:pPr>
            <w:r>
              <w:rPr>
                <w:rFonts w:hint="eastAsia" w:eastAsiaTheme="minorEastAsia"/>
                <w:b w:val="0"/>
                <w:bCs w:val="0"/>
              </w:rPr>
              <w:t>中华人民共和国铁路法</w:t>
            </w:r>
          </w:p>
        </w:tc>
        <w:tc>
          <w:tcPr>
            <w:tcW w:w="641" w:type="pct"/>
            <w:vMerge w:val="continue"/>
            <w:shd w:val="clear" w:color="auto" w:fill="auto"/>
            <w:vAlign w:val="center"/>
          </w:tcPr>
          <w:p w14:paraId="71C699AB">
            <w:pPr>
              <w:pStyle w:val="50"/>
              <w:rPr>
                <w:b w:val="0"/>
                <w:bCs w:val="0"/>
              </w:rPr>
            </w:pPr>
          </w:p>
        </w:tc>
      </w:tr>
      <w:tr w14:paraId="732CF0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1303688">
            <w:pPr>
              <w:pStyle w:val="50"/>
              <w:numPr>
                <w:ilvl w:val="0"/>
                <w:numId w:val="10"/>
              </w:numPr>
            </w:pPr>
          </w:p>
        </w:tc>
        <w:tc>
          <w:tcPr>
            <w:tcW w:w="1284" w:type="pct"/>
            <w:shd w:val="clear" w:color="auto" w:fill="auto"/>
            <w:vAlign w:val="center"/>
          </w:tcPr>
          <w:p w14:paraId="2D9FAA3C">
            <w:pPr>
              <w:pStyle w:val="50"/>
              <w:rPr>
                <w:b w:val="0"/>
                <w:bCs w:val="0"/>
              </w:rPr>
            </w:pPr>
            <w:r>
              <w:rPr>
                <w:rFonts w:hint="eastAsia"/>
                <w:b w:val="0"/>
                <w:bCs w:val="0"/>
              </w:rPr>
              <w:t>主席令第</w:t>
            </w:r>
            <w:r>
              <w:rPr>
                <w:b w:val="0"/>
                <w:bCs w:val="0"/>
              </w:rPr>
              <w:t>69</w:t>
            </w:r>
            <w:r>
              <w:rPr>
                <w:rFonts w:hint="eastAsia"/>
                <w:b w:val="0"/>
                <w:bCs w:val="0"/>
              </w:rPr>
              <w:t>号</w:t>
            </w:r>
          </w:p>
        </w:tc>
        <w:tc>
          <w:tcPr>
            <w:tcW w:w="2654" w:type="pct"/>
            <w:shd w:val="clear" w:color="auto" w:fill="auto"/>
            <w:vAlign w:val="center"/>
          </w:tcPr>
          <w:p w14:paraId="41E08263">
            <w:pPr>
              <w:pStyle w:val="50"/>
              <w:rPr>
                <w:b w:val="0"/>
                <w:bCs w:val="0"/>
              </w:rPr>
            </w:pPr>
            <w:r>
              <w:rPr>
                <w:rFonts w:hint="eastAsia"/>
                <w:b w:val="0"/>
                <w:bCs w:val="0"/>
              </w:rPr>
              <w:t>中华人民共和国突发事件应对法</w:t>
            </w:r>
          </w:p>
        </w:tc>
        <w:tc>
          <w:tcPr>
            <w:tcW w:w="641" w:type="pct"/>
            <w:vMerge w:val="continue"/>
            <w:shd w:val="clear" w:color="auto" w:fill="auto"/>
            <w:vAlign w:val="center"/>
          </w:tcPr>
          <w:p w14:paraId="6A38865E">
            <w:pPr>
              <w:pStyle w:val="50"/>
              <w:rPr>
                <w:b w:val="0"/>
                <w:bCs w:val="0"/>
              </w:rPr>
            </w:pPr>
          </w:p>
        </w:tc>
      </w:tr>
      <w:tr w14:paraId="7BA70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5F956B6">
            <w:pPr>
              <w:pStyle w:val="50"/>
              <w:numPr>
                <w:ilvl w:val="0"/>
                <w:numId w:val="10"/>
              </w:numPr>
            </w:pPr>
          </w:p>
        </w:tc>
        <w:tc>
          <w:tcPr>
            <w:tcW w:w="1284" w:type="pct"/>
            <w:shd w:val="clear" w:color="auto" w:fill="auto"/>
            <w:vAlign w:val="center"/>
          </w:tcPr>
          <w:p w14:paraId="5D81C968">
            <w:pPr>
              <w:pStyle w:val="50"/>
              <w:rPr>
                <w:b w:val="0"/>
                <w:bCs w:val="0"/>
              </w:rPr>
            </w:pPr>
            <w:r>
              <w:rPr>
                <w:rFonts w:hint="eastAsia"/>
                <w:b w:val="0"/>
                <w:bCs w:val="0"/>
              </w:rPr>
              <w:t>主席令第</w:t>
            </w:r>
            <w:r>
              <w:rPr>
                <w:b w:val="0"/>
                <w:bCs w:val="0"/>
              </w:rPr>
              <w:t>88</w:t>
            </w:r>
            <w:r>
              <w:rPr>
                <w:rFonts w:hint="eastAsia"/>
                <w:b w:val="0"/>
                <w:bCs w:val="0"/>
              </w:rPr>
              <w:t>号</w:t>
            </w:r>
          </w:p>
        </w:tc>
        <w:tc>
          <w:tcPr>
            <w:tcW w:w="2654" w:type="pct"/>
            <w:shd w:val="clear" w:color="auto" w:fill="auto"/>
            <w:vAlign w:val="center"/>
          </w:tcPr>
          <w:p w14:paraId="51E96634">
            <w:pPr>
              <w:pStyle w:val="50"/>
              <w:rPr>
                <w:b w:val="0"/>
                <w:bCs w:val="0"/>
              </w:rPr>
            </w:pPr>
            <w:r>
              <w:rPr>
                <w:b w:val="0"/>
                <w:bCs w:val="0"/>
              </w:rPr>
              <w:t>中华人民共和国安全生产法</w:t>
            </w:r>
          </w:p>
        </w:tc>
        <w:tc>
          <w:tcPr>
            <w:tcW w:w="641" w:type="pct"/>
            <w:vMerge w:val="continue"/>
            <w:shd w:val="clear" w:color="auto" w:fill="auto"/>
            <w:vAlign w:val="center"/>
          </w:tcPr>
          <w:p w14:paraId="27D58139">
            <w:pPr>
              <w:pStyle w:val="50"/>
              <w:rPr>
                <w:b w:val="0"/>
                <w:bCs w:val="0"/>
              </w:rPr>
            </w:pPr>
          </w:p>
        </w:tc>
      </w:tr>
      <w:tr w14:paraId="44348E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256FAC98">
            <w:pPr>
              <w:pStyle w:val="50"/>
              <w:numPr>
                <w:ilvl w:val="0"/>
                <w:numId w:val="10"/>
              </w:numPr>
            </w:pPr>
          </w:p>
        </w:tc>
        <w:tc>
          <w:tcPr>
            <w:tcW w:w="1284" w:type="pct"/>
            <w:shd w:val="clear" w:color="auto" w:fill="auto"/>
            <w:vAlign w:val="center"/>
          </w:tcPr>
          <w:p w14:paraId="6808AE11">
            <w:pPr>
              <w:pStyle w:val="50"/>
              <w:rPr>
                <w:b w:val="0"/>
                <w:bCs w:val="0"/>
              </w:rPr>
            </w:pPr>
            <w:r>
              <w:rPr>
                <w:rFonts w:hint="eastAsia"/>
                <w:b w:val="0"/>
                <w:bCs w:val="0"/>
              </w:rPr>
              <w:t>国务院令第279号</w:t>
            </w:r>
          </w:p>
        </w:tc>
        <w:tc>
          <w:tcPr>
            <w:tcW w:w="2654" w:type="pct"/>
            <w:shd w:val="clear" w:color="auto" w:fill="auto"/>
            <w:vAlign w:val="center"/>
          </w:tcPr>
          <w:p w14:paraId="1E0069D9">
            <w:pPr>
              <w:pStyle w:val="50"/>
              <w:rPr>
                <w:b w:val="0"/>
                <w:bCs w:val="0"/>
              </w:rPr>
            </w:pPr>
            <w:r>
              <w:rPr>
                <w:rFonts w:hint="eastAsia"/>
                <w:b w:val="0"/>
                <w:bCs w:val="0"/>
              </w:rPr>
              <w:t>建设工程质量管理条例</w:t>
            </w:r>
          </w:p>
        </w:tc>
        <w:tc>
          <w:tcPr>
            <w:tcW w:w="641" w:type="pct"/>
            <w:vMerge w:val="restart"/>
            <w:shd w:val="clear" w:color="auto" w:fill="auto"/>
            <w:vAlign w:val="center"/>
          </w:tcPr>
          <w:p w14:paraId="3F91496E">
            <w:pPr>
              <w:pStyle w:val="50"/>
              <w:rPr>
                <w:b w:val="0"/>
                <w:bCs w:val="0"/>
              </w:rPr>
            </w:pPr>
            <w:r>
              <w:rPr>
                <w:rFonts w:hint="eastAsia"/>
                <w:b w:val="0"/>
                <w:bCs w:val="0"/>
              </w:rPr>
              <w:t>法规</w:t>
            </w:r>
          </w:p>
        </w:tc>
      </w:tr>
      <w:tr w14:paraId="50EDBE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8FD36C6">
            <w:pPr>
              <w:pStyle w:val="50"/>
              <w:numPr>
                <w:ilvl w:val="0"/>
                <w:numId w:val="10"/>
              </w:numPr>
            </w:pPr>
          </w:p>
        </w:tc>
        <w:tc>
          <w:tcPr>
            <w:tcW w:w="1284" w:type="pct"/>
            <w:shd w:val="clear" w:color="auto" w:fill="auto"/>
            <w:vAlign w:val="center"/>
          </w:tcPr>
          <w:p w14:paraId="16C200DC">
            <w:pPr>
              <w:pStyle w:val="50"/>
              <w:rPr>
                <w:b w:val="0"/>
                <w:bCs w:val="0"/>
              </w:rPr>
            </w:pPr>
            <w:r>
              <w:rPr>
                <w:rFonts w:hint="eastAsia"/>
                <w:b w:val="0"/>
                <w:bCs w:val="0"/>
              </w:rPr>
              <w:t>国务院令第393号</w:t>
            </w:r>
          </w:p>
        </w:tc>
        <w:tc>
          <w:tcPr>
            <w:tcW w:w="2654" w:type="pct"/>
            <w:shd w:val="clear" w:color="auto" w:fill="auto"/>
            <w:vAlign w:val="center"/>
          </w:tcPr>
          <w:p w14:paraId="1731B8C9">
            <w:pPr>
              <w:pStyle w:val="50"/>
              <w:rPr>
                <w:b w:val="0"/>
                <w:bCs w:val="0"/>
              </w:rPr>
            </w:pPr>
            <w:r>
              <w:rPr>
                <w:rFonts w:hint="eastAsia"/>
                <w:b w:val="0"/>
                <w:bCs w:val="0"/>
              </w:rPr>
              <w:t>建设工程安全生产管理条例</w:t>
            </w:r>
          </w:p>
        </w:tc>
        <w:tc>
          <w:tcPr>
            <w:tcW w:w="641" w:type="pct"/>
            <w:vMerge w:val="continue"/>
            <w:shd w:val="clear" w:color="auto" w:fill="auto"/>
            <w:vAlign w:val="center"/>
          </w:tcPr>
          <w:p w14:paraId="7B0800E1">
            <w:pPr>
              <w:pStyle w:val="50"/>
              <w:rPr>
                <w:b w:val="0"/>
                <w:bCs w:val="0"/>
              </w:rPr>
            </w:pPr>
          </w:p>
        </w:tc>
      </w:tr>
      <w:tr w14:paraId="4A7E6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4BD128C">
            <w:pPr>
              <w:pStyle w:val="50"/>
              <w:numPr>
                <w:ilvl w:val="0"/>
                <w:numId w:val="10"/>
              </w:numPr>
            </w:pPr>
          </w:p>
        </w:tc>
        <w:tc>
          <w:tcPr>
            <w:tcW w:w="1284" w:type="pct"/>
            <w:shd w:val="clear" w:color="auto" w:fill="auto"/>
            <w:vAlign w:val="center"/>
          </w:tcPr>
          <w:p w14:paraId="3EC1C755">
            <w:pPr>
              <w:pStyle w:val="50"/>
              <w:rPr>
                <w:b w:val="0"/>
                <w:bCs w:val="0"/>
              </w:rPr>
            </w:pPr>
            <w:r>
              <w:rPr>
                <w:b w:val="0"/>
                <w:bCs w:val="0"/>
              </w:rPr>
              <w:t>国务院令第397号</w:t>
            </w:r>
          </w:p>
        </w:tc>
        <w:tc>
          <w:tcPr>
            <w:tcW w:w="2654" w:type="pct"/>
            <w:shd w:val="clear" w:color="auto" w:fill="auto"/>
            <w:vAlign w:val="center"/>
          </w:tcPr>
          <w:p w14:paraId="70DDA891">
            <w:pPr>
              <w:pStyle w:val="50"/>
              <w:rPr>
                <w:b w:val="0"/>
                <w:bCs w:val="0"/>
              </w:rPr>
            </w:pPr>
            <w:r>
              <w:rPr>
                <w:b w:val="0"/>
                <w:bCs w:val="0"/>
              </w:rPr>
              <w:t>安全生产许可证条例（2014年修订）</w:t>
            </w:r>
          </w:p>
        </w:tc>
        <w:tc>
          <w:tcPr>
            <w:tcW w:w="641" w:type="pct"/>
            <w:vMerge w:val="continue"/>
            <w:shd w:val="clear" w:color="auto" w:fill="auto"/>
            <w:vAlign w:val="center"/>
          </w:tcPr>
          <w:p w14:paraId="7F652182">
            <w:pPr>
              <w:pStyle w:val="50"/>
              <w:rPr>
                <w:b w:val="0"/>
                <w:bCs w:val="0"/>
              </w:rPr>
            </w:pPr>
          </w:p>
        </w:tc>
      </w:tr>
      <w:tr w14:paraId="5287C4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55202A6">
            <w:pPr>
              <w:pStyle w:val="50"/>
              <w:numPr>
                <w:ilvl w:val="0"/>
                <w:numId w:val="10"/>
              </w:numPr>
            </w:pPr>
          </w:p>
        </w:tc>
        <w:tc>
          <w:tcPr>
            <w:tcW w:w="1284" w:type="pct"/>
            <w:shd w:val="clear" w:color="auto" w:fill="auto"/>
            <w:vAlign w:val="center"/>
          </w:tcPr>
          <w:p w14:paraId="5C4F003B">
            <w:pPr>
              <w:pStyle w:val="50"/>
              <w:rPr>
                <w:b w:val="0"/>
                <w:bCs w:val="0"/>
              </w:rPr>
            </w:pPr>
            <w:r>
              <w:rPr>
                <w:rFonts w:hint="eastAsia"/>
                <w:b w:val="0"/>
                <w:bCs w:val="0"/>
              </w:rPr>
              <w:t>国务院令第549号</w:t>
            </w:r>
          </w:p>
        </w:tc>
        <w:tc>
          <w:tcPr>
            <w:tcW w:w="2654" w:type="pct"/>
            <w:shd w:val="clear" w:color="auto" w:fill="auto"/>
            <w:vAlign w:val="center"/>
          </w:tcPr>
          <w:p w14:paraId="1AABF86A">
            <w:pPr>
              <w:pStyle w:val="50"/>
              <w:rPr>
                <w:b w:val="0"/>
                <w:bCs w:val="0"/>
              </w:rPr>
            </w:pPr>
            <w:r>
              <w:rPr>
                <w:rFonts w:hint="eastAsia"/>
                <w:b w:val="0"/>
                <w:bCs w:val="0"/>
              </w:rPr>
              <w:t>特种设备安全监察条例</w:t>
            </w:r>
          </w:p>
        </w:tc>
        <w:tc>
          <w:tcPr>
            <w:tcW w:w="641" w:type="pct"/>
            <w:vMerge w:val="continue"/>
            <w:shd w:val="clear" w:color="auto" w:fill="auto"/>
            <w:vAlign w:val="center"/>
          </w:tcPr>
          <w:p w14:paraId="53CECEEB">
            <w:pPr>
              <w:pStyle w:val="50"/>
              <w:rPr>
                <w:b w:val="0"/>
                <w:bCs w:val="0"/>
              </w:rPr>
            </w:pPr>
          </w:p>
        </w:tc>
      </w:tr>
      <w:tr w14:paraId="730AA8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1ACE5A17">
            <w:pPr>
              <w:pStyle w:val="50"/>
              <w:numPr>
                <w:ilvl w:val="0"/>
                <w:numId w:val="10"/>
              </w:numPr>
            </w:pPr>
          </w:p>
        </w:tc>
        <w:tc>
          <w:tcPr>
            <w:tcW w:w="1284" w:type="pct"/>
            <w:shd w:val="clear" w:color="auto" w:fill="auto"/>
            <w:vAlign w:val="center"/>
          </w:tcPr>
          <w:p w14:paraId="5E85280C">
            <w:pPr>
              <w:pStyle w:val="50"/>
              <w:rPr>
                <w:b w:val="0"/>
                <w:bCs w:val="0"/>
              </w:rPr>
            </w:pPr>
            <w:r>
              <w:rPr>
                <w:rFonts w:hint="eastAsia" w:eastAsiaTheme="minorEastAsia"/>
                <w:b w:val="0"/>
                <w:bCs w:val="0"/>
              </w:rPr>
              <w:t>国务院令第639号</w:t>
            </w:r>
          </w:p>
        </w:tc>
        <w:tc>
          <w:tcPr>
            <w:tcW w:w="2654" w:type="pct"/>
            <w:shd w:val="clear" w:color="auto" w:fill="auto"/>
            <w:vAlign w:val="center"/>
          </w:tcPr>
          <w:p w14:paraId="2A0D6F17">
            <w:pPr>
              <w:pStyle w:val="50"/>
              <w:rPr>
                <w:b w:val="0"/>
                <w:bCs w:val="0"/>
              </w:rPr>
            </w:pPr>
            <w:r>
              <w:rPr>
                <w:rFonts w:hint="eastAsia" w:eastAsiaTheme="minorEastAsia"/>
                <w:b w:val="0"/>
                <w:bCs w:val="0"/>
              </w:rPr>
              <w:t>铁路安全管理条例</w:t>
            </w:r>
          </w:p>
        </w:tc>
        <w:tc>
          <w:tcPr>
            <w:tcW w:w="641" w:type="pct"/>
            <w:vMerge w:val="continue"/>
            <w:shd w:val="clear" w:color="auto" w:fill="auto"/>
            <w:vAlign w:val="center"/>
          </w:tcPr>
          <w:p w14:paraId="2F8B5339">
            <w:pPr>
              <w:pStyle w:val="50"/>
              <w:rPr>
                <w:b w:val="0"/>
                <w:bCs w:val="0"/>
              </w:rPr>
            </w:pPr>
          </w:p>
        </w:tc>
      </w:tr>
      <w:tr w14:paraId="755A6A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113198D7">
            <w:pPr>
              <w:pStyle w:val="50"/>
              <w:numPr>
                <w:ilvl w:val="0"/>
                <w:numId w:val="10"/>
              </w:numPr>
            </w:pPr>
          </w:p>
        </w:tc>
        <w:tc>
          <w:tcPr>
            <w:tcW w:w="1284" w:type="pct"/>
            <w:shd w:val="clear" w:color="auto" w:fill="auto"/>
            <w:vAlign w:val="center"/>
          </w:tcPr>
          <w:p w14:paraId="4C338F05">
            <w:pPr>
              <w:pStyle w:val="50"/>
              <w:rPr>
                <w:b w:val="0"/>
                <w:bCs w:val="0"/>
              </w:rPr>
            </w:pPr>
            <w:r>
              <w:rPr>
                <w:rFonts w:hint="eastAsia"/>
                <w:b w:val="0"/>
                <w:bCs w:val="0"/>
              </w:rPr>
              <w:t>安监局令第</w:t>
            </w:r>
            <w:r>
              <w:rPr>
                <w:b w:val="0"/>
                <w:bCs w:val="0"/>
              </w:rPr>
              <w:t>30</w:t>
            </w:r>
            <w:r>
              <w:rPr>
                <w:rFonts w:hint="eastAsia"/>
                <w:b w:val="0"/>
                <w:bCs w:val="0"/>
              </w:rPr>
              <w:t>号</w:t>
            </w:r>
          </w:p>
        </w:tc>
        <w:tc>
          <w:tcPr>
            <w:tcW w:w="2654" w:type="pct"/>
            <w:shd w:val="clear" w:color="auto" w:fill="auto"/>
            <w:vAlign w:val="center"/>
          </w:tcPr>
          <w:p w14:paraId="76919C97">
            <w:pPr>
              <w:pStyle w:val="50"/>
              <w:rPr>
                <w:b w:val="0"/>
                <w:bCs w:val="0"/>
              </w:rPr>
            </w:pPr>
            <w:r>
              <w:rPr>
                <w:rFonts w:hint="eastAsia"/>
                <w:b w:val="0"/>
                <w:bCs w:val="0"/>
              </w:rPr>
              <w:t>特种作业人员安全技术培训考核管理办法</w:t>
            </w:r>
          </w:p>
        </w:tc>
        <w:tc>
          <w:tcPr>
            <w:tcW w:w="641" w:type="pct"/>
            <w:shd w:val="clear" w:color="auto" w:fill="auto"/>
            <w:vAlign w:val="center"/>
          </w:tcPr>
          <w:p w14:paraId="5363255A">
            <w:pPr>
              <w:pStyle w:val="50"/>
              <w:rPr>
                <w:b w:val="0"/>
                <w:bCs w:val="0"/>
              </w:rPr>
            </w:pPr>
            <w:r>
              <w:rPr>
                <w:rFonts w:hint="eastAsia"/>
                <w:b w:val="0"/>
                <w:bCs w:val="0"/>
              </w:rPr>
              <w:t>应急管理部</w:t>
            </w:r>
          </w:p>
        </w:tc>
      </w:tr>
      <w:tr w14:paraId="7C02C9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88ABBEA">
            <w:pPr>
              <w:pStyle w:val="50"/>
              <w:numPr>
                <w:ilvl w:val="0"/>
                <w:numId w:val="10"/>
              </w:numPr>
            </w:pPr>
          </w:p>
        </w:tc>
        <w:tc>
          <w:tcPr>
            <w:tcW w:w="1284" w:type="pct"/>
            <w:shd w:val="clear" w:color="auto" w:fill="auto"/>
            <w:vAlign w:val="center"/>
          </w:tcPr>
          <w:p w14:paraId="27170B01">
            <w:pPr>
              <w:pStyle w:val="50"/>
              <w:rPr>
                <w:b w:val="0"/>
                <w:bCs w:val="0"/>
              </w:rPr>
            </w:pPr>
            <w:r>
              <w:rPr>
                <w:rFonts w:hint="eastAsia"/>
                <w:b w:val="0"/>
                <w:bCs w:val="0"/>
              </w:rPr>
              <w:t>质检总局令第1</w:t>
            </w:r>
            <w:r>
              <w:rPr>
                <w:b w:val="0"/>
                <w:bCs w:val="0"/>
              </w:rPr>
              <w:t>15</w:t>
            </w:r>
            <w:r>
              <w:rPr>
                <w:rFonts w:hint="eastAsia"/>
                <w:b w:val="0"/>
                <w:bCs w:val="0"/>
              </w:rPr>
              <w:t>号</w:t>
            </w:r>
          </w:p>
        </w:tc>
        <w:tc>
          <w:tcPr>
            <w:tcW w:w="2654" w:type="pct"/>
            <w:shd w:val="clear" w:color="auto" w:fill="auto"/>
            <w:vAlign w:val="center"/>
          </w:tcPr>
          <w:p w14:paraId="405497EF">
            <w:pPr>
              <w:pStyle w:val="50"/>
              <w:rPr>
                <w:b w:val="0"/>
                <w:bCs w:val="0"/>
              </w:rPr>
            </w:pPr>
            <w:r>
              <w:rPr>
                <w:rFonts w:hint="eastAsia"/>
                <w:b w:val="0"/>
                <w:bCs w:val="0"/>
              </w:rPr>
              <w:t>特种设备事故报告和调查处理规定</w:t>
            </w:r>
          </w:p>
        </w:tc>
        <w:tc>
          <w:tcPr>
            <w:tcW w:w="641" w:type="pct"/>
            <w:vMerge w:val="restart"/>
            <w:shd w:val="clear" w:color="auto" w:fill="auto"/>
            <w:vAlign w:val="center"/>
          </w:tcPr>
          <w:p w14:paraId="7EFEEEC7">
            <w:pPr>
              <w:pStyle w:val="50"/>
              <w:rPr>
                <w:b w:val="0"/>
                <w:bCs w:val="0"/>
              </w:rPr>
            </w:pPr>
            <w:r>
              <w:rPr>
                <w:rFonts w:hint="eastAsia"/>
                <w:b w:val="0"/>
                <w:bCs w:val="0"/>
              </w:rPr>
              <w:t>国家市场监督管理总局特种设备安全监察局</w:t>
            </w:r>
          </w:p>
        </w:tc>
      </w:tr>
      <w:tr w14:paraId="2AABC4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7B1242E">
            <w:pPr>
              <w:pStyle w:val="50"/>
              <w:numPr>
                <w:ilvl w:val="0"/>
                <w:numId w:val="10"/>
              </w:numPr>
            </w:pPr>
          </w:p>
        </w:tc>
        <w:tc>
          <w:tcPr>
            <w:tcW w:w="1284" w:type="pct"/>
            <w:shd w:val="clear" w:color="auto" w:fill="auto"/>
            <w:vAlign w:val="center"/>
          </w:tcPr>
          <w:p w14:paraId="05D42D21">
            <w:pPr>
              <w:pStyle w:val="50"/>
              <w:rPr>
                <w:b w:val="0"/>
                <w:bCs w:val="0"/>
              </w:rPr>
            </w:pPr>
            <w:r>
              <w:rPr>
                <w:rFonts w:hint="eastAsia"/>
                <w:b w:val="0"/>
                <w:bCs w:val="0"/>
              </w:rPr>
              <w:t>质检总局令第140号</w:t>
            </w:r>
          </w:p>
        </w:tc>
        <w:tc>
          <w:tcPr>
            <w:tcW w:w="2654" w:type="pct"/>
            <w:shd w:val="clear" w:color="auto" w:fill="auto"/>
            <w:vAlign w:val="center"/>
          </w:tcPr>
          <w:p w14:paraId="1DCBACC7">
            <w:pPr>
              <w:pStyle w:val="50"/>
              <w:rPr>
                <w:b w:val="0"/>
                <w:bCs w:val="0"/>
              </w:rPr>
            </w:pPr>
            <w:r>
              <w:rPr>
                <w:rFonts w:hint="eastAsia"/>
                <w:b w:val="0"/>
                <w:bCs w:val="0"/>
              </w:rPr>
              <w:t>特种设备作业人员监督管理办法</w:t>
            </w:r>
          </w:p>
        </w:tc>
        <w:tc>
          <w:tcPr>
            <w:tcW w:w="641" w:type="pct"/>
            <w:vMerge w:val="continue"/>
            <w:shd w:val="clear" w:color="auto" w:fill="auto"/>
            <w:vAlign w:val="center"/>
          </w:tcPr>
          <w:p w14:paraId="60AAC966">
            <w:pPr>
              <w:pStyle w:val="50"/>
              <w:rPr>
                <w:b w:val="0"/>
                <w:bCs w:val="0"/>
              </w:rPr>
            </w:pPr>
          </w:p>
        </w:tc>
      </w:tr>
      <w:tr w14:paraId="2844E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1309732">
            <w:pPr>
              <w:pStyle w:val="50"/>
              <w:numPr>
                <w:ilvl w:val="0"/>
                <w:numId w:val="10"/>
              </w:numPr>
            </w:pPr>
          </w:p>
        </w:tc>
        <w:tc>
          <w:tcPr>
            <w:tcW w:w="1284" w:type="pct"/>
            <w:shd w:val="clear" w:color="auto" w:fill="auto"/>
            <w:vAlign w:val="center"/>
          </w:tcPr>
          <w:p w14:paraId="4A632689">
            <w:pPr>
              <w:pStyle w:val="50"/>
              <w:rPr>
                <w:b w:val="0"/>
                <w:bCs w:val="0"/>
              </w:rPr>
            </w:pPr>
            <w:r>
              <w:rPr>
                <w:rFonts w:hint="eastAsia"/>
                <w:b w:val="0"/>
                <w:bCs w:val="0"/>
              </w:rPr>
              <w:t>2</w:t>
            </w:r>
            <w:r>
              <w:rPr>
                <w:b w:val="0"/>
                <w:bCs w:val="0"/>
              </w:rPr>
              <w:t>015</w:t>
            </w:r>
            <w:r>
              <w:rPr>
                <w:rFonts w:hint="eastAsia"/>
                <w:b w:val="0"/>
                <w:bCs w:val="0"/>
              </w:rPr>
              <w:t>年第5号</w:t>
            </w:r>
          </w:p>
        </w:tc>
        <w:tc>
          <w:tcPr>
            <w:tcW w:w="2654" w:type="pct"/>
            <w:shd w:val="clear" w:color="auto" w:fill="auto"/>
            <w:vAlign w:val="center"/>
          </w:tcPr>
          <w:p w14:paraId="2E60F6A6">
            <w:pPr>
              <w:pStyle w:val="50"/>
              <w:rPr>
                <w:b w:val="0"/>
                <w:bCs w:val="0"/>
              </w:rPr>
            </w:pPr>
            <w:r>
              <w:rPr>
                <w:rFonts w:hint="eastAsia"/>
                <w:b w:val="0"/>
                <w:bCs w:val="0"/>
              </w:rPr>
              <w:t>特种设备现场安全监督检查规则</w:t>
            </w:r>
          </w:p>
        </w:tc>
        <w:tc>
          <w:tcPr>
            <w:tcW w:w="641" w:type="pct"/>
            <w:vMerge w:val="continue"/>
            <w:shd w:val="clear" w:color="auto" w:fill="auto"/>
            <w:vAlign w:val="center"/>
          </w:tcPr>
          <w:p w14:paraId="4F96363B">
            <w:pPr>
              <w:pStyle w:val="50"/>
              <w:rPr>
                <w:b w:val="0"/>
                <w:bCs w:val="0"/>
              </w:rPr>
            </w:pPr>
          </w:p>
        </w:tc>
      </w:tr>
      <w:tr w14:paraId="0F60EF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0AB8B219">
            <w:pPr>
              <w:pStyle w:val="50"/>
              <w:numPr>
                <w:ilvl w:val="0"/>
                <w:numId w:val="10"/>
              </w:numPr>
            </w:pPr>
          </w:p>
        </w:tc>
        <w:tc>
          <w:tcPr>
            <w:tcW w:w="1284" w:type="pct"/>
            <w:shd w:val="clear" w:color="auto" w:fill="auto"/>
            <w:vAlign w:val="center"/>
          </w:tcPr>
          <w:p w14:paraId="448A6B8D">
            <w:pPr>
              <w:pStyle w:val="50"/>
              <w:rPr>
                <w:b w:val="0"/>
                <w:bCs w:val="0"/>
              </w:rPr>
            </w:pPr>
            <w:r>
              <w:rPr>
                <w:b w:val="0"/>
                <w:bCs w:val="0"/>
              </w:rPr>
              <w:t>TSG Q7014-2008</w:t>
            </w:r>
          </w:p>
        </w:tc>
        <w:tc>
          <w:tcPr>
            <w:tcW w:w="2654" w:type="pct"/>
            <w:shd w:val="clear" w:color="auto" w:fill="auto"/>
            <w:vAlign w:val="center"/>
          </w:tcPr>
          <w:p w14:paraId="202917E4">
            <w:pPr>
              <w:pStyle w:val="50"/>
              <w:rPr>
                <w:b w:val="0"/>
                <w:bCs w:val="0"/>
              </w:rPr>
            </w:pPr>
            <w:r>
              <w:rPr>
                <w:rFonts w:hint="eastAsia"/>
                <w:b w:val="0"/>
                <w:bCs w:val="0"/>
              </w:rPr>
              <w:t>起重机械安全保护装置型式试验细则</w:t>
            </w:r>
          </w:p>
        </w:tc>
        <w:tc>
          <w:tcPr>
            <w:tcW w:w="641" w:type="pct"/>
            <w:vMerge w:val="continue"/>
            <w:shd w:val="clear" w:color="auto" w:fill="auto"/>
            <w:vAlign w:val="center"/>
          </w:tcPr>
          <w:p w14:paraId="542DF503">
            <w:pPr>
              <w:pStyle w:val="50"/>
              <w:rPr>
                <w:b w:val="0"/>
                <w:bCs w:val="0"/>
              </w:rPr>
            </w:pPr>
          </w:p>
        </w:tc>
      </w:tr>
      <w:tr w14:paraId="18E7C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2D48E526">
            <w:pPr>
              <w:pStyle w:val="50"/>
              <w:numPr>
                <w:ilvl w:val="0"/>
                <w:numId w:val="10"/>
              </w:numPr>
            </w:pPr>
          </w:p>
        </w:tc>
        <w:tc>
          <w:tcPr>
            <w:tcW w:w="1284" w:type="pct"/>
            <w:shd w:val="clear" w:color="auto" w:fill="auto"/>
            <w:vAlign w:val="center"/>
          </w:tcPr>
          <w:p w14:paraId="339246CA">
            <w:pPr>
              <w:pStyle w:val="50"/>
              <w:rPr>
                <w:b w:val="0"/>
                <w:bCs w:val="0"/>
              </w:rPr>
            </w:pPr>
            <w:r>
              <w:rPr>
                <w:rFonts w:hint="eastAsia"/>
                <w:b w:val="0"/>
                <w:bCs w:val="0"/>
              </w:rPr>
              <w:t>TSG</w:t>
            </w:r>
            <w:r>
              <w:rPr>
                <w:b w:val="0"/>
                <w:bCs w:val="0"/>
              </w:rPr>
              <w:t xml:space="preserve"> </w:t>
            </w:r>
            <w:r>
              <w:rPr>
                <w:rFonts w:hint="eastAsia"/>
                <w:b w:val="0"/>
                <w:bCs w:val="0"/>
              </w:rPr>
              <w:t>Q</w:t>
            </w:r>
            <w:r>
              <w:rPr>
                <w:b w:val="0"/>
                <w:bCs w:val="0"/>
              </w:rPr>
              <w:t>7016-2016</w:t>
            </w:r>
          </w:p>
        </w:tc>
        <w:tc>
          <w:tcPr>
            <w:tcW w:w="2654" w:type="pct"/>
            <w:shd w:val="clear" w:color="auto" w:fill="auto"/>
            <w:vAlign w:val="center"/>
          </w:tcPr>
          <w:p w14:paraId="357708D7">
            <w:pPr>
              <w:pStyle w:val="50"/>
              <w:rPr>
                <w:b w:val="0"/>
                <w:bCs w:val="0"/>
              </w:rPr>
            </w:pPr>
            <w:r>
              <w:rPr>
                <w:rFonts w:hint="eastAsia"/>
                <w:b w:val="0"/>
                <w:bCs w:val="0"/>
              </w:rPr>
              <w:t>起重机械安装改造重大修理监督检验规则</w:t>
            </w:r>
          </w:p>
        </w:tc>
        <w:tc>
          <w:tcPr>
            <w:tcW w:w="641" w:type="pct"/>
            <w:vMerge w:val="continue"/>
            <w:shd w:val="clear" w:color="auto" w:fill="auto"/>
            <w:vAlign w:val="center"/>
          </w:tcPr>
          <w:p w14:paraId="31AF9DB7">
            <w:pPr>
              <w:pStyle w:val="50"/>
              <w:rPr>
                <w:b w:val="0"/>
                <w:bCs w:val="0"/>
              </w:rPr>
            </w:pPr>
          </w:p>
        </w:tc>
      </w:tr>
      <w:tr w14:paraId="2E1E0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13F9E69">
            <w:pPr>
              <w:pStyle w:val="50"/>
              <w:numPr>
                <w:ilvl w:val="0"/>
                <w:numId w:val="10"/>
              </w:numPr>
            </w:pPr>
          </w:p>
        </w:tc>
        <w:tc>
          <w:tcPr>
            <w:tcW w:w="1284" w:type="pct"/>
            <w:shd w:val="clear" w:color="auto" w:fill="auto"/>
            <w:vAlign w:val="center"/>
          </w:tcPr>
          <w:p w14:paraId="02965AA9">
            <w:pPr>
              <w:pStyle w:val="50"/>
              <w:rPr>
                <w:b w:val="0"/>
                <w:bCs w:val="0"/>
              </w:rPr>
            </w:pPr>
            <w:r>
              <w:rPr>
                <w:rFonts w:hint="eastAsia"/>
                <w:b w:val="0"/>
                <w:bCs w:val="0"/>
              </w:rPr>
              <w:t>TSG 08-2017</w:t>
            </w:r>
          </w:p>
        </w:tc>
        <w:tc>
          <w:tcPr>
            <w:tcW w:w="2654" w:type="pct"/>
            <w:shd w:val="clear" w:color="auto" w:fill="auto"/>
            <w:vAlign w:val="center"/>
          </w:tcPr>
          <w:p w14:paraId="6C4D710A">
            <w:pPr>
              <w:pStyle w:val="50"/>
              <w:rPr>
                <w:b w:val="0"/>
                <w:bCs w:val="0"/>
              </w:rPr>
            </w:pPr>
            <w:r>
              <w:rPr>
                <w:rFonts w:hint="eastAsia"/>
                <w:b w:val="0"/>
                <w:bCs w:val="0"/>
              </w:rPr>
              <w:t>特种设备使用管理规则</w:t>
            </w:r>
          </w:p>
        </w:tc>
        <w:tc>
          <w:tcPr>
            <w:tcW w:w="641" w:type="pct"/>
            <w:vMerge w:val="continue"/>
            <w:shd w:val="clear" w:color="auto" w:fill="auto"/>
            <w:vAlign w:val="center"/>
          </w:tcPr>
          <w:p w14:paraId="6AB4983B">
            <w:pPr>
              <w:pStyle w:val="50"/>
              <w:rPr>
                <w:b w:val="0"/>
                <w:bCs w:val="0"/>
              </w:rPr>
            </w:pPr>
          </w:p>
        </w:tc>
      </w:tr>
      <w:tr w14:paraId="709B66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52968277">
            <w:pPr>
              <w:pStyle w:val="50"/>
              <w:numPr>
                <w:ilvl w:val="0"/>
                <w:numId w:val="10"/>
              </w:numPr>
            </w:pPr>
          </w:p>
        </w:tc>
        <w:tc>
          <w:tcPr>
            <w:tcW w:w="1284" w:type="pct"/>
            <w:shd w:val="clear" w:color="auto" w:fill="auto"/>
            <w:vAlign w:val="center"/>
          </w:tcPr>
          <w:p w14:paraId="57AFDA9D">
            <w:pPr>
              <w:pStyle w:val="50"/>
              <w:rPr>
                <w:b w:val="0"/>
                <w:bCs w:val="0"/>
              </w:rPr>
            </w:pPr>
            <w:r>
              <w:rPr>
                <w:rFonts w:hint="eastAsia"/>
                <w:b w:val="0"/>
                <w:bCs w:val="0"/>
              </w:rPr>
              <w:t>TSG 07-2019</w:t>
            </w:r>
          </w:p>
        </w:tc>
        <w:tc>
          <w:tcPr>
            <w:tcW w:w="2654" w:type="pct"/>
            <w:shd w:val="clear" w:color="auto" w:fill="auto"/>
            <w:vAlign w:val="center"/>
          </w:tcPr>
          <w:p w14:paraId="6EE480BD">
            <w:pPr>
              <w:pStyle w:val="50"/>
              <w:rPr>
                <w:b w:val="0"/>
                <w:bCs w:val="0"/>
              </w:rPr>
            </w:pPr>
            <w:r>
              <w:rPr>
                <w:rFonts w:hint="eastAsia"/>
                <w:b w:val="0"/>
                <w:bCs w:val="0"/>
              </w:rPr>
              <w:t>特种设备生产和充装单位许可规则</w:t>
            </w:r>
          </w:p>
        </w:tc>
        <w:tc>
          <w:tcPr>
            <w:tcW w:w="641" w:type="pct"/>
            <w:vMerge w:val="continue"/>
            <w:shd w:val="clear" w:color="auto" w:fill="auto"/>
            <w:vAlign w:val="center"/>
          </w:tcPr>
          <w:p w14:paraId="67491DA5">
            <w:pPr>
              <w:pStyle w:val="50"/>
              <w:rPr>
                <w:b w:val="0"/>
                <w:bCs w:val="0"/>
              </w:rPr>
            </w:pPr>
          </w:p>
        </w:tc>
      </w:tr>
      <w:tr w14:paraId="0F4386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74D339C">
            <w:pPr>
              <w:pStyle w:val="50"/>
              <w:numPr>
                <w:ilvl w:val="0"/>
                <w:numId w:val="10"/>
              </w:numPr>
            </w:pPr>
          </w:p>
        </w:tc>
        <w:tc>
          <w:tcPr>
            <w:tcW w:w="1284" w:type="pct"/>
            <w:shd w:val="clear" w:color="auto" w:fill="auto"/>
            <w:vAlign w:val="center"/>
          </w:tcPr>
          <w:p w14:paraId="31DA482F">
            <w:pPr>
              <w:pStyle w:val="50"/>
              <w:rPr>
                <w:b w:val="0"/>
                <w:bCs w:val="0"/>
              </w:rPr>
            </w:pPr>
            <w:r>
              <w:rPr>
                <w:b w:val="0"/>
                <w:bCs w:val="0"/>
              </w:rPr>
              <w:t>JGJ 46-2005</w:t>
            </w:r>
          </w:p>
        </w:tc>
        <w:tc>
          <w:tcPr>
            <w:tcW w:w="2654" w:type="pct"/>
            <w:shd w:val="clear" w:color="auto" w:fill="auto"/>
            <w:vAlign w:val="center"/>
          </w:tcPr>
          <w:p w14:paraId="569ECB0E">
            <w:pPr>
              <w:pStyle w:val="50"/>
              <w:rPr>
                <w:b w:val="0"/>
                <w:bCs w:val="0"/>
              </w:rPr>
            </w:pPr>
            <w:r>
              <w:rPr>
                <w:rFonts w:hint="eastAsia"/>
                <w:b w:val="0"/>
                <w:bCs w:val="0"/>
              </w:rPr>
              <w:t>施工现场临时用电安全技术规范</w:t>
            </w:r>
          </w:p>
        </w:tc>
        <w:tc>
          <w:tcPr>
            <w:tcW w:w="641" w:type="pct"/>
            <w:vMerge w:val="restart"/>
            <w:shd w:val="clear" w:color="auto" w:fill="auto"/>
            <w:vAlign w:val="center"/>
          </w:tcPr>
          <w:p w14:paraId="539DF363">
            <w:pPr>
              <w:pStyle w:val="50"/>
              <w:rPr>
                <w:b w:val="0"/>
                <w:bCs w:val="0"/>
              </w:rPr>
            </w:pPr>
            <w:r>
              <w:rPr>
                <w:b w:val="0"/>
                <w:bCs w:val="0"/>
              </w:rPr>
              <w:t>住房和城乡建设部</w:t>
            </w:r>
          </w:p>
        </w:tc>
      </w:tr>
      <w:tr w14:paraId="1DC3A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37100E9">
            <w:pPr>
              <w:pStyle w:val="50"/>
              <w:numPr>
                <w:ilvl w:val="0"/>
                <w:numId w:val="10"/>
              </w:numPr>
            </w:pPr>
          </w:p>
        </w:tc>
        <w:tc>
          <w:tcPr>
            <w:tcW w:w="1284" w:type="pct"/>
            <w:shd w:val="clear" w:color="auto" w:fill="auto"/>
            <w:vAlign w:val="center"/>
          </w:tcPr>
          <w:p w14:paraId="3BFED752">
            <w:pPr>
              <w:pStyle w:val="50"/>
              <w:rPr>
                <w:b w:val="0"/>
                <w:bCs w:val="0"/>
              </w:rPr>
            </w:pPr>
            <w:r>
              <w:rPr>
                <w:rFonts w:hint="eastAsia"/>
                <w:b w:val="0"/>
                <w:bCs w:val="0"/>
              </w:rPr>
              <w:t>JGJ 33-2012</w:t>
            </w:r>
          </w:p>
        </w:tc>
        <w:tc>
          <w:tcPr>
            <w:tcW w:w="2654" w:type="pct"/>
            <w:shd w:val="clear" w:color="auto" w:fill="auto"/>
            <w:vAlign w:val="center"/>
          </w:tcPr>
          <w:p w14:paraId="17ECD1B8">
            <w:pPr>
              <w:pStyle w:val="50"/>
              <w:rPr>
                <w:b w:val="0"/>
                <w:bCs w:val="0"/>
              </w:rPr>
            </w:pPr>
            <w:r>
              <w:rPr>
                <w:rFonts w:hint="eastAsia"/>
                <w:b w:val="0"/>
                <w:bCs w:val="0"/>
              </w:rPr>
              <w:t>建筑机械使用安全技术规程</w:t>
            </w:r>
          </w:p>
        </w:tc>
        <w:tc>
          <w:tcPr>
            <w:tcW w:w="641" w:type="pct"/>
            <w:vMerge w:val="continue"/>
            <w:shd w:val="clear" w:color="auto" w:fill="auto"/>
            <w:vAlign w:val="center"/>
          </w:tcPr>
          <w:p w14:paraId="0ABD335A">
            <w:pPr>
              <w:pStyle w:val="50"/>
              <w:rPr>
                <w:b w:val="0"/>
                <w:bCs w:val="0"/>
              </w:rPr>
            </w:pPr>
          </w:p>
        </w:tc>
      </w:tr>
      <w:tr w14:paraId="11C2C2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939CE41">
            <w:pPr>
              <w:pStyle w:val="50"/>
              <w:numPr>
                <w:ilvl w:val="0"/>
                <w:numId w:val="10"/>
              </w:numPr>
            </w:pPr>
          </w:p>
        </w:tc>
        <w:tc>
          <w:tcPr>
            <w:tcW w:w="1284" w:type="pct"/>
            <w:shd w:val="clear" w:color="auto" w:fill="auto"/>
            <w:vAlign w:val="center"/>
          </w:tcPr>
          <w:p w14:paraId="4A6D6376">
            <w:pPr>
              <w:pStyle w:val="50"/>
              <w:rPr>
                <w:b w:val="0"/>
                <w:bCs w:val="0"/>
              </w:rPr>
            </w:pPr>
            <w:r>
              <w:rPr>
                <w:b w:val="0"/>
                <w:bCs w:val="0"/>
              </w:rPr>
              <w:t>JGJ 276-2012</w:t>
            </w:r>
          </w:p>
        </w:tc>
        <w:tc>
          <w:tcPr>
            <w:tcW w:w="2654" w:type="pct"/>
            <w:shd w:val="clear" w:color="auto" w:fill="auto"/>
            <w:vAlign w:val="center"/>
          </w:tcPr>
          <w:p w14:paraId="2C90B411">
            <w:pPr>
              <w:pStyle w:val="50"/>
              <w:rPr>
                <w:b w:val="0"/>
                <w:bCs w:val="0"/>
              </w:rPr>
            </w:pPr>
            <w:r>
              <w:rPr>
                <w:rFonts w:hint="eastAsia"/>
                <w:b w:val="0"/>
                <w:bCs w:val="0"/>
              </w:rPr>
              <w:t>建筑施工起重吊装工程安全技术规范</w:t>
            </w:r>
          </w:p>
        </w:tc>
        <w:tc>
          <w:tcPr>
            <w:tcW w:w="641" w:type="pct"/>
            <w:vMerge w:val="continue"/>
            <w:shd w:val="clear" w:color="auto" w:fill="auto"/>
            <w:vAlign w:val="center"/>
          </w:tcPr>
          <w:p w14:paraId="101C21A7">
            <w:pPr>
              <w:pStyle w:val="50"/>
              <w:rPr>
                <w:b w:val="0"/>
                <w:bCs w:val="0"/>
              </w:rPr>
            </w:pPr>
          </w:p>
        </w:tc>
      </w:tr>
      <w:tr w14:paraId="0D08F2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E91CABF">
            <w:pPr>
              <w:pStyle w:val="50"/>
              <w:numPr>
                <w:ilvl w:val="0"/>
                <w:numId w:val="10"/>
              </w:numPr>
            </w:pPr>
          </w:p>
        </w:tc>
        <w:tc>
          <w:tcPr>
            <w:tcW w:w="1284" w:type="pct"/>
            <w:shd w:val="clear" w:color="auto" w:fill="auto"/>
            <w:vAlign w:val="center"/>
          </w:tcPr>
          <w:p w14:paraId="062E7037">
            <w:pPr>
              <w:pStyle w:val="50"/>
              <w:rPr>
                <w:b w:val="0"/>
                <w:bCs w:val="0"/>
              </w:rPr>
            </w:pPr>
            <w:r>
              <w:rPr>
                <w:b w:val="0"/>
                <w:bCs w:val="0"/>
              </w:rPr>
              <w:t>JGJ 80-2016</w:t>
            </w:r>
          </w:p>
        </w:tc>
        <w:tc>
          <w:tcPr>
            <w:tcW w:w="2654" w:type="pct"/>
            <w:shd w:val="clear" w:color="auto" w:fill="auto"/>
            <w:vAlign w:val="center"/>
          </w:tcPr>
          <w:p w14:paraId="4B183983">
            <w:pPr>
              <w:pStyle w:val="50"/>
              <w:rPr>
                <w:b w:val="0"/>
                <w:bCs w:val="0"/>
              </w:rPr>
            </w:pPr>
            <w:r>
              <w:rPr>
                <w:rFonts w:hint="eastAsia"/>
                <w:b w:val="0"/>
                <w:bCs w:val="0"/>
              </w:rPr>
              <w:t>建筑施工高处作业安全技术规范</w:t>
            </w:r>
          </w:p>
        </w:tc>
        <w:tc>
          <w:tcPr>
            <w:tcW w:w="641" w:type="pct"/>
            <w:vMerge w:val="continue"/>
            <w:shd w:val="clear" w:color="auto" w:fill="auto"/>
            <w:vAlign w:val="center"/>
          </w:tcPr>
          <w:p w14:paraId="1D224D1A">
            <w:pPr>
              <w:pStyle w:val="50"/>
              <w:rPr>
                <w:b w:val="0"/>
                <w:bCs w:val="0"/>
              </w:rPr>
            </w:pPr>
          </w:p>
        </w:tc>
      </w:tr>
      <w:tr w14:paraId="3B8545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9402013">
            <w:pPr>
              <w:pStyle w:val="50"/>
              <w:numPr>
                <w:ilvl w:val="0"/>
                <w:numId w:val="10"/>
              </w:numPr>
            </w:pPr>
          </w:p>
        </w:tc>
        <w:tc>
          <w:tcPr>
            <w:tcW w:w="1284" w:type="pct"/>
            <w:shd w:val="clear" w:color="auto" w:fill="auto"/>
            <w:vAlign w:val="center"/>
          </w:tcPr>
          <w:p w14:paraId="3486C68B">
            <w:pPr>
              <w:pStyle w:val="50"/>
              <w:rPr>
                <w:b w:val="0"/>
                <w:bCs w:val="0"/>
              </w:rPr>
            </w:pPr>
            <w:r>
              <w:rPr>
                <w:rFonts w:hint="eastAsia"/>
                <w:b w:val="0"/>
                <w:bCs w:val="0"/>
              </w:rPr>
              <w:t>JGJ</w:t>
            </w:r>
            <w:r>
              <w:rPr>
                <w:b w:val="0"/>
                <w:bCs w:val="0"/>
              </w:rPr>
              <w:t>/</w:t>
            </w:r>
            <w:r>
              <w:rPr>
                <w:rFonts w:hint="eastAsia"/>
                <w:b w:val="0"/>
                <w:bCs w:val="0"/>
              </w:rPr>
              <w:t>T</w:t>
            </w:r>
            <w:r>
              <w:rPr>
                <w:b w:val="0"/>
                <w:bCs w:val="0"/>
              </w:rPr>
              <w:t xml:space="preserve"> 187-2019</w:t>
            </w:r>
          </w:p>
        </w:tc>
        <w:tc>
          <w:tcPr>
            <w:tcW w:w="2654" w:type="pct"/>
            <w:shd w:val="clear" w:color="auto" w:fill="auto"/>
            <w:vAlign w:val="center"/>
          </w:tcPr>
          <w:p w14:paraId="79EB14F8">
            <w:pPr>
              <w:pStyle w:val="50"/>
              <w:rPr>
                <w:b w:val="0"/>
                <w:bCs w:val="0"/>
              </w:rPr>
            </w:pPr>
            <w:r>
              <w:rPr>
                <w:rFonts w:hint="eastAsia"/>
                <w:b w:val="0"/>
                <w:bCs w:val="0"/>
              </w:rPr>
              <w:t>塔式起重机混凝土基础工程技术标准</w:t>
            </w:r>
          </w:p>
        </w:tc>
        <w:tc>
          <w:tcPr>
            <w:tcW w:w="641" w:type="pct"/>
            <w:vMerge w:val="continue"/>
            <w:shd w:val="clear" w:color="auto" w:fill="auto"/>
            <w:vAlign w:val="center"/>
          </w:tcPr>
          <w:p w14:paraId="1F36AEDD">
            <w:pPr>
              <w:pStyle w:val="50"/>
              <w:rPr>
                <w:b w:val="0"/>
                <w:bCs w:val="0"/>
              </w:rPr>
            </w:pPr>
          </w:p>
        </w:tc>
      </w:tr>
      <w:tr w14:paraId="7195C9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95CC6CA">
            <w:pPr>
              <w:pStyle w:val="50"/>
              <w:numPr>
                <w:ilvl w:val="0"/>
                <w:numId w:val="10"/>
              </w:numPr>
            </w:pPr>
          </w:p>
        </w:tc>
        <w:tc>
          <w:tcPr>
            <w:tcW w:w="1284" w:type="pct"/>
            <w:shd w:val="clear" w:color="auto" w:fill="auto"/>
            <w:vAlign w:val="center"/>
          </w:tcPr>
          <w:p w14:paraId="1A9D2646">
            <w:pPr>
              <w:pStyle w:val="50"/>
              <w:rPr>
                <w:b w:val="0"/>
                <w:bCs w:val="0"/>
              </w:rPr>
            </w:pPr>
            <w:r>
              <w:rPr>
                <w:rFonts w:hint="eastAsia" w:eastAsiaTheme="minorEastAsia"/>
                <w:b w:val="0"/>
                <w:bCs w:val="0"/>
              </w:rPr>
              <w:t>交通运输部令第2号</w:t>
            </w:r>
          </w:p>
        </w:tc>
        <w:tc>
          <w:tcPr>
            <w:tcW w:w="2654" w:type="pct"/>
            <w:shd w:val="clear" w:color="auto" w:fill="auto"/>
            <w:vAlign w:val="center"/>
          </w:tcPr>
          <w:p w14:paraId="200FAECC">
            <w:pPr>
              <w:pStyle w:val="50"/>
              <w:rPr>
                <w:b w:val="0"/>
                <w:bCs w:val="0"/>
              </w:rPr>
            </w:pPr>
            <w:r>
              <w:rPr>
                <w:rFonts w:hint="eastAsia" w:eastAsiaTheme="minorEastAsia"/>
                <w:b w:val="0"/>
                <w:bCs w:val="0"/>
              </w:rPr>
              <w:t>铁路建设工程质量监督管理规定</w:t>
            </w:r>
          </w:p>
        </w:tc>
        <w:tc>
          <w:tcPr>
            <w:tcW w:w="641" w:type="pct"/>
            <w:vMerge w:val="restart"/>
            <w:shd w:val="clear" w:color="auto" w:fill="auto"/>
            <w:vAlign w:val="center"/>
          </w:tcPr>
          <w:p w14:paraId="2D69F655">
            <w:pPr>
              <w:pStyle w:val="50"/>
              <w:rPr>
                <w:b w:val="0"/>
                <w:bCs w:val="0"/>
              </w:rPr>
            </w:pPr>
            <w:r>
              <w:rPr>
                <w:rFonts w:hint="eastAsia"/>
                <w:b w:val="0"/>
                <w:bCs w:val="0"/>
              </w:rPr>
              <w:t>交通运输部</w:t>
            </w:r>
          </w:p>
        </w:tc>
      </w:tr>
      <w:tr w14:paraId="232855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D1BF357">
            <w:pPr>
              <w:pStyle w:val="50"/>
              <w:numPr>
                <w:ilvl w:val="0"/>
                <w:numId w:val="10"/>
              </w:numPr>
            </w:pPr>
          </w:p>
        </w:tc>
        <w:tc>
          <w:tcPr>
            <w:tcW w:w="1284" w:type="pct"/>
            <w:shd w:val="clear" w:color="auto" w:fill="auto"/>
            <w:vAlign w:val="center"/>
          </w:tcPr>
          <w:p w14:paraId="7D9C4F6C">
            <w:pPr>
              <w:pStyle w:val="50"/>
              <w:rPr>
                <w:b w:val="0"/>
                <w:bCs w:val="0"/>
              </w:rPr>
            </w:pPr>
            <w:r>
              <w:rPr>
                <w:rFonts w:hint="eastAsia" w:eastAsiaTheme="minorEastAsia"/>
                <w:b w:val="0"/>
                <w:bCs w:val="0"/>
              </w:rPr>
              <w:t>铁总建设〔2014〕168号</w:t>
            </w:r>
          </w:p>
        </w:tc>
        <w:tc>
          <w:tcPr>
            <w:tcW w:w="2654" w:type="pct"/>
            <w:shd w:val="clear" w:color="auto" w:fill="auto"/>
            <w:vAlign w:val="center"/>
          </w:tcPr>
          <w:p w14:paraId="43359CCC">
            <w:pPr>
              <w:pStyle w:val="50"/>
              <w:rPr>
                <w:b w:val="0"/>
                <w:bCs w:val="0"/>
              </w:rPr>
            </w:pPr>
            <w:r>
              <w:rPr>
                <w:rFonts w:hint="eastAsia" w:eastAsiaTheme="minorEastAsia"/>
                <w:b w:val="0"/>
                <w:bCs w:val="0"/>
              </w:rPr>
              <w:t>铁路建设项目安全生产管理办法</w:t>
            </w:r>
          </w:p>
        </w:tc>
        <w:tc>
          <w:tcPr>
            <w:tcW w:w="641" w:type="pct"/>
            <w:vMerge w:val="continue"/>
            <w:shd w:val="clear" w:color="auto" w:fill="auto"/>
            <w:vAlign w:val="center"/>
          </w:tcPr>
          <w:p w14:paraId="410F512E">
            <w:pPr>
              <w:pStyle w:val="50"/>
              <w:rPr>
                <w:b w:val="0"/>
                <w:bCs w:val="0"/>
              </w:rPr>
            </w:pPr>
          </w:p>
        </w:tc>
      </w:tr>
      <w:tr w14:paraId="200B10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6627F0D">
            <w:pPr>
              <w:pStyle w:val="50"/>
              <w:numPr>
                <w:ilvl w:val="0"/>
                <w:numId w:val="10"/>
              </w:numPr>
            </w:pPr>
          </w:p>
        </w:tc>
        <w:tc>
          <w:tcPr>
            <w:tcW w:w="1284" w:type="pct"/>
            <w:shd w:val="clear" w:color="auto" w:fill="auto"/>
            <w:vAlign w:val="center"/>
          </w:tcPr>
          <w:p w14:paraId="78138F51">
            <w:pPr>
              <w:pStyle w:val="50"/>
              <w:rPr>
                <w:b w:val="0"/>
                <w:bCs w:val="0"/>
              </w:rPr>
            </w:pPr>
            <w:r>
              <w:rPr>
                <w:rFonts w:hint="eastAsia"/>
                <w:b w:val="0"/>
                <w:bCs w:val="0"/>
              </w:rPr>
              <w:t>GB</w:t>
            </w:r>
            <w:r>
              <w:rPr>
                <w:b w:val="0"/>
                <w:bCs w:val="0"/>
              </w:rPr>
              <w:t xml:space="preserve"> </w:t>
            </w:r>
            <w:r>
              <w:rPr>
                <w:rFonts w:hint="eastAsia"/>
                <w:b w:val="0"/>
                <w:bCs w:val="0"/>
              </w:rPr>
              <w:t>50278-2010</w:t>
            </w:r>
          </w:p>
        </w:tc>
        <w:tc>
          <w:tcPr>
            <w:tcW w:w="2654" w:type="pct"/>
            <w:shd w:val="clear" w:color="auto" w:fill="auto"/>
            <w:vAlign w:val="center"/>
          </w:tcPr>
          <w:p w14:paraId="3D64D439">
            <w:pPr>
              <w:pStyle w:val="50"/>
              <w:rPr>
                <w:b w:val="0"/>
                <w:bCs w:val="0"/>
              </w:rPr>
            </w:pPr>
            <w:r>
              <w:rPr>
                <w:rFonts w:hint="eastAsia"/>
                <w:b w:val="0"/>
                <w:bCs w:val="0"/>
              </w:rPr>
              <w:t>起重设备安装工程施工及验收规范</w:t>
            </w:r>
          </w:p>
        </w:tc>
        <w:tc>
          <w:tcPr>
            <w:tcW w:w="641" w:type="pct"/>
            <w:vMerge w:val="restart"/>
            <w:shd w:val="clear" w:color="auto" w:fill="auto"/>
            <w:vAlign w:val="center"/>
          </w:tcPr>
          <w:p w14:paraId="6A3B5C89">
            <w:pPr>
              <w:pStyle w:val="50"/>
              <w:rPr>
                <w:b w:val="0"/>
                <w:bCs w:val="0"/>
              </w:rPr>
            </w:pPr>
            <w:r>
              <w:rPr>
                <w:rFonts w:hint="eastAsia"/>
                <w:b w:val="0"/>
                <w:bCs w:val="0"/>
              </w:rPr>
              <w:t>国家标准</w:t>
            </w:r>
          </w:p>
        </w:tc>
      </w:tr>
      <w:tr w14:paraId="08B037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492D03B9">
            <w:pPr>
              <w:pStyle w:val="50"/>
              <w:numPr>
                <w:ilvl w:val="0"/>
                <w:numId w:val="10"/>
              </w:numPr>
            </w:pPr>
          </w:p>
        </w:tc>
        <w:tc>
          <w:tcPr>
            <w:tcW w:w="1284" w:type="pct"/>
            <w:shd w:val="clear" w:color="auto" w:fill="auto"/>
            <w:vAlign w:val="center"/>
          </w:tcPr>
          <w:p w14:paraId="530290CE">
            <w:pPr>
              <w:pStyle w:val="50"/>
              <w:rPr>
                <w:b w:val="0"/>
                <w:bCs w:val="0"/>
              </w:rPr>
            </w:pPr>
            <w:r>
              <w:rPr>
                <w:rFonts w:hint="eastAsia"/>
                <w:b w:val="0"/>
                <w:bCs w:val="0"/>
              </w:rPr>
              <w:t>GB 50231-2009</w:t>
            </w:r>
          </w:p>
        </w:tc>
        <w:tc>
          <w:tcPr>
            <w:tcW w:w="2654" w:type="pct"/>
            <w:shd w:val="clear" w:color="auto" w:fill="auto"/>
            <w:vAlign w:val="center"/>
          </w:tcPr>
          <w:p w14:paraId="05423D6C">
            <w:pPr>
              <w:pStyle w:val="50"/>
              <w:rPr>
                <w:b w:val="0"/>
                <w:bCs w:val="0"/>
              </w:rPr>
            </w:pPr>
            <w:r>
              <w:rPr>
                <w:rFonts w:hint="eastAsia"/>
                <w:b w:val="0"/>
                <w:bCs w:val="0"/>
              </w:rPr>
              <w:t>机械设备安装工程施工及验收通用规范</w:t>
            </w:r>
          </w:p>
        </w:tc>
        <w:tc>
          <w:tcPr>
            <w:tcW w:w="641" w:type="pct"/>
            <w:vMerge w:val="continue"/>
            <w:shd w:val="clear" w:color="auto" w:fill="auto"/>
            <w:vAlign w:val="center"/>
          </w:tcPr>
          <w:p w14:paraId="09AE712C">
            <w:pPr>
              <w:pStyle w:val="50"/>
              <w:rPr>
                <w:b w:val="0"/>
                <w:bCs w:val="0"/>
              </w:rPr>
            </w:pPr>
          </w:p>
        </w:tc>
      </w:tr>
      <w:tr w14:paraId="1B77E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382D77C">
            <w:pPr>
              <w:pStyle w:val="50"/>
              <w:numPr>
                <w:ilvl w:val="0"/>
                <w:numId w:val="10"/>
              </w:numPr>
            </w:pPr>
          </w:p>
        </w:tc>
        <w:tc>
          <w:tcPr>
            <w:tcW w:w="1284" w:type="pct"/>
            <w:shd w:val="clear" w:color="auto" w:fill="auto"/>
            <w:vAlign w:val="center"/>
          </w:tcPr>
          <w:p w14:paraId="47CBB303">
            <w:pPr>
              <w:pStyle w:val="50"/>
              <w:rPr>
                <w:b w:val="0"/>
                <w:bCs w:val="0"/>
              </w:rPr>
            </w:pPr>
            <w:r>
              <w:rPr>
                <w:rFonts w:hint="eastAsia"/>
                <w:b w:val="0"/>
                <w:bCs w:val="0"/>
              </w:rPr>
              <w:t>GB 50256-2014</w:t>
            </w:r>
          </w:p>
        </w:tc>
        <w:tc>
          <w:tcPr>
            <w:tcW w:w="2654" w:type="pct"/>
            <w:shd w:val="clear" w:color="auto" w:fill="auto"/>
            <w:vAlign w:val="center"/>
          </w:tcPr>
          <w:p w14:paraId="1D5AD446">
            <w:pPr>
              <w:pStyle w:val="50"/>
              <w:rPr>
                <w:b w:val="0"/>
                <w:bCs w:val="0"/>
              </w:rPr>
            </w:pPr>
            <w:r>
              <w:rPr>
                <w:rFonts w:hint="eastAsia"/>
                <w:b w:val="0"/>
                <w:bCs w:val="0"/>
              </w:rPr>
              <w:t>电气装置安装工程起重机电气装置施工及验收规范</w:t>
            </w:r>
          </w:p>
        </w:tc>
        <w:tc>
          <w:tcPr>
            <w:tcW w:w="641" w:type="pct"/>
            <w:vMerge w:val="continue"/>
            <w:shd w:val="clear" w:color="auto" w:fill="auto"/>
            <w:vAlign w:val="center"/>
          </w:tcPr>
          <w:p w14:paraId="7E03EA75">
            <w:pPr>
              <w:pStyle w:val="50"/>
              <w:rPr>
                <w:b w:val="0"/>
                <w:bCs w:val="0"/>
              </w:rPr>
            </w:pPr>
          </w:p>
        </w:tc>
      </w:tr>
      <w:tr w14:paraId="1E6541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EE2D2D0">
            <w:pPr>
              <w:pStyle w:val="50"/>
              <w:numPr>
                <w:ilvl w:val="0"/>
                <w:numId w:val="10"/>
              </w:numPr>
            </w:pPr>
          </w:p>
        </w:tc>
        <w:tc>
          <w:tcPr>
            <w:tcW w:w="1284" w:type="pct"/>
            <w:shd w:val="clear" w:color="auto" w:fill="auto"/>
            <w:vAlign w:val="center"/>
          </w:tcPr>
          <w:p w14:paraId="449945BA">
            <w:pPr>
              <w:pStyle w:val="50"/>
              <w:rPr>
                <w:b w:val="0"/>
                <w:bCs w:val="0"/>
              </w:rPr>
            </w:pPr>
            <w:r>
              <w:rPr>
                <w:rFonts w:hint="eastAsia"/>
                <w:b w:val="0"/>
                <w:bCs w:val="0"/>
              </w:rPr>
              <w:t>GB 50009-2012</w:t>
            </w:r>
          </w:p>
        </w:tc>
        <w:tc>
          <w:tcPr>
            <w:tcW w:w="2654" w:type="pct"/>
            <w:shd w:val="clear" w:color="auto" w:fill="auto"/>
            <w:vAlign w:val="center"/>
          </w:tcPr>
          <w:p w14:paraId="079FBDD6">
            <w:pPr>
              <w:pStyle w:val="50"/>
              <w:rPr>
                <w:b w:val="0"/>
                <w:bCs w:val="0"/>
              </w:rPr>
            </w:pPr>
            <w:r>
              <w:rPr>
                <w:rFonts w:hint="eastAsia"/>
                <w:b w:val="0"/>
                <w:bCs w:val="0"/>
              </w:rPr>
              <w:t>建筑结构荷载规范</w:t>
            </w:r>
          </w:p>
        </w:tc>
        <w:tc>
          <w:tcPr>
            <w:tcW w:w="641" w:type="pct"/>
            <w:vMerge w:val="continue"/>
            <w:shd w:val="clear" w:color="auto" w:fill="auto"/>
            <w:vAlign w:val="center"/>
          </w:tcPr>
          <w:p w14:paraId="30C183F7">
            <w:pPr>
              <w:pStyle w:val="50"/>
              <w:rPr>
                <w:b w:val="0"/>
                <w:bCs w:val="0"/>
              </w:rPr>
            </w:pPr>
          </w:p>
        </w:tc>
      </w:tr>
      <w:tr w14:paraId="2FC486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4F9470C6">
            <w:pPr>
              <w:pStyle w:val="50"/>
              <w:numPr>
                <w:ilvl w:val="0"/>
                <w:numId w:val="10"/>
              </w:numPr>
            </w:pPr>
          </w:p>
        </w:tc>
        <w:tc>
          <w:tcPr>
            <w:tcW w:w="1284" w:type="pct"/>
            <w:shd w:val="clear" w:color="auto" w:fill="auto"/>
            <w:vAlign w:val="center"/>
          </w:tcPr>
          <w:p w14:paraId="3A69D3DC">
            <w:pPr>
              <w:pStyle w:val="50"/>
              <w:rPr>
                <w:b w:val="0"/>
                <w:bCs w:val="0"/>
              </w:rPr>
            </w:pPr>
            <w:r>
              <w:rPr>
                <w:rFonts w:hint="eastAsia"/>
                <w:b w:val="0"/>
                <w:bCs w:val="0"/>
              </w:rPr>
              <w:t>GB 50007-2011</w:t>
            </w:r>
          </w:p>
        </w:tc>
        <w:tc>
          <w:tcPr>
            <w:tcW w:w="2654" w:type="pct"/>
            <w:shd w:val="clear" w:color="auto" w:fill="auto"/>
            <w:vAlign w:val="center"/>
          </w:tcPr>
          <w:p w14:paraId="1A01A882">
            <w:pPr>
              <w:pStyle w:val="50"/>
              <w:rPr>
                <w:b w:val="0"/>
                <w:bCs w:val="0"/>
              </w:rPr>
            </w:pPr>
            <w:r>
              <w:rPr>
                <w:rFonts w:hint="eastAsia"/>
                <w:b w:val="0"/>
                <w:bCs w:val="0"/>
              </w:rPr>
              <w:t>建筑地基基础设计规范</w:t>
            </w:r>
          </w:p>
        </w:tc>
        <w:tc>
          <w:tcPr>
            <w:tcW w:w="641" w:type="pct"/>
            <w:vMerge w:val="continue"/>
            <w:shd w:val="clear" w:color="auto" w:fill="auto"/>
            <w:vAlign w:val="center"/>
          </w:tcPr>
          <w:p w14:paraId="7B749926">
            <w:pPr>
              <w:pStyle w:val="50"/>
              <w:rPr>
                <w:b w:val="0"/>
                <w:bCs w:val="0"/>
              </w:rPr>
            </w:pPr>
          </w:p>
        </w:tc>
      </w:tr>
      <w:tr w14:paraId="33D0F0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92ED9A8">
            <w:pPr>
              <w:pStyle w:val="50"/>
              <w:numPr>
                <w:ilvl w:val="0"/>
                <w:numId w:val="10"/>
              </w:numPr>
            </w:pPr>
          </w:p>
        </w:tc>
        <w:tc>
          <w:tcPr>
            <w:tcW w:w="1284" w:type="pct"/>
            <w:shd w:val="clear" w:color="auto" w:fill="auto"/>
            <w:vAlign w:val="center"/>
          </w:tcPr>
          <w:p w14:paraId="01F4FC65">
            <w:pPr>
              <w:pStyle w:val="50"/>
              <w:rPr>
                <w:b w:val="0"/>
                <w:bCs w:val="0"/>
              </w:rPr>
            </w:pPr>
            <w:r>
              <w:rPr>
                <w:rFonts w:hint="eastAsia"/>
                <w:b w:val="0"/>
                <w:bCs w:val="0"/>
              </w:rPr>
              <w:t>GB 50661-2011</w:t>
            </w:r>
          </w:p>
        </w:tc>
        <w:tc>
          <w:tcPr>
            <w:tcW w:w="2654" w:type="pct"/>
            <w:shd w:val="clear" w:color="auto" w:fill="auto"/>
            <w:vAlign w:val="center"/>
          </w:tcPr>
          <w:p w14:paraId="364E8286">
            <w:pPr>
              <w:pStyle w:val="50"/>
              <w:rPr>
                <w:b w:val="0"/>
                <w:bCs w:val="0"/>
              </w:rPr>
            </w:pPr>
            <w:r>
              <w:rPr>
                <w:rFonts w:hint="eastAsia"/>
                <w:b w:val="0"/>
                <w:bCs w:val="0"/>
              </w:rPr>
              <w:t>钢结构焊接规范</w:t>
            </w:r>
          </w:p>
        </w:tc>
        <w:tc>
          <w:tcPr>
            <w:tcW w:w="641" w:type="pct"/>
            <w:vMerge w:val="continue"/>
            <w:shd w:val="clear" w:color="auto" w:fill="auto"/>
            <w:vAlign w:val="center"/>
          </w:tcPr>
          <w:p w14:paraId="0BC33240">
            <w:pPr>
              <w:pStyle w:val="50"/>
              <w:rPr>
                <w:b w:val="0"/>
                <w:bCs w:val="0"/>
              </w:rPr>
            </w:pPr>
          </w:p>
        </w:tc>
      </w:tr>
      <w:tr w14:paraId="3A384E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40BB598">
            <w:pPr>
              <w:pStyle w:val="50"/>
              <w:numPr>
                <w:ilvl w:val="0"/>
                <w:numId w:val="10"/>
              </w:numPr>
            </w:pPr>
          </w:p>
        </w:tc>
        <w:tc>
          <w:tcPr>
            <w:tcW w:w="1284" w:type="pct"/>
            <w:shd w:val="clear" w:color="auto" w:fill="auto"/>
            <w:vAlign w:val="center"/>
          </w:tcPr>
          <w:p w14:paraId="4B1D5E25">
            <w:pPr>
              <w:pStyle w:val="50"/>
              <w:rPr>
                <w:b w:val="0"/>
                <w:bCs w:val="0"/>
              </w:rPr>
            </w:pPr>
            <w:r>
              <w:rPr>
                <w:rFonts w:hint="eastAsia"/>
                <w:b w:val="0"/>
                <w:bCs w:val="0"/>
              </w:rPr>
              <w:t>GB 50205-2020</w:t>
            </w:r>
          </w:p>
        </w:tc>
        <w:tc>
          <w:tcPr>
            <w:tcW w:w="2654" w:type="pct"/>
            <w:shd w:val="clear" w:color="auto" w:fill="auto"/>
            <w:vAlign w:val="center"/>
          </w:tcPr>
          <w:p w14:paraId="51C7F575">
            <w:pPr>
              <w:pStyle w:val="50"/>
              <w:rPr>
                <w:b w:val="0"/>
                <w:bCs w:val="0"/>
              </w:rPr>
            </w:pPr>
            <w:r>
              <w:rPr>
                <w:rFonts w:hint="eastAsia"/>
                <w:b w:val="0"/>
                <w:bCs w:val="0"/>
              </w:rPr>
              <w:t>钢结构工程施工质量验收标准</w:t>
            </w:r>
          </w:p>
        </w:tc>
        <w:tc>
          <w:tcPr>
            <w:tcW w:w="641" w:type="pct"/>
            <w:vMerge w:val="continue"/>
            <w:shd w:val="clear" w:color="auto" w:fill="auto"/>
            <w:vAlign w:val="center"/>
          </w:tcPr>
          <w:p w14:paraId="5D895E20">
            <w:pPr>
              <w:pStyle w:val="50"/>
              <w:rPr>
                <w:b w:val="0"/>
                <w:bCs w:val="0"/>
              </w:rPr>
            </w:pPr>
          </w:p>
        </w:tc>
      </w:tr>
      <w:tr w14:paraId="2FE314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BD4DDFE">
            <w:pPr>
              <w:pStyle w:val="50"/>
              <w:numPr>
                <w:ilvl w:val="0"/>
                <w:numId w:val="10"/>
              </w:numPr>
            </w:pPr>
          </w:p>
        </w:tc>
        <w:tc>
          <w:tcPr>
            <w:tcW w:w="1284" w:type="pct"/>
            <w:shd w:val="clear" w:color="auto" w:fill="auto"/>
            <w:vAlign w:val="center"/>
          </w:tcPr>
          <w:p w14:paraId="6023974A">
            <w:pPr>
              <w:pStyle w:val="50"/>
              <w:rPr>
                <w:b w:val="0"/>
                <w:bCs w:val="0"/>
              </w:rPr>
            </w:pPr>
            <w:r>
              <w:rPr>
                <w:rFonts w:hint="eastAsia"/>
                <w:b w:val="0"/>
                <w:bCs w:val="0"/>
              </w:rPr>
              <w:t>GB</w:t>
            </w:r>
            <w:r>
              <w:rPr>
                <w:b w:val="0"/>
                <w:bCs w:val="0"/>
              </w:rPr>
              <w:t xml:space="preserve"> 8918-2006</w:t>
            </w:r>
          </w:p>
        </w:tc>
        <w:tc>
          <w:tcPr>
            <w:tcW w:w="2654" w:type="pct"/>
            <w:shd w:val="clear" w:color="auto" w:fill="auto"/>
            <w:vAlign w:val="center"/>
          </w:tcPr>
          <w:p w14:paraId="6056E6CA">
            <w:pPr>
              <w:pStyle w:val="50"/>
              <w:rPr>
                <w:b w:val="0"/>
                <w:bCs w:val="0"/>
              </w:rPr>
            </w:pPr>
            <w:r>
              <w:rPr>
                <w:rFonts w:hint="eastAsia"/>
                <w:b w:val="0"/>
                <w:bCs w:val="0"/>
              </w:rPr>
              <w:t>重要用途钢丝绳</w:t>
            </w:r>
          </w:p>
        </w:tc>
        <w:tc>
          <w:tcPr>
            <w:tcW w:w="641" w:type="pct"/>
            <w:vMerge w:val="continue"/>
            <w:shd w:val="clear" w:color="auto" w:fill="auto"/>
            <w:vAlign w:val="center"/>
          </w:tcPr>
          <w:p w14:paraId="1CD56EE0">
            <w:pPr>
              <w:pStyle w:val="50"/>
              <w:rPr>
                <w:b w:val="0"/>
                <w:bCs w:val="0"/>
              </w:rPr>
            </w:pPr>
          </w:p>
        </w:tc>
      </w:tr>
      <w:tr w14:paraId="3DA895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91B4145">
            <w:pPr>
              <w:pStyle w:val="50"/>
              <w:numPr>
                <w:ilvl w:val="0"/>
                <w:numId w:val="10"/>
              </w:numPr>
            </w:pPr>
          </w:p>
        </w:tc>
        <w:tc>
          <w:tcPr>
            <w:tcW w:w="1284" w:type="pct"/>
            <w:shd w:val="clear" w:color="auto" w:fill="auto"/>
            <w:vAlign w:val="center"/>
          </w:tcPr>
          <w:p w14:paraId="7820F007">
            <w:pPr>
              <w:pStyle w:val="50"/>
              <w:rPr>
                <w:b w:val="0"/>
                <w:bCs w:val="0"/>
              </w:rPr>
            </w:pPr>
            <w:r>
              <w:rPr>
                <w:b w:val="0"/>
                <w:bCs w:val="0"/>
              </w:rPr>
              <w:t>GB/T 5031-2008</w:t>
            </w:r>
          </w:p>
        </w:tc>
        <w:tc>
          <w:tcPr>
            <w:tcW w:w="2654" w:type="pct"/>
            <w:shd w:val="clear" w:color="auto" w:fill="auto"/>
            <w:vAlign w:val="center"/>
          </w:tcPr>
          <w:p w14:paraId="09203D55">
            <w:pPr>
              <w:pStyle w:val="50"/>
              <w:rPr>
                <w:b w:val="0"/>
                <w:bCs w:val="0"/>
              </w:rPr>
            </w:pPr>
            <w:r>
              <w:rPr>
                <w:b w:val="0"/>
                <w:bCs w:val="0"/>
              </w:rPr>
              <w:t>塔式起重机</w:t>
            </w:r>
          </w:p>
        </w:tc>
        <w:tc>
          <w:tcPr>
            <w:tcW w:w="641" w:type="pct"/>
            <w:vMerge w:val="continue"/>
            <w:shd w:val="clear" w:color="auto" w:fill="auto"/>
            <w:vAlign w:val="center"/>
          </w:tcPr>
          <w:p w14:paraId="7F73A51C">
            <w:pPr>
              <w:pStyle w:val="50"/>
              <w:rPr>
                <w:b w:val="0"/>
                <w:bCs w:val="0"/>
              </w:rPr>
            </w:pPr>
          </w:p>
        </w:tc>
      </w:tr>
      <w:tr w14:paraId="625A5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6B82144C">
            <w:pPr>
              <w:pStyle w:val="50"/>
              <w:numPr>
                <w:ilvl w:val="0"/>
                <w:numId w:val="10"/>
              </w:numPr>
            </w:pPr>
          </w:p>
        </w:tc>
        <w:tc>
          <w:tcPr>
            <w:tcW w:w="1284" w:type="pct"/>
            <w:shd w:val="clear" w:color="auto" w:fill="auto"/>
            <w:vAlign w:val="center"/>
          </w:tcPr>
          <w:p w14:paraId="422682E0">
            <w:pPr>
              <w:pStyle w:val="50"/>
              <w:rPr>
                <w:b w:val="0"/>
                <w:bCs w:val="0"/>
              </w:rPr>
            </w:pPr>
            <w:r>
              <w:rPr>
                <w:b w:val="0"/>
                <w:bCs w:val="0"/>
              </w:rPr>
              <w:t>GB/T 23723.3-2010</w:t>
            </w:r>
          </w:p>
        </w:tc>
        <w:tc>
          <w:tcPr>
            <w:tcW w:w="2654" w:type="pct"/>
            <w:shd w:val="clear" w:color="auto" w:fill="auto"/>
            <w:vAlign w:val="center"/>
          </w:tcPr>
          <w:p w14:paraId="2B21A8DE">
            <w:pPr>
              <w:pStyle w:val="50"/>
              <w:rPr>
                <w:b w:val="0"/>
                <w:bCs w:val="0"/>
              </w:rPr>
            </w:pPr>
            <w:r>
              <w:rPr>
                <w:b w:val="0"/>
                <w:bCs w:val="0"/>
              </w:rPr>
              <w:t>起重机 安全使用 第3部分：塔式起重机</w:t>
            </w:r>
          </w:p>
        </w:tc>
        <w:tc>
          <w:tcPr>
            <w:tcW w:w="641" w:type="pct"/>
            <w:vMerge w:val="continue"/>
            <w:shd w:val="clear" w:color="auto" w:fill="auto"/>
            <w:vAlign w:val="center"/>
          </w:tcPr>
          <w:p w14:paraId="34FA4EA8">
            <w:pPr>
              <w:pStyle w:val="50"/>
              <w:rPr>
                <w:b w:val="0"/>
                <w:bCs w:val="0"/>
              </w:rPr>
            </w:pPr>
          </w:p>
        </w:tc>
      </w:tr>
      <w:tr w14:paraId="63010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80DB326">
            <w:pPr>
              <w:pStyle w:val="50"/>
              <w:numPr>
                <w:ilvl w:val="0"/>
                <w:numId w:val="10"/>
              </w:numPr>
            </w:pPr>
          </w:p>
        </w:tc>
        <w:tc>
          <w:tcPr>
            <w:tcW w:w="1284" w:type="pct"/>
            <w:shd w:val="clear" w:color="auto" w:fill="auto"/>
            <w:vAlign w:val="center"/>
          </w:tcPr>
          <w:p w14:paraId="7C2A85D4">
            <w:pPr>
              <w:pStyle w:val="50"/>
              <w:rPr>
                <w:b w:val="0"/>
                <w:bCs w:val="0"/>
              </w:rPr>
            </w:pPr>
            <w:r>
              <w:rPr>
                <w:b w:val="0"/>
                <w:bCs w:val="0"/>
              </w:rPr>
              <w:t>GB/T 13752-2017</w:t>
            </w:r>
          </w:p>
        </w:tc>
        <w:tc>
          <w:tcPr>
            <w:tcW w:w="2654" w:type="pct"/>
            <w:shd w:val="clear" w:color="auto" w:fill="auto"/>
            <w:vAlign w:val="center"/>
          </w:tcPr>
          <w:p w14:paraId="35744D5A">
            <w:pPr>
              <w:pStyle w:val="50"/>
              <w:rPr>
                <w:b w:val="0"/>
                <w:bCs w:val="0"/>
              </w:rPr>
            </w:pPr>
            <w:r>
              <w:rPr>
                <w:b w:val="0"/>
                <w:bCs w:val="0"/>
              </w:rPr>
              <w:t>塔式起重机设计规范</w:t>
            </w:r>
          </w:p>
        </w:tc>
        <w:tc>
          <w:tcPr>
            <w:tcW w:w="641" w:type="pct"/>
            <w:vMerge w:val="continue"/>
            <w:shd w:val="clear" w:color="auto" w:fill="auto"/>
            <w:vAlign w:val="center"/>
          </w:tcPr>
          <w:p w14:paraId="58F3BBDA">
            <w:pPr>
              <w:pStyle w:val="50"/>
              <w:rPr>
                <w:b w:val="0"/>
                <w:bCs w:val="0"/>
              </w:rPr>
            </w:pPr>
          </w:p>
        </w:tc>
      </w:tr>
      <w:tr w14:paraId="56F193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C4E4E24">
            <w:pPr>
              <w:pStyle w:val="50"/>
              <w:numPr>
                <w:ilvl w:val="0"/>
                <w:numId w:val="10"/>
              </w:numPr>
            </w:pPr>
          </w:p>
        </w:tc>
        <w:tc>
          <w:tcPr>
            <w:tcW w:w="1284" w:type="pct"/>
            <w:shd w:val="clear" w:color="auto" w:fill="auto"/>
            <w:vAlign w:val="center"/>
          </w:tcPr>
          <w:p w14:paraId="12180F6B">
            <w:pPr>
              <w:pStyle w:val="50"/>
              <w:rPr>
                <w:b w:val="0"/>
                <w:bCs w:val="0"/>
              </w:rPr>
            </w:pPr>
            <w:r>
              <w:rPr>
                <w:rFonts w:hint="eastAsia"/>
                <w:b w:val="0"/>
                <w:bCs w:val="0"/>
              </w:rPr>
              <w:t>GB/T 16762-2020</w:t>
            </w:r>
          </w:p>
        </w:tc>
        <w:tc>
          <w:tcPr>
            <w:tcW w:w="2654" w:type="pct"/>
            <w:shd w:val="clear" w:color="auto" w:fill="auto"/>
            <w:vAlign w:val="center"/>
          </w:tcPr>
          <w:p w14:paraId="56CE5527">
            <w:pPr>
              <w:pStyle w:val="50"/>
              <w:rPr>
                <w:b w:val="0"/>
                <w:bCs w:val="0"/>
              </w:rPr>
            </w:pPr>
            <w:r>
              <w:rPr>
                <w:rFonts w:hint="eastAsia"/>
                <w:b w:val="0"/>
                <w:bCs w:val="0"/>
              </w:rPr>
              <w:t>一般用途钢丝绳吊索特性和技术条件</w:t>
            </w:r>
          </w:p>
        </w:tc>
        <w:tc>
          <w:tcPr>
            <w:tcW w:w="641" w:type="pct"/>
            <w:vMerge w:val="continue"/>
            <w:shd w:val="clear" w:color="auto" w:fill="auto"/>
            <w:vAlign w:val="center"/>
          </w:tcPr>
          <w:p w14:paraId="5160E178">
            <w:pPr>
              <w:pStyle w:val="50"/>
              <w:rPr>
                <w:b w:val="0"/>
                <w:bCs w:val="0"/>
              </w:rPr>
            </w:pPr>
          </w:p>
        </w:tc>
      </w:tr>
      <w:tr w14:paraId="52C16A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CD086AB">
            <w:pPr>
              <w:pStyle w:val="50"/>
              <w:numPr>
                <w:ilvl w:val="0"/>
                <w:numId w:val="10"/>
              </w:numPr>
            </w:pPr>
          </w:p>
        </w:tc>
        <w:tc>
          <w:tcPr>
            <w:tcW w:w="1284" w:type="pct"/>
            <w:shd w:val="clear" w:color="auto" w:fill="auto"/>
            <w:vAlign w:val="center"/>
          </w:tcPr>
          <w:p w14:paraId="59BA3E5C">
            <w:pPr>
              <w:pStyle w:val="50"/>
              <w:rPr>
                <w:b w:val="0"/>
                <w:bCs w:val="0"/>
              </w:rPr>
            </w:pPr>
            <w:r>
              <w:rPr>
                <w:b w:val="0"/>
                <w:bCs w:val="0"/>
              </w:rPr>
              <w:t>GB/T 25854-2010</w:t>
            </w:r>
          </w:p>
        </w:tc>
        <w:tc>
          <w:tcPr>
            <w:tcW w:w="2654" w:type="pct"/>
            <w:shd w:val="clear" w:color="auto" w:fill="auto"/>
            <w:vAlign w:val="center"/>
          </w:tcPr>
          <w:p w14:paraId="1CA99A63">
            <w:pPr>
              <w:pStyle w:val="50"/>
              <w:rPr>
                <w:b w:val="0"/>
                <w:bCs w:val="0"/>
              </w:rPr>
            </w:pPr>
            <w:r>
              <w:rPr>
                <w:b w:val="0"/>
                <w:bCs w:val="0"/>
              </w:rPr>
              <w:t>一般起重用D形和弓形锻造卸扣</w:t>
            </w:r>
          </w:p>
        </w:tc>
        <w:tc>
          <w:tcPr>
            <w:tcW w:w="641" w:type="pct"/>
            <w:vMerge w:val="continue"/>
            <w:shd w:val="clear" w:color="auto" w:fill="auto"/>
            <w:vAlign w:val="center"/>
          </w:tcPr>
          <w:p w14:paraId="3277ADFF">
            <w:pPr>
              <w:pStyle w:val="50"/>
              <w:rPr>
                <w:b w:val="0"/>
                <w:bCs w:val="0"/>
              </w:rPr>
            </w:pPr>
          </w:p>
        </w:tc>
      </w:tr>
      <w:tr w14:paraId="3D47C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5FD3A40">
            <w:pPr>
              <w:pStyle w:val="50"/>
              <w:numPr>
                <w:ilvl w:val="0"/>
                <w:numId w:val="10"/>
              </w:numPr>
            </w:pPr>
          </w:p>
        </w:tc>
        <w:tc>
          <w:tcPr>
            <w:tcW w:w="1284" w:type="pct"/>
            <w:shd w:val="clear" w:color="auto" w:fill="auto"/>
            <w:vAlign w:val="center"/>
          </w:tcPr>
          <w:p w14:paraId="376E3352">
            <w:pPr>
              <w:pStyle w:val="50"/>
              <w:rPr>
                <w:b w:val="0"/>
                <w:bCs w:val="0"/>
              </w:rPr>
            </w:pPr>
            <w:r>
              <w:rPr>
                <w:rFonts w:hint="eastAsia"/>
                <w:b w:val="0"/>
                <w:bCs w:val="0"/>
              </w:rPr>
              <w:t>Q</w:t>
            </w:r>
            <w:r>
              <w:rPr>
                <w:b w:val="0"/>
                <w:bCs w:val="0"/>
              </w:rPr>
              <w:t>/</w:t>
            </w:r>
            <w:r>
              <w:rPr>
                <w:rFonts w:hint="eastAsia"/>
                <w:b w:val="0"/>
                <w:bCs w:val="0"/>
              </w:rPr>
              <w:t>CCCG</w:t>
            </w:r>
            <w:r>
              <w:rPr>
                <w:b w:val="0"/>
                <w:bCs w:val="0"/>
              </w:rPr>
              <w:t xml:space="preserve"> </w:t>
            </w:r>
            <w:r>
              <w:rPr>
                <w:rFonts w:hint="eastAsia"/>
                <w:b w:val="0"/>
                <w:bCs w:val="0"/>
              </w:rPr>
              <w:t>ZH</w:t>
            </w:r>
            <w:r>
              <w:rPr>
                <w:b w:val="0"/>
                <w:bCs w:val="0"/>
              </w:rPr>
              <w:t>00</w:t>
            </w:r>
            <w:r>
              <w:rPr>
                <w:rFonts w:hint="eastAsia"/>
                <w:b w:val="0"/>
                <w:bCs w:val="0"/>
              </w:rPr>
              <w:t>X</w:t>
            </w:r>
            <w:r>
              <w:rPr>
                <w:b w:val="0"/>
                <w:bCs w:val="0"/>
              </w:rPr>
              <w:t>-2022</w:t>
            </w:r>
          </w:p>
        </w:tc>
        <w:tc>
          <w:tcPr>
            <w:tcW w:w="2654" w:type="pct"/>
            <w:shd w:val="clear" w:color="auto" w:fill="auto"/>
            <w:vAlign w:val="center"/>
          </w:tcPr>
          <w:p w14:paraId="2CF0AF5F">
            <w:pPr>
              <w:pStyle w:val="50"/>
              <w:rPr>
                <w:b w:val="0"/>
                <w:bCs w:val="0"/>
              </w:rPr>
            </w:pPr>
            <w:r>
              <w:rPr>
                <w:rFonts w:hint="eastAsia"/>
                <w:b w:val="0"/>
                <w:bCs w:val="0"/>
              </w:rPr>
              <w:t>固定式塔式起重机安拆技术安全指南（试行）</w:t>
            </w:r>
          </w:p>
        </w:tc>
        <w:tc>
          <w:tcPr>
            <w:tcW w:w="641" w:type="pct"/>
            <w:vMerge w:val="restart"/>
            <w:shd w:val="clear" w:color="auto" w:fill="auto"/>
            <w:vAlign w:val="center"/>
          </w:tcPr>
          <w:p w14:paraId="14B62A0D">
            <w:pPr>
              <w:pStyle w:val="50"/>
              <w:rPr>
                <w:b w:val="0"/>
                <w:bCs w:val="0"/>
              </w:rPr>
            </w:pPr>
            <w:r>
              <w:rPr>
                <w:rFonts w:hint="eastAsia"/>
                <w:b w:val="0"/>
                <w:bCs w:val="0"/>
              </w:rPr>
              <w:t>公司相关管理文件</w:t>
            </w:r>
          </w:p>
        </w:tc>
      </w:tr>
      <w:tr w14:paraId="178598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457213BA">
            <w:pPr>
              <w:pStyle w:val="50"/>
              <w:numPr>
                <w:ilvl w:val="0"/>
                <w:numId w:val="10"/>
              </w:numPr>
            </w:pPr>
          </w:p>
        </w:tc>
        <w:tc>
          <w:tcPr>
            <w:tcW w:w="1284" w:type="pct"/>
            <w:shd w:val="clear" w:color="auto" w:fill="auto"/>
            <w:vAlign w:val="center"/>
          </w:tcPr>
          <w:p w14:paraId="10CE9C7D">
            <w:pPr>
              <w:pStyle w:val="50"/>
              <w:rPr>
                <w:b w:val="0"/>
                <w:bCs w:val="0"/>
              </w:rPr>
            </w:pPr>
            <w:r>
              <w:rPr>
                <w:rFonts w:hint="eastAsia"/>
                <w:b w:val="0"/>
                <w:bCs w:val="0"/>
              </w:rPr>
              <w:t>二航科技〔20</w:t>
            </w:r>
            <w:r>
              <w:rPr>
                <w:b w:val="0"/>
                <w:bCs w:val="0"/>
              </w:rPr>
              <w:t>22</w:t>
            </w:r>
            <w:r>
              <w:rPr>
                <w:rFonts w:hint="eastAsia"/>
                <w:b w:val="0"/>
                <w:bCs w:val="0"/>
              </w:rPr>
              <w:t>〕1</w:t>
            </w:r>
            <w:r>
              <w:rPr>
                <w:b w:val="0"/>
                <w:bCs w:val="0"/>
              </w:rPr>
              <w:t>612</w:t>
            </w:r>
            <w:r>
              <w:rPr>
                <w:rFonts w:hint="eastAsia"/>
                <w:b w:val="0"/>
                <w:bCs w:val="0"/>
              </w:rPr>
              <w:t>号</w:t>
            </w:r>
          </w:p>
        </w:tc>
        <w:tc>
          <w:tcPr>
            <w:tcW w:w="2654" w:type="pct"/>
            <w:shd w:val="clear" w:color="auto" w:fill="auto"/>
            <w:vAlign w:val="center"/>
          </w:tcPr>
          <w:p w14:paraId="194A2D6F">
            <w:pPr>
              <w:pStyle w:val="50"/>
              <w:rPr>
                <w:b w:val="0"/>
                <w:bCs w:val="0"/>
              </w:rPr>
            </w:pPr>
            <w:r>
              <w:rPr>
                <w:rFonts w:hint="eastAsia"/>
                <w:b w:val="0"/>
                <w:bCs w:val="0"/>
              </w:rPr>
              <w:t>中交二航局项目经营期技术管理办法</w:t>
            </w:r>
          </w:p>
        </w:tc>
        <w:tc>
          <w:tcPr>
            <w:tcW w:w="641" w:type="pct"/>
            <w:vMerge w:val="continue"/>
            <w:shd w:val="clear" w:color="auto" w:fill="auto"/>
            <w:vAlign w:val="center"/>
          </w:tcPr>
          <w:p w14:paraId="3C9E050D">
            <w:pPr>
              <w:pStyle w:val="50"/>
              <w:rPr>
                <w:b w:val="0"/>
                <w:bCs w:val="0"/>
              </w:rPr>
            </w:pPr>
          </w:p>
        </w:tc>
      </w:tr>
      <w:tr w14:paraId="297935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6F6588A">
            <w:pPr>
              <w:pStyle w:val="50"/>
              <w:numPr>
                <w:ilvl w:val="0"/>
                <w:numId w:val="10"/>
              </w:numPr>
            </w:pPr>
          </w:p>
        </w:tc>
        <w:tc>
          <w:tcPr>
            <w:tcW w:w="1284" w:type="pct"/>
            <w:shd w:val="clear" w:color="auto" w:fill="auto"/>
            <w:vAlign w:val="center"/>
          </w:tcPr>
          <w:p w14:paraId="0236D52E">
            <w:pPr>
              <w:pStyle w:val="50"/>
              <w:rPr>
                <w:b w:val="0"/>
                <w:bCs w:val="0"/>
              </w:rPr>
            </w:pPr>
            <w:r>
              <w:rPr>
                <w:b w:val="0"/>
                <w:bCs w:val="0"/>
              </w:rPr>
              <w:t>二航科技</w:t>
            </w:r>
            <w:r>
              <w:rPr>
                <w:rFonts w:hint="eastAsia"/>
                <w:b w:val="0"/>
                <w:bCs w:val="0"/>
              </w:rPr>
              <w:t>〔20</w:t>
            </w:r>
            <w:r>
              <w:rPr>
                <w:b w:val="0"/>
                <w:bCs w:val="0"/>
              </w:rPr>
              <w:t>22</w:t>
            </w:r>
            <w:r>
              <w:rPr>
                <w:rFonts w:hint="eastAsia"/>
                <w:b w:val="0"/>
                <w:bCs w:val="0"/>
              </w:rPr>
              <w:t>〕1</w:t>
            </w:r>
            <w:r>
              <w:rPr>
                <w:b w:val="0"/>
                <w:bCs w:val="0"/>
              </w:rPr>
              <w:t>612</w:t>
            </w:r>
            <w:r>
              <w:rPr>
                <w:rFonts w:hint="eastAsia"/>
                <w:b w:val="0"/>
                <w:bCs w:val="0"/>
              </w:rPr>
              <w:t>号</w:t>
            </w:r>
          </w:p>
        </w:tc>
        <w:tc>
          <w:tcPr>
            <w:tcW w:w="2654" w:type="pct"/>
            <w:shd w:val="clear" w:color="auto" w:fill="auto"/>
            <w:vAlign w:val="center"/>
          </w:tcPr>
          <w:p w14:paraId="026DEB90">
            <w:pPr>
              <w:pStyle w:val="50"/>
              <w:rPr>
                <w:b w:val="0"/>
                <w:bCs w:val="0"/>
              </w:rPr>
            </w:pPr>
            <w:r>
              <w:rPr>
                <w:rFonts w:hint="eastAsia"/>
                <w:b w:val="0"/>
                <w:bCs w:val="0"/>
              </w:rPr>
              <w:t>中交二航局项目建设期（含运营）技术管理办法</w:t>
            </w:r>
          </w:p>
        </w:tc>
        <w:tc>
          <w:tcPr>
            <w:tcW w:w="641" w:type="pct"/>
            <w:vMerge w:val="continue"/>
            <w:shd w:val="clear" w:color="auto" w:fill="auto"/>
            <w:vAlign w:val="center"/>
          </w:tcPr>
          <w:p w14:paraId="2FD8404E">
            <w:pPr>
              <w:pStyle w:val="50"/>
              <w:rPr>
                <w:b w:val="0"/>
                <w:bCs w:val="0"/>
              </w:rPr>
            </w:pPr>
          </w:p>
        </w:tc>
      </w:tr>
      <w:tr w14:paraId="2BEDA3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CAEC13F">
            <w:pPr>
              <w:pStyle w:val="50"/>
              <w:numPr>
                <w:ilvl w:val="0"/>
                <w:numId w:val="10"/>
              </w:numPr>
            </w:pPr>
          </w:p>
        </w:tc>
        <w:tc>
          <w:tcPr>
            <w:tcW w:w="1284" w:type="pct"/>
            <w:shd w:val="clear" w:color="auto" w:fill="auto"/>
            <w:vAlign w:val="center"/>
          </w:tcPr>
          <w:p w14:paraId="49BACED5">
            <w:pPr>
              <w:pStyle w:val="50"/>
              <w:rPr>
                <w:b w:val="0"/>
                <w:bCs w:val="0"/>
              </w:rPr>
            </w:pPr>
            <w:r>
              <w:rPr>
                <w:rFonts w:hint="eastAsia"/>
                <w:b w:val="0"/>
                <w:bCs w:val="0"/>
              </w:rPr>
              <w:t>二航安委〔20</w:t>
            </w:r>
            <w:r>
              <w:rPr>
                <w:b w:val="0"/>
                <w:bCs w:val="0"/>
              </w:rPr>
              <w:t>21</w:t>
            </w:r>
            <w:r>
              <w:rPr>
                <w:rFonts w:hint="eastAsia"/>
                <w:b w:val="0"/>
                <w:bCs w:val="0"/>
              </w:rPr>
              <w:t>〕</w:t>
            </w:r>
            <w:r>
              <w:rPr>
                <w:b w:val="0"/>
                <w:bCs w:val="0"/>
              </w:rPr>
              <w:t>863</w:t>
            </w:r>
            <w:r>
              <w:rPr>
                <w:rFonts w:hint="eastAsia"/>
                <w:b w:val="0"/>
                <w:bCs w:val="0"/>
              </w:rPr>
              <w:t>号</w:t>
            </w:r>
          </w:p>
        </w:tc>
        <w:tc>
          <w:tcPr>
            <w:tcW w:w="2654" w:type="pct"/>
            <w:shd w:val="clear" w:color="auto" w:fill="auto"/>
            <w:vAlign w:val="center"/>
          </w:tcPr>
          <w:p w14:paraId="752C2DC7">
            <w:pPr>
              <w:pStyle w:val="50"/>
              <w:rPr>
                <w:b w:val="0"/>
                <w:bCs w:val="0"/>
              </w:rPr>
            </w:pPr>
            <w:r>
              <w:rPr>
                <w:rFonts w:hint="eastAsia"/>
                <w:b w:val="0"/>
                <w:bCs w:val="0"/>
              </w:rPr>
              <w:t>中交二航局班组班前喊话管理办法（试行）</w:t>
            </w:r>
          </w:p>
        </w:tc>
        <w:tc>
          <w:tcPr>
            <w:tcW w:w="641" w:type="pct"/>
            <w:vMerge w:val="continue"/>
            <w:shd w:val="clear" w:color="auto" w:fill="auto"/>
            <w:vAlign w:val="center"/>
          </w:tcPr>
          <w:p w14:paraId="1E6ADCC9">
            <w:pPr>
              <w:pStyle w:val="50"/>
              <w:rPr>
                <w:b w:val="0"/>
                <w:bCs w:val="0"/>
              </w:rPr>
            </w:pPr>
          </w:p>
        </w:tc>
      </w:tr>
      <w:tr w14:paraId="46E97D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BA904E7">
            <w:pPr>
              <w:pStyle w:val="50"/>
              <w:numPr>
                <w:ilvl w:val="0"/>
                <w:numId w:val="10"/>
              </w:numPr>
            </w:pPr>
          </w:p>
        </w:tc>
        <w:tc>
          <w:tcPr>
            <w:tcW w:w="1284" w:type="pct"/>
            <w:shd w:val="clear" w:color="auto" w:fill="auto"/>
            <w:vAlign w:val="center"/>
          </w:tcPr>
          <w:p w14:paraId="01028A26">
            <w:pPr>
              <w:pStyle w:val="50"/>
              <w:rPr>
                <w:b w:val="0"/>
                <w:bCs w:val="0"/>
              </w:rPr>
            </w:pPr>
            <w:r>
              <w:rPr>
                <w:rFonts w:hint="eastAsia"/>
                <w:b w:val="0"/>
                <w:bCs w:val="0"/>
              </w:rPr>
              <w:t>二航安委〔20</w:t>
            </w:r>
            <w:r>
              <w:rPr>
                <w:b w:val="0"/>
                <w:bCs w:val="0"/>
              </w:rPr>
              <w:t>21</w:t>
            </w:r>
            <w:r>
              <w:rPr>
                <w:rFonts w:hint="eastAsia"/>
                <w:b w:val="0"/>
                <w:bCs w:val="0"/>
              </w:rPr>
              <w:t>〕1</w:t>
            </w:r>
            <w:r>
              <w:rPr>
                <w:b w:val="0"/>
                <w:bCs w:val="0"/>
              </w:rPr>
              <w:t>120</w:t>
            </w:r>
            <w:r>
              <w:rPr>
                <w:rFonts w:hint="eastAsia"/>
                <w:b w:val="0"/>
                <w:bCs w:val="0"/>
              </w:rPr>
              <w:t>号</w:t>
            </w:r>
          </w:p>
        </w:tc>
        <w:tc>
          <w:tcPr>
            <w:tcW w:w="2654" w:type="pct"/>
            <w:shd w:val="clear" w:color="auto" w:fill="auto"/>
            <w:vAlign w:val="center"/>
          </w:tcPr>
          <w:p w14:paraId="2B0B2AE1">
            <w:pPr>
              <w:pStyle w:val="50"/>
              <w:rPr>
                <w:b w:val="0"/>
                <w:bCs w:val="0"/>
              </w:rPr>
            </w:pPr>
            <w:r>
              <w:rPr>
                <w:rFonts w:hint="eastAsia"/>
                <w:b w:val="0"/>
                <w:bCs w:val="0"/>
              </w:rPr>
              <w:t>中交二航局职业健康安全生产考核奖惩及责任追究办法</w:t>
            </w:r>
          </w:p>
        </w:tc>
        <w:tc>
          <w:tcPr>
            <w:tcW w:w="641" w:type="pct"/>
            <w:vMerge w:val="continue"/>
            <w:shd w:val="clear" w:color="auto" w:fill="auto"/>
            <w:vAlign w:val="center"/>
          </w:tcPr>
          <w:p w14:paraId="30FD47AE">
            <w:pPr>
              <w:pStyle w:val="50"/>
              <w:rPr>
                <w:b w:val="0"/>
                <w:bCs w:val="0"/>
              </w:rPr>
            </w:pPr>
          </w:p>
        </w:tc>
      </w:tr>
      <w:tr w14:paraId="752B60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29EB27F2">
            <w:pPr>
              <w:pStyle w:val="50"/>
              <w:numPr>
                <w:ilvl w:val="0"/>
                <w:numId w:val="10"/>
              </w:numPr>
            </w:pPr>
          </w:p>
        </w:tc>
        <w:tc>
          <w:tcPr>
            <w:tcW w:w="1284" w:type="pct"/>
            <w:shd w:val="clear" w:color="auto" w:fill="auto"/>
            <w:vAlign w:val="center"/>
          </w:tcPr>
          <w:p w14:paraId="2937C0C4">
            <w:pPr>
              <w:pStyle w:val="50"/>
              <w:rPr>
                <w:b w:val="0"/>
                <w:bCs w:val="0"/>
              </w:rPr>
            </w:pPr>
            <w:r>
              <w:rPr>
                <w:rFonts w:hint="eastAsia"/>
                <w:b w:val="0"/>
                <w:bCs w:val="0"/>
              </w:rPr>
              <w:t>二航安委〔20</w:t>
            </w:r>
            <w:r>
              <w:rPr>
                <w:b w:val="0"/>
                <w:bCs w:val="0"/>
              </w:rPr>
              <w:t>21</w:t>
            </w:r>
            <w:r>
              <w:rPr>
                <w:rFonts w:hint="eastAsia"/>
                <w:b w:val="0"/>
                <w:bCs w:val="0"/>
              </w:rPr>
              <w:t>〕1</w:t>
            </w:r>
            <w:r>
              <w:rPr>
                <w:b w:val="0"/>
                <w:bCs w:val="0"/>
              </w:rPr>
              <w:t>261</w:t>
            </w:r>
            <w:r>
              <w:rPr>
                <w:rFonts w:hint="eastAsia"/>
                <w:b w:val="0"/>
                <w:bCs w:val="0"/>
              </w:rPr>
              <w:t>号</w:t>
            </w:r>
          </w:p>
        </w:tc>
        <w:tc>
          <w:tcPr>
            <w:tcW w:w="2654" w:type="pct"/>
            <w:shd w:val="clear" w:color="auto" w:fill="auto"/>
            <w:vAlign w:val="center"/>
          </w:tcPr>
          <w:p w14:paraId="19144BD4">
            <w:pPr>
              <w:pStyle w:val="50"/>
              <w:rPr>
                <w:b w:val="0"/>
                <w:bCs w:val="0"/>
              </w:rPr>
            </w:pPr>
            <w:r>
              <w:rPr>
                <w:rFonts w:hint="eastAsia"/>
                <w:b w:val="0"/>
                <w:bCs w:val="0"/>
              </w:rPr>
              <w:t>中交二航局安全生产风险分级管控实施办法</w:t>
            </w:r>
          </w:p>
        </w:tc>
        <w:tc>
          <w:tcPr>
            <w:tcW w:w="641" w:type="pct"/>
            <w:vMerge w:val="continue"/>
            <w:shd w:val="clear" w:color="auto" w:fill="auto"/>
            <w:vAlign w:val="center"/>
          </w:tcPr>
          <w:p w14:paraId="4F374E2A">
            <w:pPr>
              <w:pStyle w:val="50"/>
              <w:rPr>
                <w:b w:val="0"/>
                <w:bCs w:val="0"/>
              </w:rPr>
            </w:pPr>
          </w:p>
        </w:tc>
      </w:tr>
      <w:tr w14:paraId="32EB3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15CA479">
            <w:pPr>
              <w:pStyle w:val="50"/>
              <w:numPr>
                <w:ilvl w:val="0"/>
                <w:numId w:val="10"/>
              </w:numPr>
            </w:pPr>
          </w:p>
        </w:tc>
        <w:tc>
          <w:tcPr>
            <w:tcW w:w="1284" w:type="pct"/>
            <w:shd w:val="clear" w:color="auto" w:fill="auto"/>
            <w:vAlign w:val="center"/>
          </w:tcPr>
          <w:p w14:paraId="18E870F3">
            <w:pPr>
              <w:pStyle w:val="50"/>
              <w:rPr>
                <w:b w:val="0"/>
                <w:bCs w:val="0"/>
              </w:rPr>
            </w:pPr>
            <w:r>
              <w:rPr>
                <w:rFonts w:hint="eastAsia"/>
                <w:b w:val="0"/>
                <w:bCs w:val="0"/>
              </w:rPr>
              <w:t>二航安委〔20</w:t>
            </w:r>
            <w:r>
              <w:rPr>
                <w:b w:val="0"/>
                <w:bCs w:val="0"/>
              </w:rPr>
              <w:t>21</w:t>
            </w:r>
            <w:r>
              <w:rPr>
                <w:rFonts w:hint="eastAsia"/>
                <w:b w:val="0"/>
                <w:bCs w:val="0"/>
              </w:rPr>
              <w:t>〕1</w:t>
            </w:r>
            <w:r>
              <w:rPr>
                <w:b w:val="0"/>
                <w:bCs w:val="0"/>
              </w:rPr>
              <w:t>268</w:t>
            </w:r>
            <w:r>
              <w:rPr>
                <w:rFonts w:hint="eastAsia"/>
                <w:b w:val="0"/>
                <w:bCs w:val="0"/>
              </w:rPr>
              <w:t>号</w:t>
            </w:r>
          </w:p>
        </w:tc>
        <w:tc>
          <w:tcPr>
            <w:tcW w:w="2654" w:type="pct"/>
            <w:shd w:val="clear" w:color="auto" w:fill="auto"/>
            <w:vAlign w:val="center"/>
          </w:tcPr>
          <w:p w14:paraId="5FD15838">
            <w:pPr>
              <w:pStyle w:val="50"/>
              <w:rPr>
                <w:b w:val="0"/>
                <w:bCs w:val="0"/>
              </w:rPr>
            </w:pPr>
            <w:r>
              <w:rPr>
                <w:rFonts w:hint="eastAsia"/>
                <w:b w:val="0"/>
                <w:bCs w:val="0"/>
              </w:rPr>
              <w:t>中交二航局生产安全事故隐患排查治理办法</w:t>
            </w:r>
          </w:p>
        </w:tc>
        <w:tc>
          <w:tcPr>
            <w:tcW w:w="641" w:type="pct"/>
            <w:vMerge w:val="continue"/>
            <w:shd w:val="clear" w:color="auto" w:fill="auto"/>
            <w:vAlign w:val="center"/>
          </w:tcPr>
          <w:p w14:paraId="1241E2E2">
            <w:pPr>
              <w:pStyle w:val="50"/>
              <w:rPr>
                <w:b w:val="0"/>
                <w:bCs w:val="0"/>
              </w:rPr>
            </w:pPr>
          </w:p>
        </w:tc>
      </w:tr>
      <w:tr w14:paraId="08FADD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05D0D73">
            <w:pPr>
              <w:pStyle w:val="50"/>
              <w:numPr>
                <w:ilvl w:val="0"/>
                <w:numId w:val="10"/>
              </w:numPr>
            </w:pPr>
          </w:p>
        </w:tc>
        <w:tc>
          <w:tcPr>
            <w:tcW w:w="1284" w:type="pct"/>
            <w:shd w:val="clear" w:color="auto" w:fill="auto"/>
            <w:vAlign w:val="center"/>
          </w:tcPr>
          <w:p w14:paraId="5ED8DB29">
            <w:pPr>
              <w:pStyle w:val="50"/>
              <w:rPr>
                <w:b w:val="0"/>
                <w:bCs w:val="0"/>
              </w:rPr>
            </w:pPr>
            <w:r>
              <w:rPr>
                <w:rFonts w:hint="eastAsia"/>
                <w:b w:val="0"/>
                <w:bCs w:val="0"/>
              </w:rPr>
              <w:t>二航生产〔20</w:t>
            </w:r>
            <w:r>
              <w:rPr>
                <w:b w:val="0"/>
                <w:bCs w:val="0"/>
              </w:rPr>
              <w:t>22</w:t>
            </w:r>
            <w:r>
              <w:rPr>
                <w:rFonts w:hint="eastAsia"/>
                <w:b w:val="0"/>
                <w:bCs w:val="0"/>
              </w:rPr>
              <w:t>〕</w:t>
            </w:r>
            <w:r>
              <w:rPr>
                <w:b w:val="0"/>
                <w:bCs w:val="0"/>
              </w:rPr>
              <w:t>677</w:t>
            </w:r>
            <w:r>
              <w:rPr>
                <w:rFonts w:hint="eastAsia"/>
                <w:b w:val="0"/>
                <w:bCs w:val="0"/>
              </w:rPr>
              <w:t>号</w:t>
            </w:r>
          </w:p>
        </w:tc>
        <w:tc>
          <w:tcPr>
            <w:tcW w:w="2654" w:type="pct"/>
            <w:shd w:val="clear" w:color="auto" w:fill="auto"/>
            <w:vAlign w:val="center"/>
          </w:tcPr>
          <w:p w14:paraId="5BCF5D16">
            <w:pPr>
              <w:pStyle w:val="50"/>
              <w:rPr>
                <w:b w:val="0"/>
                <w:bCs w:val="0"/>
              </w:rPr>
            </w:pPr>
            <w:r>
              <w:rPr>
                <w:rFonts w:hint="eastAsia"/>
                <w:b w:val="0"/>
                <w:bCs w:val="0"/>
              </w:rPr>
              <w:t>中交二航局生态环境保护管理办法</w:t>
            </w:r>
          </w:p>
        </w:tc>
        <w:tc>
          <w:tcPr>
            <w:tcW w:w="641" w:type="pct"/>
            <w:vMerge w:val="continue"/>
            <w:shd w:val="clear" w:color="auto" w:fill="auto"/>
            <w:vAlign w:val="center"/>
          </w:tcPr>
          <w:p w14:paraId="48E7C873">
            <w:pPr>
              <w:pStyle w:val="50"/>
              <w:rPr>
                <w:b w:val="0"/>
                <w:bCs w:val="0"/>
              </w:rPr>
            </w:pPr>
          </w:p>
        </w:tc>
      </w:tr>
      <w:tr w14:paraId="49CE2E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BE73FA1">
            <w:pPr>
              <w:pStyle w:val="50"/>
              <w:numPr>
                <w:ilvl w:val="0"/>
                <w:numId w:val="10"/>
              </w:numPr>
            </w:pPr>
          </w:p>
        </w:tc>
        <w:tc>
          <w:tcPr>
            <w:tcW w:w="1284" w:type="pct"/>
            <w:shd w:val="clear" w:color="auto" w:fill="auto"/>
            <w:vAlign w:val="center"/>
          </w:tcPr>
          <w:p w14:paraId="13A62D9F">
            <w:pPr>
              <w:pStyle w:val="50"/>
              <w:rPr>
                <w:b w:val="0"/>
                <w:bCs w:val="0"/>
              </w:rPr>
            </w:pPr>
            <w:r>
              <w:rPr>
                <w:rFonts w:hint="eastAsia"/>
                <w:b w:val="0"/>
                <w:bCs w:val="0"/>
              </w:rPr>
              <w:t>二航生</w:t>
            </w:r>
            <w:r>
              <w:rPr>
                <w:b w:val="0"/>
                <w:bCs w:val="0"/>
              </w:rPr>
              <w:t>产</w:t>
            </w:r>
            <w:r>
              <w:rPr>
                <w:rFonts w:hint="eastAsia"/>
                <w:b w:val="0"/>
                <w:bCs w:val="0"/>
              </w:rPr>
              <w:t>〔20</w:t>
            </w:r>
            <w:r>
              <w:rPr>
                <w:b w:val="0"/>
                <w:bCs w:val="0"/>
              </w:rPr>
              <w:t>22</w:t>
            </w:r>
            <w:r>
              <w:rPr>
                <w:rFonts w:hint="eastAsia"/>
                <w:b w:val="0"/>
                <w:bCs w:val="0"/>
              </w:rPr>
              <w:t>〕</w:t>
            </w:r>
            <w:r>
              <w:rPr>
                <w:b w:val="0"/>
                <w:bCs w:val="0"/>
              </w:rPr>
              <w:t>677</w:t>
            </w:r>
            <w:r>
              <w:rPr>
                <w:rFonts w:hint="eastAsia"/>
                <w:b w:val="0"/>
                <w:bCs w:val="0"/>
              </w:rPr>
              <w:t>号</w:t>
            </w:r>
          </w:p>
        </w:tc>
        <w:tc>
          <w:tcPr>
            <w:tcW w:w="2654" w:type="pct"/>
            <w:shd w:val="clear" w:color="auto" w:fill="auto"/>
            <w:vAlign w:val="center"/>
          </w:tcPr>
          <w:p w14:paraId="4AF0481E">
            <w:pPr>
              <w:pStyle w:val="50"/>
              <w:rPr>
                <w:b w:val="0"/>
                <w:bCs w:val="0"/>
              </w:rPr>
            </w:pPr>
            <w:r>
              <w:rPr>
                <w:rFonts w:hint="eastAsia"/>
                <w:b w:val="0"/>
                <w:bCs w:val="0"/>
              </w:rPr>
              <w:t>中交二航局生态环境保护责任制实施细则</w:t>
            </w:r>
          </w:p>
        </w:tc>
        <w:tc>
          <w:tcPr>
            <w:tcW w:w="641" w:type="pct"/>
            <w:vMerge w:val="continue"/>
            <w:shd w:val="clear" w:color="auto" w:fill="auto"/>
            <w:vAlign w:val="center"/>
          </w:tcPr>
          <w:p w14:paraId="497D80B2">
            <w:pPr>
              <w:pStyle w:val="50"/>
              <w:rPr>
                <w:b w:val="0"/>
                <w:bCs w:val="0"/>
              </w:rPr>
            </w:pPr>
          </w:p>
        </w:tc>
      </w:tr>
      <w:tr w14:paraId="77516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9A55953">
            <w:pPr>
              <w:pStyle w:val="50"/>
              <w:numPr>
                <w:ilvl w:val="0"/>
                <w:numId w:val="10"/>
              </w:numPr>
            </w:pPr>
          </w:p>
        </w:tc>
        <w:tc>
          <w:tcPr>
            <w:tcW w:w="1284" w:type="pct"/>
            <w:shd w:val="clear" w:color="auto" w:fill="auto"/>
            <w:vAlign w:val="center"/>
          </w:tcPr>
          <w:p w14:paraId="36C53ED0">
            <w:pPr>
              <w:pStyle w:val="50"/>
              <w:rPr>
                <w:b w:val="0"/>
                <w:bCs w:val="0"/>
              </w:rPr>
            </w:pPr>
          </w:p>
        </w:tc>
        <w:tc>
          <w:tcPr>
            <w:tcW w:w="2654" w:type="pct"/>
            <w:shd w:val="clear" w:color="auto" w:fill="auto"/>
            <w:vAlign w:val="center"/>
          </w:tcPr>
          <w:p w14:paraId="5A2078B9">
            <w:pPr>
              <w:pStyle w:val="50"/>
              <w:rPr>
                <w:b w:val="0"/>
                <w:bCs w:val="0"/>
              </w:rPr>
            </w:pPr>
            <w:bookmarkStart w:id="22" w:name="大临基础施工方案"/>
            <w:r>
              <w:rPr>
                <w:rFonts w:hint="eastAsia"/>
                <w:b w:val="0"/>
                <w:bCs w:val="0"/>
              </w:rPr>
              <w:t>主塔专项施工方案</w:t>
            </w:r>
            <w:bookmarkEnd w:id="22"/>
          </w:p>
        </w:tc>
        <w:tc>
          <w:tcPr>
            <w:tcW w:w="641" w:type="pct"/>
            <w:shd w:val="clear" w:color="auto" w:fill="auto"/>
            <w:vAlign w:val="center"/>
          </w:tcPr>
          <w:p w14:paraId="26148952">
            <w:pPr>
              <w:pStyle w:val="50"/>
              <w:rPr>
                <w:b w:val="0"/>
                <w:bCs w:val="0"/>
              </w:rPr>
            </w:pPr>
            <w:r>
              <w:rPr>
                <w:rFonts w:hint="eastAsia"/>
                <w:b w:val="0"/>
                <w:bCs w:val="0"/>
              </w:rPr>
              <w:t>项目方案</w:t>
            </w:r>
          </w:p>
        </w:tc>
      </w:tr>
      <w:tr w14:paraId="6766A6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147A8732">
            <w:pPr>
              <w:pStyle w:val="50"/>
              <w:numPr>
                <w:ilvl w:val="0"/>
                <w:numId w:val="10"/>
              </w:numPr>
            </w:pPr>
          </w:p>
        </w:tc>
        <w:tc>
          <w:tcPr>
            <w:tcW w:w="1284" w:type="pct"/>
            <w:shd w:val="clear" w:color="auto" w:fill="auto"/>
            <w:vAlign w:val="center"/>
          </w:tcPr>
          <w:p w14:paraId="4F907258">
            <w:pPr>
              <w:pStyle w:val="50"/>
              <w:rPr>
                <w:b w:val="0"/>
                <w:bCs w:val="0"/>
              </w:rPr>
            </w:pPr>
          </w:p>
        </w:tc>
        <w:tc>
          <w:tcPr>
            <w:tcW w:w="2654" w:type="pct"/>
            <w:shd w:val="clear" w:color="auto" w:fill="auto"/>
            <w:vAlign w:val="center"/>
          </w:tcPr>
          <w:p w14:paraId="404FC914">
            <w:pPr>
              <w:pStyle w:val="50"/>
              <w:rPr>
                <w:b w:val="0"/>
                <w:bCs w:val="0"/>
              </w:rPr>
            </w:pPr>
            <w:r>
              <w:rPr>
                <w:b w:val="0"/>
                <w:bCs w:val="0"/>
              </w:rPr>
              <w:fldChar w:fldCharType="begin"/>
            </w:r>
            <w:r>
              <w:rPr>
                <w:b w:val="0"/>
                <w:bCs w:val="0"/>
              </w:rPr>
              <w:instrText xml:space="preserve"> </w:instrText>
            </w:r>
            <w:r>
              <w:rPr>
                <w:rFonts w:hint="eastAsia"/>
                <w:b w:val="0"/>
                <w:bCs w:val="0"/>
              </w:rPr>
              <w:instrText xml:space="preserve">REF 设备型号1 \h</w:instrText>
            </w:r>
            <w:r>
              <w:rPr>
                <w:b w:val="0"/>
                <w:bCs w:val="0"/>
              </w:rPr>
              <w:instrText xml:space="preserve">  \* MERGEFORMAT </w:instrText>
            </w:r>
            <w:r>
              <w:rPr>
                <w:b w:val="0"/>
                <w:bCs w:val="0"/>
              </w:rPr>
              <w:fldChar w:fldCharType="separate"/>
            </w:r>
            <w:r>
              <w:rPr>
                <w:rFonts w:hint="eastAsia"/>
                <w:b w:val="0"/>
                <w:bCs w:val="0"/>
              </w:rPr>
              <w:t>XGT</w:t>
            </w:r>
            <w:r>
              <w:rPr>
                <w:b w:val="0"/>
                <w:bCs w:val="0"/>
              </w:rPr>
              <w:fldChar w:fldCharType="end"/>
            </w:r>
            <w:r>
              <w:rPr>
                <w:rFonts w:hint="eastAsia"/>
                <w:b w:val="0"/>
                <w:bCs w:val="0"/>
                <w:lang w:val="en-US" w:eastAsia="zh-CN"/>
              </w:rPr>
              <w:t>7022-12S</w:t>
            </w:r>
            <w:r>
              <w:rPr>
                <w:b w:val="0"/>
                <w:bCs w:val="0"/>
              </w:rPr>
              <w:fldChar w:fldCharType="begin"/>
            </w:r>
            <w:r>
              <w:rPr>
                <w:b w:val="0"/>
                <w:bCs w:val="0"/>
              </w:rPr>
              <w:instrText xml:space="preserve"> REF 设备类型 \h  \* MERGEFORMAT </w:instrText>
            </w:r>
            <w:r>
              <w:rPr>
                <w:b w:val="0"/>
                <w:bCs w:val="0"/>
              </w:rPr>
              <w:fldChar w:fldCharType="separate"/>
            </w:r>
            <w:r>
              <w:rPr>
                <w:rFonts w:hint="eastAsia"/>
                <w:b w:val="0"/>
                <w:bCs w:val="0"/>
              </w:rPr>
              <w:t>塔式起重机</w:t>
            </w:r>
            <w:r>
              <w:rPr>
                <w:b w:val="0"/>
                <w:bCs w:val="0"/>
              </w:rPr>
              <w:fldChar w:fldCharType="end"/>
            </w:r>
            <w:r>
              <w:rPr>
                <w:rFonts w:hint="eastAsia"/>
                <w:b w:val="0"/>
                <w:bCs w:val="0"/>
              </w:rPr>
              <w:t>说明书</w:t>
            </w:r>
          </w:p>
        </w:tc>
        <w:tc>
          <w:tcPr>
            <w:tcW w:w="641" w:type="pct"/>
            <w:vMerge w:val="restart"/>
            <w:shd w:val="clear" w:color="auto" w:fill="auto"/>
            <w:vAlign w:val="center"/>
          </w:tcPr>
          <w:p w14:paraId="420D441D">
            <w:pPr>
              <w:pStyle w:val="50"/>
              <w:rPr>
                <w:b w:val="0"/>
                <w:bCs w:val="0"/>
              </w:rPr>
            </w:pPr>
            <w:r>
              <w:rPr>
                <w:rFonts w:hint="eastAsia"/>
                <w:b w:val="0"/>
                <w:bCs w:val="0"/>
              </w:rPr>
              <w:t>技术资料</w:t>
            </w:r>
          </w:p>
        </w:tc>
      </w:tr>
      <w:tr w14:paraId="359036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6DDD1D85">
            <w:pPr>
              <w:pStyle w:val="50"/>
              <w:numPr>
                <w:ilvl w:val="0"/>
                <w:numId w:val="10"/>
              </w:numPr>
            </w:pPr>
          </w:p>
        </w:tc>
        <w:tc>
          <w:tcPr>
            <w:tcW w:w="1284" w:type="pct"/>
            <w:shd w:val="clear" w:color="auto" w:fill="auto"/>
            <w:vAlign w:val="center"/>
          </w:tcPr>
          <w:p w14:paraId="42995D0F">
            <w:pPr>
              <w:pStyle w:val="50"/>
              <w:rPr>
                <w:b w:val="0"/>
                <w:bCs w:val="0"/>
              </w:rPr>
            </w:pPr>
          </w:p>
        </w:tc>
        <w:tc>
          <w:tcPr>
            <w:tcW w:w="2654" w:type="pct"/>
            <w:shd w:val="clear" w:color="auto" w:fill="auto"/>
            <w:vAlign w:val="center"/>
          </w:tcPr>
          <w:p w14:paraId="31C73E7E">
            <w:pPr>
              <w:pStyle w:val="50"/>
              <w:rPr>
                <w:b w:val="0"/>
                <w:bCs w:val="0"/>
              </w:rPr>
            </w:pPr>
            <w:r>
              <w:rPr>
                <w:b w:val="0"/>
                <w:bCs w:val="0"/>
                <w:highlight w:val="none"/>
              </w:rPr>
              <w:fldChar w:fldCharType="begin"/>
            </w:r>
            <w:r>
              <w:rPr>
                <w:b w:val="0"/>
                <w:bCs w:val="0"/>
                <w:highlight w:val="none"/>
              </w:rPr>
              <w:instrText xml:space="preserve"> </w:instrText>
            </w:r>
            <w:r>
              <w:rPr>
                <w:rFonts w:hint="eastAsia"/>
                <w:b w:val="0"/>
                <w:bCs w:val="0"/>
                <w:highlight w:val="none"/>
              </w:rPr>
              <w:instrText xml:space="preserve">REF 起重设备1型号 \h</w:instrText>
            </w:r>
            <w:r>
              <w:rPr>
                <w:b w:val="0"/>
                <w:bCs w:val="0"/>
                <w:highlight w:val="none"/>
              </w:rPr>
              <w:instrText xml:space="preserve"> </w:instrText>
            </w:r>
            <w:r>
              <w:rPr>
                <w:b w:val="0"/>
                <w:bCs w:val="0"/>
                <w:highlight w:val="none"/>
              </w:rPr>
              <w:fldChar w:fldCharType="separate"/>
            </w:r>
            <w:r>
              <w:rPr>
                <w:rFonts w:hint="eastAsia"/>
                <w:b w:val="0"/>
                <w:bCs w:val="0"/>
                <w:highlight w:val="none"/>
                <w:lang w:val="en-US" w:eastAsia="zh-CN"/>
              </w:rPr>
              <w:t>50T</w:t>
            </w:r>
            <w:r>
              <w:rPr>
                <w:b w:val="0"/>
                <w:bCs w:val="0"/>
                <w:highlight w:val="none"/>
              </w:rPr>
              <w:fldChar w:fldCharType="end"/>
            </w:r>
            <w:r>
              <w:rPr>
                <w:b w:val="0"/>
                <w:bCs w:val="0"/>
              </w:rPr>
              <w:fldChar w:fldCharType="begin"/>
            </w:r>
            <w:r>
              <w:rPr>
                <w:b w:val="0"/>
                <w:bCs w:val="0"/>
              </w:rPr>
              <w:instrText xml:space="preserve"> REF 起重设备1类型 \h </w:instrText>
            </w:r>
            <w:r>
              <w:rPr>
                <w:b w:val="0"/>
                <w:bCs w:val="0"/>
              </w:rPr>
              <w:fldChar w:fldCharType="separate"/>
            </w:r>
            <w:r>
              <w:rPr>
                <w:rFonts w:hint="eastAsia"/>
                <w:b w:val="0"/>
                <w:bCs w:val="0"/>
              </w:rPr>
              <w:t>汽车式起重机</w:t>
            </w:r>
            <w:r>
              <w:rPr>
                <w:b w:val="0"/>
                <w:bCs w:val="0"/>
              </w:rPr>
              <w:fldChar w:fldCharType="end"/>
            </w:r>
            <w:r>
              <w:rPr>
                <w:rFonts w:hint="eastAsia"/>
                <w:b w:val="0"/>
                <w:bCs w:val="0"/>
              </w:rPr>
              <w:t>说明书</w:t>
            </w:r>
          </w:p>
        </w:tc>
        <w:tc>
          <w:tcPr>
            <w:tcW w:w="641" w:type="pct"/>
            <w:vMerge w:val="continue"/>
            <w:shd w:val="clear" w:color="auto" w:fill="auto"/>
            <w:vAlign w:val="center"/>
          </w:tcPr>
          <w:p w14:paraId="061AD0FF">
            <w:pPr>
              <w:pStyle w:val="50"/>
            </w:pPr>
          </w:p>
        </w:tc>
      </w:tr>
    </w:tbl>
    <w:p w14:paraId="2D374F95">
      <w:pPr>
        <w:pStyle w:val="3"/>
        <w:bidi w:val="0"/>
        <w:ind w:left="575" w:leftChars="0" w:hanging="575" w:firstLineChars="0"/>
        <w:rPr>
          <w:b/>
          <w:bCs w:val="0"/>
          <w:sz w:val="28"/>
          <w:szCs w:val="28"/>
        </w:rPr>
      </w:pPr>
      <w:bookmarkStart w:id="23" w:name="_Toc24044"/>
      <w:bookmarkStart w:id="24" w:name="_Toc15697"/>
      <w:bookmarkStart w:id="25" w:name="_Toc18915"/>
      <w:r>
        <w:rPr>
          <w:rFonts w:hint="eastAsia"/>
          <w:b/>
          <w:bCs w:val="0"/>
          <w:sz w:val="28"/>
          <w:szCs w:val="28"/>
        </w:rPr>
        <w:t>适用范围</w:t>
      </w:r>
      <w:bookmarkEnd w:id="23"/>
      <w:bookmarkEnd w:id="24"/>
      <w:bookmarkEnd w:id="25"/>
    </w:p>
    <w:p w14:paraId="2D90A512">
      <w:pPr>
        <w:ind w:firstLine="480"/>
      </w:pPr>
      <w:bookmarkStart w:id="26" w:name="_Toc15975"/>
      <w:bookmarkStart w:id="27" w:name="_Toc218"/>
      <w:r>
        <w:rPr>
          <w:rFonts w:hint="eastAsia"/>
          <w:highlight w:val="none"/>
        </w:rPr>
        <w:t>本方案适用于</w:t>
      </w:r>
      <w:r>
        <w:rPr>
          <w:highlight w:val="none"/>
        </w:rPr>
        <w:fldChar w:fldCharType="begin"/>
      </w:r>
      <w:r>
        <w:rPr>
          <w:highlight w:val="none"/>
        </w:rPr>
        <w:instrText xml:space="preserve"> </w:instrText>
      </w:r>
      <w:r>
        <w:rPr>
          <w:rFonts w:hint="eastAsia"/>
          <w:highlight w:val="none"/>
        </w:rPr>
        <w:instrText xml:space="preserve">REF 项目名称</w:instrText>
      </w:r>
      <w:r>
        <w:rPr>
          <w:highlight w:val="none"/>
        </w:rPr>
        <w:instrText xml:space="preserve"> </w:instrText>
      </w:r>
      <w:r>
        <w:rPr>
          <w:highlight w:val="none"/>
        </w:rPr>
        <w:fldChar w:fldCharType="separate"/>
      </w:r>
      <w:r>
        <w:rPr>
          <w:rFonts w:hint="eastAsia"/>
          <w:bCs/>
          <w:highlight w:val="none"/>
        </w:rPr>
        <w:t>十巫南高速公路SWYZ-2标项</w:t>
      </w:r>
      <w:r>
        <w:rPr>
          <w:rFonts w:hint="eastAsia"/>
          <w:highlight w:val="none"/>
        </w:rPr>
        <w:t>目</w:t>
      </w:r>
      <w:r>
        <w:rPr>
          <w:highlight w:val="none"/>
        </w:rPr>
        <w:fldChar w:fldCharType="end"/>
      </w:r>
      <w:r>
        <w:rPr>
          <w:rFonts w:hint="eastAsia"/>
          <w:highlight w:val="none"/>
          <w:lang w:eastAsia="zh-CN"/>
        </w:rPr>
        <w:t>紫金洞2号大桥</w:t>
      </w:r>
      <w:r>
        <w:rPr>
          <w:rFonts w:hint="eastAsia"/>
          <w:highlight w:val="none"/>
        </w:rPr>
        <w:t>左幅</w:t>
      </w:r>
      <w:r>
        <w:rPr>
          <w:rFonts w:hint="eastAsia"/>
          <w:highlight w:val="none"/>
          <w:lang w:val="en-US" w:eastAsia="zh-CN"/>
        </w:rPr>
        <w:t>2-1</w:t>
      </w:r>
      <w:r>
        <w:rPr>
          <w:rFonts w:hint="eastAsia"/>
          <w:highlight w:val="none"/>
        </w:rPr>
        <w:t>号墩</w:t>
      </w:r>
      <w:r>
        <w:rPr>
          <w:rFonts w:hint="eastAsia"/>
          <w:highlight w:val="none"/>
          <w:lang w:eastAsia="zh-CN"/>
        </w:rPr>
        <w:t>、</w:t>
      </w:r>
      <w:r>
        <w:rPr>
          <w:rFonts w:hint="eastAsia"/>
          <w:highlight w:val="none"/>
          <w:lang w:val="en-US" w:eastAsia="zh-CN"/>
        </w:rPr>
        <w:t>2-2</w:t>
      </w:r>
      <w:r>
        <w:rPr>
          <w:rFonts w:hint="eastAsia"/>
          <w:highlight w:val="none"/>
        </w:rPr>
        <w:t>号墩与右幅</w:t>
      </w:r>
      <w:r>
        <w:rPr>
          <w:rFonts w:hint="eastAsia"/>
          <w:highlight w:val="none"/>
          <w:lang w:val="en-US" w:eastAsia="zh-CN"/>
        </w:rPr>
        <w:t>2</w:t>
      </w:r>
      <w:r>
        <w:rPr>
          <w:rFonts w:hint="eastAsia"/>
          <w:highlight w:val="none"/>
        </w:rPr>
        <w:t>号墩</w:t>
      </w:r>
      <w:r>
        <w:rPr>
          <w:rFonts w:hint="eastAsia"/>
          <w:highlight w:val="none"/>
          <w:lang w:val="en-US" w:eastAsia="zh-CN"/>
        </w:rPr>
        <w:t>施工</w:t>
      </w:r>
      <w:r>
        <w:rPr>
          <w:rFonts w:hint="eastAsia"/>
          <w:highlight w:val="none"/>
        </w:rPr>
        <w:t>所使用的</w:t>
      </w:r>
      <w:r>
        <w:rPr>
          <w:highlight w:val="none"/>
        </w:rPr>
        <w:fldChar w:fldCharType="begin"/>
      </w:r>
      <w:r>
        <w:rPr>
          <w:highlight w:val="none"/>
        </w:rPr>
        <w:instrText xml:space="preserve"> REF 设备型号1数量 \h </w:instrText>
      </w:r>
      <w:r>
        <w:rPr>
          <w:highlight w:val="none"/>
        </w:rPr>
        <w:fldChar w:fldCharType="separate"/>
      </w:r>
      <w:r>
        <w:rPr>
          <w:rFonts w:hint="eastAsia"/>
          <w:highlight w:val="none"/>
        </w:rPr>
        <w:t>1</w:t>
      </w:r>
      <w:r>
        <w:rPr>
          <w:highlight w:val="none"/>
        </w:rPr>
        <w:fldChar w:fldCharType="end"/>
      </w:r>
      <w:r>
        <w:rPr>
          <w:rFonts w:hint="eastAsia"/>
          <w:highlight w:val="none"/>
        </w:rPr>
        <w:t>台</w:t>
      </w:r>
      <w:r>
        <w:rPr>
          <w:rFonts w:hint="eastAsia"/>
          <w:lang w:eastAsia="zh-CN"/>
        </w:rPr>
        <w:t>XGT7022-12S</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rPr>
        <w:t>的基础施工、安装、调试与试验、顶升等作业内容及全过程管控措施。</w:t>
      </w:r>
    </w:p>
    <w:p w14:paraId="2737FC46">
      <w:pPr>
        <w:ind w:firstLine="480"/>
      </w:pPr>
    </w:p>
    <w:p w14:paraId="0AA477FE">
      <w:pPr>
        <w:pStyle w:val="2"/>
        <w:bidi w:val="0"/>
        <w:ind w:left="432" w:leftChars="0" w:hanging="432" w:firstLineChars="0"/>
        <w:rPr>
          <w:rFonts w:hint="eastAsia"/>
        </w:rPr>
      </w:pPr>
      <w:bookmarkStart w:id="28" w:name="_Toc15338"/>
      <w:r>
        <w:rPr>
          <w:rFonts w:hint="eastAsia"/>
        </w:rPr>
        <w:t>工程概况</w:t>
      </w:r>
      <w:bookmarkEnd w:id="26"/>
      <w:bookmarkEnd w:id="27"/>
      <w:bookmarkEnd w:id="28"/>
    </w:p>
    <w:p w14:paraId="15DEF54D">
      <w:pPr>
        <w:pStyle w:val="3"/>
        <w:bidi w:val="0"/>
        <w:ind w:left="575" w:leftChars="0" w:hanging="575" w:firstLineChars="0"/>
        <w:rPr>
          <w:b/>
          <w:bCs w:val="0"/>
          <w:sz w:val="28"/>
          <w:szCs w:val="28"/>
        </w:rPr>
      </w:pPr>
      <w:bookmarkStart w:id="29" w:name="_Toc31393"/>
      <w:bookmarkStart w:id="30" w:name="_Toc24863"/>
      <w:bookmarkStart w:id="31" w:name="_Toc15488"/>
      <w:r>
        <w:rPr>
          <w:rFonts w:hint="eastAsia"/>
          <w:b/>
          <w:bCs w:val="0"/>
          <w:sz w:val="28"/>
          <w:szCs w:val="28"/>
        </w:rPr>
        <w:t>工程概况</w:t>
      </w:r>
      <w:bookmarkEnd w:id="29"/>
      <w:bookmarkEnd w:id="30"/>
      <w:bookmarkEnd w:id="31"/>
    </w:p>
    <w:p w14:paraId="4D8E9ADF">
      <w:pPr>
        <w:pStyle w:val="4"/>
        <w:bidi w:val="0"/>
        <w:ind w:left="720" w:leftChars="0" w:hanging="720" w:firstLineChars="0"/>
        <w:rPr>
          <w:rFonts w:hint="eastAsia"/>
          <w:b/>
          <w:bCs w:val="0"/>
        </w:rPr>
      </w:pPr>
      <w:r>
        <w:rPr>
          <w:rFonts w:hint="eastAsia"/>
          <w:b/>
          <w:bCs w:val="0"/>
        </w:rPr>
        <w:t>项目概况</w:t>
      </w:r>
    </w:p>
    <w:p w14:paraId="03C39E40">
      <w:pPr>
        <w:ind w:firstLine="480"/>
      </w:pPr>
      <w:r>
        <w:rPr>
          <w:rFonts w:hint="eastAsia"/>
        </w:rPr>
        <w:t>十堰经镇坪巫溪高速公路溢水至镇坪段（十巫南段）全长85.07公里（溢水至鄂陕界段78.98公里，陕西镇坪段6.09公里）。十巫高速公路南段横跨两省三县七乡镇。起于竹山县溢水镇，连接十巫高速公路鲍峡至溢水段终点，经竹溪县新洲乡、兵营镇、天宝乡、丰溪镇在竹溪县丰溪镇小界梁附近出湖北境，到达终点陕西省安康市镇坪县，设猫子庙枢纽互通接安来高速公路。十巫南高速公路已纳入湖北省、陕西省“十四五”重点建设项目。</w:t>
      </w:r>
    </w:p>
    <w:p w14:paraId="35B30A05">
      <w:pPr>
        <w:ind w:firstLine="480"/>
      </w:pPr>
      <w:r>
        <w:rPr>
          <w:rFonts w:hint="eastAsia"/>
        </w:rPr>
        <w:t>十巫南高速公路为山区高速公路项目，全线采用80km/h四车道高速公路标准建设，我部负责SWYZ-2合同段施工。左幅路线起讫桩号ZK8+120-ZK17+120，全长9.00km，右幅路线起讫桩号YK8+100-YK17+092，全长8.99 km，包含路基、桥涵、隧道、房建场坪及绿化工程。全线隧道5502米/2座，桥梁2393米/15座，路基1.1km，互通1处。</w:t>
      </w:r>
    </w:p>
    <w:p w14:paraId="5E290ECE">
      <w:pPr>
        <w:ind w:firstLine="480"/>
        <w:jc w:val="left"/>
        <w:rPr>
          <w:rFonts w:hint="eastAsia"/>
        </w:rPr>
      </w:pPr>
      <w:r>
        <w:rPr>
          <w:rFonts w:hint="eastAsia"/>
        </w:rPr>
        <w:t>项目地理位置如</w:t>
      </w:r>
      <w:r>
        <w:fldChar w:fldCharType="begin"/>
      </w:r>
      <w:r>
        <w:instrText xml:space="preserve"> </w:instrText>
      </w:r>
      <w:r>
        <w:rPr>
          <w:rFonts w:hint="eastAsia"/>
        </w:rPr>
        <w:instrText xml:space="preserve">REF _Ref93301894 \h</w:instrText>
      </w:r>
      <w:r>
        <w:instrText xml:space="preserve"> </w:instrText>
      </w:r>
      <w:r>
        <w:fldChar w:fldCharType="separate"/>
      </w:r>
      <w:r>
        <w:rPr>
          <w:rFonts w:hint="eastAsia"/>
        </w:rPr>
        <w:t>图</w:t>
      </w:r>
      <w:r>
        <w:t>2.1.1</w:t>
      </w:r>
      <w:r>
        <w:rPr>
          <w:rFonts w:hint="eastAsia"/>
        </w:rPr>
        <w:t>-</w:t>
      </w:r>
      <w:r>
        <w:t>1</w:t>
      </w:r>
      <w:r>
        <w:fldChar w:fldCharType="end"/>
      </w:r>
      <w:r>
        <w:rPr>
          <w:rFonts w:hint="eastAsia"/>
        </w:rPr>
        <w:t>所示。</w:t>
      </w:r>
    </w:p>
    <w:p w14:paraId="710467FF">
      <w:pPr>
        <w:ind w:firstLine="480"/>
        <w:jc w:val="left"/>
      </w:pPr>
      <w:r>
        <w:drawing>
          <wp:inline distT="0" distB="0" distL="0" distR="0">
            <wp:extent cx="5274310" cy="3196590"/>
            <wp:effectExtent l="0" t="0" r="2540" b="3810"/>
            <wp:docPr id="16471232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23237" name="图片 1"/>
                    <pic:cNvPicPr>
                      <a:picLocks noChangeAspect="1"/>
                    </pic:cNvPicPr>
                  </pic:nvPicPr>
                  <pic:blipFill>
                    <a:blip r:embed="rId16"/>
                    <a:stretch>
                      <a:fillRect/>
                    </a:stretch>
                  </pic:blipFill>
                  <pic:spPr>
                    <a:xfrm>
                      <a:off x="0" y="0"/>
                      <a:ext cx="5274310" cy="3196590"/>
                    </a:xfrm>
                    <a:prstGeom prst="rect">
                      <a:avLst/>
                    </a:prstGeom>
                  </pic:spPr>
                </pic:pic>
              </a:graphicData>
            </a:graphic>
          </wp:inline>
        </w:drawing>
      </w:r>
    </w:p>
    <w:p w14:paraId="79E32ACA">
      <w:pPr>
        <w:pStyle w:val="159"/>
      </w:pPr>
    </w:p>
    <w:p w14:paraId="7F74558F">
      <w:pPr>
        <w:pStyle w:val="160"/>
      </w:pPr>
      <w:bookmarkStart w:id="32" w:name="_Ref93301894"/>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w:t>
      </w:r>
      <w:r>
        <w:fldChar w:fldCharType="end"/>
      </w:r>
      <w:bookmarkEnd w:id="32"/>
      <w:r>
        <w:t xml:space="preserve"> </w:t>
      </w:r>
      <w:r>
        <w:rPr>
          <w:rFonts w:hint="eastAsia"/>
        </w:rPr>
        <w:t>项目地理位置图</w:t>
      </w:r>
    </w:p>
    <w:p w14:paraId="072B9E9E">
      <w:pPr>
        <w:pStyle w:val="4"/>
        <w:bidi w:val="0"/>
        <w:ind w:left="720" w:leftChars="0" w:hanging="720" w:firstLineChars="0"/>
        <w:rPr>
          <w:b/>
          <w:bCs w:val="0"/>
        </w:rPr>
      </w:pPr>
      <w:r>
        <w:rPr>
          <w:rFonts w:hint="eastAsia"/>
          <w:b/>
          <w:bCs w:val="0"/>
          <w:lang w:val="en-US" w:eastAsia="zh-CN"/>
        </w:rPr>
        <w:t>桥梁</w:t>
      </w:r>
      <w:r>
        <w:rPr>
          <w:rFonts w:hint="eastAsia"/>
          <w:b/>
          <w:bCs w:val="0"/>
        </w:rPr>
        <w:t>概况</w:t>
      </w:r>
    </w:p>
    <w:p w14:paraId="7D0A3138">
      <w:pPr>
        <w:widowControl/>
        <w:ind w:firstLine="516"/>
        <w:jc w:val="left"/>
        <w:rPr>
          <w:rFonts w:ascii="Times New Roman" w:hAnsi="Times New Roman" w:eastAsia="宋体" w:cs="Times New Roman"/>
          <w:spacing w:val="9"/>
          <w:szCs w:val="24"/>
        </w:rPr>
      </w:pPr>
      <w:bookmarkStart w:id="33" w:name="_Toc86928947"/>
      <w:bookmarkStart w:id="34" w:name="_Toc17815_WPSOffice_Level3"/>
      <w:bookmarkStart w:id="35" w:name="_Toc28180_WPSOffice_Level3"/>
      <w:r>
        <w:rPr>
          <w:rFonts w:ascii="Times New Roman" w:hAnsi="Times New Roman" w:eastAsia="宋体" w:cs="Times New Roman"/>
          <w:spacing w:val="9"/>
          <w:szCs w:val="24"/>
        </w:rPr>
        <w:t>紫金洞2号大桥位于竹溪县新洲镇紫金洞村附近，为整体式路幅桥梁。</w:t>
      </w:r>
    </w:p>
    <w:p w14:paraId="74E59640">
      <w:pPr>
        <w:widowControl/>
        <w:ind w:firstLine="516"/>
        <w:jc w:val="left"/>
        <w:rPr>
          <w:rFonts w:ascii="Times New Roman" w:hAnsi="Times New Roman" w:eastAsia="宋体" w:cs="Times New Roman"/>
          <w:spacing w:val="9"/>
          <w:szCs w:val="24"/>
        </w:rPr>
      </w:pPr>
      <w:r>
        <w:rPr>
          <w:rFonts w:ascii="Times New Roman" w:hAnsi="Times New Roman" w:eastAsia="宋体" w:cs="Times New Roman"/>
          <w:spacing w:val="9"/>
          <w:szCs w:val="24"/>
        </w:rPr>
        <w:t>桥梁起点台背桩号K15+549.0，终点台背桩号K16+149.0，全长604.8米，交角90°，桥面宽12.5米，最大桥高61.4米，桥跨布置为15×40m预应力钢筋混凝土预制T梁桥，其中右幅第4~5联、左幅第2~4联桥面变宽，变宽位置采用简支结构桥面连续，其余各联 采用先简支后结构连续。右幅2#~6#、左幅2#~3#桥墩采用空心桥墩，承台配桩基础；右幅7#桥墩采用矩形墩，承台配桩基础，其余桥墩采用柱式墩，桩基础。0#桥台采用柱式桥台，桩基础；15#桥台采用简易U台，扩大基础。</w:t>
      </w:r>
    </w:p>
    <w:p w14:paraId="66AE1A18">
      <w:pPr>
        <w:ind w:firstLine="516"/>
        <w:rPr>
          <w:rFonts w:hint="eastAsia" w:ascii="Times New Roman" w:hAnsi="Times New Roman" w:eastAsia="宋体" w:cs="Times New Roman"/>
        </w:rPr>
        <w:sectPr>
          <w:headerReference r:id="rId7" w:type="default"/>
          <w:footerReference r:id="rId8" w:type="default"/>
          <w:pgSz w:w="11906" w:h="16838"/>
          <w:pgMar w:top="1440" w:right="1800" w:bottom="1440" w:left="1800" w:header="851" w:footer="992" w:gutter="0"/>
          <w:pgNumType w:start="1"/>
          <w:cols w:space="425" w:num="1"/>
          <w:docGrid w:type="lines" w:linePitch="312" w:charSpace="0"/>
        </w:sectPr>
      </w:pPr>
      <w:r>
        <w:rPr>
          <w:rFonts w:ascii="Times New Roman" w:hAnsi="Times New Roman" w:eastAsia="宋体" w:cs="Times New Roman"/>
          <w:spacing w:val="9"/>
          <w:szCs w:val="24"/>
        </w:rPr>
        <w:t>紫金洞2号大桥</w:t>
      </w:r>
      <w:r>
        <w:rPr>
          <w:rFonts w:hint="eastAsia" w:ascii="Times New Roman" w:hAnsi="Times New Roman" w:eastAsia="宋体" w:cs="Times New Roman"/>
        </w:rPr>
        <w:t>左幅二号墩、右幅二号墩均为空心薄壁墩，墩身尺寸为</w:t>
      </w:r>
      <w:r>
        <w:rPr>
          <w:rFonts w:ascii="Times New Roman" w:hAnsi="Times New Roman" w:eastAsia="宋体" w:cs="Times New Roman"/>
        </w:rPr>
        <w:t>外</w:t>
      </w:r>
      <w:r>
        <w:rPr>
          <w:rFonts w:hint="eastAsia" w:ascii="Times New Roman" w:hAnsi="Times New Roman" w:eastAsia="宋体" w:cs="Times New Roman"/>
        </w:rPr>
        <w:t>部</w:t>
      </w:r>
      <w:r>
        <w:rPr>
          <w:rFonts w:ascii="Times New Roman" w:hAnsi="Times New Roman" w:eastAsia="宋体" w:cs="Times New Roman"/>
        </w:rPr>
        <w:t>：6.5</w:t>
      </w:r>
      <w:r>
        <w:rPr>
          <w:rFonts w:hint="eastAsia" w:ascii="Times New Roman" w:hAnsi="Times New Roman" w:eastAsia="宋体" w:cs="Times New Roman"/>
        </w:rPr>
        <w:t>m（横桥向）×</w:t>
      </w:r>
      <w:r>
        <w:rPr>
          <w:rFonts w:ascii="Times New Roman" w:hAnsi="Times New Roman" w:eastAsia="宋体" w:cs="Times New Roman"/>
        </w:rPr>
        <w:t>3.2</w:t>
      </w:r>
      <w:r>
        <w:rPr>
          <w:rFonts w:hint="eastAsia" w:ascii="Times New Roman" w:hAnsi="Times New Roman" w:eastAsia="宋体" w:cs="Times New Roman"/>
        </w:rPr>
        <w:t>m（顺桥向），</w:t>
      </w:r>
      <w:r>
        <w:rPr>
          <w:rFonts w:ascii="Times New Roman" w:hAnsi="Times New Roman" w:eastAsia="宋体" w:cs="Times New Roman"/>
        </w:rPr>
        <w:t>R=0.15；内</w:t>
      </w:r>
      <w:r>
        <w:rPr>
          <w:rFonts w:hint="eastAsia" w:ascii="Times New Roman" w:hAnsi="Times New Roman" w:eastAsia="宋体" w:cs="Times New Roman"/>
        </w:rPr>
        <w:t>部</w:t>
      </w:r>
      <w:r>
        <w:rPr>
          <w:rFonts w:ascii="Times New Roman" w:hAnsi="Times New Roman" w:eastAsia="宋体" w:cs="Times New Roman"/>
        </w:rPr>
        <w:t>：5</w:t>
      </w:r>
      <w:r>
        <w:rPr>
          <w:rFonts w:hint="eastAsia" w:ascii="Times New Roman" w:hAnsi="Times New Roman" w:eastAsia="宋体" w:cs="Times New Roman"/>
        </w:rPr>
        <w:t>m（横桥向）×</w:t>
      </w:r>
      <w:r>
        <w:rPr>
          <w:rFonts w:ascii="Times New Roman" w:hAnsi="Times New Roman" w:eastAsia="宋体" w:cs="Times New Roman"/>
        </w:rPr>
        <w:t>1.7</w:t>
      </w:r>
      <w:r>
        <w:rPr>
          <w:rFonts w:hint="eastAsia" w:ascii="Times New Roman" w:hAnsi="Times New Roman" w:eastAsia="宋体" w:cs="Times New Roman"/>
        </w:rPr>
        <w:t>m（顺桥向），</w:t>
      </w:r>
      <w:r>
        <w:rPr>
          <w:rFonts w:ascii="Times New Roman" w:hAnsi="Times New Roman" w:eastAsia="宋体" w:cs="Times New Roman"/>
        </w:rPr>
        <w:t>0.3</w:t>
      </w:r>
      <w:r>
        <w:rPr>
          <w:rFonts w:hint="eastAsia" w:ascii="Times New Roman" w:hAnsi="Times New Roman" w:eastAsia="宋体" w:cs="Times New Roman"/>
        </w:rPr>
        <w:t>m×</w:t>
      </w:r>
      <w:r>
        <w:rPr>
          <w:rFonts w:ascii="Times New Roman" w:hAnsi="Times New Roman" w:eastAsia="宋体" w:cs="Times New Roman"/>
        </w:rPr>
        <w:t>0.3</w:t>
      </w:r>
      <w:r>
        <w:rPr>
          <w:rFonts w:hint="eastAsia" w:ascii="Times New Roman" w:hAnsi="Times New Roman" w:eastAsia="宋体" w:cs="Times New Roman"/>
        </w:rPr>
        <w:t>m</w:t>
      </w:r>
      <w:r>
        <w:rPr>
          <w:rFonts w:ascii="Times New Roman" w:hAnsi="Times New Roman" w:eastAsia="宋体" w:cs="Times New Roman"/>
        </w:rPr>
        <w:t>倒角</w:t>
      </w:r>
      <w:r>
        <w:rPr>
          <w:rFonts w:hint="eastAsia" w:ascii="Times New Roman" w:hAnsi="Times New Roman" w:eastAsia="宋体" w:cs="Times New Roman"/>
        </w:rPr>
        <w:t>；左幅二号墩左侧墩高48.539m，右侧墩高48.861m，均分11节进行浇筑；右幅二号墩墩高43.9m，分10节进行浇筑；均采用液压爬模进行施工。左幅二号墩盖梁尺寸为22.4m（横桥向）×3.7（顺桥向）×2.2m（高度），右幅二号墩盖梁尺寸为11.64m（横桥向）×3.7（顺桥向）×2.2m（高度），采用预埋螺栓牛腿支架进行施工。</w:t>
      </w:r>
    </w:p>
    <w:p w14:paraId="720F474B">
      <w:pPr>
        <w:ind w:firstLine="480"/>
        <w:rPr>
          <w:rFonts w:ascii="Times New Roman" w:hAnsi="Times New Roman" w:eastAsia="宋体" w:cs="Times New Roman"/>
          <w:highlight w:val="yellow"/>
        </w:rPr>
      </w:pPr>
    </w:p>
    <w:p w14:paraId="7DBF5367">
      <w:pPr>
        <w:keepNext/>
        <w:widowControl w:val="0"/>
        <w:spacing w:line="360" w:lineRule="auto"/>
        <w:ind w:firstLine="0" w:firstLineChars="0"/>
        <w:jc w:val="center"/>
        <w:rPr>
          <w:rFonts w:ascii="Times New Roman" w:hAnsi="Times New Roman" w:eastAsia="宋体" w:cs="Times New Roman"/>
          <w:b w:val="0"/>
          <w:kern w:val="2"/>
          <w:sz w:val="21"/>
          <w:szCs w:val="21"/>
          <w:highlight w:val="cyan"/>
          <w:lang w:val="en-US" w:eastAsia="zh-CN" w:bidi="ar-SA"/>
        </w:rPr>
      </w:pPr>
      <w:r>
        <w:rPr>
          <w:highlight w:val="none"/>
        </w:rPr>
        <w:drawing>
          <wp:inline distT="0" distB="0" distL="114300" distR="114300">
            <wp:extent cx="8862695" cy="4669155"/>
            <wp:effectExtent l="0" t="0" r="14605" b="17145"/>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pic:cNvPicPr>
                      <a:picLocks noChangeAspect="1"/>
                    </pic:cNvPicPr>
                  </pic:nvPicPr>
                  <pic:blipFill>
                    <a:blip r:embed="rId17"/>
                    <a:stretch>
                      <a:fillRect/>
                    </a:stretch>
                  </pic:blipFill>
                  <pic:spPr>
                    <a:xfrm>
                      <a:off x="0" y="0"/>
                      <a:ext cx="8862695" cy="4669155"/>
                    </a:xfrm>
                    <a:prstGeom prst="rect">
                      <a:avLst/>
                    </a:prstGeom>
                    <a:noFill/>
                    <a:ln>
                      <a:noFill/>
                    </a:ln>
                  </pic:spPr>
                </pic:pic>
              </a:graphicData>
            </a:graphic>
          </wp:inline>
        </w:drawing>
      </w:r>
      <w:r>
        <w:rPr>
          <w:highlight w:val="none"/>
        </w:rPr>
        <w:drawing>
          <wp:inline distT="0" distB="0" distL="114300" distR="114300">
            <wp:extent cx="8856345" cy="4533900"/>
            <wp:effectExtent l="0" t="0" r="1905" b="0"/>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pic:cNvPicPr>
                      <a:picLocks noChangeAspect="1"/>
                    </pic:cNvPicPr>
                  </pic:nvPicPr>
                  <pic:blipFill>
                    <a:blip r:embed="rId18"/>
                    <a:stretch>
                      <a:fillRect/>
                    </a:stretch>
                  </pic:blipFill>
                  <pic:spPr>
                    <a:xfrm>
                      <a:off x="0" y="0"/>
                      <a:ext cx="8856345" cy="4533900"/>
                    </a:xfrm>
                    <a:prstGeom prst="rect">
                      <a:avLst/>
                    </a:prstGeom>
                    <a:noFill/>
                    <a:ln>
                      <a:noFill/>
                    </a:ln>
                  </pic:spPr>
                </pic:pic>
              </a:graphicData>
            </a:graphic>
          </wp:inline>
        </w:drawing>
      </w:r>
    </w:p>
    <w:p w14:paraId="4F149D98">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3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2.1.2</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w:t>
      </w:r>
      <w:r>
        <w:rPr>
          <w:rFonts w:hint="eastAsia"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紫金洞2号大桥（左幅）布置图</w:t>
      </w:r>
    </w:p>
    <w:p w14:paraId="110E1E58">
      <w:pPr>
        <w:keepNext/>
        <w:widowControl w:val="0"/>
        <w:spacing w:line="360" w:lineRule="auto"/>
        <w:ind w:firstLine="0" w:firstLineChars="0"/>
        <w:jc w:val="center"/>
        <w:rPr>
          <w:rFonts w:ascii="Times New Roman" w:hAnsi="Times New Roman" w:eastAsia="宋体" w:cs="Times New Roman"/>
          <w:b w:val="0"/>
          <w:kern w:val="2"/>
          <w:sz w:val="21"/>
          <w:szCs w:val="21"/>
          <w:highlight w:val="cyan"/>
          <w:lang w:val="en-US" w:eastAsia="zh-CN" w:bidi="ar-SA"/>
        </w:rPr>
      </w:pPr>
      <w:r>
        <w:rPr>
          <w:highlight w:val="none"/>
        </w:rPr>
        <w:drawing>
          <wp:inline distT="0" distB="0" distL="114300" distR="114300">
            <wp:extent cx="8859520" cy="4666615"/>
            <wp:effectExtent l="0" t="0" r="17780" b="635"/>
            <wp:docPr id="1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8"/>
                    <pic:cNvPicPr>
                      <a:picLocks noChangeAspect="1"/>
                    </pic:cNvPicPr>
                  </pic:nvPicPr>
                  <pic:blipFill>
                    <a:blip r:embed="rId19"/>
                    <a:stretch>
                      <a:fillRect/>
                    </a:stretch>
                  </pic:blipFill>
                  <pic:spPr>
                    <a:xfrm>
                      <a:off x="0" y="0"/>
                      <a:ext cx="8859520" cy="4666615"/>
                    </a:xfrm>
                    <a:prstGeom prst="rect">
                      <a:avLst/>
                    </a:prstGeom>
                    <a:noFill/>
                    <a:ln>
                      <a:noFill/>
                    </a:ln>
                  </pic:spPr>
                </pic:pic>
              </a:graphicData>
            </a:graphic>
          </wp:inline>
        </w:drawing>
      </w:r>
      <w:r>
        <w:rPr>
          <w:highlight w:val="none"/>
        </w:rPr>
        <w:drawing>
          <wp:inline distT="0" distB="0" distL="114300" distR="114300">
            <wp:extent cx="8849360" cy="4411345"/>
            <wp:effectExtent l="0" t="0" r="8890" b="8255"/>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pic:cNvPicPr>
                  </pic:nvPicPr>
                  <pic:blipFill>
                    <a:blip r:embed="rId20"/>
                    <a:stretch>
                      <a:fillRect/>
                    </a:stretch>
                  </pic:blipFill>
                  <pic:spPr>
                    <a:xfrm>
                      <a:off x="0" y="0"/>
                      <a:ext cx="8849360" cy="4411345"/>
                    </a:xfrm>
                    <a:prstGeom prst="rect">
                      <a:avLst/>
                    </a:prstGeom>
                    <a:noFill/>
                    <a:ln>
                      <a:noFill/>
                    </a:ln>
                  </pic:spPr>
                </pic:pic>
              </a:graphicData>
            </a:graphic>
          </wp:inline>
        </w:drawing>
      </w:r>
    </w:p>
    <w:p w14:paraId="08C21362">
      <w:pPr>
        <w:ind w:firstLine="516"/>
        <w:jc w:val="center"/>
        <w:rPr>
          <w:rFonts w:hint="eastAsia" w:ascii="Times New Roman" w:hAnsi="Times New Roman" w:eastAsia="宋体" w:cs="Times New Roman"/>
          <w:b/>
          <w:kern w:val="2"/>
          <w:sz w:val="21"/>
          <w:szCs w:val="21"/>
          <w:lang w:val="en-US" w:eastAsia="zh-CN" w:bidi="ar-SA"/>
        </w:rPr>
        <w:sectPr>
          <w:headerReference r:id="rId9" w:type="default"/>
          <w:footerReference r:id="rId10" w:type="default"/>
          <w:pgSz w:w="16838" w:h="11906" w:orient="landscape"/>
          <w:pgMar w:top="1800" w:right="1440" w:bottom="1800" w:left="1440" w:header="851" w:footer="992" w:gutter="0"/>
          <w:cols w:space="425" w:num="1"/>
          <w:docGrid w:type="lines" w:linePitch="312" w:charSpace="0"/>
        </w:sect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3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2.1.2</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w:instrText>
      </w:r>
      <w:r>
        <w:rPr>
          <w:rFonts w:hint="eastAsia" w:ascii="Times New Roman" w:hAnsi="Times New Roman" w:eastAsia="宋体" w:cs="Times New Roman"/>
          <w:b/>
          <w:kern w:val="2"/>
          <w:sz w:val="21"/>
          <w:szCs w:val="21"/>
          <w:lang w:val="en-US" w:eastAsia="zh-CN" w:bidi="ar-SA"/>
        </w:rPr>
        <w:instrText xml:space="preserve">图</w:instrText>
      </w:r>
      <w:r>
        <w:rPr>
          <w:rFonts w:ascii="Times New Roman" w:hAnsi="Times New Roman" w:eastAsia="宋体" w:cs="Times New Roman"/>
          <w:b/>
          <w:kern w:val="2"/>
          <w:sz w:val="21"/>
          <w:szCs w:val="21"/>
          <w:lang w:val="en-US" w:eastAsia="zh-CN" w:bidi="ar-SA"/>
        </w:rPr>
        <w:instrText xml:space="preserve"> \* ARABIC \s 3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紫金洞2号大桥（右幅）布置图</w:t>
      </w:r>
    </w:p>
    <w:bookmarkEnd w:id="33"/>
    <w:bookmarkEnd w:id="34"/>
    <w:bookmarkEnd w:id="35"/>
    <w:p w14:paraId="624C9276">
      <w:pPr>
        <w:pStyle w:val="4"/>
        <w:bidi w:val="0"/>
        <w:ind w:left="720" w:leftChars="0" w:hanging="720" w:firstLineChars="0"/>
        <w:rPr>
          <w:rFonts w:hint="eastAsia"/>
          <w:b/>
          <w:bCs w:val="0"/>
        </w:rPr>
      </w:pPr>
      <w:r>
        <w:rPr>
          <w:rFonts w:hint="eastAsia"/>
          <w:b/>
          <w:bCs w:val="0"/>
        </w:rPr>
        <w:t>自然条件</w:t>
      </w:r>
    </w:p>
    <w:p w14:paraId="06FB7C87">
      <w:pPr>
        <w:pStyle w:val="5"/>
        <w:rPr>
          <w:b/>
          <w:bCs w:val="0"/>
        </w:rPr>
      </w:pPr>
      <w:r>
        <w:rPr>
          <w:rFonts w:hint="eastAsia"/>
          <w:b/>
          <w:bCs w:val="0"/>
        </w:rPr>
        <w:t>气候条件</w:t>
      </w:r>
    </w:p>
    <w:p w14:paraId="5796B466">
      <w:pPr>
        <w:ind w:firstLine="480"/>
      </w:pPr>
      <w:r>
        <w:rPr>
          <w:rFonts w:hint="eastAsia"/>
        </w:rPr>
        <w:t>（1）气候</w:t>
      </w:r>
    </w:p>
    <w:p w14:paraId="0B383F68">
      <w:pPr>
        <w:ind w:firstLine="480"/>
      </w:pPr>
      <w:r>
        <w:rPr>
          <w:rFonts w:hint="eastAsia"/>
        </w:rPr>
        <w:t>域内多年平均气温15.4℃，年极端最高气温为41.9℃（1996年7月19日），年极端最低气温为零下11.9℃（1976年1月16日）。</w:t>
      </w:r>
    </w:p>
    <w:p w14:paraId="275EB8E5">
      <w:pPr>
        <w:ind w:firstLine="480"/>
      </w:pPr>
      <w:r>
        <w:rPr>
          <w:rFonts w:hint="eastAsia"/>
        </w:rPr>
        <w:t>（2）降雨</w:t>
      </w:r>
    </w:p>
    <w:p w14:paraId="5252C0ED">
      <w:pPr>
        <w:ind w:firstLine="480"/>
      </w:pPr>
      <w:r>
        <w:rPr>
          <w:rFonts w:hint="eastAsia"/>
        </w:rPr>
        <w:t>低山海拔800m以下为温暖风雨区，年平均气温15~17℃，年降水量为1300~1500mm，无霜期270~290天。高山海拔800m~1200m为温凉少光层，年平均气温11~15℃，年降水量1500~1700mm，无霜期220~270天。高山海拔1200m以上为多雨半光层，年平均气温8~11℃，年降水量1700~2400mm，无霜期160~220天。</w:t>
      </w:r>
    </w:p>
    <w:p w14:paraId="711947A0">
      <w:pPr>
        <w:ind w:firstLine="480"/>
      </w:pPr>
      <w:r>
        <w:rPr>
          <w:rFonts w:hint="eastAsia"/>
        </w:rPr>
        <w:t>（2）气象灾害</w:t>
      </w:r>
    </w:p>
    <w:p w14:paraId="2844C593">
      <w:pPr>
        <w:ind w:firstLine="480"/>
      </w:pPr>
      <w:r>
        <w:rPr>
          <w:rFonts w:hint="eastAsia"/>
        </w:rPr>
        <w:t>受海拔高度、山区坡向等地形地貌因素影响，项目区域内山地小气候具多样性，夏季灾害性天气较多，年均至少出现一种或两种极端天气（雷暴、大风、冰雹、高温和低温、春秋季连阴雨等），其中暴雨-强降雨可引发山体滑坡、崩塌、泥石流等地质灾害，区内冬季有寒冻现象发生。</w:t>
      </w:r>
    </w:p>
    <w:p w14:paraId="76274785">
      <w:pPr>
        <w:pStyle w:val="5"/>
        <w:rPr>
          <w:b/>
          <w:bCs w:val="0"/>
        </w:rPr>
      </w:pPr>
      <w:r>
        <w:rPr>
          <w:rFonts w:hint="eastAsia"/>
          <w:b/>
          <w:bCs w:val="0"/>
        </w:rPr>
        <w:t>水文条件</w:t>
      </w:r>
    </w:p>
    <w:p w14:paraId="17315ABF">
      <w:pPr>
        <w:ind w:firstLine="480"/>
        <w:rPr>
          <w:rFonts w:hint="default" w:eastAsia="宋体"/>
          <w:highlight w:val="none"/>
          <w:lang w:val="en-US" w:eastAsia="zh-CN"/>
        </w:rPr>
      </w:pPr>
      <w:r>
        <w:rPr>
          <w:rFonts w:hint="eastAsia"/>
          <w:highlight w:val="none"/>
          <w:lang w:eastAsia="zh-CN"/>
        </w:rPr>
        <w:t>（</w:t>
      </w:r>
      <w:r>
        <w:rPr>
          <w:rFonts w:hint="eastAsia"/>
          <w:highlight w:val="none"/>
          <w:lang w:val="en-US" w:eastAsia="zh-CN"/>
        </w:rPr>
        <w:t>1</w:t>
      </w:r>
      <w:r>
        <w:rPr>
          <w:rFonts w:hint="eastAsia"/>
          <w:highlight w:val="none"/>
          <w:lang w:eastAsia="zh-CN"/>
        </w:rPr>
        <w:t>）</w:t>
      </w:r>
      <w:r>
        <w:rPr>
          <w:rFonts w:hint="eastAsia"/>
          <w:highlight w:val="none"/>
          <w:lang w:val="en-US" w:eastAsia="zh-CN"/>
        </w:rPr>
        <w:t>地表水</w:t>
      </w:r>
    </w:p>
    <w:p w14:paraId="43B23B41">
      <w:pPr>
        <w:ind w:firstLine="480"/>
        <w:rPr>
          <w:rFonts w:hint="eastAsia"/>
          <w:highlight w:val="none"/>
        </w:rPr>
      </w:pPr>
      <w:r>
        <w:rPr>
          <w:rFonts w:hint="eastAsia"/>
          <w:highlight w:val="none"/>
        </w:rPr>
        <w:t>桥址区地表水主要为冲沟内季节性流水。主要补给来源于大气降水，水量随季节变化较大。雨季时雨水从山体表面汇入鲁溪沟，水量受季节性影响变化较大，其自然排泄畅通。</w:t>
      </w:r>
    </w:p>
    <w:p w14:paraId="54D8888C">
      <w:pPr>
        <w:ind w:firstLine="480"/>
        <w:rPr>
          <w:rFonts w:hint="default" w:eastAsia="宋体"/>
          <w:highlight w:val="none"/>
          <w:lang w:val="en-US" w:eastAsia="zh-CN"/>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lang w:val="en-US" w:eastAsia="zh-CN"/>
        </w:rPr>
        <w:t>地下水</w:t>
      </w:r>
    </w:p>
    <w:p w14:paraId="5B54804F">
      <w:pPr>
        <w:ind w:firstLine="480"/>
        <w:rPr>
          <w:highlight w:val="none"/>
        </w:rPr>
      </w:pPr>
      <w:r>
        <w:rPr>
          <w:rFonts w:hint="eastAsia"/>
          <w:highlight w:val="none"/>
        </w:rPr>
        <w:t>地下水主要为第四系松散层孔隙水、基岩裂隙水。松散地层孔隙水赋存于覆盖层中，接受地表水及大气降水的下渗补给，水量较丰富；基岩裂隙水主要赋存于基岩风化层及其节理裂隙中，接受上部地表水和第四系松散孔隙水的下渗补给及相同层位间的侧向径流补给，受地形条件、裂隙发育程度及补给源的控制，水量相对较贫乏。</w:t>
      </w:r>
    </w:p>
    <w:p w14:paraId="30800ED3">
      <w:pPr>
        <w:pStyle w:val="5"/>
        <w:rPr>
          <w:b/>
          <w:bCs w:val="0"/>
        </w:rPr>
      </w:pPr>
      <w:r>
        <w:rPr>
          <w:rFonts w:hint="eastAsia"/>
          <w:b/>
          <w:bCs w:val="0"/>
        </w:rPr>
        <w:t>地形地貌</w:t>
      </w:r>
    </w:p>
    <w:p w14:paraId="31FCB127">
      <w:pPr>
        <w:bidi w:val="0"/>
        <w:rPr>
          <w:rFonts w:hint="eastAsia"/>
          <w:highlight w:val="none"/>
          <w:lang w:val="en-US" w:eastAsia="zh-CN"/>
        </w:rPr>
      </w:pPr>
      <w:r>
        <w:rPr>
          <w:rFonts w:hint="eastAsia"/>
          <w:highlight w:val="none"/>
          <w:lang w:val="en-US" w:eastAsia="zh-CN"/>
        </w:rPr>
        <w:t>本项目地处秦岭东槽区东段南缘，大巴山脉东段的北坡。大巴山脉是勘察区山系的发源地，北坡山系多呈纬向褶皱形，由西南向东北梯向延伸。总体西南高，东北低，山脉与地层走向一致，河谷曲流发育。自古生代末期以来，由于长期的剥蚀和河谷的下切，逐渐形成了山峰高耸、层峦叠嶂、沟漳深邃、峡谷纵横的多层状山岳地貌景观。</w:t>
      </w:r>
    </w:p>
    <w:p w14:paraId="2E7C8FD6">
      <w:pPr>
        <w:ind w:firstLine="480"/>
      </w:pPr>
      <w:r>
        <w:rPr>
          <w:rFonts w:hint="eastAsia"/>
          <w:highlight w:val="none"/>
          <w:lang w:val="en-US" w:eastAsia="zh-CN"/>
        </w:rPr>
        <w:t>互通区主要是经过长期强烈的剥蚀切割作用形成的陡峻地形，区内河流、沟溪发育。山体呈尖棱状一浑圆状线形延伸，山势陡峻，沟谷切割较深，海拔一般约500～900m，相对高差较大，切割深度约200～400m，山坡坡角15~45°，局部可达55~65°。植被较发育，多以农作物、灌木为主。该区基岩一般埋藏较浅，顶部多直接裸露，剥蚀严重，主要以古生界-中元古界各类变质岩为主，局部表层有残坡积物覆盖，河谷底有较厚的冲洪积物，在边缘地带常有结构松散的新近堆积物。</w:t>
      </w:r>
    </w:p>
    <w:p w14:paraId="099B8E51">
      <w:pPr>
        <w:pStyle w:val="5"/>
        <w:rPr>
          <w:b/>
          <w:bCs w:val="0"/>
        </w:rPr>
      </w:pPr>
      <w:r>
        <w:rPr>
          <w:rFonts w:hint="eastAsia"/>
          <w:b/>
          <w:bCs w:val="0"/>
        </w:rPr>
        <w:t>地质条件</w:t>
      </w:r>
    </w:p>
    <w:p w14:paraId="7F152822">
      <w:pPr>
        <w:rPr>
          <w:rFonts w:ascii="Times New Roman" w:hAnsi="Times New Roman" w:eastAsia="宋体" w:cs="Times New Roman"/>
        </w:rPr>
      </w:pPr>
      <w:bookmarkStart w:id="36" w:name="_Toc164179578"/>
      <w:bookmarkStart w:id="37" w:name="_Toc7414"/>
      <w:r>
        <w:rPr>
          <w:rFonts w:hint="eastAsia" w:ascii="Times New Roman" w:hAnsi="Times New Roman" w:eastAsia="宋体" w:cs="Times New Roman"/>
        </w:rPr>
        <w:t>紫金洞2号大桥</w:t>
      </w:r>
    </w:p>
    <w:p w14:paraId="10772FA3">
      <w:pPr>
        <w:widowControl/>
        <w:ind w:firstLine="480"/>
        <w:jc w:val="left"/>
        <w:rPr>
          <w:rFonts w:ascii="Times New Roman" w:hAnsi="Times New Roman" w:eastAsia="宋体" w:cs="Times New Roman"/>
          <w:color w:val="000000"/>
          <w:kern w:val="0"/>
          <w:szCs w:val="24"/>
          <w:lang w:bidi="ar"/>
        </w:rPr>
      </w:pPr>
      <w:r>
        <w:rPr>
          <w:rFonts w:ascii="Times New Roman" w:hAnsi="Times New Roman" w:eastAsia="宋体" w:cs="Times New Roman"/>
          <w:color w:val="000000"/>
          <w:kern w:val="0"/>
          <w:szCs w:val="24"/>
          <w:lang w:bidi="ar"/>
        </w:rPr>
        <w:t>桥址区属构造剥蚀低山地貌区，地势起伏较大，地面标高约340m～400m，坡度10-60°。桥梁主要跨越泉河东侧山坡沟谷。</w:t>
      </w:r>
    </w:p>
    <w:p w14:paraId="2F4DC075">
      <w:pPr>
        <w:widowControl/>
        <w:ind w:firstLine="480"/>
        <w:jc w:val="left"/>
        <w:rPr>
          <w:rFonts w:ascii="Times New Roman" w:hAnsi="Times New Roman" w:eastAsia="宋体" w:cs="Times New Roman"/>
        </w:rPr>
      </w:pPr>
      <w:r>
        <w:rPr>
          <w:rFonts w:ascii="Times New Roman" w:hAnsi="Times New Roman" w:eastAsia="宋体" w:cs="Times New Roman"/>
          <w:color w:val="000000"/>
          <w:kern w:val="0"/>
          <w:szCs w:val="24"/>
          <w:lang w:bidi="ar"/>
        </w:rPr>
        <w:t>桥址区位于秦岭褶皱系一级构造单元,次级构造单元为南秦岭冒地槽褶皱带之北大巴山-随南复背斜之北大巴山褶皱束。区内岩层产状为50°∠43°，节理裂隙发育，实测两组节理产状为260°∠60°、320°∠65°。本次勘察路基段及附近未见断层构造，场地稳定性较好。</w:t>
      </w:r>
    </w:p>
    <w:p w14:paraId="2DBD21C0">
      <w:pPr>
        <w:widowControl/>
        <w:ind w:firstLine="480"/>
        <w:jc w:val="left"/>
        <w:rPr>
          <w:rFonts w:ascii="Times New Roman" w:hAnsi="Times New Roman" w:eastAsia="宋体" w:cs="Times New Roman"/>
        </w:rPr>
      </w:pPr>
      <w:r>
        <w:rPr>
          <w:rFonts w:ascii="Times New Roman" w:hAnsi="Times New Roman" w:eastAsia="宋体" w:cs="Times New Roman"/>
          <w:color w:val="000000"/>
          <w:kern w:val="0"/>
          <w:szCs w:val="24"/>
          <w:lang w:bidi="ar"/>
        </w:rPr>
        <w:t>桥址区揭露地层：覆盖层为第四系（Qml）素填土以及(Qel+dl）残坡积碎石，基岩为志留系中统竹溪组（S2zh）砂质板岩、石英砂岩，志留系下统梅子垭组（S1m）泥质板岩。现按各岩土层特征分述如下：</w:t>
      </w:r>
    </w:p>
    <w:p w14:paraId="2EE3B664">
      <w:pPr>
        <w:widowControl/>
        <w:ind w:firstLine="480"/>
        <w:jc w:val="left"/>
        <w:rPr>
          <w:rFonts w:ascii="Times New Roman" w:hAnsi="Times New Roman" w:eastAsia="宋体" w:cs="Times New Roman"/>
        </w:rPr>
      </w:pPr>
      <w:r>
        <w:rPr>
          <w:rFonts w:ascii="Times New Roman" w:hAnsi="Times New Roman" w:eastAsia="宋体" w:cs="Times New Roman"/>
          <w:color w:val="000000"/>
          <w:kern w:val="0"/>
          <w:szCs w:val="24"/>
          <w:lang w:bidi="ar"/>
        </w:rPr>
        <w:t>1-1素填土（Qml）：主要由黏性土、碎石等组成，表层0.3m混凝土路面，采取率80%。</w:t>
      </w:r>
    </w:p>
    <w:p w14:paraId="54444EEE">
      <w:pPr>
        <w:widowControl/>
        <w:ind w:firstLine="480"/>
        <w:jc w:val="left"/>
        <w:rPr>
          <w:rFonts w:ascii="Times New Roman" w:hAnsi="Times New Roman" w:eastAsia="宋体" w:cs="Times New Roman"/>
        </w:rPr>
      </w:pPr>
      <w:r>
        <w:rPr>
          <w:rFonts w:ascii="Times New Roman" w:hAnsi="Times New Roman" w:eastAsia="宋体" w:cs="Times New Roman"/>
          <w:color w:val="000000"/>
          <w:kern w:val="0"/>
          <w:szCs w:val="24"/>
          <w:lang w:bidi="ar"/>
        </w:rPr>
        <w:t>6-2b松散碎石（Qel+dl）：灰黄色，含60%粒径2-5cm碎石，最大粒径10cm，碎石主要成分为灰质板岩，磨圆差；采取率80%。</w:t>
      </w:r>
    </w:p>
    <w:p w14:paraId="5F6B4CFC">
      <w:pPr>
        <w:widowControl/>
        <w:ind w:firstLine="480"/>
        <w:jc w:val="left"/>
        <w:rPr>
          <w:rFonts w:ascii="Times New Roman" w:hAnsi="Times New Roman" w:eastAsia="宋体" w:cs="Times New Roman"/>
        </w:rPr>
      </w:pPr>
      <w:r>
        <w:rPr>
          <w:rFonts w:ascii="Times New Roman" w:hAnsi="Times New Roman" w:eastAsia="宋体" w:cs="Times New Roman"/>
          <w:color w:val="000000"/>
          <w:kern w:val="0"/>
          <w:szCs w:val="24"/>
          <w:lang w:bidi="ar"/>
        </w:rPr>
        <w:t>11o(s)-1强风化砂质板岩（S2zh）：灰褐、灰黑色，变余砂状结构，块状构造；岩石由陆源碎屑和填隙物组成，岩质较软，锤击声哑，岩芯破碎，多呈碎块石状，采取率为70%。</w:t>
      </w:r>
    </w:p>
    <w:p w14:paraId="0F7DD467">
      <w:pPr>
        <w:widowControl/>
        <w:ind w:firstLine="480"/>
        <w:jc w:val="left"/>
        <w:rPr>
          <w:rFonts w:ascii="Times New Roman" w:hAnsi="Times New Roman" w:eastAsia="宋体" w:cs="Times New Roman"/>
        </w:rPr>
      </w:pPr>
      <w:r>
        <w:rPr>
          <w:rFonts w:ascii="Times New Roman" w:hAnsi="Times New Roman" w:eastAsia="宋体" w:cs="Times New Roman"/>
          <w:color w:val="000000"/>
          <w:kern w:val="0"/>
          <w:szCs w:val="24"/>
          <w:lang w:bidi="ar"/>
        </w:rPr>
        <w:t>11o(s)-2中风化砂质板岩（S2zh）：灰、灰黑色，变余砂状结构，块状构造；岩石由陆源碎屑和填隙物组成，岩质较硬，锤击声脆。岩芯较完整，多呈柱状，柱长5-10cm,采取率为80%。</w:t>
      </w:r>
    </w:p>
    <w:p w14:paraId="0ED6F814">
      <w:pPr>
        <w:widowControl/>
        <w:ind w:firstLine="480"/>
        <w:jc w:val="left"/>
        <w:rPr>
          <w:rFonts w:ascii="Times New Roman" w:hAnsi="Times New Roman" w:eastAsia="宋体" w:cs="Times New Roman"/>
        </w:rPr>
      </w:pPr>
      <w:r>
        <w:rPr>
          <w:rFonts w:ascii="Times New Roman" w:hAnsi="Times New Roman" w:eastAsia="宋体" w:cs="Times New Roman"/>
          <w:color w:val="000000"/>
          <w:kern w:val="0"/>
          <w:szCs w:val="24"/>
          <w:lang w:bidi="ar"/>
        </w:rPr>
        <w:t>11s-2中风化石英砂岩(S2zh):青灰色，砂质结构，层状构造，主要矿物成分为石英、长石、灰岩质、白云母，岩质较硬，锤击声较脆。岩芯较完整，多呈柱状，柱长5-10cm,采取率为70%。</w:t>
      </w:r>
    </w:p>
    <w:p w14:paraId="536FDCF8">
      <w:pPr>
        <w:widowControl/>
        <w:ind w:firstLine="480"/>
        <w:jc w:val="left"/>
        <w:rPr>
          <w:rFonts w:ascii="Times New Roman" w:hAnsi="Times New Roman" w:eastAsia="宋体" w:cs="Times New Roman"/>
        </w:rPr>
      </w:pPr>
      <w:r>
        <w:rPr>
          <w:rFonts w:ascii="Times New Roman" w:hAnsi="Times New Roman" w:eastAsia="宋体" w:cs="Times New Roman"/>
          <w:color w:val="000000"/>
          <w:kern w:val="0"/>
          <w:szCs w:val="24"/>
          <w:lang w:bidi="ar"/>
        </w:rPr>
        <w:t>12o-1强风化泥质板岩（S1m）：灰褐色，泥质结构，板状构造，页岩主要矿物为黏土矿物等，岩芯破碎成碎块状，手掰易断</w:t>
      </w:r>
      <w:r>
        <w:rPr>
          <w:rFonts w:hint="eastAsia" w:ascii="Times New Roman" w:hAnsi="Times New Roman" w:eastAsia="宋体" w:cs="Times New Roman"/>
          <w:color w:val="000000"/>
          <w:kern w:val="0"/>
          <w:szCs w:val="24"/>
          <w:lang w:bidi="ar"/>
        </w:rPr>
        <w:t>，</w:t>
      </w:r>
      <w:r>
        <w:rPr>
          <w:rFonts w:ascii="Times New Roman" w:hAnsi="Times New Roman" w:eastAsia="宋体" w:cs="Times New Roman"/>
          <w:color w:val="000000"/>
          <w:kern w:val="0"/>
          <w:szCs w:val="24"/>
          <w:lang w:bidi="ar"/>
        </w:rPr>
        <w:t>采取率为70%。</w:t>
      </w:r>
    </w:p>
    <w:p w14:paraId="5321B6CB">
      <w:pPr>
        <w:widowControl/>
        <w:ind w:firstLine="480"/>
        <w:jc w:val="left"/>
        <w:rPr>
          <w:rFonts w:ascii="Times New Roman" w:hAnsi="Times New Roman" w:eastAsia="宋体" w:cs="Times New Roman"/>
        </w:rPr>
      </w:pPr>
      <w:r>
        <w:rPr>
          <w:rFonts w:ascii="Times New Roman" w:hAnsi="Times New Roman" w:eastAsia="宋体" w:cs="Times New Roman"/>
          <w:color w:val="000000"/>
          <w:kern w:val="0"/>
          <w:szCs w:val="24"/>
          <w:lang w:bidi="ar"/>
        </w:rPr>
        <w:t>12o-2中风化泥质板岩（S1m）：青灰色，变余泥质结构，板状构造，主要矿物成分为绿泥石、绢云母，原岩成分为黏土岩，岩质较软，锤击声脆。岩芯较完整，多呈柱状，柱长5-10cm,采取率为80%。</w:t>
      </w:r>
    </w:p>
    <w:p w14:paraId="4B40AEB8">
      <w:pPr>
        <w:widowControl/>
        <w:ind w:firstLine="480"/>
        <w:jc w:val="left"/>
        <w:sectPr>
          <w:pgSz w:w="11906" w:h="16838"/>
          <w:pgMar w:top="1440" w:right="1800" w:bottom="1440" w:left="1800" w:header="851" w:footer="992" w:gutter="0"/>
          <w:cols w:space="425" w:num="1"/>
          <w:docGrid w:type="lines" w:linePitch="312" w:charSpace="0"/>
        </w:sectPr>
      </w:pPr>
    </w:p>
    <w:p w14:paraId="481FD94F">
      <w:pPr>
        <w:keepNext/>
        <w:widowControl w:val="0"/>
        <w:spacing w:line="360" w:lineRule="auto"/>
        <w:ind w:firstLine="0" w:firstLineChars="0"/>
        <w:jc w:val="center"/>
        <w:rPr>
          <w:rFonts w:ascii="Times New Roman" w:hAnsi="Times New Roman" w:eastAsia="宋体" w:cs="Times New Roman"/>
          <w:b w:val="0"/>
          <w:kern w:val="2"/>
          <w:sz w:val="21"/>
          <w:szCs w:val="21"/>
          <w:highlight w:val="none"/>
          <w:lang w:val="en-US" w:eastAsia="zh-CN" w:bidi="ar-SA"/>
        </w:rPr>
      </w:pPr>
      <w:r>
        <w:rPr>
          <w:rFonts w:hint="eastAsia" w:ascii="Times New Roman" w:hAnsi="Times New Roman" w:eastAsia="宋体" w:cs="Times New Roman"/>
          <w:b w:val="0"/>
          <w:kern w:val="2"/>
          <w:sz w:val="21"/>
          <w:szCs w:val="21"/>
          <w:highlight w:val="none"/>
          <w:lang w:val="en-US" w:eastAsia="zh-CN" w:bidi="ar-SA"/>
        </w:rPr>
        <w:drawing>
          <wp:inline distT="0" distB="0" distL="114300" distR="114300">
            <wp:extent cx="8837930" cy="4738370"/>
            <wp:effectExtent l="0" t="0" r="1270" b="5080"/>
            <wp:docPr id="7" name="图片 7" descr="Ⅲ.02.D2册桥涵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Ⅲ.02.D2册桥涵_10"/>
                    <pic:cNvPicPr>
                      <a:picLocks noChangeAspect="1"/>
                    </pic:cNvPicPr>
                  </pic:nvPicPr>
                  <pic:blipFill>
                    <a:blip r:embed="rId21"/>
                    <a:srcRect l="11135" t="7439" r="3456" b="27794"/>
                    <a:stretch>
                      <a:fillRect/>
                    </a:stretch>
                  </pic:blipFill>
                  <pic:spPr>
                    <a:xfrm>
                      <a:off x="0" y="0"/>
                      <a:ext cx="8837930" cy="4738370"/>
                    </a:xfrm>
                    <a:prstGeom prst="rect">
                      <a:avLst/>
                    </a:prstGeom>
                  </pic:spPr>
                </pic:pic>
              </a:graphicData>
            </a:graphic>
          </wp:inline>
        </w:drawing>
      </w:r>
    </w:p>
    <w:p w14:paraId="538B56B6">
      <w:pPr>
        <w:keepNext w:val="0"/>
        <w:widowControl w:val="0"/>
        <w:spacing w:line="360" w:lineRule="auto"/>
        <w:ind w:firstLine="0" w:firstLineChars="0"/>
        <w:jc w:val="center"/>
        <w:rPr>
          <w:rFonts w:ascii="Times New Roman" w:hAnsi="Times New Roman" w:eastAsia="宋体" w:cs="Times New Roman"/>
          <w:b/>
          <w:kern w:val="2"/>
          <w:sz w:val="21"/>
          <w:szCs w:val="21"/>
          <w:lang w:val="en-US" w:eastAsia="zh-CN" w:bidi="ar-SA"/>
        </w:rPr>
      </w:pPr>
      <w:r>
        <w:rPr>
          <w:rFonts w:hint="eastAsia" w:ascii="Times New Roman" w:hAnsi="Times New Roman" w:eastAsia="宋体" w:cs="Times New Roman"/>
          <w:b/>
          <w:kern w:val="2"/>
          <w:sz w:val="21"/>
          <w:szCs w:val="21"/>
          <w:lang w:val="en-US" w:eastAsia="zh-CN" w:bidi="ar-SA"/>
        </w:rPr>
        <w:t>图</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STYLEREF 3 \s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2.1.3</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w:t>
      </w:r>
      <w:r>
        <w:rPr>
          <w:rFonts w:ascii="Times New Roman" w:hAnsi="Times New Roman" w:eastAsia="宋体" w:cs="Times New Roman"/>
          <w:b/>
          <w:kern w:val="2"/>
          <w:sz w:val="21"/>
          <w:szCs w:val="21"/>
          <w:lang w:val="en-US" w:eastAsia="zh-CN" w:bidi="ar-SA"/>
        </w:rPr>
        <w:fldChar w:fldCharType="begin"/>
      </w:r>
      <w:r>
        <w:rPr>
          <w:rFonts w:ascii="Times New Roman" w:hAnsi="Times New Roman" w:eastAsia="宋体" w:cs="Times New Roman"/>
          <w:b/>
          <w:kern w:val="2"/>
          <w:sz w:val="21"/>
          <w:szCs w:val="21"/>
          <w:lang w:val="en-US" w:eastAsia="zh-CN" w:bidi="ar-SA"/>
        </w:rPr>
        <w:instrText xml:space="preserve"> SEQ </w:instrText>
      </w:r>
      <w:r>
        <w:rPr>
          <w:rFonts w:hint="eastAsia" w:ascii="Times New Roman" w:hAnsi="Times New Roman" w:eastAsia="宋体" w:cs="Times New Roman"/>
          <w:b/>
          <w:kern w:val="2"/>
          <w:sz w:val="21"/>
          <w:szCs w:val="21"/>
          <w:lang w:val="en-US" w:eastAsia="zh-CN" w:bidi="ar-SA"/>
        </w:rPr>
        <w:instrText xml:space="preserve">图</w:instrText>
      </w:r>
      <w:r>
        <w:rPr>
          <w:rFonts w:ascii="Times New Roman" w:hAnsi="Times New Roman" w:eastAsia="宋体" w:cs="Times New Roman"/>
          <w:b/>
          <w:kern w:val="2"/>
          <w:sz w:val="21"/>
          <w:szCs w:val="21"/>
          <w:lang w:val="en-US" w:eastAsia="zh-CN" w:bidi="ar-SA"/>
        </w:rPr>
        <w:instrText xml:space="preserve"> \* ARABIC \s 3 </w:instrText>
      </w:r>
      <w:r>
        <w:rPr>
          <w:rFonts w:ascii="Times New Roman" w:hAnsi="Times New Roman" w:eastAsia="宋体" w:cs="Times New Roman"/>
          <w:b/>
          <w:kern w:val="2"/>
          <w:sz w:val="21"/>
          <w:szCs w:val="21"/>
          <w:lang w:val="en-US" w:eastAsia="zh-CN" w:bidi="ar-SA"/>
        </w:rPr>
        <w:fldChar w:fldCharType="separate"/>
      </w:r>
      <w:r>
        <w:rPr>
          <w:rFonts w:ascii="Times New Roman" w:hAnsi="Times New Roman" w:eastAsia="宋体" w:cs="Times New Roman"/>
          <w:b/>
          <w:kern w:val="2"/>
          <w:sz w:val="21"/>
          <w:szCs w:val="21"/>
          <w:lang w:val="en-US" w:eastAsia="zh-CN" w:bidi="ar-SA"/>
        </w:rPr>
        <w:t>1</w:t>
      </w:r>
      <w:r>
        <w:rPr>
          <w:rFonts w:ascii="Times New Roman" w:hAnsi="Times New Roman" w:eastAsia="宋体" w:cs="Times New Roman"/>
          <w:b/>
          <w:kern w:val="2"/>
          <w:sz w:val="21"/>
          <w:szCs w:val="21"/>
          <w:lang w:val="en-US" w:eastAsia="zh-CN" w:bidi="ar-SA"/>
        </w:rPr>
        <w:fldChar w:fldCharType="end"/>
      </w:r>
      <w:r>
        <w:rPr>
          <w:rFonts w:ascii="Times New Roman" w:hAnsi="Times New Roman" w:eastAsia="宋体" w:cs="Times New Roman"/>
          <w:b/>
          <w:kern w:val="2"/>
          <w:sz w:val="21"/>
          <w:szCs w:val="21"/>
          <w:lang w:val="en-US" w:eastAsia="zh-CN" w:bidi="ar-SA"/>
        </w:rPr>
        <w:t xml:space="preserve"> </w:t>
      </w:r>
      <w:r>
        <w:rPr>
          <w:rFonts w:hint="eastAsia" w:ascii="Times New Roman" w:hAnsi="Times New Roman" w:eastAsia="宋体" w:cs="Times New Roman"/>
          <w:b/>
          <w:kern w:val="2"/>
          <w:sz w:val="21"/>
          <w:szCs w:val="21"/>
          <w:lang w:val="en-US" w:eastAsia="zh-CN" w:bidi="ar-SA"/>
        </w:rPr>
        <w:t>紫金洞2号大桥桥址区地质纵断面图</w:t>
      </w:r>
    </w:p>
    <w:p w14:paraId="1FDF08C5">
      <w:pPr>
        <w:ind w:firstLine="480"/>
        <w:sectPr>
          <w:pgSz w:w="16838" w:h="11906" w:orient="landscape"/>
          <w:pgMar w:top="1800" w:right="1440" w:bottom="1800" w:left="1440" w:header="851" w:footer="992" w:gutter="0"/>
          <w:cols w:space="425" w:num="1"/>
          <w:docGrid w:type="lines" w:linePitch="312" w:charSpace="0"/>
        </w:sectPr>
      </w:pPr>
    </w:p>
    <w:p w14:paraId="7DF2F981">
      <w:pPr>
        <w:pStyle w:val="4"/>
        <w:rPr>
          <w:b/>
          <w:bCs w:val="0"/>
        </w:rPr>
      </w:pPr>
      <w:r>
        <w:rPr>
          <w:rFonts w:hint="eastAsia"/>
          <w:b/>
          <w:bCs w:val="0"/>
          <w:lang w:val="en-US" w:eastAsia="zh-CN"/>
        </w:rPr>
        <w:t>塔式起重机</w:t>
      </w:r>
      <w:r>
        <w:rPr>
          <w:rFonts w:hint="eastAsia"/>
          <w:b/>
          <w:bCs w:val="0"/>
        </w:rPr>
        <w:t>概况</w:t>
      </w:r>
    </w:p>
    <w:p w14:paraId="35BE1A83">
      <w:pPr>
        <w:pStyle w:val="160"/>
        <w:bidi w:val="0"/>
        <w:rPr>
          <w:rFonts w:hint="default" w:eastAsia="宋体"/>
          <w:lang w:val="en-US" w:eastAsia="zh-CN"/>
        </w:rPr>
      </w:pPr>
      <w:r>
        <w:rPr>
          <w:rFonts w:hint="eastAsia"/>
          <w:lang w:val="en-US" w:eastAsia="zh-CN"/>
        </w:rPr>
        <w:t>表2.1.4-1 塔式起重机概况</w:t>
      </w:r>
    </w:p>
    <w:tbl>
      <w:tblPr>
        <w:tblStyle w:val="43"/>
        <w:tblpPr w:leftFromText="180" w:rightFromText="180" w:vertAnchor="text" w:horzAnchor="page" w:tblpX="1779" w:tblpY="488"/>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2181"/>
        <w:gridCol w:w="762"/>
        <w:gridCol w:w="846"/>
        <w:gridCol w:w="4276"/>
      </w:tblGrid>
      <w:tr w14:paraId="6EBD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268" w:type="pct"/>
            <w:vAlign w:val="top"/>
          </w:tcPr>
          <w:p w14:paraId="78B7006D">
            <w:pPr>
              <w:ind w:left="0" w:leftChars="0" w:firstLine="0" w:firstLineChars="0"/>
              <w:rPr>
                <w:rFonts w:hint="eastAsia" w:eastAsia="宋体"/>
                <w:b/>
                <w:bCs/>
                <w:vertAlign w:val="baseline"/>
                <w:lang w:val="en-US" w:eastAsia="zh-CN"/>
              </w:rPr>
            </w:pPr>
            <w:r>
              <w:rPr>
                <w:rFonts w:hint="eastAsia"/>
                <w:b/>
                <w:bCs/>
                <w:vertAlign w:val="baseline"/>
                <w:lang w:val="en-US" w:eastAsia="zh-CN"/>
              </w:rPr>
              <w:t>序号</w:t>
            </w:r>
          </w:p>
        </w:tc>
        <w:tc>
          <w:tcPr>
            <w:tcW w:w="1279" w:type="pct"/>
            <w:vAlign w:val="center"/>
          </w:tcPr>
          <w:p w14:paraId="7944FC8E">
            <w:pPr>
              <w:ind w:left="0" w:leftChars="0" w:firstLine="0" w:firstLineChars="0"/>
              <w:jc w:val="center"/>
              <w:rPr>
                <w:rFonts w:hint="eastAsia" w:eastAsia="宋体"/>
                <w:b/>
                <w:bCs/>
                <w:vertAlign w:val="baseline"/>
                <w:lang w:val="en-US" w:eastAsia="zh-CN"/>
              </w:rPr>
            </w:pPr>
            <w:r>
              <w:rPr>
                <w:rFonts w:hint="eastAsia"/>
                <w:b/>
                <w:bCs/>
                <w:vertAlign w:val="baseline"/>
                <w:lang w:val="en-US" w:eastAsia="zh-CN"/>
              </w:rPr>
              <w:t>项目</w:t>
            </w:r>
          </w:p>
        </w:tc>
        <w:tc>
          <w:tcPr>
            <w:tcW w:w="447" w:type="pct"/>
            <w:vAlign w:val="center"/>
          </w:tcPr>
          <w:p w14:paraId="7D149F73">
            <w:pPr>
              <w:ind w:left="0" w:leftChars="0" w:firstLine="0" w:firstLineChars="0"/>
              <w:jc w:val="center"/>
              <w:rPr>
                <w:rFonts w:hint="eastAsia" w:eastAsia="宋体"/>
                <w:b/>
                <w:bCs/>
                <w:vertAlign w:val="baseline"/>
                <w:lang w:val="en-US" w:eastAsia="zh-CN"/>
              </w:rPr>
            </w:pPr>
            <w:r>
              <w:rPr>
                <w:rFonts w:hint="eastAsia"/>
                <w:b/>
                <w:bCs/>
                <w:vertAlign w:val="baseline"/>
                <w:lang w:val="en-US" w:eastAsia="zh-CN"/>
              </w:rPr>
              <w:t>单位</w:t>
            </w:r>
          </w:p>
        </w:tc>
        <w:tc>
          <w:tcPr>
            <w:tcW w:w="496" w:type="pct"/>
            <w:vAlign w:val="center"/>
          </w:tcPr>
          <w:p w14:paraId="4847D070">
            <w:pPr>
              <w:ind w:left="0" w:leftChars="0" w:firstLine="0" w:firstLineChars="0"/>
              <w:jc w:val="center"/>
              <w:rPr>
                <w:rFonts w:hint="eastAsia" w:eastAsia="宋体"/>
                <w:b/>
                <w:bCs/>
                <w:vertAlign w:val="baseline"/>
                <w:lang w:val="en-US" w:eastAsia="zh-CN"/>
              </w:rPr>
            </w:pPr>
            <w:r>
              <w:rPr>
                <w:rFonts w:hint="eastAsia"/>
                <w:b/>
                <w:bCs/>
                <w:vertAlign w:val="baseline"/>
                <w:lang w:val="en-US" w:eastAsia="zh-CN"/>
              </w:rPr>
              <w:t>值</w:t>
            </w:r>
          </w:p>
        </w:tc>
        <w:tc>
          <w:tcPr>
            <w:tcW w:w="2508" w:type="pct"/>
            <w:vAlign w:val="center"/>
          </w:tcPr>
          <w:p w14:paraId="16980AB9">
            <w:pPr>
              <w:ind w:left="0" w:leftChars="0" w:firstLine="0" w:firstLineChars="0"/>
              <w:jc w:val="center"/>
              <w:rPr>
                <w:rFonts w:hint="eastAsia" w:eastAsia="宋体"/>
                <w:b/>
                <w:bCs/>
                <w:vertAlign w:val="baseline"/>
                <w:lang w:val="en-US" w:eastAsia="zh-CN"/>
              </w:rPr>
            </w:pPr>
            <w:r>
              <w:rPr>
                <w:rFonts w:hint="eastAsia"/>
                <w:b/>
                <w:bCs/>
                <w:vertAlign w:val="baseline"/>
                <w:lang w:val="en-US" w:eastAsia="zh-CN"/>
              </w:rPr>
              <w:t>备注</w:t>
            </w:r>
          </w:p>
        </w:tc>
      </w:tr>
      <w:tr w14:paraId="34E3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704D50FE">
            <w:pPr>
              <w:numPr>
                <w:ilvl w:val="0"/>
                <w:numId w:val="11"/>
              </w:numPr>
              <w:ind w:left="425" w:leftChars="0" w:hanging="425" w:firstLineChars="0"/>
              <w:jc w:val="center"/>
              <w:rPr>
                <w:vertAlign w:val="baseline"/>
              </w:rPr>
            </w:pPr>
          </w:p>
        </w:tc>
        <w:tc>
          <w:tcPr>
            <w:tcW w:w="1279" w:type="pct"/>
            <w:vAlign w:val="center"/>
          </w:tcPr>
          <w:p w14:paraId="5BF5628C">
            <w:pPr>
              <w:ind w:left="0" w:leftChars="0" w:firstLine="0" w:firstLineChars="0"/>
              <w:jc w:val="center"/>
              <w:rPr>
                <w:rFonts w:hint="default" w:eastAsia="宋体"/>
                <w:vertAlign w:val="baseline"/>
                <w:lang w:val="en-US" w:eastAsia="zh-CN"/>
              </w:rPr>
            </w:pPr>
            <w:r>
              <w:rPr>
                <w:rFonts w:hint="eastAsia"/>
                <w:vertAlign w:val="baseline"/>
                <w:lang w:val="en-US" w:eastAsia="zh-CN"/>
              </w:rPr>
              <w:t>初始安装起升高度</w:t>
            </w:r>
          </w:p>
        </w:tc>
        <w:tc>
          <w:tcPr>
            <w:tcW w:w="447" w:type="pct"/>
            <w:vAlign w:val="center"/>
          </w:tcPr>
          <w:p w14:paraId="53DF74F0">
            <w:pPr>
              <w:ind w:left="0" w:leftChars="0" w:firstLine="0" w:firstLineChars="0"/>
              <w:jc w:val="center"/>
              <w:rPr>
                <w:rFonts w:hint="default" w:eastAsia="宋体"/>
                <w:vertAlign w:val="baseline"/>
                <w:lang w:val="en-US" w:eastAsia="zh-CN"/>
              </w:rPr>
            </w:pPr>
            <w:r>
              <w:rPr>
                <w:rFonts w:hint="eastAsia"/>
                <w:vertAlign w:val="baseline"/>
                <w:lang w:val="en-US" w:eastAsia="zh-CN"/>
              </w:rPr>
              <w:t>m</w:t>
            </w:r>
          </w:p>
        </w:tc>
        <w:tc>
          <w:tcPr>
            <w:tcW w:w="496" w:type="pct"/>
            <w:vAlign w:val="center"/>
          </w:tcPr>
          <w:p w14:paraId="45B3C05D">
            <w:pPr>
              <w:ind w:left="0" w:leftChars="0" w:firstLine="0" w:firstLineChars="0"/>
              <w:jc w:val="center"/>
              <w:rPr>
                <w:rFonts w:hint="default" w:eastAsia="宋体"/>
                <w:vertAlign w:val="baseline"/>
                <w:lang w:val="en-US" w:eastAsia="zh-CN"/>
              </w:rPr>
            </w:pPr>
            <w:r>
              <w:rPr>
                <w:rFonts w:hint="eastAsia"/>
                <w:vertAlign w:val="baseline"/>
                <w:lang w:val="en-US" w:eastAsia="zh-CN"/>
              </w:rPr>
              <w:t>13.5</w:t>
            </w:r>
          </w:p>
        </w:tc>
        <w:tc>
          <w:tcPr>
            <w:tcW w:w="2508" w:type="pct"/>
            <w:vAlign w:val="center"/>
          </w:tcPr>
          <w:p w14:paraId="1AAA71B4">
            <w:pPr>
              <w:ind w:left="0" w:leftChars="0" w:firstLine="0" w:firstLineChars="0"/>
              <w:jc w:val="center"/>
              <w:rPr>
                <w:rFonts w:hint="default" w:eastAsia="宋体"/>
                <w:vertAlign w:val="baseline"/>
                <w:lang w:val="en-US" w:eastAsia="zh-CN"/>
              </w:rPr>
            </w:pPr>
            <w:r>
              <w:rPr>
                <w:rFonts w:hint="eastAsia"/>
                <w:vertAlign w:val="baseline"/>
                <w:lang w:val="en-US" w:eastAsia="zh-CN"/>
              </w:rPr>
              <w:t>相对基础顶标高，1节基础节，1节标准节，1节特殊节</w:t>
            </w:r>
          </w:p>
        </w:tc>
      </w:tr>
      <w:tr w14:paraId="2EE1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2F2AE612">
            <w:pPr>
              <w:numPr>
                <w:ilvl w:val="0"/>
                <w:numId w:val="11"/>
              </w:numPr>
              <w:ind w:left="425" w:leftChars="0" w:hanging="425" w:firstLineChars="0"/>
              <w:jc w:val="center"/>
              <w:rPr>
                <w:vertAlign w:val="baseline"/>
              </w:rPr>
            </w:pPr>
          </w:p>
        </w:tc>
        <w:tc>
          <w:tcPr>
            <w:tcW w:w="1279" w:type="pct"/>
            <w:vAlign w:val="center"/>
          </w:tcPr>
          <w:p w14:paraId="0E7A279D">
            <w:pPr>
              <w:ind w:left="0" w:leftChars="0" w:firstLine="0" w:firstLineChars="0"/>
              <w:jc w:val="center"/>
              <w:rPr>
                <w:rFonts w:hint="eastAsia" w:eastAsia="宋体"/>
                <w:vertAlign w:val="baseline"/>
                <w:lang w:val="en-US" w:eastAsia="zh-CN"/>
              </w:rPr>
            </w:pPr>
            <w:r>
              <w:rPr>
                <w:rFonts w:hint="eastAsia"/>
                <w:vertAlign w:val="baseline"/>
                <w:lang w:val="en-US" w:eastAsia="zh-CN"/>
              </w:rPr>
              <w:t>安装起升高度</w:t>
            </w:r>
          </w:p>
        </w:tc>
        <w:tc>
          <w:tcPr>
            <w:tcW w:w="447" w:type="pct"/>
            <w:vAlign w:val="center"/>
          </w:tcPr>
          <w:p w14:paraId="2D7A74DD">
            <w:pPr>
              <w:ind w:left="0" w:leftChars="0" w:firstLine="0" w:firstLineChars="0"/>
              <w:jc w:val="center"/>
              <w:rPr>
                <w:vertAlign w:val="baseline"/>
              </w:rPr>
            </w:pPr>
            <w:r>
              <w:rPr>
                <w:rFonts w:hint="eastAsia"/>
                <w:vertAlign w:val="baseline"/>
                <w:lang w:val="en-US" w:eastAsia="zh-CN"/>
              </w:rPr>
              <w:t>m</w:t>
            </w:r>
          </w:p>
        </w:tc>
        <w:tc>
          <w:tcPr>
            <w:tcW w:w="496" w:type="pct"/>
            <w:vAlign w:val="center"/>
          </w:tcPr>
          <w:p w14:paraId="212A6704">
            <w:pPr>
              <w:ind w:left="0" w:leftChars="0" w:firstLine="0" w:firstLineChars="0"/>
              <w:jc w:val="center"/>
              <w:rPr>
                <w:rFonts w:hint="default" w:eastAsia="宋体"/>
                <w:vertAlign w:val="baseline"/>
                <w:lang w:val="en-US" w:eastAsia="zh-CN"/>
              </w:rPr>
            </w:pPr>
            <w:r>
              <w:rPr>
                <w:rFonts w:hint="eastAsia"/>
                <w:vertAlign w:val="baseline"/>
                <w:lang w:val="en-US" w:eastAsia="zh-CN"/>
              </w:rPr>
              <w:t>60.2</w:t>
            </w:r>
          </w:p>
        </w:tc>
        <w:tc>
          <w:tcPr>
            <w:tcW w:w="2508" w:type="pct"/>
            <w:vAlign w:val="center"/>
          </w:tcPr>
          <w:p w14:paraId="1848D0BF">
            <w:pPr>
              <w:ind w:left="0" w:leftChars="0" w:firstLine="0" w:firstLineChars="0"/>
              <w:jc w:val="center"/>
              <w:rPr>
                <w:vertAlign w:val="baseline"/>
              </w:rPr>
            </w:pPr>
            <w:r>
              <w:rPr>
                <w:rFonts w:hint="eastAsia"/>
                <w:vertAlign w:val="baseline"/>
                <w:lang w:val="en-US" w:eastAsia="zh-CN"/>
              </w:rPr>
              <w:t>相对基础顶标高，1节基础节，17节标准节，1节特殊节</w:t>
            </w:r>
          </w:p>
        </w:tc>
      </w:tr>
      <w:tr w14:paraId="44AA5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67E1132F">
            <w:pPr>
              <w:numPr>
                <w:ilvl w:val="0"/>
                <w:numId w:val="11"/>
              </w:numPr>
              <w:ind w:left="425" w:leftChars="0" w:hanging="425" w:firstLineChars="0"/>
              <w:jc w:val="center"/>
              <w:rPr>
                <w:vertAlign w:val="baseline"/>
              </w:rPr>
            </w:pPr>
          </w:p>
        </w:tc>
        <w:tc>
          <w:tcPr>
            <w:tcW w:w="1279" w:type="pct"/>
            <w:vAlign w:val="center"/>
          </w:tcPr>
          <w:p w14:paraId="1DC4BB04">
            <w:pPr>
              <w:ind w:left="0" w:leftChars="0" w:firstLine="0" w:firstLineChars="0"/>
              <w:jc w:val="center"/>
              <w:rPr>
                <w:rFonts w:hint="default" w:eastAsia="宋体"/>
                <w:vertAlign w:val="baseline"/>
                <w:lang w:val="en-US" w:eastAsia="zh-CN"/>
              </w:rPr>
            </w:pPr>
            <w:r>
              <w:rPr>
                <w:rFonts w:hint="eastAsia"/>
                <w:vertAlign w:val="baseline"/>
                <w:lang w:val="en-US" w:eastAsia="zh-CN"/>
              </w:rPr>
              <w:t>最终安装起升高度</w:t>
            </w:r>
          </w:p>
        </w:tc>
        <w:tc>
          <w:tcPr>
            <w:tcW w:w="447" w:type="pct"/>
            <w:vAlign w:val="center"/>
          </w:tcPr>
          <w:p w14:paraId="5E31D7E6">
            <w:pPr>
              <w:ind w:left="0" w:leftChars="0" w:firstLine="0" w:firstLineChars="0"/>
              <w:jc w:val="center"/>
              <w:rPr>
                <w:vertAlign w:val="baseline"/>
              </w:rPr>
            </w:pPr>
            <w:r>
              <w:rPr>
                <w:rFonts w:hint="eastAsia"/>
                <w:vertAlign w:val="baseline"/>
                <w:lang w:val="en-US" w:eastAsia="zh-CN"/>
              </w:rPr>
              <w:t>m</w:t>
            </w:r>
          </w:p>
        </w:tc>
        <w:tc>
          <w:tcPr>
            <w:tcW w:w="496" w:type="pct"/>
            <w:vAlign w:val="center"/>
          </w:tcPr>
          <w:p w14:paraId="3E54497E">
            <w:pPr>
              <w:ind w:left="0" w:leftChars="0" w:firstLine="0" w:firstLineChars="0"/>
              <w:jc w:val="center"/>
              <w:rPr>
                <w:rFonts w:hint="default" w:eastAsia="宋体"/>
                <w:vertAlign w:val="baseline"/>
                <w:lang w:val="en-US" w:eastAsia="zh-CN"/>
              </w:rPr>
            </w:pPr>
            <w:r>
              <w:rPr>
                <w:rFonts w:hint="eastAsia"/>
                <w:vertAlign w:val="baseline"/>
                <w:lang w:val="en-US" w:eastAsia="zh-CN"/>
              </w:rPr>
              <w:t>60.2</w:t>
            </w:r>
          </w:p>
        </w:tc>
        <w:tc>
          <w:tcPr>
            <w:tcW w:w="2508" w:type="pct"/>
            <w:vAlign w:val="center"/>
          </w:tcPr>
          <w:p w14:paraId="313E43D1">
            <w:pPr>
              <w:ind w:left="0" w:leftChars="0" w:firstLine="0" w:firstLineChars="0"/>
              <w:jc w:val="center"/>
              <w:rPr>
                <w:vertAlign w:val="baseline"/>
              </w:rPr>
            </w:pPr>
            <w:r>
              <w:rPr>
                <w:rFonts w:hint="eastAsia"/>
                <w:vertAlign w:val="baseline"/>
                <w:lang w:val="en-US" w:eastAsia="zh-CN"/>
              </w:rPr>
              <w:t>相对基础顶标高，1节基础节，17节标准节，1节特殊节</w:t>
            </w:r>
          </w:p>
        </w:tc>
      </w:tr>
      <w:tr w14:paraId="4A140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2EBAC3B4">
            <w:pPr>
              <w:numPr>
                <w:ilvl w:val="0"/>
                <w:numId w:val="11"/>
              </w:numPr>
              <w:ind w:left="425" w:leftChars="0" w:hanging="425" w:firstLineChars="0"/>
              <w:jc w:val="center"/>
              <w:rPr>
                <w:vertAlign w:val="baseline"/>
              </w:rPr>
            </w:pPr>
          </w:p>
        </w:tc>
        <w:tc>
          <w:tcPr>
            <w:tcW w:w="1279" w:type="pct"/>
            <w:vAlign w:val="center"/>
          </w:tcPr>
          <w:p w14:paraId="40D96E44">
            <w:pPr>
              <w:ind w:left="0" w:leftChars="0" w:firstLine="0" w:firstLineChars="0"/>
              <w:jc w:val="center"/>
              <w:rPr>
                <w:rFonts w:hint="eastAsia" w:eastAsia="宋体"/>
                <w:vertAlign w:val="baseline"/>
                <w:lang w:val="en-US" w:eastAsia="zh-CN"/>
              </w:rPr>
            </w:pPr>
            <w:r>
              <w:rPr>
                <w:rFonts w:hint="eastAsia"/>
                <w:vertAlign w:val="baseline"/>
                <w:lang w:val="en-US" w:eastAsia="zh-CN"/>
              </w:rPr>
              <w:t>附墙</w:t>
            </w:r>
          </w:p>
        </w:tc>
        <w:tc>
          <w:tcPr>
            <w:tcW w:w="447" w:type="pct"/>
            <w:vAlign w:val="center"/>
          </w:tcPr>
          <w:p w14:paraId="0B9689EC">
            <w:pPr>
              <w:ind w:left="0" w:leftChars="0" w:firstLine="0" w:firstLineChars="0"/>
              <w:jc w:val="center"/>
              <w:rPr>
                <w:vertAlign w:val="baseline"/>
              </w:rPr>
            </w:pPr>
            <w:r>
              <w:rPr>
                <w:rFonts w:hint="eastAsia"/>
                <w:vertAlign w:val="baseline"/>
                <w:lang w:val="en-US" w:eastAsia="zh-CN"/>
              </w:rPr>
              <w:t>道</w:t>
            </w:r>
          </w:p>
        </w:tc>
        <w:tc>
          <w:tcPr>
            <w:tcW w:w="496" w:type="pct"/>
            <w:vAlign w:val="center"/>
          </w:tcPr>
          <w:p w14:paraId="096C2FBF">
            <w:pPr>
              <w:ind w:left="0" w:leftChars="0" w:firstLine="0" w:firstLineChars="0"/>
              <w:jc w:val="center"/>
              <w:rPr>
                <w:rFonts w:hint="eastAsia" w:eastAsia="宋体"/>
                <w:vertAlign w:val="baseline"/>
                <w:lang w:val="en-US" w:eastAsia="zh-CN"/>
              </w:rPr>
            </w:pPr>
            <w:r>
              <w:rPr>
                <w:rFonts w:hint="eastAsia"/>
                <w:vertAlign w:val="baseline"/>
                <w:lang w:val="en-US" w:eastAsia="zh-CN"/>
              </w:rPr>
              <w:t>0</w:t>
            </w:r>
          </w:p>
        </w:tc>
        <w:tc>
          <w:tcPr>
            <w:tcW w:w="2508" w:type="pct"/>
            <w:vAlign w:val="center"/>
          </w:tcPr>
          <w:p w14:paraId="352DE5A0">
            <w:pPr>
              <w:ind w:left="0" w:leftChars="0" w:firstLine="0" w:firstLineChars="0"/>
              <w:jc w:val="center"/>
              <w:rPr>
                <w:vertAlign w:val="baseline"/>
              </w:rPr>
            </w:pPr>
          </w:p>
        </w:tc>
      </w:tr>
      <w:tr w14:paraId="675D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576D2B37">
            <w:pPr>
              <w:numPr>
                <w:ilvl w:val="0"/>
                <w:numId w:val="11"/>
              </w:numPr>
              <w:ind w:left="425" w:leftChars="0" w:hanging="425" w:firstLineChars="0"/>
              <w:jc w:val="center"/>
              <w:rPr>
                <w:vertAlign w:val="baseline"/>
              </w:rPr>
            </w:pPr>
          </w:p>
        </w:tc>
        <w:tc>
          <w:tcPr>
            <w:tcW w:w="1279" w:type="pct"/>
            <w:vAlign w:val="center"/>
          </w:tcPr>
          <w:p w14:paraId="7E470805">
            <w:pPr>
              <w:ind w:left="0" w:leftChars="0" w:firstLine="0" w:firstLineChars="0"/>
              <w:jc w:val="center"/>
              <w:rPr>
                <w:rFonts w:hint="eastAsia" w:eastAsia="宋体"/>
                <w:vertAlign w:val="baseline"/>
                <w:lang w:val="en-US" w:eastAsia="zh-CN"/>
              </w:rPr>
            </w:pPr>
            <w:r>
              <w:rPr>
                <w:rFonts w:hint="eastAsia"/>
                <w:vertAlign w:val="baseline"/>
                <w:lang w:val="en-US" w:eastAsia="zh-CN"/>
              </w:rPr>
              <w:t>起重臂长</w:t>
            </w:r>
          </w:p>
        </w:tc>
        <w:tc>
          <w:tcPr>
            <w:tcW w:w="447" w:type="pct"/>
            <w:vAlign w:val="center"/>
          </w:tcPr>
          <w:p w14:paraId="70B3E41C">
            <w:pPr>
              <w:ind w:left="0" w:leftChars="0" w:firstLine="0" w:firstLineChars="0"/>
              <w:jc w:val="center"/>
              <w:rPr>
                <w:vertAlign w:val="baseline"/>
              </w:rPr>
            </w:pPr>
            <w:r>
              <w:rPr>
                <w:rFonts w:hint="eastAsia"/>
                <w:vertAlign w:val="baseline"/>
                <w:lang w:val="en-US" w:eastAsia="zh-CN"/>
              </w:rPr>
              <w:t>m</w:t>
            </w:r>
          </w:p>
        </w:tc>
        <w:tc>
          <w:tcPr>
            <w:tcW w:w="496" w:type="pct"/>
            <w:vAlign w:val="center"/>
          </w:tcPr>
          <w:p w14:paraId="2179149F">
            <w:pPr>
              <w:ind w:left="0" w:leftChars="0" w:firstLine="0" w:firstLineChars="0"/>
              <w:jc w:val="center"/>
              <w:rPr>
                <w:rFonts w:hint="default" w:eastAsia="宋体"/>
                <w:vertAlign w:val="baseline"/>
                <w:lang w:val="en-US" w:eastAsia="zh-CN"/>
              </w:rPr>
            </w:pPr>
            <w:r>
              <w:rPr>
                <w:rFonts w:hint="eastAsia"/>
                <w:vertAlign w:val="baseline"/>
                <w:lang w:val="en-US" w:eastAsia="zh-CN"/>
              </w:rPr>
              <w:t>55</w:t>
            </w:r>
          </w:p>
        </w:tc>
        <w:tc>
          <w:tcPr>
            <w:tcW w:w="2508" w:type="pct"/>
            <w:vAlign w:val="center"/>
          </w:tcPr>
          <w:p w14:paraId="17F3308A">
            <w:pPr>
              <w:ind w:left="0" w:leftChars="0" w:firstLine="0" w:firstLineChars="0"/>
              <w:jc w:val="center"/>
              <w:rPr>
                <w:vertAlign w:val="baseline"/>
              </w:rPr>
            </w:pPr>
          </w:p>
        </w:tc>
      </w:tr>
      <w:tr w14:paraId="0686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07534E48">
            <w:pPr>
              <w:numPr>
                <w:ilvl w:val="0"/>
                <w:numId w:val="11"/>
              </w:numPr>
              <w:ind w:left="425" w:leftChars="0" w:hanging="425" w:firstLineChars="0"/>
              <w:jc w:val="center"/>
              <w:rPr>
                <w:vertAlign w:val="baseline"/>
              </w:rPr>
            </w:pPr>
          </w:p>
        </w:tc>
        <w:tc>
          <w:tcPr>
            <w:tcW w:w="1279" w:type="pct"/>
            <w:vAlign w:val="center"/>
          </w:tcPr>
          <w:p w14:paraId="251C8B66">
            <w:pPr>
              <w:ind w:left="0" w:leftChars="0" w:firstLine="0" w:firstLineChars="0"/>
              <w:jc w:val="center"/>
              <w:rPr>
                <w:rFonts w:hint="default" w:eastAsia="宋体"/>
                <w:vertAlign w:val="baseline"/>
                <w:lang w:val="en-US" w:eastAsia="zh-CN"/>
              </w:rPr>
            </w:pPr>
            <w:r>
              <w:rPr>
                <w:rFonts w:hint="eastAsia"/>
                <w:vertAlign w:val="baseline"/>
                <w:lang w:val="en-US" w:eastAsia="zh-CN"/>
              </w:rPr>
              <w:t>平衡臂长</w:t>
            </w:r>
          </w:p>
        </w:tc>
        <w:tc>
          <w:tcPr>
            <w:tcW w:w="447" w:type="pct"/>
            <w:vAlign w:val="center"/>
          </w:tcPr>
          <w:p w14:paraId="20E221B8">
            <w:pPr>
              <w:ind w:left="0" w:leftChars="0" w:firstLine="0" w:firstLineChars="0"/>
              <w:jc w:val="center"/>
              <w:rPr>
                <w:vertAlign w:val="baseline"/>
              </w:rPr>
            </w:pPr>
            <w:r>
              <w:rPr>
                <w:rFonts w:hint="eastAsia"/>
                <w:vertAlign w:val="baseline"/>
                <w:lang w:val="en-US" w:eastAsia="zh-CN"/>
              </w:rPr>
              <w:t>m</w:t>
            </w:r>
          </w:p>
        </w:tc>
        <w:tc>
          <w:tcPr>
            <w:tcW w:w="496" w:type="pct"/>
            <w:vAlign w:val="center"/>
          </w:tcPr>
          <w:p w14:paraId="58C39CE9">
            <w:pPr>
              <w:ind w:left="0" w:leftChars="0" w:firstLine="0" w:firstLineChars="0"/>
              <w:jc w:val="center"/>
              <w:rPr>
                <w:rFonts w:hint="default" w:eastAsia="宋体"/>
                <w:vertAlign w:val="baseline"/>
                <w:lang w:val="en-US" w:eastAsia="zh-CN"/>
              </w:rPr>
            </w:pPr>
            <w:r>
              <w:rPr>
                <w:rFonts w:hint="eastAsia"/>
                <w:vertAlign w:val="baseline"/>
                <w:lang w:val="en-US" w:eastAsia="zh-CN"/>
              </w:rPr>
              <w:t>16.7</w:t>
            </w:r>
          </w:p>
        </w:tc>
        <w:tc>
          <w:tcPr>
            <w:tcW w:w="2508" w:type="pct"/>
            <w:vAlign w:val="center"/>
          </w:tcPr>
          <w:p w14:paraId="6C8FE65D">
            <w:pPr>
              <w:ind w:left="0" w:leftChars="0" w:firstLine="0" w:firstLineChars="0"/>
              <w:jc w:val="center"/>
              <w:rPr>
                <w:vertAlign w:val="baseline"/>
              </w:rPr>
            </w:pPr>
          </w:p>
        </w:tc>
      </w:tr>
      <w:tr w14:paraId="5B92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43C6E642">
            <w:pPr>
              <w:numPr>
                <w:ilvl w:val="0"/>
                <w:numId w:val="11"/>
              </w:numPr>
              <w:ind w:left="425" w:leftChars="0" w:hanging="425" w:firstLineChars="0"/>
              <w:jc w:val="center"/>
              <w:rPr>
                <w:vertAlign w:val="baseline"/>
              </w:rPr>
            </w:pPr>
          </w:p>
        </w:tc>
        <w:tc>
          <w:tcPr>
            <w:tcW w:w="1279" w:type="pct"/>
            <w:vMerge w:val="restart"/>
            <w:vAlign w:val="center"/>
          </w:tcPr>
          <w:p w14:paraId="6F96029B">
            <w:pPr>
              <w:ind w:left="0" w:leftChars="0" w:firstLine="0" w:firstLineChars="0"/>
              <w:jc w:val="center"/>
              <w:rPr>
                <w:rFonts w:hint="eastAsia" w:eastAsia="宋体"/>
                <w:vertAlign w:val="baseline"/>
                <w:lang w:val="en-US" w:eastAsia="zh-CN"/>
              </w:rPr>
            </w:pPr>
            <w:r>
              <w:rPr>
                <w:rFonts w:hint="eastAsia"/>
                <w:vertAlign w:val="baseline"/>
                <w:lang w:val="en-US" w:eastAsia="zh-CN"/>
              </w:rPr>
              <w:t>最大吊重</w:t>
            </w:r>
          </w:p>
        </w:tc>
        <w:tc>
          <w:tcPr>
            <w:tcW w:w="447" w:type="pct"/>
            <w:vMerge w:val="restart"/>
            <w:vAlign w:val="center"/>
          </w:tcPr>
          <w:p w14:paraId="1FA0278E">
            <w:pPr>
              <w:ind w:left="0" w:leftChars="0" w:firstLine="0" w:firstLineChars="0"/>
              <w:jc w:val="center"/>
              <w:rPr>
                <w:vertAlign w:val="baseline"/>
              </w:rPr>
            </w:pPr>
            <w:r>
              <w:rPr>
                <w:rFonts w:hint="eastAsia"/>
                <w:vertAlign w:val="baseline"/>
                <w:lang w:val="en-US" w:eastAsia="zh-CN"/>
              </w:rPr>
              <w:t>t</w:t>
            </w:r>
          </w:p>
        </w:tc>
        <w:tc>
          <w:tcPr>
            <w:tcW w:w="496" w:type="pct"/>
            <w:vAlign w:val="center"/>
          </w:tcPr>
          <w:p w14:paraId="2171C605">
            <w:pPr>
              <w:ind w:left="0" w:leftChars="0" w:firstLine="0" w:firstLineChars="0"/>
              <w:jc w:val="center"/>
              <w:rPr>
                <w:rFonts w:hint="eastAsia" w:eastAsia="宋体"/>
                <w:vertAlign w:val="baseline"/>
                <w:lang w:val="en-US" w:eastAsia="zh-CN"/>
              </w:rPr>
            </w:pPr>
            <w:r>
              <w:rPr>
                <w:rFonts w:hint="eastAsia"/>
                <w:vertAlign w:val="baseline"/>
                <w:lang w:val="en-US" w:eastAsia="zh-CN"/>
              </w:rPr>
              <w:t>6</w:t>
            </w:r>
          </w:p>
        </w:tc>
        <w:tc>
          <w:tcPr>
            <w:tcW w:w="2508" w:type="pct"/>
            <w:vAlign w:val="center"/>
          </w:tcPr>
          <w:p w14:paraId="09453FC2">
            <w:pPr>
              <w:ind w:left="0" w:leftChars="0" w:firstLine="0" w:firstLineChars="0"/>
              <w:jc w:val="center"/>
              <w:rPr>
                <w:rFonts w:hint="eastAsia" w:eastAsia="宋体"/>
                <w:vertAlign w:val="baseline"/>
                <w:lang w:val="en-US" w:eastAsia="zh-CN"/>
              </w:rPr>
            </w:pPr>
            <w:r>
              <w:rPr>
                <w:rFonts w:hint="eastAsia"/>
                <w:vertAlign w:val="baseline"/>
                <w:lang w:val="en-US" w:eastAsia="zh-CN"/>
              </w:rPr>
              <w:t>二倍率（3~39.65m吊幅处）</w:t>
            </w:r>
          </w:p>
        </w:tc>
      </w:tr>
      <w:tr w14:paraId="779A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60FCB191">
            <w:pPr>
              <w:numPr>
                <w:ilvl w:val="0"/>
                <w:numId w:val="11"/>
              </w:numPr>
              <w:ind w:left="425" w:leftChars="0" w:hanging="425" w:firstLineChars="0"/>
              <w:jc w:val="center"/>
              <w:rPr>
                <w:vertAlign w:val="baseline"/>
              </w:rPr>
            </w:pPr>
          </w:p>
        </w:tc>
        <w:tc>
          <w:tcPr>
            <w:tcW w:w="1279" w:type="pct"/>
            <w:vMerge w:val="continue"/>
            <w:vAlign w:val="center"/>
          </w:tcPr>
          <w:p w14:paraId="7ED56474">
            <w:pPr>
              <w:jc w:val="center"/>
              <w:rPr>
                <w:vertAlign w:val="baseline"/>
              </w:rPr>
            </w:pPr>
          </w:p>
        </w:tc>
        <w:tc>
          <w:tcPr>
            <w:tcW w:w="447" w:type="pct"/>
            <w:vMerge w:val="continue"/>
            <w:vAlign w:val="center"/>
          </w:tcPr>
          <w:p w14:paraId="3FFF6BDE">
            <w:pPr>
              <w:ind w:left="0" w:leftChars="0" w:firstLine="0" w:firstLineChars="0"/>
              <w:jc w:val="center"/>
              <w:rPr>
                <w:vertAlign w:val="baseline"/>
              </w:rPr>
            </w:pPr>
          </w:p>
        </w:tc>
        <w:tc>
          <w:tcPr>
            <w:tcW w:w="496" w:type="pct"/>
            <w:vAlign w:val="center"/>
          </w:tcPr>
          <w:p w14:paraId="56F3E1D3">
            <w:pPr>
              <w:ind w:left="0" w:leftChars="0" w:firstLine="0" w:firstLineChars="0"/>
              <w:jc w:val="center"/>
              <w:rPr>
                <w:rFonts w:hint="default" w:eastAsia="宋体"/>
                <w:vertAlign w:val="baseline"/>
                <w:lang w:val="en-US" w:eastAsia="zh-CN"/>
              </w:rPr>
            </w:pPr>
            <w:r>
              <w:rPr>
                <w:rFonts w:hint="eastAsia"/>
                <w:vertAlign w:val="baseline"/>
                <w:lang w:val="en-US" w:eastAsia="zh-CN"/>
              </w:rPr>
              <w:t>12</w:t>
            </w:r>
          </w:p>
        </w:tc>
        <w:tc>
          <w:tcPr>
            <w:tcW w:w="2508" w:type="pct"/>
            <w:vAlign w:val="center"/>
          </w:tcPr>
          <w:p w14:paraId="46A02135">
            <w:pPr>
              <w:ind w:left="0" w:leftChars="0" w:firstLine="0" w:firstLineChars="0"/>
              <w:jc w:val="center"/>
              <w:rPr>
                <w:rFonts w:hint="eastAsia" w:eastAsia="宋体"/>
                <w:vertAlign w:val="baseline"/>
                <w:lang w:val="en-US" w:eastAsia="zh-CN"/>
              </w:rPr>
            </w:pPr>
            <w:r>
              <w:rPr>
                <w:rFonts w:hint="eastAsia"/>
                <w:vertAlign w:val="baseline"/>
                <w:lang w:val="en-US" w:eastAsia="zh-CN"/>
              </w:rPr>
              <w:t>四倍率（3~20.78m吊幅处）</w:t>
            </w:r>
          </w:p>
        </w:tc>
      </w:tr>
      <w:tr w14:paraId="6581D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6DD49F06">
            <w:pPr>
              <w:numPr>
                <w:ilvl w:val="0"/>
                <w:numId w:val="11"/>
              </w:numPr>
              <w:ind w:left="425" w:leftChars="0" w:hanging="425" w:firstLineChars="0"/>
              <w:jc w:val="center"/>
              <w:rPr>
                <w:vertAlign w:val="baseline"/>
              </w:rPr>
            </w:pPr>
          </w:p>
        </w:tc>
        <w:tc>
          <w:tcPr>
            <w:tcW w:w="1279" w:type="pct"/>
            <w:vMerge w:val="restart"/>
            <w:vAlign w:val="center"/>
          </w:tcPr>
          <w:p w14:paraId="1145ED59">
            <w:pPr>
              <w:ind w:left="0" w:leftChars="0" w:firstLine="0" w:firstLineChars="0"/>
              <w:jc w:val="center"/>
              <w:rPr>
                <w:rFonts w:hint="eastAsia" w:eastAsia="宋体"/>
                <w:vertAlign w:val="baseline"/>
                <w:lang w:val="en-US" w:eastAsia="zh-CN"/>
              </w:rPr>
            </w:pPr>
            <w:r>
              <w:rPr>
                <w:rFonts w:hint="eastAsia"/>
                <w:vertAlign w:val="baseline"/>
                <w:lang w:val="en-US" w:eastAsia="zh-CN"/>
              </w:rPr>
              <w:t>臂端吊重</w:t>
            </w:r>
          </w:p>
        </w:tc>
        <w:tc>
          <w:tcPr>
            <w:tcW w:w="447" w:type="pct"/>
            <w:vMerge w:val="restart"/>
            <w:vAlign w:val="center"/>
          </w:tcPr>
          <w:p w14:paraId="2B2D9662">
            <w:pPr>
              <w:ind w:left="0" w:leftChars="0" w:firstLine="0" w:firstLineChars="0"/>
              <w:jc w:val="center"/>
              <w:rPr>
                <w:vertAlign w:val="baseline"/>
              </w:rPr>
            </w:pPr>
            <w:r>
              <w:rPr>
                <w:rFonts w:hint="eastAsia"/>
                <w:vertAlign w:val="baseline"/>
                <w:lang w:val="en-US" w:eastAsia="zh-CN"/>
              </w:rPr>
              <w:t>t</w:t>
            </w:r>
          </w:p>
        </w:tc>
        <w:tc>
          <w:tcPr>
            <w:tcW w:w="496" w:type="pct"/>
            <w:vAlign w:val="center"/>
          </w:tcPr>
          <w:p w14:paraId="550EE44E">
            <w:pPr>
              <w:ind w:left="0" w:leftChars="0" w:firstLine="0" w:firstLineChars="0"/>
              <w:jc w:val="center"/>
              <w:rPr>
                <w:rFonts w:hint="default" w:eastAsia="宋体"/>
                <w:vertAlign w:val="baseline"/>
                <w:lang w:val="en-US" w:eastAsia="zh-CN"/>
              </w:rPr>
            </w:pPr>
            <w:r>
              <w:rPr>
                <w:rFonts w:hint="eastAsia"/>
                <w:vertAlign w:val="baseline"/>
                <w:lang w:val="en-US" w:eastAsia="zh-CN"/>
              </w:rPr>
              <w:t>4.1</w:t>
            </w:r>
          </w:p>
        </w:tc>
        <w:tc>
          <w:tcPr>
            <w:tcW w:w="2508" w:type="pct"/>
            <w:vAlign w:val="center"/>
          </w:tcPr>
          <w:p w14:paraId="0C72A978">
            <w:pPr>
              <w:ind w:left="0" w:leftChars="0" w:firstLine="0" w:firstLineChars="0"/>
              <w:jc w:val="center"/>
              <w:rPr>
                <w:rFonts w:hint="eastAsia" w:eastAsia="宋体"/>
                <w:vertAlign w:val="baseline"/>
                <w:lang w:val="en-US" w:eastAsia="zh-CN"/>
              </w:rPr>
            </w:pPr>
            <w:r>
              <w:rPr>
                <w:rFonts w:hint="eastAsia"/>
                <w:vertAlign w:val="baseline"/>
                <w:lang w:val="en-US" w:eastAsia="zh-CN"/>
              </w:rPr>
              <w:t>二倍率</w:t>
            </w:r>
          </w:p>
        </w:tc>
      </w:tr>
      <w:tr w14:paraId="5CDA5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554A4412">
            <w:pPr>
              <w:numPr>
                <w:ilvl w:val="0"/>
                <w:numId w:val="11"/>
              </w:numPr>
              <w:ind w:left="425" w:leftChars="0" w:hanging="425" w:firstLineChars="0"/>
              <w:jc w:val="center"/>
              <w:rPr>
                <w:vertAlign w:val="baseline"/>
              </w:rPr>
            </w:pPr>
          </w:p>
        </w:tc>
        <w:tc>
          <w:tcPr>
            <w:tcW w:w="1279" w:type="pct"/>
            <w:vMerge w:val="continue"/>
            <w:vAlign w:val="center"/>
          </w:tcPr>
          <w:p w14:paraId="0087124B">
            <w:pPr>
              <w:jc w:val="center"/>
              <w:rPr>
                <w:vertAlign w:val="baseline"/>
              </w:rPr>
            </w:pPr>
          </w:p>
        </w:tc>
        <w:tc>
          <w:tcPr>
            <w:tcW w:w="447" w:type="pct"/>
            <w:vMerge w:val="continue"/>
            <w:vAlign w:val="center"/>
          </w:tcPr>
          <w:p w14:paraId="1745ED69">
            <w:pPr>
              <w:ind w:left="0" w:leftChars="0" w:firstLine="0" w:firstLineChars="0"/>
              <w:jc w:val="both"/>
              <w:rPr>
                <w:vertAlign w:val="baseline"/>
              </w:rPr>
            </w:pPr>
          </w:p>
        </w:tc>
        <w:tc>
          <w:tcPr>
            <w:tcW w:w="496" w:type="pct"/>
            <w:vAlign w:val="center"/>
          </w:tcPr>
          <w:p w14:paraId="5B14C6C6">
            <w:pPr>
              <w:ind w:left="0" w:leftChars="0" w:firstLine="0" w:firstLineChars="0"/>
              <w:jc w:val="center"/>
              <w:rPr>
                <w:rFonts w:hint="default" w:eastAsia="宋体"/>
                <w:vertAlign w:val="baseline"/>
                <w:lang w:val="en-US" w:eastAsia="zh-CN"/>
              </w:rPr>
            </w:pPr>
            <w:r>
              <w:rPr>
                <w:rFonts w:hint="eastAsia"/>
                <w:vertAlign w:val="baseline"/>
                <w:lang w:val="en-US" w:eastAsia="zh-CN"/>
              </w:rPr>
              <w:t>3.919</w:t>
            </w:r>
          </w:p>
        </w:tc>
        <w:tc>
          <w:tcPr>
            <w:tcW w:w="2508" w:type="pct"/>
            <w:vAlign w:val="center"/>
          </w:tcPr>
          <w:p w14:paraId="13BF86BB">
            <w:pPr>
              <w:ind w:left="0" w:leftChars="0" w:firstLine="0" w:firstLineChars="0"/>
              <w:jc w:val="center"/>
              <w:rPr>
                <w:rFonts w:hint="eastAsia" w:eastAsia="宋体"/>
                <w:vertAlign w:val="baseline"/>
                <w:lang w:val="en-US" w:eastAsia="zh-CN"/>
              </w:rPr>
            </w:pPr>
            <w:r>
              <w:rPr>
                <w:rFonts w:hint="eastAsia"/>
                <w:vertAlign w:val="baseline"/>
                <w:lang w:val="en-US" w:eastAsia="zh-CN"/>
              </w:rPr>
              <w:t>四倍率</w:t>
            </w:r>
          </w:p>
        </w:tc>
      </w:tr>
      <w:tr w14:paraId="10B4F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160B6910">
            <w:pPr>
              <w:numPr>
                <w:ilvl w:val="0"/>
                <w:numId w:val="11"/>
              </w:numPr>
              <w:ind w:left="425" w:leftChars="0" w:hanging="425" w:firstLineChars="0"/>
              <w:jc w:val="center"/>
              <w:rPr>
                <w:vertAlign w:val="baseline"/>
              </w:rPr>
            </w:pPr>
          </w:p>
        </w:tc>
        <w:tc>
          <w:tcPr>
            <w:tcW w:w="1279" w:type="pct"/>
            <w:vAlign w:val="center"/>
          </w:tcPr>
          <w:p w14:paraId="5346015E">
            <w:pPr>
              <w:ind w:left="0" w:leftChars="0" w:firstLine="0" w:firstLineChars="0"/>
              <w:jc w:val="center"/>
              <w:rPr>
                <w:rFonts w:hint="eastAsia" w:eastAsia="宋体"/>
                <w:vertAlign w:val="baseline"/>
                <w:lang w:val="en-US" w:eastAsia="zh-CN"/>
              </w:rPr>
            </w:pPr>
            <w:r>
              <w:rPr>
                <w:rFonts w:hint="eastAsia"/>
                <w:vertAlign w:val="baseline"/>
                <w:lang w:val="en-US" w:eastAsia="zh-CN"/>
              </w:rPr>
              <w:t>平衡重</w:t>
            </w:r>
          </w:p>
        </w:tc>
        <w:tc>
          <w:tcPr>
            <w:tcW w:w="447" w:type="pct"/>
            <w:vAlign w:val="center"/>
          </w:tcPr>
          <w:p w14:paraId="366C4E65">
            <w:pPr>
              <w:ind w:left="0" w:leftChars="0" w:firstLine="0" w:firstLineChars="0"/>
              <w:jc w:val="center"/>
              <w:rPr>
                <w:vertAlign w:val="baseline"/>
              </w:rPr>
            </w:pPr>
            <w:r>
              <w:rPr>
                <w:rFonts w:hint="eastAsia"/>
                <w:vertAlign w:val="baseline"/>
                <w:lang w:val="en-US" w:eastAsia="zh-CN"/>
              </w:rPr>
              <w:t>t</w:t>
            </w:r>
          </w:p>
        </w:tc>
        <w:tc>
          <w:tcPr>
            <w:tcW w:w="496" w:type="pct"/>
            <w:vAlign w:val="center"/>
          </w:tcPr>
          <w:p w14:paraId="04582292">
            <w:pPr>
              <w:ind w:left="0" w:leftChars="0" w:firstLine="0" w:firstLineChars="0"/>
              <w:jc w:val="center"/>
              <w:rPr>
                <w:rFonts w:hint="default" w:eastAsia="宋体"/>
                <w:vertAlign w:val="baseline"/>
                <w:lang w:val="en-US" w:eastAsia="zh-CN"/>
              </w:rPr>
            </w:pPr>
            <w:r>
              <w:rPr>
                <w:rFonts w:hint="eastAsia"/>
                <w:vertAlign w:val="baseline"/>
                <w:lang w:val="en-US" w:eastAsia="zh-CN"/>
              </w:rPr>
              <w:t>18.05</w:t>
            </w:r>
          </w:p>
        </w:tc>
        <w:tc>
          <w:tcPr>
            <w:tcW w:w="2508" w:type="pct"/>
            <w:vAlign w:val="center"/>
          </w:tcPr>
          <w:p w14:paraId="16B1BD33">
            <w:pPr>
              <w:ind w:left="0" w:leftChars="0" w:firstLine="0" w:firstLineChars="0"/>
              <w:jc w:val="center"/>
              <w:rPr>
                <w:rFonts w:hint="default" w:eastAsia="宋体"/>
                <w:vertAlign w:val="baseline"/>
                <w:lang w:val="en-US" w:eastAsia="zh-CN"/>
              </w:rPr>
            </w:pPr>
            <w:r>
              <w:rPr>
                <w:rFonts w:hint="eastAsia"/>
                <w:vertAlign w:val="baseline"/>
                <w:lang w:val="en-US" w:eastAsia="zh-CN"/>
              </w:rPr>
              <w:t>5块3.25t、1块1.8t</w:t>
            </w:r>
          </w:p>
        </w:tc>
      </w:tr>
      <w:tr w14:paraId="35847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11B344A6">
            <w:pPr>
              <w:numPr>
                <w:ilvl w:val="0"/>
                <w:numId w:val="11"/>
              </w:numPr>
              <w:ind w:left="425" w:leftChars="0" w:hanging="425" w:firstLineChars="0"/>
              <w:jc w:val="center"/>
              <w:rPr>
                <w:vertAlign w:val="baseline"/>
              </w:rPr>
            </w:pPr>
          </w:p>
        </w:tc>
        <w:tc>
          <w:tcPr>
            <w:tcW w:w="1279" w:type="pct"/>
            <w:vAlign w:val="center"/>
          </w:tcPr>
          <w:p w14:paraId="17615093">
            <w:pPr>
              <w:ind w:left="0" w:leftChars="0" w:firstLine="0" w:firstLineChars="0"/>
              <w:jc w:val="center"/>
              <w:rPr>
                <w:rFonts w:hint="eastAsia" w:eastAsia="宋体"/>
                <w:vertAlign w:val="baseline"/>
                <w:lang w:val="en-US" w:eastAsia="zh-CN"/>
              </w:rPr>
            </w:pPr>
            <w:r>
              <w:rPr>
                <w:rFonts w:hint="eastAsia"/>
                <w:vertAlign w:val="baseline"/>
                <w:lang w:val="en-US" w:eastAsia="zh-CN"/>
              </w:rPr>
              <w:t>基础形式</w:t>
            </w:r>
          </w:p>
        </w:tc>
        <w:tc>
          <w:tcPr>
            <w:tcW w:w="943" w:type="pct"/>
            <w:gridSpan w:val="2"/>
            <w:vAlign w:val="center"/>
          </w:tcPr>
          <w:p w14:paraId="53CBC763">
            <w:pPr>
              <w:ind w:left="0" w:leftChars="0" w:firstLine="0" w:firstLineChars="0"/>
              <w:jc w:val="center"/>
              <w:rPr>
                <w:rFonts w:hint="eastAsia" w:eastAsia="宋体"/>
                <w:vertAlign w:val="baseline"/>
                <w:lang w:val="en-US" w:eastAsia="zh-CN"/>
              </w:rPr>
            </w:pPr>
            <w:r>
              <w:rPr>
                <w:rFonts w:hint="eastAsia"/>
                <w:vertAlign w:val="baseline"/>
                <w:lang w:val="en-US" w:eastAsia="zh-CN"/>
              </w:rPr>
              <w:t>独立基础</w:t>
            </w:r>
          </w:p>
        </w:tc>
        <w:tc>
          <w:tcPr>
            <w:tcW w:w="2508" w:type="pct"/>
            <w:vAlign w:val="center"/>
          </w:tcPr>
          <w:p w14:paraId="0BB6FEE0">
            <w:pPr>
              <w:ind w:left="0" w:leftChars="0" w:firstLine="0" w:firstLineChars="0"/>
              <w:jc w:val="center"/>
              <w:rPr>
                <w:vertAlign w:val="baseline"/>
              </w:rPr>
            </w:pPr>
          </w:p>
        </w:tc>
      </w:tr>
      <w:tr w14:paraId="5F24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top"/>
          </w:tcPr>
          <w:p w14:paraId="2D3B5AA0">
            <w:pPr>
              <w:numPr>
                <w:ilvl w:val="0"/>
                <w:numId w:val="11"/>
              </w:numPr>
              <w:ind w:left="425" w:leftChars="0" w:hanging="425" w:firstLineChars="0"/>
              <w:jc w:val="center"/>
              <w:rPr>
                <w:vertAlign w:val="baseline"/>
              </w:rPr>
            </w:pPr>
          </w:p>
        </w:tc>
        <w:tc>
          <w:tcPr>
            <w:tcW w:w="1279" w:type="pct"/>
            <w:vAlign w:val="center"/>
          </w:tcPr>
          <w:p w14:paraId="411CBEE8">
            <w:pPr>
              <w:ind w:left="0" w:leftChars="0" w:firstLine="0" w:firstLineChars="0"/>
              <w:jc w:val="center"/>
              <w:rPr>
                <w:rFonts w:hint="eastAsia" w:eastAsia="宋体"/>
                <w:vertAlign w:val="baseline"/>
                <w:lang w:val="en-US" w:eastAsia="zh-CN"/>
              </w:rPr>
            </w:pPr>
            <w:r>
              <w:rPr>
                <w:rFonts w:hint="eastAsia"/>
                <w:vertAlign w:val="baseline"/>
                <w:lang w:val="en-US" w:eastAsia="zh-CN"/>
              </w:rPr>
              <w:t>支腿形式</w:t>
            </w:r>
          </w:p>
        </w:tc>
        <w:tc>
          <w:tcPr>
            <w:tcW w:w="943" w:type="pct"/>
            <w:gridSpan w:val="2"/>
            <w:vAlign w:val="center"/>
          </w:tcPr>
          <w:p w14:paraId="6BDF4318">
            <w:pPr>
              <w:ind w:left="0" w:leftChars="0" w:firstLine="0" w:firstLineChars="0"/>
              <w:jc w:val="center"/>
              <w:rPr>
                <w:rFonts w:hint="eastAsia" w:eastAsia="宋体"/>
                <w:vertAlign w:val="baseline"/>
                <w:lang w:val="en-US" w:eastAsia="zh-CN"/>
              </w:rPr>
            </w:pPr>
            <w:r>
              <w:rPr>
                <w:rFonts w:hint="eastAsia"/>
                <w:vertAlign w:val="baseline"/>
                <w:lang w:val="en-US" w:eastAsia="zh-CN"/>
              </w:rPr>
              <w:t>预埋螺栓</w:t>
            </w:r>
          </w:p>
        </w:tc>
        <w:tc>
          <w:tcPr>
            <w:tcW w:w="2508" w:type="pct"/>
            <w:vAlign w:val="center"/>
          </w:tcPr>
          <w:p w14:paraId="240563B6">
            <w:pPr>
              <w:ind w:left="0" w:leftChars="0" w:firstLine="0" w:firstLineChars="0"/>
              <w:jc w:val="center"/>
              <w:rPr>
                <w:vertAlign w:val="baseline"/>
              </w:rPr>
            </w:pPr>
          </w:p>
        </w:tc>
      </w:tr>
    </w:tbl>
    <w:p w14:paraId="3C7EA6D4"/>
    <w:p w14:paraId="13F9A8E1">
      <w:pPr>
        <w:pStyle w:val="5"/>
        <w:keepNext w:val="0"/>
        <w:keepLines w:val="0"/>
        <w:pageBreakBefore w:val="0"/>
        <w:widowControl w:val="0"/>
        <w:kinsoku/>
        <w:wordWrap/>
        <w:overflowPunct/>
        <w:topLinePunct w:val="0"/>
        <w:autoSpaceDE/>
        <w:autoSpaceDN/>
        <w:bidi w:val="0"/>
        <w:adjustRightInd/>
        <w:snapToGrid/>
        <w:ind w:firstLineChars="0"/>
        <w:textAlignment w:val="auto"/>
        <w:rPr>
          <w:b/>
          <w:bCs w:val="0"/>
        </w:rPr>
      </w:pPr>
      <w:r>
        <w:rPr>
          <w:rFonts w:hint="eastAsia"/>
          <w:b/>
          <w:bCs w:val="0"/>
          <w:lang w:val="en-US" w:eastAsia="zh-CN"/>
        </w:rPr>
        <w:t>塔式起重机</w:t>
      </w:r>
      <w:r>
        <w:rPr>
          <w:rFonts w:hint="eastAsia"/>
          <w:b/>
          <w:bCs w:val="0"/>
        </w:rPr>
        <w:t>基本概况</w:t>
      </w:r>
    </w:p>
    <w:p w14:paraId="4550C463">
      <w:pPr>
        <w:pStyle w:val="70"/>
        <w:numPr>
          <w:ilvl w:val="0"/>
          <w:numId w:val="12"/>
        </w:numPr>
        <w:ind w:firstLineChars="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rPr>
        <w:t>用途：紫金洞2号大桥左幅2号墩和右幅2号墩墩柱及盖梁施工，具体工况见</w:t>
      </w:r>
      <w:r>
        <w:fldChar w:fldCharType="begin"/>
      </w:r>
      <w:r>
        <w:instrText xml:space="preserve"> </w:instrText>
      </w:r>
      <w:r>
        <w:rPr>
          <w:rFonts w:hint="eastAsia"/>
        </w:rPr>
        <w:instrText xml:space="preserve">REF _Ref162873167 \h</w:instrText>
      </w:r>
      <w:r>
        <w:instrText xml:space="preserve"> </w:instrText>
      </w:r>
      <w:r>
        <w:fldChar w:fldCharType="separate"/>
      </w:r>
      <w:r>
        <w:rPr>
          <w:rFonts w:hint="eastAsia"/>
        </w:rPr>
        <w:t>表</w:t>
      </w:r>
      <w:r>
        <w:t>2.1.</w:t>
      </w:r>
      <w:r>
        <w:rPr>
          <w:rFonts w:hint="eastAsia"/>
          <w:lang w:val="en-US" w:eastAsia="zh-CN"/>
        </w:rPr>
        <w:t>4</w:t>
      </w:r>
      <w:r>
        <w:rPr>
          <w:rFonts w:hint="eastAsia"/>
        </w:rPr>
        <w:t>-</w:t>
      </w:r>
      <w:r>
        <w:rPr>
          <w:rFonts w:hint="eastAsia"/>
          <w:lang w:val="en-US" w:eastAsia="zh-CN"/>
        </w:rPr>
        <w:t>2</w:t>
      </w:r>
      <w:r>
        <w:fldChar w:fldCharType="end"/>
      </w:r>
      <w:r>
        <w:rPr>
          <w:rFonts w:hint="eastAsia"/>
        </w:rPr>
        <w:t>所示。</w:t>
      </w:r>
    </w:p>
    <w:p w14:paraId="64AD84BA">
      <w:pPr>
        <w:pStyle w:val="16"/>
      </w:pPr>
      <w:bookmarkStart w:id="38" w:name="_Ref162873167"/>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w:t>
      </w:r>
      <w:r>
        <w:rPr>
          <w:rFonts w:hint="eastAsia"/>
          <w:lang w:val="en-US" w:eastAsia="zh-CN"/>
        </w:rPr>
        <w:t>4</w:t>
      </w:r>
      <w:r>
        <w:fldChar w:fldCharType="end"/>
      </w:r>
      <w:r>
        <w:rPr>
          <w:rFonts w:hint="eastAsia"/>
        </w:rPr>
        <w:t>-</w:t>
      </w:r>
      <w:bookmarkEnd w:id="38"/>
      <w:r>
        <w:rPr>
          <w:rFonts w:hint="eastAsia"/>
          <w:lang w:val="en-US" w:eastAsia="zh-CN"/>
        </w:rPr>
        <w:t>2</w:t>
      </w:r>
      <w:r>
        <w:rPr>
          <w:rFonts w:hint="eastAsia"/>
        </w:rPr>
        <w:t xml:space="preserve"> </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rPr>
          <w:rFonts w:hint="eastAsia"/>
        </w:rPr>
        <w:t>极限吊装工况</w:t>
      </w:r>
    </w:p>
    <w:tbl>
      <w:tblPr>
        <w:tblStyle w:val="38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05"/>
        <w:gridCol w:w="2390"/>
        <w:gridCol w:w="3724"/>
        <w:gridCol w:w="1203"/>
      </w:tblGrid>
      <w:tr w14:paraId="24519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707" w:type="pct"/>
            <w:shd w:val="clear" w:color="auto" w:fill="auto"/>
            <w:vAlign w:val="center"/>
          </w:tcPr>
          <w:p w14:paraId="0A94A494">
            <w:pPr>
              <w:spacing w:line="240" w:lineRule="auto"/>
              <w:ind w:firstLine="0" w:firstLineChars="0"/>
              <w:jc w:val="center"/>
              <w:rPr>
                <w:b/>
                <w:sz w:val="21"/>
              </w:rPr>
            </w:pPr>
            <w:r>
              <w:rPr>
                <w:rFonts w:hint="eastAsia"/>
                <w:b/>
                <w:sz w:val="21"/>
              </w:rPr>
              <w:t>序号</w:t>
            </w:r>
          </w:p>
        </w:tc>
        <w:tc>
          <w:tcPr>
            <w:tcW w:w="1402" w:type="pct"/>
            <w:shd w:val="clear" w:color="auto" w:fill="auto"/>
            <w:vAlign w:val="center"/>
          </w:tcPr>
          <w:p w14:paraId="037A86DB">
            <w:pPr>
              <w:spacing w:line="240" w:lineRule="auto"/>
              <w:ind w:firstLine="0" w:firstLineChars="0"/>
              <w:jc w:val="center"/>
              <w:rPr>
                <w:b/>
                <w:bCs/>
                <w:sz w:val="21"/>
              </w:rPr>
            </w:pPr>
            <w:r>
              <w:rPr>
                <w:rFonts w:hint="eastAsia"/>
                <w:b/>
                <w:bCs/>
                <w:sz w:val="21"/>
              </w:rPr>
              <w:t>吊装部件</w:t>
            </w:r>
          </w:p>
        </w:tc>
        <w:tc>
          <w:tcPr>
            <w:tcW w:w="2185" w:type="pct"/>
            <w:shd w:val="clear" w:color="auto" w:fill="auto"/>
            <w:vAlign w:val="center"/>
          </w:tcPr>
          <w:p w14:paraId="0E941ECF">
            <w:pPr>
              <w:spacing w:line="240" w:lineRule="auto"/>
              <w:ind w:firstLine="0" w:firstLineChars="0"/>
              <w:jc w:val="center"/>
              <w:rPr>
                <w:b/>
                <w:sz w:val="21"/>
              </w:rPr>
            </w:pPr>
            <w:r>
              <w:rPr>
                <w:rFonts w:hint="eastAsia"/>
                <w:b/>
                <w:bCs/>
                <w:sz w:val="21"/>
              </w:rPr>
              <w:t>吊装最大</w:t>
            </w:r>
            <w:r>
              <w:rPr>
                <w:b/>
                <w:bCs/>
                <w:sz w:val="21"/>
              </w:rPr>
              <w:t>重量（t）</w:t>
            </w:r>
          </w:p>
        </w:tc>
        <w:tc>
          <w:tcPr>
            <w:tcW w:w="707" w:type="pct"/>
            <w:shd w:val="clear" w:color="auto" w:fill="auto"/>
            <w:vAlign w:val="center"/>
          </w:tcPr>
          <w:p w14:paraId="636E94DC">
            <w:pPr>
              <w:spacing w:line="240" w:lineRule="auto"/>
              <w:ind w:firstLine="0" w:firstLineChars="0"/>
              <w:jc w:val="center"/>
              <w:rPr>
                <w:b/>
                <w:sz w:val="21"/>
              </w:rPr>
            </w:pPr>
            <w:r>
              <w:rPr>
                <w:rFonts w:hint="eastAsia"/>
                <w:b/>
                <w:sz w:val="21"/>
              </w:rPr>
              <w:t>备注</w:t>
            </w:r>
          </w:p>
        </w:tc>
      </w:tr>
      <w:tr w14:paraId="12CFC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7" w:type="pct"/>
            <w:shd w:val="clear" w:color="auto" w:fill="auto"/>
            <w:vAlign w:val="center"/>
          </w:tcPr>
          <w:p w14:paraId="68DFAC07">
            <w:pPr>
              <w:numPr>
                <w:ilvl w:val="0"/>
                <w:numId w:val="13"/>
              </w:numPr>
              <w:spacing w:line="240" w:lineRule="auto"/>
              <w:ind w:firstLineChars="0"/>
              <w:jc w:val="center"/>
              <w:rPr>
                <w:sz w:val="21"/>
              </w:rPr>
            </w:pPr>
          </w:p>
        </w:tc>
        <w:tc>
          <w:tcPr>
            <w:tcW w:w="2390" w:type="dxa"/>
            <w:shd w:val="clear" w:color="auto" w:fill="auto"/>
            <w:vAlign w:val="center"/>
          </w:tcPr>
          <w:p w14:paraId="67D7726A">
            <w:pPr>
              <w:pStyle w:val="50"/>
              <w:bidi w:val="0"/>
              <w:ind w:firstLine="0" w:firstLineChars="0"/>
              <w:rPr>
                <w:sz w:val="21"/>
                <w:highlight w:val="none"/>
              </w:rPr>
            </w:pPr>
            <w:r>
              <w:rPr>
                <w:rFonts w:hint="eastAsia"/>
                <w:highlight w:val="none"/>
                <w:lang w:val="en-US" w:eastAsia="zh-CN"/>
              </w:rPr>
              <w:t>盖梁支架主横梁</w:t>
            </w:r>
          </w:p>
        </w:tc>
        <w:tc>
          <w:tcPr>
            <w:tcW w:w="3724" w:type="dxa"/>
            <w:shd w:val="clear" w:color="auto" w:fill="auto"/>
            <w:vAlign w:val="center"/>
          </w:tcPr>
          <w:p w14:paraId="4F4D3F99">
            <w:pPr>
              <w:pStyle w:val="50"/>
              <w:bidi w:val="0"/>
              <w:ind w:firstLine="0" w:firstLineChars="0"/>
              <w:rPr>
                <w:sz w:val="21"/>
                <w:highlight w:val="none"/>
              </w:rPr>
            </w:pPr>
            <w:r>
              <w:rPr>
                <w:rFonts w:hint="eastAsia"/>
                <w:highlight w:val="none"/>
                <w:lang w:val="en-US" w:eastAsia="zh-CN"/>
              </w:rPr>
              <w:t>＜2.6</w:t>
            </w:r>
          </w:p>
        </w:tc>
        <w:tc>
          <w:tcPr>
            <w:tcW w:w="707" w:type="pct"/>
            <w:shd w:val="clear" w:color="auto" w:fill="auto"/>
            <w:vAlign w:val="center"/>
          </w:tcPr>
          <w:p w14:paraId="618DAA6B">
            <w:pPr>
              <w:spacing w:line="240" w:lineRule="auto"/>
              <w:ind w:firstLine="0" w:firstLineChars="0"/>
              <w:jc w:val="center"/>
              <w:rPr>
                <w:sz w:val="21"/>
              </w:rPr>
            </w:pPr>
          </w:p>
        </w:tc>
      </w:tr>
      <w:tr w14:paraId="673F4C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7" w:type="pct"/>
            <w:shd w:val="clear" w:color="auto" w:fill="auto"/>
            <w:vAlign w:val="center"/>
          </w:tcPr>
          <w:p w14:paraId="477517AC">
            <w:pPr>
              <w:numPr>
                <w:ilvl w:val="0"/>
                <w:numId w:val="13"/>
              </w:numPr>
              <w:spacing w:line="240" w:lineRule="auto"/>
              <w:ind w:firstLineChars="0"/>
              <w:jc w:val="center"/>
              <w:rPr>
                <w:sz w:val="21"/>
              </w:rPr>
            </w:pPr>
          </w:p>
        </w:tc>
        <w:tc>
          <w:tcPr>
            <w:tcW w:w="2390" w:type="dxa"/>
            <w:shd w:val="clear" w:color="auto" w:fill="auto"/>
            <w:vAlign w:val="center"/>
          </w:tcPr>
          <w:p w14:paraId="7219EFB5">
            <w:pPr>
              <w:pStyle w:val="50"/>
              <w:bidi w:val="0"/>
              <w:ind w:firstLine="0" w:firstLineChars="0"/>
              <w:rPr>
                <w:sz w:val="21"/>
                <w:highlight w:val="none"/>
              </w:rPr>
            </w:pPr>
            <w:r>
              <w:rPr>
                <w:rFonts w:hint="eastAsia"/>
                <w:highlight w:val="none"/>
                <w:lang w:val="en-US" w:eastAsia="zh-CN"/>
              </w:rPr>
              <w:t>盖梁模板</w:t>
            </w:r>
          </w:p>
        </w:tc>
        <w:tc>
          <w:tcPr>
            <w:tcW w:w="3724" w:type="dxa"/>
            <w:shd w:val="clear" w:color="auto" w:fill="auto"/>
            <w:vAlign w:val="center"/>
          </w:tcPr>
          <w:p w14:paraId="680DE4DE">
            <w:pPr>
              <w:pStyle w:val="50"/>
              <w:bidi w:val="0"/>
              <w:ind w:firstLine="0" w:firstLineChars="0"/>
              <w:rPr>
                <w:sz w:val="21"/>
                <w:highlight w:val="none"/>
              </w:rPr>
            </w:pPr>
            <w:r>
              <w:rPr>
                <w:rFonts w:hint="eastAsia"/>
                <w:highlight w:val="none"/>
                <w:lang w:val="en-US" w:eastAsia="zh-CN"/>
              </w:rPr>
              <w:t>＜1.3</w:t>
            </w:r>
          </w:p>
        </w:tc>
        <w:tc>
          <w:tcPr>
            <w:tcW w:w="707" w:type="pct"/>
            <w:shd w:val="clear" w:color="auto" w:fill="auto"/>
            <w:vAlign w:val="center"/>
          </w:tcPr>
          <w:p w14:paraId="78120B10">
            <w:pPr>
              <w:spacing w:line="240" w:lineRule="auto"/>
              <w:ind w:firstLine="0" w:firstLineChars="0"/>
              <w:jc w:val="center"/>
              <w:rPr>
                <w:sz w:val="21"/>
              </w:rPr>
            </w:pPr>
          </w:p>
        </w:tc>
      </w:tr>
      <w:tr w14:paraId="0C2158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7" w:type="pct"/>
            <w:shd w:val="clear" w:color="auto" w:fill="auto"/>
            <w:vAlign w:val="center"/>
          </w:tcPr>
          <w:p w14:paraId="41FC7E94">
            <w:pPr>
              <w:numPr>
                <w:ilvl w:val="0"/>
                <w:numId w:val="13"/>
              </w:numPr>
              <w:spacing w:line="240" w:lineRule="auto"/>
              <w:ind w:firstLineChars="0"/>
              <w:jc w:val="center"/>
              <w:rPr>
                <w:sz w:val="21"/>
              </w:rPr>
            </w:pPr>
          </w:p>
        </w:tc>
        <w:tc>
          <w:tcPr>
            <w:tcW w:w="2390" w:type="dxa"/>
            <w:shd w:val="clear" w:color="auto" w:fill="auto"/>
            <w:vAlign w:val="center"/>
          </w:tcPr>
          <w:p w14:paraId="0E90D3D4">
            <w:pPr>
              <w:pStyle w:val="50"/>
              <w:bidi w:val="0"/>
              <w:ind w:firstLine="0" w:firstLineChars="0"/>
              <w:rPr>
                <w:rFonts w:hint="default"/>
                <w:sz w:val="21"/>
                <w:highlight w:val="none"/>
                <w:lang w:val="en-US"/>
              </w:rPr>
            </w:pPr>
            <w:r>
              <w:rPr>
                <w:rFonts w:hint="eastAsia"/>
                <w:highlight w:val="none"/>
                <w:lang w:val="en-US" w:eastAsia="zh-CN"/>
              </w:rPr>
              <w:t>液压爬模</w:t>
            </w:r>
          </w:p>
        </w:tc>
        <w:tc>
          <w:tcPr>
            <w:tcW w:w="3724" w:type="dxa"/>
            <w:shd w:val="clear" w:color="auto" w:fill="auto"/>
            <w:vAlign w:val="center"/>
          </w:tcPr>
          <w:p w14:paraId="651B1A3F">
            <w:pPr>
              <w:pStyle w:val="50"/>
              <w:bidi w:val="0"/>
              <w:ind w:firstLine="0" w:firstLineChars="0"/>
              <w:rPr>
                <w:b w:val="0"/>
                <w:bCs w:val="0"/>
                <w:highlight w:val="none"/>
              </w:rPr>
            </w:pPr>
            <w:r>
              <w:rPr>
                <w:rFonts w:hint="eastAsia"/>
                <w:highlight w:val="none"/>
                <w:lang w:val="en-US" w:eastAsia="zh-CN"/>
              </w:rPr>
              <w:t>＜3.3</w:t>
            </w:r>
          </w:p>
        </w:tc>
        <w:tc>
          <w:tcPr>
            <w:tcW w:w="707" w:type="pct"/>
            <w:shd w:val="clear" w:color="auto" w:fill="auto"/>
            <w:vAlign w:val="center"/>
          </w:tcPr>
          <w:p w14:paraId="5BCABF7F">
            <w:pPr>
              <w:spacing w:line="240" w:lineRule="auto"/>
              <w:ind w:firstLine="0" w:firstLineChars="0"/>
              <w:jc w:val="center"/>
              <w:rPr>
                <w:sz w:val="21"/>
              </w:rPr>
            </w:pPr>
          </w:p>
        </w:tc>
      </w:tr>
      <w:tr w14:paraId="54D4A0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07" w:type="pct"/>
            <w:shd w:val="clear" w:color="auto" w:fill="auto"/>
            <w:vAlign w:val="center"/>
          </w:tcPr>
          <w:p w14:paraId="026CE64F">
            <w:pPr>
              <w:numPr>
                <w:ilvl w:val="0"/>
                <w:numId w:val="13"/>
              </w:numPr>
              <w:spacing w:line="240" w:lineRule="auto"/>
              <w:ind w:firstLineChars="0"/>
              <w:jc w:val="center"/>
              <w:rPr>
                <w:sz w:val="21"/>
              </w:rPr>
            </w:pPr>
          </w:p>
        </w:tc>
        <w:tc>
          <w:tcPr>
            <w:tcW w:w="2390" w:type="dxa"/>
            <w:shd w:val="clear" w:color="auto" w:fill="auto"/>
            <w:vAlign w:val="center"/>
          </w:tcPr>
          <w:p w14:paraId="26CC224B">
            <w:pPr>
              <w:pStyle w:val="50"/>
              <w:bidi w:val="0"/>
              <w:ind w:firstLine="0" w:firstLineChars="0"/>
              <w:rPr>
                <w:sz w:val="21"/>
                <w:highlight w:val="none"/>
              </w:rPr>
            </w:pPr>
            <w:r>
              <w:rPr>
                <w:rFonts w:hint="eastAsia"/>
                <w:highlight w:val="none"/>
                <w:lang w:val="en-US" w:eastAsia="zh-CN"/>
              </w:rPr>
              <w:t>钢筋及预埋件</w:t>
            </w:r>
          </w:p>
        </w:tc>
        <w:tc>
          <w:tcPr>
            <w:tcW w:w="3724" w:type="dxa"/>
            <w:shd w:val="clear" w:color="auto" w:fill="auto"/>
            <w:vAlign w:val="center"/>
          </w:tcPr>
          <w:p w14:paraId="004C5691">
            <w:pPr>
              <w:pStyle w:val="50"/>
              <w:bidi w:val="0"/>
              <w:ind w:firstLine="0" w:firstLineChars="0"/>
              <w:rPr>
                <w:b w:val="0"/>
                <w:bCs w:val="0"/>
                <w:highlight w:val="none"/>
              </w:rPr>
            </w:pPr>
            <w:r>
              <w:rPr>
                <w:rFonts w:hint="eastAsia" w:ascii="Times New Roman" w:hAnsi="Times New Roman" w:eastAsia="宋体"/>
                <w:highlight w:val="none"/>
                <w:lang w:val="en-US" w:eastAsia="zh-CN"/>
              </w:rPr>
              <w:t>≤2</w:t>
            </w:r>
          </w:p>
        </w:tc>
        <w:tc>
          <w:tcPr>
            <w:tcW w:w="707" w:type="pct"/>
            <w:shd w:val="clear" w:color="auto" w:fill="auto"/>
            <w:vAlign w:val="center"/>
          </w:tcPr>
          <w:p w14:paraId="0BA1AF74">
            <w:pPr>
              <w:spacing w:line="240" w:lineRule="auto"/>
              <w:ind w:firstLine="0" w:firstLineChars="0"/>
              <w:jc w:val="center"/>
              <w:rPr>
                <w:sz w:val="21"/>
              </w:rPr>
            </w:pPr>
          </w:p>
        </w:tc>
      </w:tr>
      <w:tr w14:paraId="2C77C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7" w:type="pct"/>
            <w:shd w:val="clear" w:color="auto" w:fill="auto"/>
            <w:vAlign w:val="center"/>
          </w:tcPr>
          <w:p w14:paraId="48881DA3">
            <w:pPr>
              <w:numPr>
                <w:ilvl w:val="0"/>
                <w:numId w:val="13"/>
              </w:numPr>
              <w:spacing w:line="240" w:lineRule="auto"/>
              <w:ind w:firstLineChars="0"/>
              <w:jc w:val="center"/>
              <w:rPr>
                <w:sz w:val="21"/>
              </w:rPr>
            </w:pPr>
          </w:p>
        </w:tc>
        <w:tc>
          <w:tcPr>
            <w:tcW w:w="2390" w:type="dxa"/>
            <w:shd w:val="clear" w:color="auto" w:fill="auto"/>
            <w:vAlign w:val="center"/>
          </w:tcPr>
          <w:p w14:paraId="28E5CF3B">
            <w:pPr>
              <w:pStyle w:val="50"/>
              <w:bidi w:val="0"/>
              <w:ind w:firstLine="0" w:firstLineChars="0"/>
              <w:rPr>
                <w:sz w:val="21"/>
                <w:highlight w:val="none"/>
              </w:rPr>
            </w:pPr>
            <w:r>
              <w:rPr>
                <w:rFonts w:hint="eastAsia"/>
                <w:highlight w:val="none"/>
                <w:lang w:val="en-US" w:eastAsia="zh-CN"/>
              </w:rPr>
              <w:t>料斗及混凝土</w:t>
            </w:r>
          </w:p>
        </w:tc>
        <w:tc>
          <w:tcPr>
            <w:tcW w:w="3724" w:type="dxa"/>
            <w:shd w:val="clear" w:color="auto" w:fill="auto"/>
            <w:vAlign w:val="center"/>
          </w:tcPr>
          <w:p w14:paraId="134BDC2F">
            <w:pPr>
              <w:pStyle w:val="50"/>
              <w:bidi w:val="0"/>
              <w:ind w:firstLine="0" w:firstLineChars="0"/>
              <w:rPr>
                <w:sz w:val="21"/>
                <w:highlight w:val="none"/>
              </w:rPr>
            </w:pPr>
            <w:r>
              <w:rPr>
                <w:rFonts w:hint="default"/>
                <w:highlight w:val="none"/>
                <w:lang w:val="en-US" w:eastAsia="zh-CN"/>
              </w:rPr>
              <w:t>3.2</w:t>
            </w:r>
          </w:p>
        </w:tc>
        <w:tc>
          <w:tcPr>
            <w:tcW w:w="707" w:type="pct"/>
            <w:shd w:val="clear" w:color="auto" w:fill="auto"/>
            <w:vAlign w:val="center"/>
          </w:tcPr>
          <w:p w14:paraId="604AB111">
            <w:pPr>
              <w:spacing w:line="240" w:lineRule="auto"/>
              <w:ind w:firstLine="0" w:firstLineChars="0"/>
              <w:jc w:val="center"/>
              <w:rPr>
                <w:sz w:val="21"/>
              </w:rPr>
            </w:pPr>
          </w:p>
        </w:tc>
      </w:tr>
      <w:tr w14:paraId="357FE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07" w:type="pct"/>
            <w:shd w:val="clear" w:color="auto" w:fill="auto"/>
            <w:vAlign w:val="center"/>
          </w:tcPr>
          <w:p w14:paraId="4857B1ED">
            <w:pPr>
              <w:numPr>
                <w:ilvl w:val="0"/>
                <w:numId w:val="13"/>
              </w:numPr>
              <w:spacing w:line="240" w:lineRule="auto"/>
              <w:ind w:firstLineChars="0"/>
              <w:jc w:val="center"/>
              <w:rPr>
                <w:sz w:val="21"/>
              </w:rPr>
            </w:pPr>
          </w:p>
        </w:tc>
        <w:tc>
          <w:tcPr>
            <w:tcW w:w="2390" w:type="dxa"/>
            <w:shd w:val="clear" w:color="auto" w:fill="auto"/>
            <w:vAlign w:val="center"/>
          </w:tcPr>
          <w:p w14:paraId="6751BBDE">
            <w:pPr>
              <w:pStyle w:val="50"/>
              <w:bidi w:val="0"/>
              <w:ind w:firstLine="0" w:firstLineChars="0"/>
              <w:rPr>
                <w:sz w:val="21"/>
                <w:highlight w:val="none"/>
              </w:rPr>
            </w:pPr>
            <w:r>
              <w:rPr>
                <w:rFonts w:hint="eastAsia"/>
                <w:highlight w:val="none"/>
                <w:lang w:val="en-US" w:eastAsia="zh-CN"/>
              </w:rPr>
              <w:t>盖梁支架主横梁</w:t>
            </w:r>
          </w:p>
        </w:tc>
        <w:tc>
          <w:tcPr>
            <w:tcW w:w="3724" w:type="dxa"/>
            <w:shd w:val="clear" w:color="auto" w:fill="auto"/>
            <w:vAlign w:val="center"/>
          </w:tcPr>
          <w:p w14:paraId="45A12DA2">
            <w:pPr>
              <w:pStyle w:val="50"/>
              <w:bidi w:val="0"/>
              <w:ind w:firstLine="0" w:firstLineChars="0"/>
              <w:rPr>
                <w:sz w:val="21"/>
                <w:highlight w:val="none"/>
              </w:rPr>
            </w:pPr>
            <w:r>
              <w:rPr>
                <w:rFonts w:hint="eastAsia"/>
                <w:highlight w:val="none"/>
                <w:lang w:val="en-US" w:eastAsia="zh-CN"/>
              </w:rPr>
              <w:t>＜2.6</w:t>
            </w:r>
          </w:p>
        </w:tc>
        <w:tc>
          <w:tcPr>
            <w:tcW w:w="707" w:type="pct"/>
            <w:shd w:val="clear" w:color="auto" w:fill="auto"/>
            <w:vAlign w:val="center"/>
          </w:tcPr>
          <w:p w14:paraId="53606E9A">
            <w:pPr>
              <w:spacing w:line="240" w:lineRule="auto"/>
              <w:ind w:firstLine="0" w:firstLineChars="0"/>
              <w:jc w:val="center"/>
              <w:rPr>
                <w:sz w:val="21"/>
              </w:rPr>
            </w:pPr>
          </w:p>
        </w:tc>
      </w:tr>
    </w:tbl>
    <w:p w14:paraId="1C57E238">
      <w:pPr>
        <w:pStyle w:val="70"/>
        <w:numPr>
          <w:ilvl w:val="0"/>
          <w:numId w:val="12"/>
        </w:numPr>
        <w:ind w:firstLineChars="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t>数量：</w:t>
      </w:r>
      <w:r>
        <w:fldChar w:fldCharType="begin"/>
      </w:r>
      <w:r>
        <w:instrText xml:space="preserve"> </w:instrText>
      </w:r>
      <w:r>
        <w:rPr>
          <w:rFonts w:hint="eastAsia"/>
        </w:rPr>
        <w:instrText xml:space="preserve">REF 设备型号1 \h</w:instrText>
      </w:r>
      <w:r>
        <w:instrText xml:space="preserve"> </w:instrText>
      </w:r>
      <w:r>
        <w:fldChar w:fldCharType="separate"/>
      </w:r>
      <w:r>
        <w:rPr>
          <w:rFonts w:hint="eastAsia"/>
        </w:rPr>
        <w:t>XGT</w:t>
      </w:r>
      <w:r>
        <w:fldChar w:fldCharType="end"/>
      </w:r>
      <w:r>
        <w:rPr>
          <w:rFonts w:hint="eastAsia"/>
          <w:lang w:val="en-US" w:eastAsia="zh-CN"/>
        </w:rPr>
        <w:t>7022-12S</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塔式起重机</w:t>
      </w:r>
      <w:r>
        <w:fldChar w:fldCharType="end"/>
      </w:r>
      <w:r>
        <w:fldChar w:fldCharType="begin"/>
      </w:r>
      <w:r>
        <w:instrText xml:space="preserve"> REF 设备型号1数量 \h </w:instrText>
      </w:r>
      <w:r>
        <w:fldChar w:fldCharType="separate"/>
      </w:r>
      <w:r>
        <w:rPr>
          <w:rFonts w:hint="eastAsia"/>
        </w:rPr>
        <w:t>1</w:t>
      </w:r>
      <w:r>
        <w:fldChar w:fldCharType="end"/>
      </w:r>
      <w:r>
        <w:rPr>
          <w:rFonts w:hint="eastAsia"/>
        </w:rPr>
        <w:t>台。</w:t>
      </w:r>
    </w:p>
    <w:p w14:paraId="7142EAA3">
      <w:pPr>
        <w:pStyle w:val="5"/>
        <w:ind w:firstLineChars="0"/>
        <w:rPr>
          <w:b/>
          <w:bCs w:val="0"/>
        </w:rPr>
      </w:pPr>
      <w:r>
        <w:rPr>
          <w:rFonts w:hint="eastAsia"/>
          <w:b/>
          <w:bCs w:val="0"/>
          <w:lang w:val="en-US" w:eastAsia="zh-CN"/>
        </w:rPr>
        <w:t>塔式起重机</w:t>
      </w:r>
      <w:r>
        <w:rPr>
          <w:rFonts w:hint="eastAsia"/>
          <w:b/>
          <w:bCs w:val="0"/>
        </w:rPr>
        <w:t>主要技术参数</w:t>
      </w:r>
    </w:p>
    <w:p w14:paraId="7E9B0641">
      <w:pPr>
        <w:pStyle w:val="70"/>
        <w:numPr>
          <w:ilvl w:val="0"/>
          <w:numId w:val="14"/>
        </w:numPr>
        <w:ind w:firstLineChars="0"/>
      </w:pPr>
      <w:r>
        <w:rPr>
          <w:rFonts w:hint="eastAsia"/>
        </w:rPr>
        <w:t>整机性能参数</w:t>
      </w:r>
    </w:p>
    <w:p w14:paraId="36048752">
      <w:pPr>
        <w:bidi w:val="0"/>
        <w:rPr>
          <w:rFonts w:hint="eastAsia"/>
        </w:rPr>
      </w:pPr>
      <w:r>
        <w:rPr>
          <w:rFonts w:hint="eastAsia"/>
        </w:rPr>
        <w:t>设备整机性能参数如</w:t>
      </w:r>
      <w:r>
        <w:fldChar w:fldCharType="begin"/>
      </w:r>
      <w:r>
        <w:instrText xml:space="preserve"> </w:instrText>
      </w:r>
      <w:r>
        <w:rPr>
          <w:rFonts w:hint="eastAsia"/>
        </w:rPr>
        <w:instrText xml:space="preserve">REF _Ref123718926 \h</w:instrText>
      </w:r>
      <w:r>
        <w:instrText xml:space="preserve">  \* MERGEFORMAT </w:instrText>
      </w:r>
      <w:r>
        <w:fldChar w:fldCharType="separate"/>
      </w:r>
      <w:r>
        <w:rPr>
          <w:rFonts w:hint="eastAsia"/>
        </w:rPr>
        <w:t>表</w:t>
      </w:r>
      <w:r>
        <w:rPr>
          <w:rFonts w:hint="eastAsia"/>
          <w:lang w:val="en-US" w:eastAsia="zh-CN"/>
        </w:rPr>
        <w:t>2</w:t>
      </w:r>
      <w:r>
        <w:fldChar w:fldCharType="end"/>
      </w:r>
      <w:r>
        <w:rPr>
          <w:rFonts w:hint="eastAsia"/>
          <w:lang w:val="en-US" w:eastAsia="zh-CN"/>
        </w:rPr>
        <w:t>.1.4-3</w:t>
      </w:r>
      <w:r>
        <w:rPr>
          <w:rFonts w:hint="eastAsia"/>
        </w:rPr>
        <w:t>所示。</w:t>
      </w:r>
    </w:p>
    <w:p w14:paraId="3ACAE48E">
      <w:pPr>
        <w:pStyle w:val="16"/>
        <w:keepNext/>
      </w:pPr>
      <w:bookmarkStart w:id="39" w:name="_Ref123718926"/>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w:t>
      </w:r>
      <w:r>
        <w:rPr>
          <w:rFonts w:hint="eastAsia"/>
          <w:lang w:val="en-US" w:eastAsia="zh-CN"/>
        </w:rPr>
        <w:t>4</w:t>
      </w:r>
      <w:r>
        <w:fldChar w:fldCharType="end"/>
      </w:r>
      <w:r>
        <w:rPr>
          <w:rFonts w:hint="eastAsia"/>
        </w:rPr>
        <w:t>-</w:t>
      </w:r>
      <w:r>
        <w:rPr>
          <w:rFonts w:hint="eastAsia"/>
          <w:lang w:val="en-US" w:eastAsia="zh-CN"/>
        </w:rPr>
        <w:t>3</w:t>
      </w:r>
      <w:bookmarkEnd w:id="39"/>
      <w:r>
        <w:rPr>
          <w:rFonts w:hint="eastAsia"/>
        </w:rPr>
        <w:t xml:space="preserve"> 设备整机性能参数表</w:t>
      </w:r>
    </w:p>
    <w:p w14:paraId="5E7E2D6F">
      <w:pPr>
        <w:ind w:firstLine="0" w:firstLineChars="0"/>
        <w:jc w:val="center"/>
      </w:pPr>
      <w:r>
        <w:drawing>
          <wp:inline distT="0" distB="0" distL="114300" distR="114300">
            <wp:extent cx="5271135" cy="6534150"/>
            <wp:effectExtent l="0" t="0" r="5715"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22"/>
                    <a:stretch>
                      <a:fillRect/>
                    </a:stretch>
                  </pic:blipFill>
                  <pic:spPr>
                    <a:xfrm>
                      <a:off x="0" y="0"/>
                      <a:ext cx="5271135" cy="6534150"/>
                    </a:xfrm>
                    <a:prstGeom prst="rect">
                      <a:avLst/>
                    </a:prstGeom>
                    <a:noFill/>
                    <a:ln>
                      <a:noFill/>
                    </a:ln>
                  </pic:spPr>
                </pic:pic>
              </a:graphicData>
            </a:graphic>
          </wp:inline>
        </w:drawing>
      </w:r>
      <w:r>
        <w:drawing>
          <wp:inline distT="0" distB="0" distL="114300" distR="114300">
            <wp:extent cx="5269865" cy="3194685"/>
            <wp:effectExtent l="0" t="0" r="6985" b="571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23"/>
                    <a:stretch>
                      <a:fillRect/>
                    </a:stretch>
                  </pic:blipFill>
                  <pic:spPr>
                    <a:xfrm>
                      <a:off x="0" y="0"/>
                      <a:ext cx="5269865" cy="3194685"/>
                    </a:xfrm>
                    <a:prstGeom prst="rect">
                      <a:avLst/>
                    </a:prstGeom>
                    <a:noFill/>
                    <a:ln>
                      <a:noFill/>
                    </a:ln>
                  </pic:spPr>
                </pic:pic>
              </a:graphicData>
            </a:graphic>
          </wp:inline>
        </w:drawing>
      </w:r>
    </w:p>
    <w:p w14:paraId="3935C120">
      <w:pPr>
        <w:pStyle w:val="70"/>
        <w:numPr>
          <w:ilvl w:val="0"/>
          <w:numId w:val="14"/>
        </w:numPr>
        <w:ind w:firstLineChars="0"/>
      </w:pPr>
      <w:r>
        <w:rPr>
          <w:rFonts w:hint="eastAsia"/>
        </w:rPr>
        <w:t>载荷性能表</w:t>
      </w:r>
    </w:p>
    <w:p w14:paraId="34C190E9">
      <w:pPr>
        <w:ind w:firstLine="480"/>
        <w:rPr>
          <w:rFonts w:hint="eastAsia"/>
        </w:rPr>
      </w:pPr>
      <w:r>
        <w:rPr>
          <w:rFonts w:hint="eastAsia"/>
        </w:rPr>
        <w:t>设备载荷性能如</w:t>
      </w:r>
      <w:r>
        <w:fldChar w:fldCharType="begin"/>
      </w:r>
      <w:r>
        <w:instrText xml:space="preserve"> </w:instrText>
      </w:r>
      <w:r>
        <w:rPr>
          <w:rFonts w:hint="eastAsia"/>
        </w:rPr>
        <w:instrText xml:space="preserve">REF _Ref129267132 \h</w:instrText>
      </w:r>
      <w:r>
        <w:instrText xml:space="preserve"> </w:instrText>
      </w:r>
      <w:r>
        <w:fldChar w:fldCharType="separate"/>
      </w:r>
      <w:r>
        <w:rPr>
          <w:rFonts w:hint="eastAsia"/>
        </w:rPr>
        <w:t>表</w:t>
      </w:r>
      <w:r>
        <w:rPr>
          <w:rFonts w:hint="eastAsia"/>
          <w:lang w:val="en-US" w:eastAsia="zh-CN"/>
        </w:rPr>
        <w:t>2</w:t>
      </w:r>
      <w:r>
        <w:fldChar w:fldCharType="end"/>
      </w:r>
      <w:r>
        <w:rPr>
          <w:rFonts w:hint="eastAsia"/>
          <w:lang w:val="en-US" w:eastAsia="zh-CN"/>
        </w:rPr>
        <w:t>.1.4-4</w:t>
      </w:r>
      <w:r>
        <w:rPr>
          <w:rFonts w:hint="eastAsia"/>
        </w:rPr>
        <w:t>所示。</w:t>
      </w:r>
    </w:p>
    <w:p w14:paraId="5BD47230">
      <w:pPr>
        <w:pStyle w:val="331"/>
        <w:keepNext/>
        <w:bidi w:val="0"/>
        <w:rPr>
          <w:rFonts w:hint="eastAsia"/>
        </w:rPr>
      </w:pPr>
      <w:r>
        <w:fldChar w:fldCharType="begin"/>
      </w:r>
      <w:r>
        <w:instrText xml:space="preserve"> </w:instrText>
      </w:r>
      <w:r>
        <w:rPr>
          <w:rFonts w:hint="eastAsia"/>
        </w:rPr>
        <w:instrText xml:space="preserve">REF _Ref129267132 \h</w:instrText>
      </w:r>
      <w:r>
        <w:instrText xml:space="preserve"> </w:instrText>
      </w:r>
      <w:r>
        <w:fldChar w:fldCharType="separate"/>
      </w:r>
      <w:r>
        <w:rPr>
          <w:rFonts w:hint="eastAsia"/>
        </w:rPr>
        <w:t>表</w:t>
      </w:r>
      <w:r>
        <w:rPr>
          <w:rFonts w:hint="eastAsia"/>
          <w:lang w:val="en-US" w:eastAsia="zh-CN"/>
        </w:rPr>
        <w:t>2</w:t>
      </w:r>
      <w:r>
        <w:fldChar w:fldCharType="end"/>
      </w:r>
      <w:r>
        <w:rPr>
          <w:rFonts w:hint="eastAsia"/>
          <w:lang w:val="en-US" w:eastAsia="zh-CN"/>
        </w:rPr>
        <w:t>.1.4-4</w:t>
      </w:r>
      <w:r>
        <w:rPr>
          <w:rFonts w:hint="eastAsia"/>
        </w:rPr>
        <w:t>载荷性能表</w:t>
      </w:r>
    </w:p>
    <w:p w14:paraId="219CF1F8">
      <w:pPr>
        <w:ind w:left="0" w:leftChars="0" w:firstLine="0" w:firstLineChars="0"/>
      </w:pPr>
      <w:r>
        <w:drawing>
          <wp:inline distT="0" distB="0" distL="114300" distR="114300">
            <wp:extent cx="5272405" cy="6997065"/>
            <wp:effectExtent l="0" t="0" r="4445" b="133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a:stretch>
                      <a:fillRect/>
                    </a:stretch>
                  </pic:blipFill>
                  <pic:spPr>
                    <a:xfrm>
                      <a:off x="0" y="0"/>
                      <a:ext cx="5272405" cy="6997065"/>
                    </a:xfrm>
                    <a:prstGeom prst="rect">
                      <a:avLst/>
                    </a:prstGeom>
                    <a:noFill/>
                    <a:ln>
                      <a:noFill/>
                    </a:ln>
                  </pic:spPr>
                </pic:pic>
              </a:graphicData>
            </a:graphic>
          </wp:inline>
        </w:drawing>
      </w:r>
      <w:r>
        <w:drawing>
          <wp:inline distT="0" distB="0" distL="114300" distR="114300">
            <wp:extent cx="5272405" cy="6242685"/>
            <wp:effectExtent l="0" t="0" r="4445"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a:stretch>
                      <a:fillRect/>
                    </a:stretch>
                  </pic:blipFill>
                  <pic:spPr>
                    <a:xfrm>
                      <a:off x="0" y="0"/>
                      <a:ext cx="5272405" cy="6242685"/>
                    </a:xfrm>
                    <a:prstGeom prst="rect">
                      <a:avLst/>
                    </a:prstGeom>
                    <a:noFill/>
                    <a:ln>
                      <a:noFill/>
                    </a:ln>
                  </pic:spPr>
                </pic:pic>
              </a:graphicData>
            </a:graphic>
          </wp:inline>
        </w:drawing>
      </w:r>
    </w:p>
    <w:p w14:paraId="28B93BCF">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上述载荷性能表是根据 </w:t>
      </w:r>
      <w:r>
        <w:rPr>
          <w:rFonts w:hint="eastAsia" w:cs="Times New Roman"/>
          <w:color w:val="000000"/>
          <w:kern w:val="0"/>
          <w:sz w:val="24"/>
          <w:szCs w:val="24"/>
          <w:lang w:val="en-US" w:eastAsia="zh-CN" w:bidi="ar"/>
        </w:rPr>
        <w:t>XGT7022-12S</w:t>
      </w:r>
      <w:r>
        <w:rPr>
          <w:rFonts w:hint="default" w:ascii="Times New Roman" w:hAnsi="Times New Roman" w:eastAsia="宋体" w:cs="Times New Roman"/>
          <w:color w:val="000000"/>
          <w:kern w:val="0"/>
          <w:sz w:val="24"/>
          <w:szCs w:val="24"/>
          <w:lang w:val="en-US" w:eastAsia="zh-CN" w:bidi="ar"/>
        </w:rPr>
        <w:t xml:space="preserve"> </w:t>
      </w:r>
      <w:r>
        <w:rPr>
          <w:rFonts w:hint="eastAsia" w:ascii="宋体" w:hAnsi="宋体" w:eastAsia="宋体" w:cs="宋体"/>
          <w:color w:val="000000"/>
          <w:kern w:val="0"/>
          <w:sz w:val="24"/>
          <w:szCs w:val="24"/>
          <w:lang w:val="en-US" w:eastAsia="zh-CN" w:bidi="ar"/>
        </w:rPr>
        <w:t>塔机独立高度（</w:t>
      </w:r>
      <w:r>
        <w:rPr>
          <w:rFonts w:hint="eastAsia" w:ascii="宋体" w:hAnsi="宋体" w:cs="宋体"/>
          <w:color w:val="000000"/>
          <w:kern w:val="0"/>
          <w:sz w:val="24"/>
          <w:szCs w:val="24"/>
          <w:lang w:val="en-US" w:eastAsia="zh-CN" w:bidi="ar"/>
        </w:rPr>
        <w:t>60.2</w:t>
      </w:r>
      <w:r>
        <w:rPr>
          <w:rFonts w:hint="eastAsia" w:ascii="宋体" w:hAnsi="宋体" w:eastAsia="宋体" w:cs="宋体"/>
          <w:color w:val="000000"/>
          <w:kern w:val="0"/>
          <w:sz w:val="24"/>
          <w:szCs w:val="24"/>
          <w:lang w:val="en-US" w:eastAsia="zh-CN" w:bidi="ar"/>
        </w:rPr>
        <w:t xml:space="preserve">m）计算而得出 </w:t>
      </w:r>
    </w:p>
    <w:p w14:paraId="6BA3C340">
      <w:pPr>
        <w:keepNext w:val="0"/>
        <w:keepLines w:val="0"/>
        <w:widowControl/>
        <w:suppressLineNumbers w:val="0"/>
        <w:ind w:left="0" w:leftChars="0" w:firstLine="0" w:firstLineChars="0"/>
        <w:jc w:val="left"/>
      </w:pPr>
      <w:r>
        <w:rPr>
          <w:rFonts w:hint="eastAsia" w:ascii="宋体" w:hAnsi="宋体" w:eastAsia="宋体" w:cs="宋体"/>
          <w:color w:val="000000"/>
          <w:kern w:val="0"/>
          <w:sz w:val="24"/>
          <w:szCs w:val="24"/>
          <w:lang w:val="en-US" w:eastAsia="zh-CN" w:bidi="ar"/>
        </w:rPr>
        <w:t xml:space="preserve">的，当起升高度大于 </w:t>
      </w:r>
      <w:r>
        <w:rPr>
          <w:rFonts w:hint="eastAsia" w:ascii="宋体" w:hAnsi="宋体" w:cs="宋体"/>
          <w:color w:val="000000"/>
          <w:kern w:val="0"/>
          <w:sz w:val="24"/>
          <w:szCs w:val="24"/>
          <w:lang w:val="en-US" w:eastAsia="zh-CN" w:bidi="ar"/>
        </w:rPr>
        <w:t>60.2</w:t>
      </w:r>
      <w:r>
        <w:rPr>
          <w:rFonts w:hint="eastAsia" w:ascii="宋体" w:hAnsi="宋体" w:eastAsia="宋体" w:cs="宋体"/>
          <w:color w:val="000000"/>
          <w:kern w:val="0"/>
          <w:sz w:val="24"/>
          <w:szCs w:val="24"/>
          <w:lang w:val="en-US" w:eastAsia="zh-CN" w:bidi="ar"/>
        </w:rPr>
        <w:t>m 时，起升性能中的起重量必须降低。计算方法为</w:t>
      </w:r>
      <w:r>
        <w:rPr>
          <w:rFonts w:hint="eastAsia" w:ascii="宋体" w:hAnsi="宋体" w:eastAsia="宋体" w:cs="宋体"/>
          <w:b/>
          <w:bCs/>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计算高度的起重量＝性能表中的起重量－每米钢丝绳的重量×（计算高度－</w:t>
      </w:r>
      <w:r>
        <w:rPr>
          <w:rFonts w:hint="eastAsia" w:ascii="宋体" w:hAnsi="宋体" w:cs="宋体"/>
          <w:color w:val="000000"/>
          <w:kern w:val="0"/>
          <w:sz w:val="24"/>
          <w:szCs w:val="24"/>
          <w:lang w:val="en-US" w:eastAsia="zh-CN" w:bidi="ar"/>
        </w:rPr>
        <w:t>60.2</w:t>
      </w:r>
      <w:r>
        <w:rPr>
          <w:rFonts w:hint="eastAsia" w:ascii="宋体" w:hAnsi="宋体" w:eastAsia="宋体" w:cs="宋体"/>
          <w:color w:val="000000"/>
          <w:kern w:val="0"/>
          <w:sz w:val="24"/>
          <w:szCs w:val="24"/>
          <w:lang w:val="en-US" w:eastAsia="zh-CN" w:bidi="ar"/>
        </w:rPr>
        <w:t>）×倍率。（单位: 高度: m；重量: kg</w:t>
      </w:r>
      <w:r>
        <w:rPr>
          <w:rFonts w:hint="eastAsia" w:ascii="宋体" w:hAnsi="宋体" w:cs="宋体"/>
          <w:color w:val="000000"/>
          <w:kern w:val="0"/>
          <w:sz w:val="24"/>
          <w:szCs w:val="24"/>
          <w:lang w:val="en-US" w:eastAsia="zh-CN" w:bidi="ar"/>
        </w:rPr>
        <w:t>,其中钢丝绳每米的重量为1.05kg</w:t>
      </w:r>
      <w:r>
        <w:rPr>
          <w:rFonts w:hint="eastAsia" w:ascii="宋体" w:hAnsi="宋体" w:eastAsia="宋体" w:cs="宋体"/>
          <w:color w:val="000000"/>
          <w:kern w:val="0"/>
          <w:sz w:val="24"/>
          <w:szCs w:val="24"/>
          <w:lang w:val="en-US" w:eastAsia="zh-CN" w:bidi="ar"/>
        </w:rPr>
        <w:t>）</w:t>
      </w:r>
    </w:p>
    <w:p w14:paraId="4540BCFA">
      <w:pPr>
        <w:pStyle w:val="5"/>
        <w:ind w:firstLineChars="0"/>
        <w:rPr>
          <w:b/>
          <w:bCs w:val="0"/>
        </w:rPr>
      </w:pPr>
      <w:r>
        <w:rPr>
          <w:rFonts w:hint="eastAsia"/>
          <w:b/>
          <w:bCs w:val="0"/>
        </w:rPr>
        <w:t>设备结构图</w:t>
      </w:r>
    </w:p>
    <w:p w14:paraId="37575700">
      <w:pPr>
        <w:numPr>
          <w:ilvl w:val="0"/>
          <w:numId w:val="0"/>
        </w:numPr>
        <w:rPr>
          <w:rFonts w:hint="eastAsia"/>
        </w:rPr>
      </w:pPr>
      <w:r>
        <w:t>设备结构图</w:t>
      </w:r>
      <w:r>
        <w:rPr>
          <w:rFonts w:hint="eastAsia"/>
        </w:rPr>
        <w:t>如</w:t>
      </w:r>
      <w:r>
        <w:fldChar w:fldCharType="begin"/>
      </w:r>
      <w:r>
        <w:instrText xml:space="preserve"> REF _Ref123718718 \h </w:instrText>
      </w:r>
      <w:r>
        <w:fldChar w:fldCharType="separate"/>
      </w:r>
      <w:r>
        <w:rPr>
          <w:rFonts w:hint="eastAsia"/>
        </w:rPr>
        <w:t>图</w:t>
      </w:r>
      <w:r>
        <w:rPr>
          <w:rFonts w:hint="eastAsia"/>
          <w:lang w:val="en-US" w:eastAsia="zh-CN"/>
        </w:rPr>
        <w:t>2</w:t>
      </w:r>
      <w:r>
        <w:fldChar w:fldCharType="end"/>
      </w:r>
      <w:r>
        <w:rPr>
          <w:rFonts w:hint="eastAsia"/>
          <w:lang w:val="en-US" w:eastAsia="zh-CN"/>
        </w:rPr>
        <w:t>.1.4-1</w:t>
      </w:r>
      <w:r>
        <w:rPr>
          <w:rFonts w:hint="eastAsia"/>
        </w:rPr>
        <w:t>所示。</w:t>
      </w:r>
    </w:p>
    <w:p w14:paraId="52A62D4D">
      <w:pPr>
        <w:pStyle w:val="331"/>
        <w:bidi w:val="0"/>
        <w:rPr>
          <w:rFonts w:hint="eastAsia"/>
        </w:rPr>
      </w:pPr>
      <w:r>
        <w:drawing>
          <wp:inline distT="0" distB="0" distL="114300" distR="114300">
            <wp:extent cx="5272405" cy="6378575"/>
            <wp:effectExtent l="0" t="0" r="444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6"/>
                    <a:stretch>
                      <a:fillRect/>
                    </a:stretch>
                  </pic:blipFill>
                  <pic:spPr>
                    <a:xfrm>
                      <a:off x="0" y="0"/>
                      <a:ext cx="5272405" cy="6378575"/>
                    </a:xfrm>
                    <a:prstGeom prst="rect">
                      <a:avLst/>
                    </a:prstGeom>
                    <a:noFill/>
                    <a:ln>
                      <a:noFill/>
                    </a:ln>
                  </pic:spPr>
                </pic:pic>
              </a:graphicData>
            </a:graphic>
          </wp:inline>
        </w:drawing>
      </w:r>
      <w:r>
        <w:fldChar w:fldCharType="begin"/>
      </w:r>
      <w:r>
        <w:instrText xml:space="preserve"> REF _Ref123718718 \h </w:instrText>
      </w:r>
      <w:r>
        <w:fldChar w:fldCharType="separate"/>
      </w:r>
      <w:r>
        <w:fldChar w:fldCharType="begin"/>
      </w:r>
      <w:r>
        <w:instrText xml:space="preserve"> REF _Ref123718718 \h </w:instrText>
      </w:r>
      <w:r>
        <w:fldChar w:fldCharType="separate"/>
      </w:r>
      <w:r>
        <w:rPr>
          <w:rFonts w:hint="eastAsia"/>
        </w:rPr>
        <w:t>图</w:t>
      </w:r>
      <w:r>
        <w:rPr>
          <w:rFonts w:hint="eastAsia"/>
          <w:lang w:val="en-US" w:eastAsia="zh-CN"/>
        </w:rPr>
        <w:t>2</w:t>
      </w:r>
      <w:r>
        <w:fldChar w:fldCharType="end"/>
      </w:r>
      <w:r>
        <w:rPr>
          <w:rFonts w:hint="eastAsia"/>
          <w:lang w:val="en-US" w:eastAsia="zh-CN"/>
        </w:rPr>
        <w:t>.1.4-1</w:t>
      </w:r>
      <w:r>
        <w:fldChar w:fldCharType="end"/>
      </w:r>
      <w:r>
        <w:rPr>
          <w:rFonts w:hint="eastAsia"/>
        </w:rPr>
        <w:t>设备结构图</w:t>
      </w:r>
    </w:p>
    <w:p w14:paraId="6302107E">
      <w:pPr>
        <w:pStyle w:val="4"/>
        <w:rPr>
          <w:b/>
          <w:bCs w:val="0"/>
        </w:rPr>
      </w:pPr>
      <w:r>
        <w:rPr>
          <w:rFonts w:hint="eastAsia"/>
          <w:b/>
          <w:bCs w:val="0"/>
        </w:rPr>
        <w:t>危大工程情况</w:t>
      </w:r>
    </w:p>
    <w:p w14:paraId="76D602FA">
      <w:pPr>
        <w:ind w:firstLine="480"/>
      </w:pPr>
      <w:r>
        <w:rPr>
          <w:rFonts w:hint="eastAsia"/>
        </w:rPr>
        <w:t>根据《公路工程施工安全技术规范》（</w:t>
      </w:r>
      <w:r>
        <w:t>JTG F90-2015</w:t>
      </w:r>
      <w:r>
        <w:rPr>
          <w:rFonts w:hint="eastAsia"/>
        </w:rPr>
        <w:t>），本方案满足危险性较大的工程中起重吊装工程类别需编制专项施工方案第3条：起重机械设备自身的安装、拆卸。</w:t>
      </w:r>
    </w:p>
    <w:p w14:paraId="31FB0F9C">
      <w:pPr>
        <w:pStyle w:val="4"/>
        <w:rPr>
          <w:b/>
          <w:bCs w:val="0"/>
        </w:rPr>
      </w:pPr>
      <w:r>
        <w:rPr>
          <w:rFonts w:hint="eastAsia"/>
          <w:b/>
          <w:bCs w:val="0"/>
        </w:rPr>
        <w:t>工程项目参与单位概况</w:t>
      </w:r>
    </w:p>
    <w:p w14:paraId="37F0861A">
      <w:pPr>
        <w:pStyle w:val="16"/>
      </w:pPr>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w:t>
      </w:r>
      <w:r>
        <w:rPr>
          <w:rFonts w:hint="eastAsia"/>
          <w:lang w:val="en-US" w:eastAsia="zh-CN"/>
        </w:rPr>
        <w:t>6</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3 </w:instrText>
      </w:r>
      <w:r>
        <w:fldChar w:fldCharType="separate"/>
      </w:r>
      <w:r>
        <w:t>1</w:t>
      </w:r>
      <w:r>
        <w:fldChar w:fldCharType="end"/>
      </w:r>
      <w:r>
        <w:rPr>
          <w:rFonts w:hint="eastAsia"/>
        </w:rPr>
        <w:t xml:space="preserve"> 项目参建方信息</w:t>
      </w:r>
    </w:p>
    <w:tbl>
      <w:tblPr>
        <w:tblStyle w:val="1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2"/>
        <w:gridCol w:w="2582"/>
        <w:gridCol w:w="5158"/>
      </w:tblGrid>
      <w:tr w14:paraId="2B47DE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6622BEF9">
            <w:pPr>
              <w:pStyle w:val="50"/>
              <w:rPr>
                <w:b/>
              </w:rPr>
            </w:pPr>
            <w:r>
              <w:rPr>
                <w:rFonts w:hint="eastAsia"/>
                <w:b/>
              </w:rPr>
              <w:t>序号</w:t>
            </w:r>
          </w:p>
        </w:tc>
        <w:tc>
          <w:tcPr>
            <w:tcW w:w="1515" w:type="pct"/>
            <w:shd w:val="clear" w:color="auto" w:fill="auto"/>
            <w:vAlign w:val="center"/>
          </w:tcPr>
          <w:p w14:paraId="6BFCEACB">
            <w:pPr>
              <w:pStyle w:val="50"/>
              <w:rPr>
                <w:b/>
              </w:rPr>
            </w:pPr>
            <w:r>
              <w:rPr>
                <w:rFonts w:hint="eastAsia"/>
                <w:b/>
              </w:rPr>
              <w:t>参与方类型</w:t>
            </w:r>
          </w:p>
        </w:tc>
        <w:tc>
          <w:tcPr>
            <w:tcW w:w="3026" w:type="pct"/>
            <w:shd w:val="clear" w:color="auto" w:fill="auto"/>
            <w:vAlign w:val="center"/>
          </w:tcPr>
          <w:p w14:paraId="2CA16127">
            <w:pPr>
              <w:pStyle w:val="50"/>
              <w:rPr>
                <w:b/>
              </w:rPr>
            </w:pPr>
            <w:r>
              <w:rPr>
                <w:rFonts w:hint="eastAsia"/>
                <w:b/>
              </w:rPr>
              <w:t>单位名称</w:t>
            </w:r>
          </w:p>
        </w:tc>
      </w:tr>
      <w:tr w14:paraId="6B8700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1C516676">
            <w:pPr>
              <w:pStyle w:val="50"/>
              <w:numPr>
                <w:ilvl w:val="0"/>
                <w:numId w:val="15"/>
              </w:numPr>
            </w:pPr>
          </w:p>
        </w:tc>
        <w:tc>
          <w:tcPr>
            <w:tcW w:w="1515" w:type="pct"/>
            <w:shd w:val="clear" w:color="auto" w:fill="auto"/>
            <w:vAlign w:val="center"/>
          </w:tcPr>
          <w:p w14:paraId="7D791B3A">
            <w:pPr>
              <w:pStyle w:val="50"/>
              <w:rPr>
                <w:b w:val="0"/>
                <w:bCs w:val="0"/>
              </w:rPr>
            </w:pPr>
            <w:r>
              <w:rPr>
                <w:b w:val="0"/>
                <w:bCs w:val="0"/>
              </w:rPr>
              <w:t>建设单位</w:t>
            </w:r>
          </w:p>
        </w:tc>
        <w:tc>
          <w:tcPr>
            <w:tcW w:w="3026" w:type="pct"/>
            <w:shd w:val="clear" w:color="auto" w:fill="auto"/>
            <w:vAlign w:val="top"/>
          </w:tcPr>
          <w:p w14:paraId="258CDCD5">
            <w:pPr>
              <w:pStyle w:val="50"/>
              <w:rPr>
                <w:b w:val="0"/>
                <w:bCs w:val="0"/>
              </w:rPr>
            </w:pPr>
            <w:r>
              <w:rPr>
                <w:rFonts w:hint="eastAsia"/>
                <w:b w:val="0"/>
                <w:bCs w:val="0"/>
              </w:rPr>
              <w:t>湖北交投十巫南高速公路有限公司</w:t>
            </w:r>
          </w:p>
        </w:tc>
      </w:tr>
      <w:tr w14:paraId="33DB4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3A4B27AB">
            <w:pPr>
              <w:pStyle w:val="50"/>
              <w:numPr>
                <w:ilvl w:val="0"/>
                <w:numId w:val="15"/>
              </w:numPr>
            </w:pPr>
          </w:p>
        </w:tc>
        <w:tc>
          <w:tcPr>
            <w:tcW w:w="1515" w:type="pct"/>
            <w:shd w:val="clear" w:color="auto" w:fill="auto"/>
            <w:vAlign w:val="center"/>
          </w:tcPr>
          <w:p w14:paraId="4C91F3EE">
            <w:pPr>
              <w:pStyle w:val="50"/>
              <w:rPr>
                <w:b w:val="0"/>
                <w:bCs w:val="0"/>
              </w:rPr>
            </w:pPr>
            <w:r>
              <w:rPr>
                <w:b w:val="0"/>
                <w:bCs w:val="0"/>
              </w:rPr>
              <w:t>勘察设计单位</w:t>
            </w:r>
          </w:p>
        </w:tc>
        <w:tc>
          <w:tcPr>
            <w:tcW w:w="3026" w:type="pct"/>
            <w:shd w:val="clear" w:color="auto" w:fill="auto"/>
            <w:vAlign w:val="top"/>
          </w:tcPr>
          <w:p w14:paraId="35DE8352">
            <w:pPr>
              <w:pStyle w:val="50"/>
              <w:rPr>
                <w:b w:val="0"/>
                <w:bCs w:val="0"/>
              </w:rPr>
            </w:pPr>
            <w:r>
              <w:rPr>
                <w:rFonts w:hint="eastAsia"/>
                <w:b w:val="0"/>
                <w:bCs w:val="0"/>
              </w:rPr>
              <w:t>湖北省交通规划设计院股份有限公司</w:t>
            </w:r>
          </w:p>
        </w:tc>
      </w:tr>
      <w:tr w14:paraId="689DD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23CA0053">
            <w:pPr>
              <w:pStyle w:val="50"/>
              <w:numPr>
                <w:ilvl w:val="0"/>
                <w:numId w:val="15"/>
              </w:numPr>
            </w:pPr>
          </w:p>
        </w:tc>
        <w:tc>
          <w:tcPr>
            <w:tcW w:w="1515" w:type="pct"/>
            <w:shd w:val="clear" w:color="auto" w:fill="auto"/>
            <w:vAlign w:val="center"/>
          </w:tcPr>
          <w:p w14:paraId="70F78A2B">
            <w:pPr>
              <w:pStyle w:val="50"/>
              <w:rPr>
                <w:b w:val="0"/>
                <w:bCs w:val="0"/>
              </w:rPr>
            </w:pPr>
            <w:r>
              <w:rPr>
                <w:b w:val="0"/>
                <w:bCs w:val="0"/>
              </w:rPr>
              <w:t>监理单位</w:t>
            </w:r>
          </w:p>
        </w:tc>
        <w:tc>
          <w:tcPr>
            <w:tcW w:w="3026" w:type="pct"/>
            <w:shd w:val="clear" w:color="auto" w:fill="auto"/>
            <w:vAlign w:val="top"/>
          </w:tcPr>
          <w:p w14:paraId="39794348">
            <w:pPr>
              <w:pStyle w:val="50"/>
              <w:rPr>
                <w:b w:val="0"/>
                <w:bCs w:val="0"/>
              </w:rPr>
            </w:pPr>
            <w:r>
              <w:rPr>
                <w:rFonts w:hint="eastAsia"/>
                <w:b w:val="0"/>
                <w:bCs w:val="0"/>
              </w:rPr>
              <w:t>湖北省公路水运工程咨询监理有限公司</w:t>
            </w:r>
          </w:p>
        </w:tc>
      </w:tr>
      <w:tr w14:paraId="77763D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49AC44B7">
            <w:pPr>
              <w:pStyle w:val="50"/>
              <w:numPr>
                <w:ilvl w:val="0"/>
                <w:numId w:val="15"/>
              </w:numPr>
            </w:pPr>
          </w:p>
        </w:tc>
        <w:tc>
          <w:tcPr>
            <w:tcW w:w="1515" w:type="pct"/>
            <w:shd w:val="clear" w:color="auto" w:fill="auto"/>
            <w:vAlign w:val="center"/>
          </w:tcPr>
          <w:p w14:paraId="61F9E16E">
            <w:pPr>
              <w:pStyle w:val="50"/>
              <w:rPr>
                <w:b w:val="0"/>
                <w:bCs w:val="0"/>
              </w:rPr>
            </w:pPr>
            <w:r>
              <w:rPr>
                <w:b w:val="0"/>
                <w:bCs w:val="0"/>
              </w:rPr>
              <w:t>施工单位</w:t>
            </w:r>
          </w:p>
        </w:tc>
        <w:tc>
          <w:tcPr>
            <w:tcW w:w="3026" w:type="pct"/>
            <w:shd w:val="clear" w:color="auto" w:fill="auto"/>
            <w:vAlign w:val="center"/>
          </w:tcPr>
          <w:p w14:paraId="2258633B">
            <w:pPr>
              <w:pStyle w:val="50"/>
              <w:rPr>
                <w:b w:val="0"/>
                <w:bCs w:val="0"/>
              </w:rPr>
            </w:pPr>
            <w:r>
              <w:rPr>
                <w:b w:val="0"/>
                <w:bCs w:val="0"/>
              </w:rPr>
              <w:t>中交第二航务工程局有限公司</w:t>
            </w:r>
          </w:p>
        </w:tc>
      </w:tr>
      <w:tr w14:paraId="55B7F7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59" w:type="pct"/>
            <w:shd w:val="clear" w:color="auto" w:fill="auto"/>
            <w:vAlign w:val="center"/>
          </w:tcPr>
          <w:p w14:paraId="45BD59A4">
            <w:pPr>
              <w:pStyle w:val="50"/>
              <w:numPr>
                <w:ilvl w:val="0"/>
                <w:numId w:val="15"/>
              </w:numPr>
            </w:pPr>
          </w:p>
        </w:tc>
        <w:tc>
          <w:tcPr>
            <w:tcW w:w="1515" w:type="pct"/>
            <w:shd w:val="clear" w:color="auto" w:fill="auto"/>
            <w:vAlign w:val="center"/>
          </w:tcPr>
          <w:p w14:paraId="78FC789B">
            <w:pPr>
              <w:pStyle w:val="50"/>
              <w:rPr>
                <w:b w:val="0"/>
                <w:bCs w:val="0"/>
              </w:rPr>
            </w:pPr>
            <w:r>
              <w:rPr>
                <w:b w:val="0"/>
                <w:bCs w:val="0"/>
              </w:rPr>
              <w:fldChar w:fldCharType="begin"/>
            </w:r>
            <w:r>
              <w:rPr>
                <w:b w:val="0"/>
                <w:bCs w:val="0"/>
              </w:rPr>
              <w:instrText xml:space="preserve"> </w:instrText>
            </w:r>
            <w:r>
              <w:rPr>
                <w:rFonts w:hint="eastAsia"/>
                <w:b w:val="0"/>
                <w:bCs w:val="0"/>
              </w:rPr>
              <w:instrText xml:space="preserve">REF 设备类型 \h</w:instrText>
            </w:r>
            <w:r>
              <w:rPr>
                <w:b w:val="0"/>
                <w:bCs w:val="0"/>
              </w:rPr>
              <w:instrText xml:space="preserve"> </w:instrText>
            </w:r>
            <w:r>
              <w:rPr>
                <w:b w:val="0"/>
                <w:bCs w:val="0"/>
              </w:rPr>
              <w:fldChar w:fldCharType="separate"/>
            </w:r>
            <w:r>
              <w:rPr>
                <w:rFonts w:hint="eastAsia"/>
                <w:b w:val="0"/>
                <w:bCs w:val="0"/>
              </w:rPr>
              <w:t>塔式起重机</w:t>
            </w:r>
            <w:r>
              <w:rPr>
                <w:b w:val="0"/>
                <w:bCs w:val="0"/>
              </w:rPr>
              <w:fldChar w:fldCharType="end"/>
            </w:r>
            <w:r>
              <w:rPr>
                <w:rFonts w:hint="eastAsia"/>
                <w:b w:val="0"/>
                <w:bCs w:val="0"/>
              </w:rPr>
              <w:t>安装单位</w:t>
            </w:r>
          </w:p>
        </w:tc>
        <w:tc>
          <w:tcPr>
            <w:tcW w:w="3026" w:type="pct"/>
            <w:shd w:val="clear" w:color="auto" w:fill="auto"/>
            <w:vAlign w:val="center"/>
          </w:tcPr>
          <w:p w14:paraId="0EF5DFB2">
            <w:pPr>
              <w:pStyle w:val="50"/>
              <w:rPr>
                <w:rFonts w:hint="eastAsia" w:eastAsia="宋体"/>
                <w:b w:val="0"/>
                <w:bCs w:val="0"/>
                <w:lang w:eastAsia="zh-CN"/>
              </w:rPr>
            </w:pPr>
            <w:r>
              <w:rPr>
                <w:rFonts w:hint="eastAsia"/>
                <w:b w:val="0"/>
                <w:bCs w:val="0"/>
                <w:lang w:val="en-US" w:eastAsia="zh-CN"/>
              </w:rPr>
              <w:t>四川科斗文智能装备有限公司</w:t>
            </w:r>
          </w:p>
        </w:tc>
      </w:tr>
    </w:tbl>
    <w:p w14:paraId="559B4525">
      <w:pPr>
        <w:pStyle w:val="3"/>
        <w:bidi w:val="0"/>
        <w:ind w:left="575" w:leftChars="0" w:hanging="575" w:firstLineChars="0"/>
        <w:rPr>
          <w:b/>
          <w:bCs w:val="0"/>
          <w:sz w:val="28"/>
          <w:szCs w:val="28"/>
        </w:rPr>
      </w:pPr>
      <w:bookmarkStart w:id="40" w:name="_Toc22601"/>
      <w:bookmarkStart w:id="41" w:name="_Toc22396"/>
      <w:bookmarkStart w:id="42" w:name="_Toc26928"/>
      <w:r>
        <w:rPr>
          <w:b/>
          <w:bCs w:val="0"/>
          <w:sz w:val="28"/>
          <w:szCs w:val="28"/>
        </w:rPr>
        <w:t>工程特点</w:t>
      </w:r>
      <w:bookmarkEnd w:id="36"/>
      <w:bookmarkEnd w:id="40"/>
      <w:bookmarkEnd w:id="41"/>
      <w:bookmarkEnd w:id="42"/>
    </w:p>
    <w:p w14:paraId="3E774D10">
      <w:pPr>
        <w:rPr>
          <w:color w:val="000000"/>
        </w:rPr>
      </w:pPr>
      <w:bookmarkStart w:id="43" w:name="_Toc11714"/>
      <w:bookmarkStart w:id="44" w:name="_Toc58781207"/>
      <w:bookmarkStart w:id="45" w:name="_Toc109714866"/>
      <w:r>
        <w:rPr>
          <w:rFonts w:hint="eastAsia"/>
          <w:color w:val="000000"/>
        </w:rPr>
        <w:t>（1）场地限制，施工组织及管理难度大：主桥施工区域场地有限，场地利用、材料堆放、车辆通行等局限性较大，施工组织难度大。</w:t>
      </w:r>
    </w:p>
    <w:p w14:paraId="52882438">
      <w:pPr>
        <w:rPr>
          <w:color w:val="000000"/>
        </w:rPr>
      </w:pPr>
      <w:r>
        <w:rPr>
          <w:rFonts w:hint="eastAsia"/>
          <w:color w:val="000000"/>
        </w:rPr>
        <w:t>（2）高处作业、起重作业安全风险高：边跨混凝土梁施工平台离地最高50.2</w:t>
      </w:r>
      <w:r>
        <w:rPr>
          <w:color w:val="000000"/>
        </w:rPr>
        <w:t>m</w:t>
      </w:r>
      <w:r>
        <w:rPr>
          <w:rFonts w:hint="eastAsia"/>
          <w:color w:val="000000"/>
        </w:rPr>
        <w:t>；高处作业，起重作业（支架安拆、钢筋、模板、预应力、支架材料等吊装）等频繁，施工安全风险性高。</w:t>
      </w:r>
    </w:p>
    <w:p w14:paraId="63614CBF">
      <w:pPr>
        <w:rPr>
          <w:color w:val="000000"/>
        </w:rPr>
      </w:pPr>
      <w:r>
        <w:rPr>
          <w:rFonts w:hint="eastAsia"/>
          <w:color w:val="000000"/>
        </w:rPr>
        <w:t>（3）交叉作业风险大：边跨混凝土梁施工过程中临时结构安装以及主塔塔柱施工均存在交叉作业，高处坠落、物体打击等风险高。</w:t>
      </w:r>
    </w:p>
    <w:p w14:paraId="2721B398">
      <w:r>
        <w:rPr>
          <w:rFonts w:hint="eastAsia"/>
        </w:rPr>
        <w:t>（4）质量标准高：混凝土梁裂缝控制要求高，其中对支架沉降变形、大体积混凝土温控及混凝土养护要求高。</w:t>
      </w:r>
    </w:p>
    <w:bookmarkEnd w:id="43"/>
    <w:bookmarkEnd w:id="44"/>
    <w:bookmarkEnd w:id="45"/>
    <w:p w14:paraId="0CE90661">
      <w:pPr>
        <w:pStyle w:val="3"/>
        <w:bidi w:val="0"/>
        <w:ind w:left="575" w:leftChars="0" w:hanging="575" w:firstLineChars="0"/>
        <w:rPr>
          <w:b/>
          <w:bCs w:val="0"/>
          <w:sz w:val="28"/>
          <w:szCs w:val="28"/>
        </w:rPr>
      </w:pPr>
      <w:bookmarkStart w:id="46" w:name="_Toc15672"/>
      <w:bookmarkStart w:id="47" w:name="_Toc25244"/>
      <w:bookmarkStart w:id="48" w:name="_Toc121"/>
      <w:r>
        <w:rPr>
          <w:rFonts w:hint="eastAsia"/>
          <w:b/>
          <w:bCs w:val="0"/>
          <w:sz w:val="28"/>
          <w:szCs w:val="28"/>
        </w:rPr>
        <w:t>施工平面布置</w:t>
      </w:r>
      <w:bookmarkEnd w:id="37"/>
      <w:bookmarkEnd w:id="46"/>
      <w:r>
        <w:rPr>
          <w:rFonts w:hint="eastAsia"/>
          <w:b/>
          <w:bCs w:val="0"/>
          <w:sz w:val="28"/>
          <w:szCs w:val="28"/>
          <w:lang w:val="en-US" w:eastAsia="zh-CN"/>
        </w:rPr>
        <w:t>图</w:t>
      </w:r>
      <w:bookmarkEnd w:id="47"/>
      <w:bookmarkEnd w:id="48"/>
    </w:p>
    <w:p w14:paraId="5F210C7A">
      <w:pPr>
        <w:rPr>
          <w:rFonts w:hint="eastAsia"/>
          <w:b/>
          <w:bCs/>
          <w:lang w:eastAsia="zh-CN"/>
        </w:rPr>
        <w:sectPr>
          <w:headerReference r:id="rId11" w:type="default"/>
          <w:footerReference r:id="rId12" w:type="default"/>
          <w:pgSz w:w="11906" w:h="16838"/>
          <w:pgMar w:top="1440" w:right="1800" w:bottom="1440" w:left="1800" w:header="794" w:footer="680" w:gutter="0"/>
          <w:pgNumType w:fmt="decimal"/>
          <w:cols w:space="425" w:num="1"/>
          <w:docGrid w:type="lines" w:linePitch="326" w:charSpace="0"/>
        </w:sectPr>
      </w:pPr>
      <w:r>
        <w:rPr>
          <w:rFonts w:hint="eastAsia"/>
          <w:lang w:val="en-US" w:eastAsia="zh-CN"/>
        </w:rPr>
        <w:t>施工平面布置图</w:t>
      </w:r>
      <w:r>
        <w:rPr>
          <w:rFonts w:hint="eastAsia"/>
        </w:rPr>
        <w:t>见</w:t>
      </w:r>
      <w:r>
        <w:rPr>
          <w:rFonts w:hint="eastAsia"/>
          <w:b/>
          <w:bCs/>
        </w:rPr>
        <w:t>图2.</w:t>
      </w:r>
      <w:r>
        <w:rPr>
          <w:rFonts w:hint="eastAsia"/>
          <w:b/>
          <w:bCs/>
          <w:lang w:val="en-US" w:eastAsia="zh-CN"/>
        </w:rPr>
        <w:t>3</w:t>
      </w:r>
      <w:r>
        <w:rPr>
          <w:rFonts w:hint="eastAsia"/>
          <w:b/>
          <w:bCs/>
        </w:rPr>
        <w:t>-1</w:t>
      </w:r>
    </w:p>
    <w:p w14:paraId="5A3ACD90">
      <w:pPr>
        <w:pStyle w:val="50"/>
        <w:keepNext/>
        <w:jc w:val="center"/>
        <w:rPr>
          <w:rFonts w:hint="eastAsia" w:eastAsia="宋体"/>
          <w:lang w:eastAsia="zh-CN"/>
        </w:rPr>
      </w:pPr>
      <w:r>
        <w:drawing>
          <wp:inline distT="0" distB="0" distL="114300" distR="114300">
            <wp:extent cx="5279390" cy="5272405"/>
            <wp:effectExtent l="0" t="0" r="16510" b="4445"/>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pic:cNvPicPr>
                  </pic:nvPicPr>
                  <pic:blipFill>
                    <a:blip r:embed="rId27"/>
                    <a:stretch>
                      <a:fillRect/>
                    </a:stretch>
                  </pic:blipFill>
                  <pic:spPr>
                    <a:xfrm>
                      <a:off x="0" y="0"/>
                      <a:ext cx="5279390" cy="5272405"/>
                    </a:xfrm>
                    <a:prstGeom prst="rect">
                      <a:avLst/>
                    </a:prstGeom>
                    <a:noFill/>
                    <a:ln>
                      <a:noFill/>
                    </a:ln>
                  </pic:spPr>
                </pic:pic>
              </a:graphicData>
            </a:graphic>
          </wp:inline>
        </w:drawing>
      </w:r>
      <w:r>
        <w:drawing>
          <wp:inline distT="0" distB="0" distL="114300" distR="114300">
            <wp:extent cx="6998970" cy="4806950"/>
            <wp:effectExtent l="0" t="0" r="11430" b="12700"/>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pic:cNvPicPr>
                      <a:picLocks noChangeAspect="1"/>
                    </pic:cNvPicPr>
                  </pic:nvPicPr>
                  <pic:blipFill>
                    <a:blip r:embed="rId28"/>
                    <a:stretch>
                      <a:fillRect/>
                    </a:stretch>
                  </pic:blipFill>
                  <pic:spPr>
                    <a:xfrm>
                      <a:off x="0" y="0"/>
                      <a:ext cx="6998970" cy="4806950"/>
                    </a:xfrm>
                    <a:prstGeom prst="rect">
                      <a:avLst/>
                    </a:prstGeom>
                    <a:noFill/>
                    <a:ln>
                      <a:noFill/>
                    </a:ln>
                  </pic:spPr>
                </pic:pic>
              </a:graphicData>
            </a:graphic>
          </wp:inline>
        </w:drawing>
      </w:r>
    </w:p>
    <w:p w14:paraId="42C62D9D">
      <w:pPr>
        <w:pStyle w:val="16"/>
        <w:shd w:val="clear" w:color="auto" w:fill="auto"/>
        <w:adjustRightInd w:val="0"/>
        <w:ind w:firstLine="0" w:firstLineChars="0"/>
        <w:rPr>
          <w:rFonts w:hint="eastAsia" w:ascii="Times New Roman" w:hAnsi="Times New Roman" w:cstheme="majorBidi"/>
          <w:color w:val="auto"/>
          <w:szCs w:val="20"/>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cstheme="majorBidi"/>
          <w:color w:val="auto"/>
          <w:szCs w:val="20"/>
        </w:rPr>
        <w:t xml:space="preserve">图 </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ascii="Times New Roman" w:hAnsi="Times New Roman" w:cstheme="majorBidi"/>
          <w:color w:val="auto"/>
          <w:szCs w:val="20"/>
        </w:rPr>
        <w:t>2.</w:t>
      </w:r>
      <w:r>
        <w:rPr>
          <w:rFonts w:hint="eastAsia" w:cstheme="majorBidi"/>
          <w:color w:val="auto"/>
          <w:szCs w:val="20"/>
          <w:lang w:val="en-US" w:eastAsia="zh-CN"/>
        </w:rPr>
        <w:t>3</w:t>
      </w:r>
      <w:r>
        <w:rPr>
          <w:rFonts w:ascii="Times New Roman" w:hAnsi="Times New Roman" w:cstheme="majorBidi"/>
          <w:color w:val="auto"/>
          <w:szCs w:val="20"/>
        </w:rPr>
        <w:fldChar w:fldCharType="end"/>
      </w:r>
      <w:r>
        <w:rPr>
          <w:rFonts w:ascii="Times New Roman" w:hAnsi="Times New Roman" w:cstheme="majorBidi"/>
          <w:color w:val="auto"/>
          <w:szCs w:val="20"/>
        </w:rPr>
        <w:noBreakHyphen/>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SEQ 图 \* ARABIC \s 2</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ascii="Times New Roman" w:hAnsi="Times New Roman" w:cstheme="majorBidi"/>
          <w:color w:val="auto"/>
          <w:szCs w:val="20"/>
        </w:rPr>
        <w:t>1</w:t>
      </w:r>
      <w:r>
        <w:rPr>
          <w:rFonts w:ascii="Times New Roman" w:hAnsi="Times New Roman" w:cstheme="majorBidi"/>
          <w:color w:val="auto"/>
          <w:szCs w:val="20"/>
        </w:rPr>
        <w:fldChar w:fldCharType="end"/>
      </w:r>
      <w:r>
        <w:rPr>
          <w:rFonts w:hint="eastAsia" w:ascii="Times New Roman" w:hAnsi="Times New Roman" w:cstheme="majorBidi"/>
          <w:color w:val="auto"/>
          <w:szCs w:val="20"/>
        </w:rPr>
        <w:t xml:space="preserve">  </w:t>
      </w:r>
      <w:r>
        <w:rPr>
          <w:rFonts w:hint="eastAsia" w:cstheme="majorBidi"/>
          <w:color w:val="auto"/>
          <w:szCs w:val="20"/>
          <w:lang w:val="en-US" w:eastAsia="zh-CN"/>
        </w:rPr>
        <w:t>施工</w:t>
      </w:r>
      <w:r>
        <w:rPr>
          <w:rFonts w:hint="eastAsia" w:ascii="Times New Roman" w:hAnsi="Times New Roman" w:cstheme="majorBidi"/>
          <w:color w:val="auto"/>
          <w:szCs w:val="20"/>
        </w:rPr>
        <w:t>平面布置图</w:t>
      </w:r>
    </w:p>
    <w:p w14:paraId="64BA72F5">
      <w:pPr>
        <w:pStyle w:val="3"/>
        <w:bidi w:val="0"/>
        <w:ind w:left="575" w:leftChars="0" w:hanging="575" w:firstLineChars="0"/>
        <w:rPr>
          <w:b/>
          <w:bCs w:val="0"/>
          <w:sz w:val="28"/>
          <w:szCs w:val="28"/>
        </w:rPr>
      </w:pPr>
      <w:bookmarkStart w:id="49" w:name="_Toc29195"/>
      <w:bookmarkStart w:id="50" w:name="_Toc21756"/>
      <w:bookmarkStart w:id="51" w:name="_Toc18454"/>
      <w:bookmarkStart w:id="52" w:name="_Toc10370"/>
      <w:r>
        <w:rPr>
          <w:rFonts w:hint="eastAsia"/>
          <w:b/>
          <w:bCs w:val="0"/>
          <w:sz w:val="28"/>
          <w:szCs w:val="28"/>
        </w:rPr>
        <w:t>施工要求</w:t>
      </w:r>
      <w:bookmarkEnd w:id="49"/>
      <w:bookmarkEnd w:id="50"/>
      <w:bookmarkEnd w:id="51"/>
      <w:bookmarkEnd w:id="52"/>
    </w:p>
    <w:p w14:paraId="21496064">
      <w:pPr>
        <w:pStyle w:val="4"/>
        <w:bidi w:val="0"/>
        <w:ind w:left="720" w:leftChars="0" w:hanging="720" w:firstLineChars="0"/>
        <w:rPr>
          <w:rFonts w:hint="eastAsia"/>
          <w:b/>
          <w:bCs w:val="0"/>
        </w:rPr>
      </w:pPr>
      <w:r>
        <w:rPr>
          <w:rFonts w:hint="eastAsia"/>
          <w:b/>
          <w:bCs w:val="0"/>
        </w:rPr>
        <w:t>工期要求</w:t>
      </w:r>
    </w:p>
    <w:p w14:paraId="2032580A">
      <w:r>
        <w:rPr>
          <w:rFonts w:hint="eastAsia"/>
        </w:rPr>
        <w:t>根据总体施工进度安排，</w:t>
      </w:r>
      <w:r>
        <w:fldChar w:fldCharType="begin"/>
      </w:r>
      <w:r>
        <w:instrText xml:space="preserve"> REF 设备类型 \h  \* MERGEFORMAT </w:instrText>
      </w:r>
      <w:r>
        <w:fldChar w:fldCharType="separate"/>
      </w:r>
      <w:r>
        <w:rPr>
          <w:rFonts w:hint="eastAsia"/>
        </w:rPr>
        <w:t>塔式起重机</w:t>
      </w:r>
      <w:r>
        <w:fldChar w:fldCharType="end"/>
      </w:r>
      <w:r>
        <w:t>基础施工</w:t>
      </w:r>
      <w:r>
        <w:rPr>
          <w:rFonts w:hint="eastAsia"/>
        </w:rPr>
        <w:t>至</w:t>
      </w:r>
      <w:r>
        <w:fldChar w:fldCharType="begin"/>
      </w:r>
      <w:r>
        <w:instrText xml:space="preserve"> REF 设备类型 \h  \* MERGEFORMAT </w:instrText>
      </w:r>
      <w:r>
        <w:fldChar w:fldCharType="separate"/>
      </w:r>
      <w:r>
        <w:rPr>
          <w:rFonts w:hint="eastAsia"/>
        </w:rPr>
        <w:t>塔式起重机</w:t>
      </w:r>
      <w:r>
        <w:fldChar w:fldCharType="end"/>
      </w:r>
      <w:r>
        <w:rPr>
          <w:rFonts w:hint="eastAsia"/>
        </w:rPr>
        <w:t>安装调试完毕总工期为</w:t>
      </w:r>
      <w:r>
        <w:rPr>
          <w:rFonts w:hint="eastAsia"/>
          <w:lang w:val="en-US" w:eastAsia="zh-CN"/>
        </w:rPr>
        <w:t>31</w:t>
      </w:r>
      <w:r>
        <w:rPr>
          <w:rFonts w:hint="eastAsia"/>
        </w:rPr>
        <w:t>天，施工计划开始时间为202</w:t>
      </w:r>
      <w:r>
        <w:t>4</w:t>
      </w:r>
      <w:r>
        <w:rPr>
          <w:rFonts w:hint="eastAsia"/>
        </w:rPr>
        <w:t>年</w:t>
      </w:r>
      <w:r>
        <w:rPr>
          <w:rFonts w:hint="eastAsia"/>
          <w:lang w:val="en-US" w:eastAsia="zh-CN"/>
        </w:rPr>
        <w:t>9</w:t>
      </w:r>
      <w:r>
        <w:rPr>
          <w:rFonts w:hint="eastAsia"/>
        </w:rPr>
        <w:t>月</w:t>
      </w:r>
      <w:r>
        <w:rPr>
          <w:rFonts w:hint="eastAsia"/>
          <w:lang w:val="en-US" w:eastAsia="zh-CN"/>
        </w:rPr>
        <w:t>25</w:t>
      </w:r>
      <w:r>
        <w:rPr>
          <w:rFonts w:hint="eastAsia"/>
        </w:rPr>
        <w:t>日，完成时间为202</w:t>
      </w:r>
      <w:r>
        <w:t>4</w:t>
      </w:r>
      <w:r>
        <w:rPr>
          <w:rFonts w:hint="eastAsia"/>
        </w:rPr>
        <w:t>年</w:t>
      </w:r>
      <w:r>
        <w:rPr>
          <w:rFonts w:hint="eastAsia"/>
          <w:lang w:val="en-US" w:eastAsia="zh-CN"/>
        </w:rPr>
        <w:t>10</w:t>
      </w:r>
      <w:r>
        <w:rPr>
          <w:rFonts w:hint="eastAsia"/>
        </w:rPr>
        <w:t>月</w:t>
      </w:r>
      <w:r>
        <w:rPr>
          <w:rFonts w:hint="eastAsia"/>
          <w:lang w:val="en-US" w:eastAsia="zh-CN"/>
        </w:rPr>
        <w:t>25</w:t>
      </w:r>
      <w:r>
        <w:rPr>
          <w:rFonts w:hint="eastAsia"/>
        </w:rPr>
        <w:t>日。</w:t>
      </w:r>
    </w:p>
    <w:p w14:paraId="4EDF9473">
      <w:pPr>
        <w:pStyle w:val="4"/>
        <w:rPr>
          <w:b/>
          <w:bCs w:val="0"/>
        </w:rPr>
      </w:pPr>
      <w:r>
        <w:rPr>
          <w:rFonts w:hint="eastAsia"/>
          <w:b/>
          <w:bCs w:val="0"/>
        </w:rPr>
        <w:t>质量要求</w:t>
      </w:r>
    </w:p>
    <w:p w14:paraId="560AD38D">
      <w:pPr>
        <w:ind w:left="480" w:leftChars="200" w:firstLine="0" w:firstLineChars="0"/>
      </w:pPr>
      <w:r>
        <w:rPr>
          <w:rFonts w:hint="eastAsia"/>
        </w:rPr>
        <w:t>消除质量隐患,杜绝质量事故。</w:t>
      </w:r>
    </w:p>
    <w:p w14:paraId="0CF32DF2">
      <w:pPr>
        <w:pStyle w:val="4"/>
        <w:rPr>
          <w:b/>
          <w:bCs w:val="0"/>
        </w:rPr>
      </w:pPr>
      <w:r>
        <w:rPr>
          <w:rFonts w:hint="eastAsia"/>
          <w:b/>
          <w:bCs w:val="0"/>
        </w:rPr>
        <w:t>安全文明施工要求</w:t>
      </w:r>
    </w:p>
    <w:p w14:paraId="5B31B22F">
      <w:pPr>
        <w:numPr>
          <w:ilvl w:val="0"/>
          <w:numId w:val="16"/>
        </w:numPr>
      </w:pPr>
      <w:r>
        <w:rPr>
          <w:rFonts w:hint="eastAsia"/>
        </w:rPr>
        <w:t>杜绝一般等级(含)以上安全生产责任事故；</w:t>
      </w:r>
    </w:p>
    <w:p w14:paraId="0058E6F2">
      <w:pPr>
        <w:numPr>
          <w:ilvl w:val="0"/>
          <w:numId w:val="16"/>
        </w:numPr>
      </w:pPr>
      <w:r>
        <w:rPr>
          <w:rFonts w:hint="eastAsia"/>
        </w:rPr>
        <w:t>防范和降低环境污染,杜绝违法违规事件。</w:t>
      </w:r>
    </w:p>
    <w:p w14:paraId="47C6E020">
      <w:pPr>
        <w:pStyle w:val="4"/>
        <w:rPr>
          <w:b/>
          <w:bCs w:val="0"/>
        </w:rPr>
      </w:pPr>
      <w:r>
        <w:rPr>
          <w:rFonts w:hint="eastAsia"/>
          <w:b/>
          <w:bCs w:val="0"/>
        </w:rPr>
        <w:t>环境保护要求</w:t>
      </w:r>
    </w:p>
    <w:p w14:paraId="33910BC2">
      <w:pPr>
        <w:ind w:firstLine="480"/>
      </w:pPr>
      <w:r>
        <w:t>严格执行上级单位及主管部门关于环境保护的规定，建立健全环水保管理体系，加强各项环境保护工程措施。</w:t>
      </w:r>
    </w:p>
    <w:p w14:paraId="5E7CED0A">
      <w:pPr>
        <w:pStyle w:val="4"/>
        <w:rPr>
          <w:b/>
          <w:bCs w:val="0"/>
        </w:rPr>
      </w:pPr>
      <w:r>
        <w:rPr>
          <w:rFonts w:hint="eastAsia"/>
          <w:b/>
          <w:bCs w:val="0"/>
        </w:rPr>
        <w:t>节能减排要求</w:t>
      </w:r>
    </w:p>
    <w:p w14:paraId="799E711F">
      <w:pPr>
        <w:ind w:firstLine="480"/>
      </w:pPr>
      <w:r>
        <w:t>根据</w:t>
      </w:r>
      <w:r>
        <w:rPr>
          <w:rFonts w:hint="eastAsia"/>
        </w:rPr>
        <w:t>施工</w:t>
      </w:r>
      <w:r>
        <w:t>进度和实际需要及时对工地机械设备进行调整和优化，提高机械设备的使用率和满载率；加强机械设备的维修保养，及时检修，减少设备的故障率和跑、冒、漏、滴的发生。</w:t>
      </w:r>
    </w:p>
    <w:p w14:paraId="3DDC12F1">
      <w:pPr>
        <w:pStyle w:val="4"/>
        <w:rPr>
          <w:b/>
          <w:bCs w:val="0"/>
        </w:rPr>
      </w:pPr>
      <w:r>
        <w:rPr>
          <w:rFonts w:hint="eastAsia"/>
          <w:b/>
          <w:bCs w:val="0"/>
        </w:rPr>
        <w:t>安装场地</w:t>
      </w:r>
      <w:r>
        <w:rPr>
          <w:b/>
          <w:bCs w:val="0"/>
        </w:rPr>
        <w:t>要求</w:t>
      </w:r>
    </w:p>
    <w:p w14:paraId="43DADC66">
      <w:pPr>
        <w:numPr>
          <w:ilvl w:val="0"/>
          <w:numId w:val="17"/>
        </w:numPr>
        <w:ind w:firstLineChars="0"/>
      </w:pPr>
      <w:r>
        <w:rPr>
          <w:rFonts w:hint="eastAsia"/>
        </w:rPr>
        <w:t>安装场地大小应满足设备各部件顺利装卸车、拼装拆解以及试验；</w:t>
      </w:r>
    </w:p>
    <w:p w14:paraId="5FD27959">
      <w:pPr>
        <w:numPr>
          <w:ilvl w:val="0"/>
          <w:numId w:val="17"/>
        </w:numPr>
        <w:ind w:firstLineChars="0"/>
      </w:pPr>
      <w:r>
        <w:rPr>
          <w:rFonts w:hint="eastAsia"/>
        </w:rPr>
        <w:t>安装场地承载力应大于极限起重吊装工况下起重设备对安装场地的压力。</w:t>
      </w:r>
    </w:p>
    <w:p w14:paraId="287A6FB1">
      <w:pPr>
        <w:pStyle w:val="4"/>
        <w:rPr>
          <w:b/>
          <w:bCs w:val="0"/>
        </w:rPr>
      </w:pPr>
      <w:r>
        <w:rPr>
          <w:rFonts w:hint="eastAsia"/>
          <w:b/>
          <w:bCs w:val="0"/>
        </w:rPr>
        <w:t>运输及进场</w:t>
      </w:r>
      <w:r>
        <w:rPr>
          <w:b/>
          <w:bCs w:val="0"/>
        </w:rPr>
        <w:t>要求</w:t>
      </w:r>
    </w:p>
    <w:p w14:paraId="70B6BCED">
      <w:pPr>
        <w:numPr>
          <w:ilvl w:val="0"/>
          <w:numId w:val="18"/>
        </w:numPr>
        <w:ind w:firstLineChars="0"/>
      </w:pPr>
      <w:r>
        <w:rPr>
          <w:rFonts w:hint="eastAsia"/>
        </w:rPr>
        <w:t>设备机械部件运输时应在运输车上做好支撑，并绑扎牢固，避免行驶过程中由于晃动等情况致使部件结构损坏；</w:t>
      </w:r>
    </w:p>
    <w:p w14:paraId="09470AC6">
      <w:pPr>
        <w:numPr>
          <w:ilvl w:val="0"/>
          <w:numId w:val="18"/>
        </w:numPr>
        <w:ind w:firstLineChars="0"/>
      </w:pPr>
      <w:r>
        <w:rPr>
          <w:rFonts w:hint="eastAsia"/>
        </w:rPr>
        <w:t>设备各电气部件应在运输车上遮盖防雨布，保持电气设备干燥；</w:t>
      </w:r>
    </w:p>
    <w:p w14:paraId="2D7AC9B5">
      <w:pPr>
        <w:numPr>
          <w:ilvl w:val="0"/>
          <w:numId w:val="18"/>
        </w:numPr>
      </w:pPr>
      <w:r>
        <w:rPr>
          <w:rFonts w:hint="eastAsia"/>
        </w:rPr>
        <w:t>设备各部件进场时项目设备部应进行预验收，检查部件数量是否与运输清单一致，检查各部件结构的完整性。</w:t>
      </w:r>
    </w:p>
    <w:p w14:paraId="21F9A49E">
      <w:pPr>
        <w:pStyle w:val="3"/>
        <w:bidi w:val="0"/>
        <w:ind w:left="575" w:leftChars="0" w:hanging="575" w:firstLineChars="0"/>
        <w:rPr>
          <w:rFonts w:hint="eastAsia"/>
          <w:b/>
          <w:bCs w:val="0"/>
          <w:sz w:val="28"/>
          <w:szCs w:val="28"/>
          <w:lang w:val="en-US" w:eastAsia="zh-CN"/>
        </w:rPr>
      </w:pPr>
      <w:bookmarkStart w:id="53" w:name="_Toc27519"/>
      <w:bookmarkStart w:id="54" w:name="_Toc30936"/>
      <w:bookmarkStart w:id="55" w:name="_Toc21735"/>
      <w:r>
        <w:rPr>
          <w:rFonts w:hint="eastAsia"/>
          <w:b/>
          <w:bCs w:val="0"/>
          <w:sz w:val="28"/>
          <w:szCs w:val="28"/>
          <w:lang w:val="en-US" w:eastAsia="zh-CN"/>
        </w:rPr>
        <w:t>技术保证条件</w:t>
      </w:r>
      <w:bookmarkEnd w:id="53"/>
      <w:bookmarkEnd w:id="54"/>
      <w:bookmarkEnd w:id="55"/>
    </w:p>
    <w:p w14:paraId="5B6C4894">
      <w:pPr>
        <w:numPr>
          <w:ilvl w:val="0"/>
          <w:numId w:val="19"/>
        </w:numPr>
        <w:ind w:firstLineChars="0"/>
      </w:pPr>
      <w:r>
        <w:rPr>
          <w:rFonts w:hint="eastAsia"/>
        </w:rPr>
        <w:t>对安装的起吊构件的重量、幅度进行详细的核算；</w:t>
      </w:r>
    </w:p>
    <w:p w14:paraId="642937D8">
      <w:pPr>
        <w:numPr>
          <w:ilvl w:val="0"/>
          <w:numId w:val="19"/>
        </w:numPr>
      </w:pPr>
      <w:r>
        <w:rPr>
          <w:rFonts w:hint="eastAsia"/>
        </w:rPr>
        <w:t>对进场设备进行进场检验，对基础进行验收，确保设备性能及施工条件可靠；</w:t>
      </w:r>
    </w:p>
    <w:p w14:paraId="1C5050C2">
      <w:pPr>
        <w:numPr>
          <w:ilvl w:val="0"/>
          <w:numId w:val="19"/>
        </w:numPr>
      </w:pPr>
      <w:r>
        <w:rPr>
          <w:rFonts w:hint="eastAsia"/>
        </w:rPr>
        <w:t>方案模拟现场的实际作业情况，保证安装场地空间足够，避免吊装过程中的干涉；</w:t>
      </w:r>
    </w:p>
    <w:p w14:paraId="5036DC8C">
      <w:pPr>
        <w:numPr>
          <w:ilvl w:val="0"/>
          <w:numId w:val="19"/>
        </w:numPr>
      </w:pPr>
      <w:r>
        <w:rPr>
          <w:rFonts w:hint="eastAsia"/>
        </w:rPr>
        <w:t>合理安排安拆工序，协调好场地堆放及构件倒运顺序；</w:t>
      </w:r>
    </w:p>
    <w:p w14:paraId="6B236006">
      <w:pPr>
        <w:rPr>
          <w:rFonts w:hint="eastAsia" w:eastAsia="宋体"/>
          <w:lang w:val="en-US" w:eastAsia="zh-CN"/>
        </w:rPr>
      </w:pPr>
      <w:r>
        <w:rPr>
          <w:rFonts w:hint="eastAsia"/>
        </w:rPr>
        <w:t>加强技术交底，确保作业过程安全。</w:t>
      </w:r>
    </w:p>
    <w:p w14:paraId="7DB253BC">
      <w:pPr>
        <w:pStyle w:val="2"/>
        <w:bidi w:val="0"/>
        <w:ind w:left="432" w:leftChars="0" w:hanging="432" w:firstLineChars="0"/>
        <w:rPr>
          <w:rFonts w:hint="eastAsia"/>
        </w:rPr>
      </w:pPr>
      <w:bookmarkStart w:id="56" w:name="_Toc20391"/>
      <w:bookmarkStart w:id="57" w:name="_Toc2493"/>
      <w:bookmarkStart w:id="58" w:name="_Toc22444"/>
      <w:r>
        <w:rPr>
          <w:rFonts w:hint="eastAsia"/>
        </w:rPr>
        <w:t>施工计划</w:t>
      </w:r>
      <w:bookmarkEnd w:id="56"/>
      <w:bookmarkEnd w:id="57"/>
      <w:bookmarkEnd w:id="58"/>
    </w:p>
    <w:p w14:paraId="19ECD68C">
      <w:pPr>
        <w:pStyle w:val="3"/>
        <w:rPr>
          <w:b/>
          <w:bCs w:val="0"/>
          <w:sz w:val="28"/>
          <w:szCs w:val="28"/>
        </w:rPr>
      </w:pPr>
      <w:bookmarkStart w:id="59" w:name="_Toc22865"/>
      <w:bookmarkStart w:id="60" w:name="_Toc10419"/>
      <w:bookmarkStart w:id="61" w:name="_Toc28189"/>
      <w:bookmarkStart w:id="62" w:name="_Toc8725"/>
      <w:r>
        <w:rPr>
          <w:rFonts w:hint="eastAsia"/>
          <w:b/>
          <w:bCs w:val="0"/>
          <w:sz w:val="28"/>
          <w:szCs w:val="28"/>
        </w:rPr>
        <w:t>工程总体目标</w:t>
      </w:r>
      <w:bookmarkEnd w:id="59"/>
      <w:bookmarkEnd w:id="60"/>
      <w:bookmarkEnd w:id="61"/>
      <w:bookmarkEnd w:id="62"/>
    </w:p>
    <w:p w14:paraId="2094D36D">
      <w:pPr>
        <w:pStyle w:val="4"/>
        <w:bidi w:val="0"/>
        <w:ind w:left="0" w:leftChars="0" w:firstLine="0" w:firstLineChars="0"/>
        <w:rPr>
          <w:rFonts w:hint="eastAsia"/>
          <w:b/>
          <w:bCs w:val="0"/>
          <w:sz w:val="24"/>
          <w:szCs w:val="24"/>
          <w:lang w:val="en-US" w:eastAsia="zh-CN"/>
        </w:rPr>
      </w:pPr>
      <w:r>
        <w:rPr>
          <w:rFonts w:hint="eastAsia"/>
          <w:b/>
          <w:bCs w:val="0"/>
          <w:sz w:val="24"/>
          <w:szCs w:val="24"/>
          <w:lang w:val="en-US" w:eastAsia="zh-CN"/>
        </w:rPr>
        <w:t>安全管理目标</w:t>
      </w:r>
    </w:p>
    <w:p w14:paraId="7A8868DF">
      <w:pPr>
        <w:ind w:firstLine="480"/>
      </w:pPr>
      <w:r>
        <w:rPr>
          <w:rFonts w:hint="eastAsia"/>
        </w:rPr>
        <w:t>杜绝一般等级(含)以上安全生产责任事故。</w:t>
      </w:r>
    </w:p>
    <w:p w14:paraId="0F1274FE">
      <w:pPr>
        <w:pStyle w:val="4"/>
        <w:bidi w:val="0"/>
        <w:ind w:left="0" w:leftChars="0" w:firstLine="0" w:firstLineChars="0"/>
        <w:rPr>
          <w:rFonts w:hint="eastAsia"/>
          <w:b/>
          <w:bCs w:val="0"/>
          <w:sz w:val="24"/>
          <w:szCs w:val="24"/>
          <w:lang w:val="en-US" w:eastAsia="zh-CN"/>
        </w:rPr>
      </w:pPr>
      <w:r>
        <w:rPr>
          <w:rFonts w:hint="eastAsia"/>
          <w:b/>
          <w:bCs w:val="0"/>
          <w:sz w:val="24"/>
          <w:szCs w:val="24"/>
          <w:lang w:val="en-US" w:eastAsia="zh-CN"/>
        </w:rPr>
        <w:t>质量管理目标</w:t>
      </w:r>
    </w:p>
    <w:p w14:paraId="1D448EB5">
      <w:pPr>
        <w:ind w:firstLine="480"/>
      </w:pPr>
      <w:r>
        <w:rPr>
          <w:rFonts w:hint="eastAsia"/>
        </w:rPr>
        <w:t>消除质量隐患,杜绝质量事故。</w:t>
      </w:r>
    </w:p>
    <w:p w14:paraId="7307271B">
      <w:pPr>
        <w:pStyle w:val="4"/>
        <w:bidi w:val="0"/>
        <w:ind w:left="0" w:leftChars="0" w:firstLine="0" w:firstLineChars="0"/>
        <w:rPr>
          <w:rFonts w:hint="eastAsia"/>
          <w:b/>
          <w:bCs w:val="0"/>
          <w:sz w:val="24"/>
          <w:szCs w:val="24"/>
          <w:lang w:val="en-US" w:eastAsia="zh-CN"/>
        </w:rPr>
      </w:pPr>
      <w:r>
        <w:rPr>
          <w:rFonts w:hint="eastAsia"/>
          <w:b/>
          <w:bCs w:val="0"/>
          <w:sz w:val="24"/>
          <w:szCs w:val="24"/>
          <w:lang w:val="en-US" w:eastAsia="zh-CN"/>
        </w:rPr>
        <w:t>文明施工及保护目标</w:t>
      </w:r>
    </w:p>
    <w:p w14:paraId="3058E4DA">
      <w:pPr>
        <w:ind w:firstLine="480"/>
      </w:pPr>
      <w:r>
        <w:rPr>
          <w:rFonts w:hint="eastAsia"/>
        </w:rPr>
        <w:t>防范和降低环境污染,杜绝违法违规事件。</w:t>
      </w:r>
    </w:p>
    <w:p w14:paraId="272E44AE">
      <w:pPr>
        <w:pStyle w:val="3"/>
        <w:bidi w:val="0"/>
        <w:rPr>
          <w:b/>
          <w:bCs w:val="0"/>
          <w:sz w:val="28"/>
          <w:szCs w:val="28"/>
        </w:rPr>
      </w:pPr>
      <w:bookmarkStart w:id="63" w:name="_Toc5570"/>
      <w:bookmarkStart w:id="64" w:name="_Toc31479"/>
      <w:bookmarkStart w:id="65" w:name="_Toc15551"/>
      <w:bookmarkStart w:id="66" w:name="_Toc569"/>
      <w:r>
        <w:rPr>
          <w:rFonts w:hint="eastAsia"/>
          <w:b/>
          <w:bCs w:val="0"/>
          <w:sz w:val="28"/>
          <w:szCs w:val="28"/>
        </w:rPr>
        <w:t>施工进度计划</w:t>
      </w:r>
      <w:bookmarkEnd w:id="63"/>
      <w:bookmarkEnd w:id="64"/>
      <w:bookmarkEnd w:id="65"/>
      <w:bookmarkEnd w:id="66"/>
    </w:p>
    <w:p w14:paraId="24E8A1FE">
      <w:pPr>
        <w:ind w:firstLine="480"/>
        <w:rPr>
          <w:rFonts w:hint="eastAsia"/>
          <w:highlight w:val="none"/>
        </w:rPr>
      </w:pPr>
      <w:r>
        <w:rPr>
          <w:rFonts w:hint="eastAsia"/>
        </w:rPr>
        <w:t>塔吊基础施工时间拟于</w:t>
      </w:r>
      <w:r>
        <w:rPr>
          <w:rFonts w:hint="eastAsia"/>
          <w:highlight w:val="yellow"/>
          <w:lang w:val="en-US" w:eastAsia="zh-CN"/>
        </w:rPr>
        <w:t>2024</w:t>
      </w:r>
      <w:r>
        <w:rPr>
          <w:rFonts w:hint="eastAsia"/>
          <w:highlight w:val="yellow"/>
        </w:rPr>
        <w:t>年</w:t>
      </w:r>
      <w:r>
        <w:rPr>
          <w:rFonts w:hint="eastAsia"/>
          <w:highlight w:val="yellow"/>
          <w:lang w:val="en-US" w:eastAsia="zh-CN"/>
        </w:rPr>
        <w:t>10</w:t>
      </w:r>
      <w:r>
        <w:rPr>
          <w:rFonts w:hint="eastAsia"/>
          <w:highlight w:val="yellow"/>
        </w:rPr>
        <w:t>月</w:t>
      </w:r>
      <w:r>
        <w:rPr>
          <w:rFonts w:hint="eastAsia"/>
          <w:highlight w:val="yellow"/>
          <w:lang w:val="en-US" w:eastAsia="zh-CN"/>
        </w:rPr>
        <w:t>8</w:t>
      </w:r>
      <w:r>
        <w:rPr>
          <w:rFonts w:hint="eastAsia"/>
          <w:highlight w:val="yellow"/>
        </w:rPr>
        <w:t>日至</w:t>
      </w:r>
      <w:r>
        <w:rPr>
          <w:rFonts w:hint="eastAsia"/>
          <w:highlight w:val="yellow"/>
          <w:lang w:val="en-US" w:eastAsia="zh-CN"/>
        </w:rPr>
        <w:t>2024年10</w:t>
      </w:r>
      <w:r>
        <w:rPr>
          <w:rFonts w:hint="eastAsia"/>
          <w:highlight w:val="yellow"/>
        </w:rPr>
        <w:t>月</w:t>
      </w:r>
      <w:r>
        <w:rPr>
          <w:rFonts w:hint="eastAsia"/>
          <w:highlight w:val="yellow"/>
          <w:lang w:val="en-US" w:eastAsia="zh-CN"/>
        </w:rPr>
        <w:t>14</w:t>
      </w:r>
      <w:r>
        <w:rPr>
          <w:rFonts w:hint="eastAsia"/>
          <w:highlight w:val="yellow"/>
        </w:rPr>
        <w:t>日，</w:t>
      </w:r>
      <w:r>
        <w:rPr>
          <w:rFonts w:hint="eastAsia"/>
          <w:highlight w:val="none"/>
        </w:rPr>
        <w:t>安装时间于</w:t>
      </w:r>
      <w:r>
        <w:rPr>
          <w:rFonts w:hint="eastAsia"/>
          <w:highlight w:val="none"/>
          <w:lang w:val="en-US" w:eastAsia="zh-CN"/>
        </w:rPr>
        <w:t>2024</w:t>
      </w:r>
      <w:r>
        <w:rPr>
          <w:rFonts w:hint="eastAsia"/>
          <w:highlight w:val="none"/>
        </w:rPr>
        <w:t>年</w:t>
      </w:r>
      <w:r>
        <w:rPr>
          <w:rFonts w:hint="eastAsia"/>
          <w:highlight w:val="none"/>
          <w:lang w:val="en-US" w:eastAsia="zh-CN"/>
        </w:rPr>
        <w:t>10</w:t>
      </w:r>
      <w:r>
        <w:rPr>
          <w:rFonts w:hint="eastAsia"/>
          <w:highlight w:val="none"/>
        </w:rPr>
        <w:t>月</w:t>
      </w:r>
      <w:r>
        <w:rPr>
          <w:rFonts w:hint="eastAsia"/>
          <w:highlight w:val="none"/>
          <w:lang w:val="en-US" w:eastAsia="zh-CN"/>
        </w:rPr>
        <w:t>15</w:t>
      </w:r>
      <w:r>
        <w:rPr>
          <w:rFonts w:hint="eastAsia"/>
          <w:highlight w:val="none"/>
        </w:rPr>
        <w:t>日至</w:t>
      </w:r>
      <w:r>
        <w:rPr>
          <w:rFonts w:hint="eastAsia"/>
          <w:highlight w:val="none"/>
          <w:lang w:val="en-US" w:eastAsia="zh-CN"/>
        </w:rPr>
        <w:t>2024年10</w:t>
      </w:r>
      <w:r>
        <w:rPr>
          <w:rFonts w:hint="eastAsia"/>
          <w:highlight w:val="none"/>
        </w:rPr>
        <w:t>月</w:t>
      </w:r>
      <w:r>
        <w:rPr>
          <w:rFonts w:hint="eastAsia"/>
          <w:highlight w:val="none"/>
          <w:lang w:val="en-US" w:eastAsia="zh-CN"/>
        </w:rPr>
        <w:t>21</w:t>
      </w:r>
      <w:r>
        <w:rPr>
          <w:rFonts w:hint="eastAsia"/>
          <w:highlight w:val="none"/>
        </w:rPr>
        <w:t>日。</w:t>
      </w:r>
    </w:p>
    <w:p w14:paraId="75F872D0">
      <w:pPr>
        <w:ind w:firstLine="480"/>
        <w:rPr>
          <w:rFonts w:hint="eastAsia" w:ascii="Times New Roman" w:hAnsi="Times New Roman" w:cs="Times New Roman"/>
        </w:rPr>
      </w:pPr>
      <w:r>
        <w:rPr>
          <w:rFonts w:hint="eastAsia"/>
        </w:rPr>
        <w:t>单台</w:t>
      </w:r>
      <w:r>
        <w:rPr>
          <w:rFonts w:hint="eastAsia" w:ascii="宋体" w:hAnsi="宋体" w:cs="宋体"/>
          <w:color w:val="000000" w:themeColor="text1"/>
          <w:szCs w:val="24"/>
          <w:lang w:eastAsia="zh-CN"/>
          <w14:textFill>
            <w14:solidFill>
              <w14:schemeClr w14:val="tx1"/>
            </w14:solidFill>
          </w14:textFill>
        </w:rPr>
        <w:t>徐工</w:t>
      </w:r>
      <w:r>
        <w:rPr>
          <w:rFonts w:hint="eastAsia"/>
          <w:lang w:val="en-US" w:eastAsia="zh-CN"/>
        </w:rPr>
        <w:t>XGT7022-12S</w:t>
      </w:r>
      <w:r>
        <w:rPr>
          <w:rFonts w:hint="eastAsia"/>
        </w:rPr>
        <w:t>塔机安装的施工进度见下表，如遇天气等其他不可控因素，工期顺延。</w:t>
      </w:r>
    </w:p>
    <w:p w14:paraId="51735936">
      <w:pPr>
        <w:ind w:firstLine="480"/>
        <w:jc w:val="center"/>
        <w:rPr>
          <w:rFonts w:hint="eastAsia" w:ascii="Times New Roman" w:hAnsi="Times New Roman" w:cs="Times New Roman"/>
        </w:rPr>
      </w:pPr>
      <w:r>
        <w:rPr>
          <w:rFonts w:hint="eastAsia" w:ascii="Times New Roman" w:hAnsi="Times New Roman" w:eastAsia="宋体" w:cstheme="majorBidi"/>
          <w:b/>
          <w:color w:val="auto"/>
          <w:kern w:val="2"/>
          <w:sz w:val="21"/>
          <w:szCs w:val="20"/>
          <w:lang w:val="en-US" w:eastAsia="zh-CN" w:bidi="ar-SA"/>
        </w:rPr>
        <w:t xml:space="preserve">表 3.2-1 </w:t>
      </w:r>
      <w:r>
        <w:rPr>
          <w:rFonts w:hint="eastAsia" w:cstheme="majorBidi"/>
          <w:b/>
          <w:color w:val="auto"/>
          <w:kern w:val="2"/>
          <w:sz w:val="21"/>
          <w:szCs w:val="20"/>
          <w:lang w:val="en-US" w:eastAsia="zh-CN" w:bidi="ar-SA"/>
        </w:rPr>
        <w:t>XGT7022-12S</w:t>
      </w:r>
      <w:r>
        <w:rPr>
          <w:rFonts w:hint="eastAsia" w:ascii="Times New Roman" w:hAnsi="Times New Roman" w:eastAsia="宋体" w:cstheme="majorBidi"/>
          <w:b/>
          <w:color w:val="auto"/>
          <w:kern w:val="2"/>
          <w:sz w:val="21"/>
          <w:szCs w:val="20"/>
          <w:lang w:val="en-US" w:eastAsia="zh-CN" w:bidi="ar-SA"/>
        </w:rPr>
        <w:t>塔吊安装进度计划表</w:t>
      </w:r>
    </w:p>
    <w:tbl>
      <w:tblPr>
        <w:tblStyle w:val="126"/>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4022"/>
        <w:gridCol w:w="1799"/>
        <w:gridCol w:w="992"/>
        <w:gridCol w:w="1651"/>
      </w:tblGrid>
      <w:tr w14:paraId="7080F8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tcBorders>
              <w:tl2br w:val="nil"/>
            </w:tcBorders>
            <w:shd w:val="clear" w:color="auto" w:fill="FFFFFF"/>
            <w:vAlign w:val="center"/>
          </w:tcPr>
          <w:p w14:paraId="27506275">
            <w:pPr>
              <w:pStyle w:val="50"/>
              <w:rPr>
                <w:rFonts w:cstheme="minorBidi"/>
                <w:b w:val="0"/>
              </w:rPr>
            </w:pPr>
            <w:r>
              <w:rPr>
                <w:rFonts w:hint="eastAsia" w:cstheme="minorBidi"/>
                <w:b w:val="0"/>
              </w:rPr>
              <w:t>序号</w:t>
            </w:r>
          </w:p>
        </w:tc>
        <w:tc>
          <w:tcPr>
            <w:tcW w:w="2166" w:type="pct"/>
            <w:shd w:val="clear" w:color="auto" w:fill="FFFFFF"/>
            <w:vAlign w:val="center"/>
          </w:tcPr>
          <w:p w14:paraId="20291332">
            <w:pPr>
              <w:pStyle w:val="50"/>
              <w:rPr>
                <w:rFonts w:cstheme="minorBidi"/>
                <w:b w:val="0"/>
              </w:rPr>
            </w:pPr>
            <w:r>
              <w:rPr>
                <w:rFonts w:hint="eastAsia" w:cstheme="minorBidi"/>
                <w:b w:val="0"/>
              </w:rPr>
              <w:t>安装内容</w:t>
            </w:r>
          </w:p>
        </w:tc>
        <w:tc>
          <w:tcPr>
            <w:tcW w:w="968" w:type="pct"/>
            <w:shd w:val="clear" w:color="auto" w:fill="FFFFFF"/>
            <w:vAlign w:val="center"/>
          </w:tcPr>
          <w:p w14:paraId="17EE5CD3">
            <w:pPr>
              <w:pStyle w:val="50"/>
              <w:rPr>
                <w:rFonts w:cstheme="minorBidi"/>
                <w:b w:val="0"/>
              </w:rPr>
            </w:pPr>
            <w:r>
              <w:rPr>
                <w:rFonts w:hint="eastAsia" w:cstheme="minorBidi"/>
                <w:b w:val="0"/>
              </w:rPr>
              <w:t>关键设备</w:t>
            </w:r>
          </w:p>
        </w:tc>
        <w:tc>
          <w:tcPr>
            <w:tcW w:w="534" w:type="pct"/>
            <w:shd w:val="clear" w:color="auto" w:fill="FFFFFF"/>
            <w:vAlign w:val="center"/>
          </w:tcPr>
          <w:p w14:paraId="47EB718F">
            <w:pPr>
              <w:pStyle w:val="50"/>
              <w:rPr>
                <w:rFonts w:cstheme="minorBidi"/>
                <w:b w:val="0"/>
              </w:rPr>
            </w:pPr>
            <w:r>
              <w:rPr>
                <w:rFonts w:hint="eastAsia" w:cstheme="minorBidi"/>
                <w:b w:val="0"/>
              </w:rPr>
              <w:t>时间（天）</w:t>
            </w:r>
          </w:p>
        </w:tc>
        <w:tc>
          <w:tcPr>
            <w:tcW w:w="889" w:type="pct"/>
            <w:shd w:val="clear" w:color="auto" w:fill="FFFFFF"/>
            <w:vAlign w:val="center"/>
          </w:tcPr>
          <w:p w14:paraId="003A4F7E">
            <w:pPr>
              <w:pStyle w:val="50"/>
              <w:rPr>
                <w:rFonts w:cstheme="minorBidi"/>
                <w:b w:val="0"/>
              </w:rPr>
            </w:pPr>
            <w:r>
              <w:rPr>
                <w:rFonts w:hint="eastAsia" w:cstheme="minorBidi"/>
                <w:b w:val="0"/>
              </w:rPr>
              <w:t>备注</w:t>
            </w:r>
          </w:p>
        </w:tc>
      </w:tr>
      <w:tr w14:paraId="12F485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shd w:val="clear" w:color="auto" w:fill="FFFFFF"/>
            <w:vAlign w:val="center"/>
          </w:tcPr>
          <w:p w14:paraId="4EE33DE8">
            <w:pPr>
              <w:pStyle w:val="50"/>
              <w:rPr>
                <w:rFonts w:cstheme="minorBidi"/>
                <w:b w:val="0"/>
              </w:rPr>
            </w:pPr>
            <w:r>
              <w:rPr>
                <w:rFonts w:hint="eastAsia" w:cstheme="minorBidi"/>
                <w:b w:val="0"/>
              </w:rPr>
              <w:t>1</w:t>
            </w:r>
          </w:p>
        </w:tc>
        <w:tc>
          <w:tcPr>
            <w:tcW w:w="2166" w:type="pct"/>
            <w:shd w:val="clear" w:color="auto" w:fill="FFFFFF"/>
            <w:vAlign w:val="center"/>
          </w:tcPr>
          <w:p w14:paraId="70A091B4">
            <w:pPr>
              <w:pStyle w:val="50"/>
              <w:rPr>
                <w:rFonts w:cstheme="minorBidi"/>
                <w:b w:val="0"/>
              </w:rPr>
            </w:pPr>
            <w:r>
              <w:rPr>
                <w:rFonts w:hint="eastAsia" w:cstheme="minorBidi"/>
                <w:b w:val="0"/>
              </w:rPr>
              <w:t>塔吊基础验收</w:t>
            </w:r>
          </w:p>
        </w:tc>
        <w:tc>
          <w:tcPr>
            <w:tcW w:w="968" w:type="pct"/>
            <w:shd w:val="clear" w:color="auto" w:fill="FFFFFF"/>
            <w:vAlign w:val="center"/>
          </w:tcPr>
          <w:p w14:paraId="243C1044">
            <w:pPr>
              <w:pStyle w:val="50"/>
              <w:rPr>
                <w:rFonts w:cstheme="minorBidi"/>
                <w:b w:val="0"/>
              </w:rPr>
            </w:pPr>
            <w:r>
              <w:rPr>
                <w:rFonts w:hint="eastAsia" w:cstheme="minorBidi"/>
                <w:b w:val="0"/>
              </w:rPr>
              <w:t>-</w:t>
            </w:r>
          </w:p>
        </w:tc>
        <w:tc>
          <w:tcPr>
            <w:tcW w:w="534" w:type="pct"/>
            <w:shd w:val="clear" w:color="auto" w:fill="FFFFFF"/>
            <w:vAlign w:val="center"/>
          </w:tcPr>
          <w:p w14:paraId="4E915B1F">
            <w:pPr>
              <w:pStyle w:val="50"/>
              <w:rPr>
                <w:rFonts w:hint="eastAsia" w:eastAsia="宋体" w:cstheme="minorBidi"/>
                <w:b w:val="0"/>
                <w:lang w:eastAsia="zh-CN"/>
              </w:rPr>
            </w:pPr>
            <w:r>
              <w:rPr>
                <w:rFonts w:hint="eastAsia" w:cstheme="minorBidi"/>
                <w:b w:val="0"/>
                <w:lang w:val="en-US" w:eastAsia="zh-CN"/>
              </w:rPr>
              <w:t>1</w:t>
            </w:r>
          </w:p>
        </w:tc>
        <w:tc>
          <w:tcPr>
            <w:tcW w:w="889" w:type="pct"/>
            <w:shd w:val="clear" w:color="auto" w:fill="FFFFFF"/>
            <w:vAlign w:val="center"/>
          </w:tcPr>
          <w:p w14:paraId="3FDAD0DA">
            <w:pPr>
              <w:pStyle w:val="50"/>
              <w:rPr>
                <w:rFonts w:cstheme="minorBidi"/>
                <w:b w:val="0"/>
              </w:rPr>
            </w:pPr>
          </w:p>
        </w:tc>
      </w:tr>
      <w:tr w14:paraId="17AF61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shd w:val="clear" w:color="auto" w:fill="FFFFFF"/>
            <w:vAlign w:val="center"/>
          </w:tcPr>
          <w:p w14:paraId="13879906">
            <w:pPr>
              <w:pStyle w:val="50"/>
              <w:rPr>
                <w:rFonts w:cstheme="minorBidi"/>
                <w:b w:val="0"/>
              </w:rPr>
            </w:pPr>
            <w:r>
              <w:rPr>
                <w:rFonts w:hint="eastAsia" w:cstheme="minorBidi"/>
                <w:b w:val="0"/>
              </w:rPr>
              <w:t>2</w:t>
            </w:r>
          </w:p>
        </w:tc>
        <w:tc>
          <w:tcPr>
            <w:tcW w:w="2166" w:type="pct"/>
            <w:shd w:val="clear" w:color="auto" w:fill="FFFFFF"/>
            <w:vAlign w:val="center"/>
          </w:tcPr>
          <w:p w14:paraId="6C05B4D7">
            <w:pPr>
              <w:pStyle w:val="50"/>
              <w:rPr>
                <w:rFonts w:cstheme="minorBidi"/>
                <w:b w:val="0"/>
              </w:rPr>
            </w:pPr>
            <w:r>
              <w:rPr>
                <w:rFonts w:hint="eastAsia" w:cstheme="minorBidi"/>
                <w:b w:val="0"/>
                <w:lang w:val="en-US" w:eastAsia="zh-CN"/>
              </w:rPr>
              <w:t>基础节</w:t>
            </w:r>
            <w:r>
              <w:rPr>
                <w:rFonts w:hint="eastAsia" w:cstheme="minorBidi"/>
                <w:b w:val="0"/>
              </w:rPr>
              <w:t>、标准节、套架安装</w:t>
            </w:r>
          </w:p>
        </w:tc>
        <w:tc>
          <w:tcPr>
            <w:tcW w:w="968" w:type="pct"/>
            <w:shd w:val="clear" w:color="auto" w:fill="FFFFFF"/>
            <w:vAlign w:val="center"/>
          </w:tcPr>
          <w:p w14:paraId="1E627CEC">
            <w:pPr>
              <w:pStyle w:val="50"/>
              <w:rPr>
                <w:rFonts w:hint="default" w:eastAsia="宋体" w:cstheme="minorBidi"/>
                <w:b w:val="0"/>
                <w:lang w:val="en-US" w:eastAsia="zh-CN"/>
              </w:rPr>
            </w:pPr>
            <w:r>
              <w:rPr>
                <w:rFonts w:hint="eastAsia" w:cstheme="minorBidi"/>
                <w:b w:val="0"/>
                <w:lang w:val="en-US" w:eastAsia="zh-CN"/>
              </w:rPr>
              <w:t>50T汽车吊</w:t>
            </w:r>
          </w:p>
        </w:tc>
        <w:tc>
          <w:tcPr>
            <w:tcW w:w="534" w:type="pct"/>
            <w:shd w:val="clear" w:color="auto" w:fill="FFFFFF"/>
            <w:vAlign w:val="center"/>
          </w:tcPr>
          <w:p w14:paraId="028A9C1B">
            <w:pPr>
              <w:pStyle w:val="50"/>
              <w:rPr>
                <w:rFonts w:hint="default" w:eastAsia="宋体" w:cstheme="minorBidi"/>
                <w:b w:val="0"/>
                <w:lang w:val="en-US" w:eastAsia="zh-CN"/>
              </w:rPr>
            </w:pPr>
            <w:r>
              <w:rPr>
                <w:rFonts w:hint="eastAsia" w:cstheme="minorBidi"/>
                <w:b w:val="0"/>
                <w:lang w:val="en-US" w:eastAsia="zh-CN"/>
              </w:rPr>
              <w:t>0.5</w:t>
            </w:r>
          </w:p>
        </w:tc>
        <w:tc>
          <w:tcPr>
            <w:tcW w:w="889" w:type="pct"/>
            <w:shd w:val="clear" w:color="auto" w:fill="FFFFFF"/>
            <w:vAlign w:val="center"/>
          </w:tcPr>
          <w:p w14:paraId="6C9C1CAF">
            <w:pPr>
              <w:pStyle w:val="50"/>
              <w:rPr>
                <w:rFonts w:cstheme="minorBidi"/>
                <w:b w:val="0"/>
              </w:rPr>
            </w:pPr>
          </w:p>
        </w:tc>
      </w:tr>
      <w:tr w14:paraId="40DAA7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shd w:val="clear" w:color="auto" w:fill="FFFFFF"/>
            <w:vAlign w:val="center"/>
          </w:tcPr>
          <w:p w14:paraId="5658E5DB">
            <w:pPr>
              <w:pStyle w:val="50"/>
              <w:rPr>
                <w:rFonts w:cstheme="minorBidi"/>
                <w:b w:val="0"/>
              </w:rPr>
            </w:pPr>
            <w:r>
              <w:rPr>
                <w:rFonts w:hint="eastAsia" w:cstheme="minorBidi"/>
                <w:b w:val="0"/>
              </w:rPr>
              <w:t>3</w:t>
            </w:r>
          </w:p>
        </w:tc>
        <w:tc>
          <w:tcPr>
            <w:tcW w:w="2166" w:type="pct"/>
            <w:shd w:val="clear" w:color="auto" w:fill="FFFFFF"/>
            <w:vAlign w:val="center"/>
          </w:tcPr>
          <w:p w14:paraId="07D1F1F2">
            <w:pPr>
              <w:pStyle w:val="50"/>
              <w:rPr>
                <w:rFonts w:cstheme="minorBidi"/>
                <w:b w:val="0"/>
              </w:rPr>
            </w:pPr>
            <w:r>
              <w:rPr>
                <w:rFonts w:hint="eastAsia" w:cstheme="minorBidi"/>
                <w:b w:val="0"/>
                <w:lang w:val="en-US" w:eastAsia="zh-CN"/>
              </w:rPr>
              <w:t>下</w:t>
            </w:r>
            <w:r>
              <w:rPr>
                <w:rFonts w:hint="eastAsia" w:cstheme="minorBidi"/>
                <w:b w:val="0"/>
              </w:rPr>
              <w:t>回转</w:t>
            </w:r>
            <w:r>
              <w:rPr>
                <w:rFonts w:hint="eastAsia" w:cstheme="minorBidi"/>
                <w:b w:val="0"/>
                <w:lang w:eastAsia="zh-CN"/>
              </w:rPr>
              <w:t>、</w:t>
            </w:r>
            <w:r>
              <w:rPr>
                <w:rFonts w:hint="eastAsia" w:cstheme="minorBidi"/>
                <w:b w:val="0"/>
                <w:lang w:val="en-US" w:eastAsia="zh-CN"/>
              </w:rPr>
              <w:t>上回转</w:t>
            </w:r>
            <w:r>
              <w:rPr>
                <w:rFonts w:hint="eastAsia" w:cstheme="minorBidi"/>
                <w:b w:val="0"/>
              </w:rPr>
              <w:t>、司机室</w:t>
            </w:r>
          </w:p>
        </w:tc>
        <w:tc>
          <w:tcPr>
            <w:tcW w:w="968" w:type="pct"/>
            <w:shd w:val="clear" w:color="auto" w:fill="FFFFFF"/>
            <w:vAlign w:val="center"/>
          </w:tcPr>
          <w:p w14:paraId="16BEC79E">
            <w:pPr>
              <w:pStyle w:val="50"/>
              <w:rPr>
                <w:rFonts w:hint="eastAsia" w:eastAsia="宋体" w:cstheme="minorBidi"/>
                <w:b w:val="0"/>
                <w:lang w:eastAsia="zh-CN"/>
              </w:rPr>
            </w:pPr>
            <w:r>
              <w:rPr>
                <w:rFonts w:hint="eastAsia" w:cstheme="minorBidi"/>
                <w:b w:val="0"/>
                <w:lang w:val="en-US" w:eastAsia="zh-CN"/>
              </w:rPr>
              <w:t>50T汽车吊</w:t>
            </w:r>
          </w:p>
        </w:tc>
        <w:tc>
          <w:tcPr>
            <w:tcW w:w="534" w:type="pct"/>
            <w:shd w:val="clear" w:color="auto" w:fill="FFFFFF"/>
            <w:vAlign w:val="center"/>
          </w:tcPr>
          <w:p w14:paraId="2294580E">
            <w:pPr>
              <w:pStyle w:val="50"/>
              <w:rPr>
                <w:rFonts w:hint="default" w:eastAsia="宋体" w:cstheme="minorBidi"/>
                <w:b w:val="0"/>
                <w:lang w:val="en-US" w:eastAsia="zh-CN"/>
              </w:rPr>
            </w:pPr>
            <w:r>
              <w:rPr>
                <w:rFonts w:hint="eastAsia" w:cstheme="minorBidi"/>
                <w:b w:val="0"/>
                <w:lang w:val="en-US" w:eastAsia="zh-CN"/>
              </w:rPr>
              <w:t>0.5</w:t>
            </w:r>
          </w:p>
        </w:tc>
        <w:tc>
          <w:tcPr>
            <w:tcW w:w="889" w:type="pct"/>
            <w:shd w:val="clear" w:color="auto" w:fill="FFFFFF"/>
            <w:vAlign w:val="center"/>
          </w:tcPr>
          <w:p w14:paraId="7AD409BF">
            <w:pPr>
              <w:pStyle w:val="50"/>
              <w:rPr>
                <w:rFonts w:cstheme="minorBidi"/>
                <w:b w:val="0"/>
              </w:rPr>
            </w:pPr>
          </w:p>
        </w:tc>
      </w:tr>
      <w:tr w14:paraId="009C9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shd w:val="clear" w:color="auto" w:fill="FFFFFF"/>
            <w:vAlign w:val="center"/>
          </w:tcPr>
          <w:p w14:paraId="4A3A5FE0">
            <w:pPr>
              <w:pStyle w:val="50"/>
              <w:rPr>
                <w:rFonts w:cstheme="minorBidi"/>
                <w:b w:val="0"/>
              </w:rPr>
            </w:pPr>
            <w:r>
              <w:rPr>
                <w:rFonts w:hint="eastAsia" w:cstheme="minorBidi"/>
                <w:b w:val="0"/>
              </w:rPr>
              <w:t>4</w:t>
            </w:r>
          </w:p>
        </w:tc>
        <w:tc>
          <w:tcPr>
            <w:tcW w:w="2166" w:type="pct"/>
            <w:shd w:val="clear" w:color="auto" w:fill="FFFFFF"/>
            <w:vAlign w:val="center"/>
          </w:tcPr>
          <w:p w14:paraId="5B1BBA55">
            <w:pPr>
              <w:pStyle w:val="50"/>
              <w:rPr>
                <w:rFonts w:cstheme="minorBidi"/>
                <w:b w:val="0"/>
              </w:rPr>
            </w:pPr>
            <w:r>
              <w:rPr>
                <w:rFonts w:hint="eastAsia" w:cstheme="minorBidi"/>
                <w:b w:val="0"/>
              </w:rPr>
              <w:t>平衡臂、起重臂、配重、安装</w:t>
            </w:r>
          </w:p>
        </w:tc>
        <w:tc>
          <w:tcPr>
            <w:tcW w:w="968" w:type="pct"/>
            <w:shd w:val="clear" w:color="auto" w:fill="FFFFFF"/>
            <w:vAlign w:val="center"/>
          </w:tcPr>
          <w:p w14:paraId="00E31B67">
            <w:pPr>
              <w:pStyle w:val="50"/>
              <w:rPr>
                <w:rFonts w:hint="eastAsia" w:eastAsia="宋体" w:cstheme="minorBidi"/>
                <w:b w:val="0"/>
                <w:lang w:eastAsia="zh-CN"/>
              </w:rPr>
            </w:pPr>
            <w:r>
              <w:rPr>
                <w:rFonts w:hint="eastAsia" w:cstheme="minorBidi"/>
                <w:b w:val="0"/>
                <w:lang w:val="en-US" w:eastAsia="zh-CN"/>
              </w:rPr>
              <w:t>50T汽车吊</w:t>
            </w:r>
          </w:p>
        </w:tc>
        <w:tc>
          <w:tcPr>
            <w:tcW w:w="534" w:type="pct"/>
            <w:shd w:val="clear" w:color="auto" w:fill="FFFFFF"/>
            <w:vAlign w:val="center"/>
          </w:tcPr>
          <w:p w14:paraId="62F67AC8">
            <w:pPr>
              <w:pStyle w:val="50"/>
              <w:rPr>
                <w:rFonts w:hint="eastAsia" w:eastAsia="宋体" w:cstheme="minorBidi"/>
                <w:b w:val="0"/>
                <w:lang w:eastAsia="zh-CN"/>
              </w:rPr>
            </w:pPr>
            <w:r>
              <w:rPr>
                <w:rFonts w:hint="eastAsia" w:cstheme="minorBidi"/>
                <w:b w:val="0"/>
                <w:lang w:val="en-US" w:eastAsia="zh-CN"/>
              </w:rPr>
              <w:t>1</w:t>
            </w:r>
          </w:p>
        </w:tc>
        <w:tc>
          <w:tcPr>
            <w:tcW w:w="889" w:type="pct"/>
            <w:shd w:val="clear" w:color="auto" w:fill="FFFFFF"/>
            <w:vAlign w:val="center"/>
          </w:tcPr>
          <w:p w14:paraId="527C230D">
            <w:pPr>
              <w:pStyle w:val="50"/>
              <w:rPr>
                <w:rFonts w:cstheme="minorBidi"/>
                <w:b w:val="0"/>
              </w:rPr>
            </w:pPr>
          </w:p>
        </w:tc>
      </w:tr>
      <w:tr w14:paraId="3D714B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shd w:val="clear" w:color="auto" w:fill="FFFFFF"/>
            <w:vAlign w:val="center"/>
          </w:tcPr>
          <w:p w14:paraId="42D1A9CD">
            <w:pPr>
              <w:pStyle w:val="50"/>
              <w:rPr>
                <w:rFonts w:cstheme="minorBidi"/>
                <w:b w:val="0"/>
              </w:rPr>
            </w:pPr>
            <w:r>
              <w:rPr>
                <w:rFonts w:hint="eastAsia" w:cstheme="minorBidi"/>
                <w:b w:val="0"/>
              </w:rPr>
              <w:t>5</w:t>
            </w:r>
          </w:p>
        </w:tc>
        <w:tc>
          <w:tcPr>
            <w:tcW w:w="2166" w:type="pct"/>
            <w:shd w:val="clear" w:color="auto" w:fill="FFFFFF"/>
            <w:vAlign w:val="center"/>
          </w:tcPr>
          <w:p w14:paraId="7D3D378A">
            <w:pPr>
              <w:pStyle w:val="50"/>
              <w:rPr>
                <w:rFonts w:cstheme="minorBidi"/>
                <w:b w:val="0"/>
              </w:rPr>
            </w:pPr>
            <w:r>
              <w:rPr>
                <w:rFonts w:hint="eastAsia" w:cstheme="minorBidi"/>
                <w:b w:val="0"/>
              </w:rPr>
              <w:t>电气调试、钢丝绳穿绕</w:t>
            </w:r>
          </w:p>
        </w:tc>
        <w:tc>
          <w:tcPr>
            <w:tcW w:w="968" w:type="pct"/>
            <w:shd w:val="clear" w:color="auto" w:fill="FFFFFF"/>
            <w:vAlign w:val="center"/>
          </w:tcPr>
          <w:p w14:paraId="52E87BB3">
            <w:pPr>
              <w:pStyle w:val="50"/>
              <w:rPr>
                <w:rFonts w:hint="eastAsia" w:eastAsia="宋体" w:cstheme="minorBidi"/>
                <w:b w:val="0"/>
                <w:lang w:eastAsia="zh-CN"/>
              </w:rPr>
            </w:pPr>
            <w:r>
              <w:rPr>
                <w:rFonts w:hint="eastAsia" w:cstheme="minorBidi"/>
                <w:b w:val="0"/>
                <w:lang w:val="en-US" w:eastAsia="zh-CN"/>
              </w:rPr>
              <w:t>50T汽车吊</w:t>
            </w:r>
          </w:p>
        </w:tc>
        <w:tc>
          <w:tcPr>
            <w:tcW w:w="534" w:type="pct"/>
            <w:shd w:val="clear" w:color="auto" w:fill="FFFFFF"/>
            <w:vAlign w:val="center"/>
          </w:tcPr>
          <w:p w14:paraId="24465278">
            <w:pPr>
              <w:pStyle w:val="50"/>
              <w:rPr>
                <w:rFonts w:cstheme="minorBidi"/>
                <w:b w:val="0"/>
              </w:rPr>
            </w:pPr>
            <w:r>
              <w:rPr>
                <w:rFonts w:hint="eastAsia" w:cstheme="minorBidi"/>
                <w:b w:val="0"/>
              </w:rPr>
              <w:t>1</w:t>
            </w:r>
          </w:p>
        </w:tc>
        <w:tc>
          <w:tcPr>
            <w:tcW w:w="889" w:type="pct"/>
            <w:shd w:val="clear" w:color="auto" w:fill="FFFFFF"/>
            <w:vAlign w:val="center"/>
          </w:tcPr>
          <w:p w14:paraId="2A8E6027">
            <w:pPr>
              <w:pStyle w:val="50"/>
              <w:rPr>
                <w:rFonts w:cstheme="minorBidi"/>
                <w:b w:val="0"/>
              </w:rPr>
            </w:pPr>
          </w:p>
        </w:tc>
      </w:tr>
      <w:tr w14:paraId="44FEC6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shd w:val="clear" w:color="auto" w:fill="FFFFFF"/>
            <w:vAlign w:val="center"/>
          </w:tcPr>
          <w:p w14:paraId="41FB414C">
            <w:pPr>
              <w:pStyle w:val="50"/>
              <w:rPr>
                <w:rFonts w:cstheme="minorBidi"/>
                <w:b w:val="0"/>
              </w:rPr>
            </w:pPr>
            <w:r>
              <w:rPr>
                <w:rFonts w:hint="eastAsia" w:cstheme="minorBidi"/>
                <w:b w:val="0"/>
              </w:rPr>
              <w:t>6</w:t>
            </w:r>
          </w:p>
        </w:tc>
        <w:tc>
          <w:tcPr>
            <w:tcW w:w="2166" w:type="pct"/>
            <w:shd w:val="clear" w:color="auto" w:fill="FFFFFF"/>
            <w:vAlign w:val="center"/>
          </w:tcPr>
          <w:p w14:paraId="6A6E1A6B">
            <w:pPr>
              <w:pStyle w:val="50"/>
              <w:rPr>
                <w:rFonts w:hint="eastAsia" w:eastAsia="宋体" w:cstheme="minorBidi"/>
                <w:b w:val="0"/>
                <w:lang w:eastAsia="zh-CN"/>
              </w:rPr>
            </w:pPr>
            <w:r>
              <w:rPr>
                <w:rFonts w:hint="eastAsia" w:cstheme="minorBidi"/>
                <w:b w:val="0"/>
              </w:rPr>
              <w:t>顶升加节</w:t>
            </w:r>
            <w:r>
              <w:rPr>
                <w:rFonts w:hint="eastAsia" w:cstheme="minorBidi"/>
                <w:b w:val="0"/>
                <w:lang w:eastAsia="zh-CN"/>
              </w:rPr>
              <w:t>（</w:t>
            </w:r>
            <w:r>
              <w:rPr>
                <w:rFonts w:hint="eastAsia" w:cstheme="minorBidi"/>
                <w:b w:val="0"/>
                <w:lang w:val="en-US" w:eastAsia="zh-CN"/>
              </w:rPr>
              <w:t>16节标准节</w:t>
            </w:r>
            <w:r>
              <w:rPr>
                <w:rFonts w:hint="eastAsia" w:cstheme="minorBidi"/>
                <w:b w:val="0"/>
                <w:lang w:eastAsia="zh-CN"/>
              </w:rPr>
              <w:t>）</w:t>
            </w:r>
          </w:p>
        </w:tc>
        <w:tc>
          <w:tcPr>
            <w:tcW w:w="968" w:type="pct"/>
            <w:shd w:val="clear" w:color="auto" w:fill="FFFFFF"/>
            <w:vAlign w:val="center"/>
          </w:tcPr>
          <w:p w14:paraId="5A69F48A">
            <w:pPr>
              <w:pStyle w:val="50"/>
              <w:rPr>
                <w:rFonts w:hint="default" w:eastAsia="宋体" w:cstheme="minorBidi"/>
                <w:b w:val="0"/>
                <w:lang w:val="en-US" w:eastAsia="zh-CN"/>
              </w:rPr>
            </w:pPr>
          </w:p>
        </w:tc>
        <w:tc>
          <w:tcPr>
            <w:tcW w:w="534" w:type="pct"/>
            <w:shd w:val="clear" w:color="auto" w:fill="FFFFFF"/>
            <w:vAlign w:val="center"/>
          </w:tcPr>
          <w:p w14:paraId="29A82BD6">
            <w:pPr>
              <w:pStyle w:val="50"/>
              <w:rPr>
                <w:rFonts w:hint="default" w:eastAsia="宋体" w:cstheme="minorBidi"/>
                <w:b w:val="0"/>
                <w:lang w:val="en-US" w:eastAsia="zh-CN"/>
              </w:rPr>
            </w:pPr>
            <w:r>
              <w:rPr>
                <w:rFonts w:hint="eastAsia" w:cstheme="minorBidi"/>
                <w:b w:val="0"/>
                <w:lang w:val="en-US" w:eastAsia="zh-CN"/>
              </w:rPr>
              <w:t>2</w:t>
            </w:r>
          </w:p>
        </w:tc>
        <w:tc>
          <w:tcPr>
            <w:tcW w:w="889" w:type="pct"/>
            <w:shd w:val="clear" w:color="auto" w:fill="FFFFFF"/>
            <w:vAlign w:val="center"/>
          </w:tcPr>
          <w:p w14:paraId="59346ABA">
            <w:pPr>
              <w:pStyle w:val="50"/>
              <w:rPr>
                <w:rFonts w:cstheme="minorBidi"/>
                <w:b w:val="0"/>
              </w:rPr>
            </w:pPr>
          </w:p>
        </w:tc>
      </w:tr>
      <w:tr w14:paraId="33144E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41" w:type="pct"/>
            <w:shd w:val="clear" w:color="auto" w:fill="FFFFFF"/>
            <w:vAlign w:val="center"/>
          </w:tcPr>
          <w:p w14:paraId="36D6779F">
            <w:pPr>
              <w:pStyle w:val="50"/>
              <w:rPr>
                <w:rFonts w:cstheme="minorBidi"/>
                <w:b w:val="0"/>
              </w:rPr>
            </w:pPr>
            <w:r>
              <w:rPr>
                <w:rFonts w:hint="eastAsia" w:cstheme="minorBidi"/>
                <w:b w:val="0"/>
              </w:rPr>
              <w:t>7</w:t>
            </w:r>
          </w:p>
        </w:tc>
        <w:tc>
          <w:tcPr>
            <w:tcW w:w="2166" w:type="pct"/>
            <w:shd w:val="clear" w:color="auto" w:fill="FFFFFF"/>
            <w:vAlign w:val="center"/>
          </w:tcPr>
          <w:p w14:paraId="43324909">
            <w:pPr>
              <w:pStyle w:val="50"/>
              <w:rPr>
                <w:rFonts w:cstheme="minorBidi"/>
                <w:b w:val="0"/>
              </w:rPr>
            </w:pPr>
            <w:r>
              <w:rPr>
                <w:rFonts w:hint="eastAsia" w:cstheme="minorBidi"/>
                <w:b w:val="0"/>
              </w:rPr>
              <w:t>试吊验收</w:t>
            </w:r>
          </w:p>
        </w:tc>
        <w:tc>
          <w:tcPr>
            <w:tcW w:w="968" w:type="pct"/>
            <w:shd w:val="clear" w:color="auto" w:fill="FFFFFF"/>
            <w:vAlign w:val="center"/>
          </w:tcPr>
          <w:p w14:paraId="1EA31A0C">
            <w:pPr>
              <w:pStyle w:val="50"/>
              <w:rPr>
                <w:rFonts w:cstheme="minorBidi"/>
                <w:b w:val="0"/>
              </w:rPr>
            </w:pPr>
          </w:p>
        </w:tc>
        <w:tc>
          <w:tcPr>
            <w:tcW w:w="534" w:type="pct"/>
            <w:shd w:val="clear" w:color="auto" w:fill="FFFFFF"/>
            <w:vAlign w:val="center"/>
          </w:tcPr>
          <w:p w14:paraId="1D46F7CA">
            <w:pPr>
              <w:pStyle w:val="50"/>
              <w:rPr>
                <w:rFonts w:cstheme="minorBidi"/>
                <w:b w:val="0"/>
              </w:rPr>
            </w:pPr>
            <w:r>
              <w:rPr>
                <w:rFonts w:hint="eastAsia" w:cstheme="minorBidi"/>
                <w:b w:val="0"/>
              </w:rPr>
              <w:t>1</w:t>
            </w:r>
          </w:p>
        </w:tc>
        <w:tc>
          <w:tcPr>
            <w:tcW w:w="889" w:type="pct"/>
            <w:shd w:val="clear" w:color="auto" w:fill="FFFFFF"/>
            <w:vAlign w:val="center"/>
          </w:tcPr>
          <w:p w14:paraId="7016E29E">
            <w:pPr>
              <w:pStyle w:val="50"/>
              <w:rPr>
                <w:rFonts w:cstheme="minorBidi"/>
                <w:b w:val="0"/>
              </w:rPr>
            </w:pPr>
          </w:p>
        </w:tc>
      </w:tr>
      <w:tr w14:paraId="7FAED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76" w:type="pct"/>
            <w:gridSpan w:val="3"/>
            <w:shd w:val="clear" w:color="auto" w:fill="FFFFFF"/>
            <w:vAlign w:val="center"/>
          </w:tcPr>
          <w:p w14:paraId="018851E9">
            <w:pPr>
              <w:pStyle w:val="50"/>
              <w:rPr>
                <w:rFonts w:cstheme="minorBidi"/>
                <w:b w:val="0"/>
              </w:rPr>
            </w:pPr>
            <w:r>
              <w:rPr>
                <w:rFonts w:hint="eastAsia" w:cstheme="minorBidi"/>
                <w:b w:val="0"/>
              </w:rPr>
              <w:t>合计</w:t>
            </w:r>
          </w:p>
        </w:tc>
        <w:tc>
          <w:tcPr>
            <w:tcW w:w="534" w:type="pct"/>
            <w:shd w:val="clear" w:color="auto" w:fill="FFFFFF"/>
            <w:vAlign w:val="center"/>
          </w:tcPr>
          <w:p w14:paraId="0FA663F4">
            <w:pPr>
              <w:pStyle w:val="50"/>
              <w:rPr>
                <w:rFonts w:hint="default" w:eastAsia="宋体" w:cstheme="minorBidi"/>
                <w:b w:val="0"/>
                <w:lang w:val="en-US" w:eastAsia="zh-CN"/>
              </w:rPr>
            </w:pPr>
            <w:r>
              <w:rPr>
                <w:rFonts w:hint="eastAsia" w:cstheme="minorBidi"/>
                <w:b w:val="0"/>
                <w:lang w:val="en-US" w:eastAsia="zh-CN"/>
              </w:rPr>
              <w:t>7</w:t>
            </w:r>
          </w:p>
        </w:tc>
        <w:tc>
          <w:tcPr>
            <w:tcW w:w="889" w:type="pct"/>
            <w:shd w:val="clear" w:color="auto" w:fill="FFFFFF"/>
            <w:vAlign w:val="center"/>
          </w:tcPr>
          <w:p w14:paraId="30BE9703">
            <w:pPr>
              <w:pStyle w:val="50"/>
              <w:rPr>
                <w:rFonts w:cstheme="minorBidi"/>
                <w:b w:val="0"/>
              </w:rPr>
            </w:pPr>
          </w:p>
        </w:tc>
      </w:tr>
    </w:tbl>
    <w:p w14:paraId="0E971026">
      <w:pPr>
        <w:ind w:firstLine="480"/>
        <w:rPr>
          <w:rFonts w:hint="eastAsia"/>
        </w:rPr>
      </w:pPr>
    </w:p>
    <w:p w14:paraId="7F8153FD">
      <w:pPr>
        <w:pStyle w:val="3"/>
        <w:pBdr>
          <w:top w:val="none" w:color="auto" w:sz="0" w:space="0"/>
          <w:left w:val="none" w:color="auto" w:sz="0" w:space="0"/>
          <w:bottom w:val="none" w:color="auto" w:sz="0" w:space="0"/>
          <w:right w:val="none" w:color="auto" w:sz="0" w:space="0"/>
          <w:between w:val="none" w:color="auto" w:sz="0" w:space="0"/>
        </w:pBdr>
        <w:rPr>
          <w:b/>
          <w:bCs w:val="0"/>
          <w:sz w:val="28"/>
          <w:szCs w:val="28"/>
        </w:rPr>
      </w:pPr>
      <w:bookmarkStart w:id="67" w:name="_Toc24197"/>
      <w:bookmarkStart w:id="68" w:name="_Toc25122"/>
      <w:bookmarkStart w:id="69" w:name="_Toc20771"/>
      <w:bookmarkStart w:id="70" w:name="_Toc2000"/>
      <w:r>
        <w:rPr>
          <w:rFonts w:hint="eastAsia"/>
          <w:b/>
          <w:bCs w:val="0"/>
          <w:sz w:val="28"/>
          <w:szCs w:val="28"/>
        </w:rPr>
        <w:t>材料及设备计划</w:t>
      </w:r>
      <w:bookmarkEnd w:id="67"/>
      <w:bookmarkEnd w:id="68"/>
      <w:bookmarkEnd w:id="69"/>
      <w:bookmarkEnd w:id="70"/>
    </w:p>
    <w:p w14:paraId="25EF50C3">
      <w:pPr>
        <w:ind w:firstLine="480"/>
      </w:pPr>
      <w:r>
        <w:rPr>
          <w:rFonts w:hint="eastAsia"/>
        </w:rPr>
        <w:t>为保证现场设备安拆，材料及设备计划下表</w:t>
      </w:r>
    </w:p>
    <w:p w14:paraId="303C5FA5">
      <w:pPr>
        <w:pStyle w:val="16"/>
        <w:rPr>
          <w:rFonts w:hint="eastAsia" w:ascii="Times New Roman" w:hAnsi="Times New Roman" w:eastAsia="宋体" w:cs="Times New Roman"/>
          <w:b w:val="0"/>
          <w:kern w:val="2"/>
          <w:sz w:val="24"/>
          <w:szCs w:val="21"/>
          <w:lang w:val="en-US" w:eastAsia="zh-CN" w:bidi="ar-SA"/>
        </w:rPr>
      </w:pPr>
      <w:r>
        <w:rPr>
          <w:rFonts w:hint="eastAsia" w:ascii="Times New Roman" w:hAnsi="Times New Roman" w:eastAsia="宋体" w:cstheme="majorBidi"/>
          <w:b/>
          <w:color w:val="auto"/>
          <w:kern w:val="2"/>
          <w:sz w:val="21"/>
          <w:szCs w:val="20"/>
          <w:lang w:val="en-US" w:eastAsia="zh-CN" w:bidi="ar-SA"/>
        </w:rPr>
        <w:t xml:space="preserve">表 </w:t>
      </w:r>
      <w:r>
        <w:rPr>
          <w:rFonts w:hint="eastAsia" w:ascii="Times New Roman" w:hAnsi="Times New Roman" w:eastAsia="宋体" w:cstheme="majorBidi"/>
          <w:b/>
          <w:color w:val="auto"/>
          <w:kern w:val="2"/>
          <w:sz w:val="21"/>
          <w:szCs w:val="20"/>
          <w:lang w:val="en-US" w:eastAsia="zh-CN" w:bidi="ar-SA"/>
        </w:rPr>
        <w:fldChar w:fldCharType="begin"/>
      </w:r>
      <w:r>
        <w:rPr>
          <w:rFonts w:hint="eastAsia" w:ascii="Times New Roman" w:hAnsi="Times New Roman" w:eastAsia="宋体" w:cstheme="majorBidi"/>
          <w:b/>
          <w:color w:val="auto"/>
          <w:kern w:val="2"/>
          <w:sz w:val="21"/>
          <w:szCs w:val="20"/>
          <w:lang w:val="en-US" w:eastAsia="zh-CN" w:bidi="ar-SA"/>
        </w:rPr>
        <w:instrText xml:space="preserve"> STYLEREF 3 \s </w:instrText>
      </w:r>
      <w:r>
        <w:rPr>
          <w:rFonts w:hint="eastAsia" w:ascii="Times New Roman" w:hAnsi="Times New Roman" w:eastAsia="宋体" w:cstheme="majorBidi"/>
          <w:b/>
          <w:color w:val="auto"/>
          <w:kern w:val="2"/>
          <w:sz w:val="21"/>
          <w:szCs w:val="20"/>
          <w:lang w:val="en-US" w:eastAsia="zh-CN" w:bidi="ar-SA"/>
        </w:rPr>
        <w:fldChar w:fldCharType="separate"/>
      </w:r>
      <w:r>
        <w:rPr>
          <w:rFonts w:hint="eastAsia" w:ascii="Times New Roman" w:hAnsi="Times New Roman" w:eastAsia="宋体" w:cstheme="majorBidi"/>
          <w:b/>
          <w:color w:val="auto"/>
          <w:kern w:val="2"/>
          <w:sz w:val="21"/>
          <w:szCs w:val="20"/>
          <w:lang w:val="en-US" w:eastAsia="zh-CN" w:bidi="ar-SA"/>
        </w:rPr>
        <w:t>3.3</w:t>
      </w:r>
      <w:r>
        <w:rPr>
          <w:rFonts w:hint="eastAsia" w:ascii="Times New Roman" w:hAnsi="Times New Roman" w:eastAsia="宋体" w:cstheme="majorBidi"/>
          <w:b/>
          <w:color w:val="auto"/>
          <w:kern w:val="2"/>
          <w:sz w:val="21"/>
          <w:szCs w:val="20"/>
          <w:lang w:val="en-US" w:eastAsia="zh-CN" w:bidi="ar-SA"/>
        </w:rPr>
        <w:fldChar w:fldCharType="end"/>
      </w:r>
      <w:r>
        <w:rPr>
          <w:rFonts w:hint="eastAsia" w:ascii="Times New Roman" w:hAnsi="Times New Roman" w:eastAsia="宋体" w:cstheme="majorBidi"/>
          <w:b/>
          <w:color w:val="auto"/>
          <w:kern w:val="2"/>
          <w:sz w:val="21"/>
          <w:szCs w:val="20"/>
          <w:lang w:val="en-US" w:eastAsia="zh-CN" w:bidi="ar-SA"/>
        </w:rPr>
        <w:noBreakHyphen/>
      </w:r>
      <w:r>
        <w:rPr>
          <w:rFonts w:hint="eastAsia" w:ascii="Times New Roman" w:hAnsi="Times New Roman" w:eastAsia="宋体" w:cstheme="majorBidi"/>
          <w:b/>
          <w:color w:val="auto"/>
          <w:kern w:val="2"/>
          <w:sz w:val="21"/>
          <w:szCs w:val="20"/>
          <w:lang w:val="en-US" w:eastAsia="zh-CN" w:bidi="ar-SA"/>
        </w:rPr>
        <w:fldChar w:fldCharType="begin"/>
      </w:r>
      <w:r>
        <w:rPr>
          <w:rFonts w:hint="eastAsia" w:ascii="Times New Roman" w:hAnsi="Times New Roman" w:eastAsia="宋体" w:cstheme="majorBidi"/>
          <w:b/>
          <w:color w:val="auto"/>
          <w:kern w:val="2"/>
          <w:sz w:val="21"/>
          <w:szCs w:val="20"/>
          <w:lang w:val="en-US" w:eastAsia="zh-CN" w:bidi="ar-SA"/>
        </w:rPr>
        <w:instrText xml:space="preserve"> SEQ 表 \* ARABIC \s 3 </w:instrText>
      </w:r>
      <w:r>
        <w:rPr>
          <w:rFonts w:hint="eastAsia" w:ascii="Times New Roman" w:hAnsi="Times New Roman" w:eastAsia="宋体" w:cstheme="majorBidi"/>
          <w:b/>
          <w:color w:val="auto"/>
          <w:kern w:val="2"/>
          <w:sz w:val="21"/>
          <w:szCs w:val="20"/>
          <w:lang w:val="en-US" w:eastAsia="zh-CN" w:bidi="ar-SA"/>
        </w:rPr>
        <w:fldChar w:fldCharType="separate"/>
      </w:r>
      <w:r>
        <w:rPr>
          <w:rFonts w:hint="eastAsia" w:ascii="Times New Roman" w:hAnsi="Times New Roman" w:eastAsia="宋体" w:cstheme="majorBidi"/>
          <w:b/>
          <w:color w:val="auto"/>
          <w:kern w:val="2"/>
          <w:sz w:val="21"/>
          <w:szCs w:val="20"/>
          <w:lang w:val="en-US" w:eastAsia="zh-CN" w:bidi="ar-SA"/>
        </w:rPr>
        <w:t>1</w:t>
      </w:r>
      <w:r>
        <w:rPr>
          <w:rFonts w:hint="eastAsia" w:ascii="Times New Roman" w:hAnsi="Times New Roman" w:eastAsia="宋体" w:cstheme="majorBidi"/>
          <w:b/>
          <w:color w:val="auto"/>
          <w:kern w:val="2"/>
          <w:sz w:val="21"/>
          <w:szCs w:val="20"/>
          <w:lang w:val="en-US" w:eastAsia="zh-CN" w:bidi="ar-SA"/>
        </w:rPr>
        <w:fldChar w:fldCharType="end"/>
      </w:r>
      <w:r>
        <w:rPr>
          <w:rFonts w:hint="eastAsia" w:ascii="Times New Roman" w:hAnsi="Times New Roman" w:eastAsia="宋体" w:cstheme="majorBidi"/>
          <w:b/>
          <w:color w:val="auto"/>
          <w:kern w:val="2"/>
          <w:sz w:val="21"/>
          <w:szCs w:val="20"/>
          <w:lang w:val="en-US" w:eastAsia="zh-CN" w:bidi="ar-SA"/>
        </w:rPr>
        <w:t>材料及设备计划表</w:t>
      </w:r>
    </w:p>
    <w:tbl>
      <w:tblPr>
        <w:tblStyle w:val="8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693"/>
        <w:gridCol w:w="1571"/>
        <w:gridCol w:w="2275"/>
        <w:gridCol w:w="732"/>
        <w:gridCol w:w="3829"/>
      </w:tblGrid>
      <w:tr w14:paraId="737AE7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tcBorders>
              <w:tl2br w:val="nil"/>
            </w:tcBorders>
            <w:shd w:val="clear" w:color="auto" w:fill="FFFFFF"/>
            <w:vAlign w:val="center"/>
          </w:tcPr>
          <w:p w14:paraId="242EAB96">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序号</w:t>
            </w:r>
          </w:p>
        </w:tc>
        <w:tc>
          <w:tcPr>
            <w:tcW w:w="863" w:type="pct"/>
            <w:shd w:val="clear" w:color="auto" w:fill="FFFFFF"/>
            <w:vAlign w:val="center"/>
          </w:tcPr>
          <w:p w14:paraId="04C0F5A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名称</w:t>
            </w:r>
          </w:p>
        </w:tc>
        <w:tc>
          <w:tcPr>
            <w:tcW w:w="1250" w:type="pct"/>
            <w:shd w:val="clear" w:color="auto" w:fill="FFFFFF"/>
            <w:vAlign w:val="center"/>
          </w:tcPr>
          <w:p w14:paraId="63B591DB">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型号</w:t>
            </w:r>
          </w:p>
        </w:tc>
        <w:tc>
          <w:tcPr>
            <w:tcW w:w="402" w:type="pct"/>
            <w:shd w:val="clear" w:color="auto" w:fill="FFFFFF"/>
            <w:vAlign w:val="center"/>
          </w:tcPr>
          <w:p w14:paraId="1A601E3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数量</w:t>
            </w:r>
          </w:p>
        </w:tc>
        <w:tc>
          <w:tcPr>
            <w:tcW w:w="2101" w:type="pct"/>
            <w:shd w:val="clear" w:color="auto" w:fill="FFFFFF"/>
            <w:vAlign w:val="center"/>
          </w:tcPr>
          <w:p w14:paraId="0C3AF570">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备注</w:t>
            </w:r>
          </w:p>
        </w:tc>
      </w:tr>
      <w:tr w14:paraId="07578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09E9FAF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一、主要机械设备表</w:t>
            </w:r>
          </w:p>
        </w:tc>
      </w:tr>
      <w:tr w14:paraId="671BCF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72775CE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w:t>
            </w:r>
          </w:p>
        </w:tc>
        <w:tc>
          <w:tcPr>
            <w:tcW w:w="863" w:type="pct"/>
            <w:shd w:val="clear" w:color="auto" w:fill="FFFFFF"/>
            <w:vAlign w:val="center"/>
          </w:tcPr>
          <w:p w14:paraId="27A19BB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汽车吊</w:t>
            </w:r>
          </w:p>
        </w:tc>
        <w:tc>
          <w:tcPr>
            <w:tcW w:w="1250" w:type="pct"/>
            <w:shd w:val="clear" w:color="auto" w:fill="FFFFFF"/>
            <w:vAlign w:val="center"/>
          </w:tcPr>
          <w:p w14:paraId="77F2580F">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lang w:val="en-US" w:eastAsia="zh-CN"/>
              </w:rPr>
              <w:t>50T</w:t>
            </w:r>
          </w:p>
        </w:tc>
        <w:tc>
          <w:tcPr>
            <w:tcW w:w="402" w:type="pct"/>
            <w:shd w:val="clear" w:color="auto" w:fill="FFFFFF"/>
            <w:vAlign w:val="center"/>
          </w:tcPr>
          <w:p w14:paraId="794B266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 台</w:t>
            </w:r>
          </w:p>
        </w:tc>
        <w:tc>
          <w:tcPr>
            <w:tcW w:w="2101" w:type="pct"/>
            <w:shd w:val="clear" w:color="auto" w:fill="FFFFFF"/>
            <w:vAlign w:val="center"/>
          </w:tcPr>
          <w:p w14:paraId="595536DF">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拆除</w:t>
            </w:r>
          </w:p>
        </w:tc>
      </w:tr>
      <w:tr w14:paraId="46DA5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5A31A91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二、主要吊索具表</w:t>
            </w:r>
          </w:p>
        </w:tc>
      </w:tr>
      <w:tr w14:paraId="309AED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72D1BBE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w:t>
            </w:r>
          </w:p>
        </w:tc>
        <w:tc>
          <w:tcPr>
            <w:tcW w:w="863" w:type="pct"/>
            <w:shd w:val="clear" w:color="auto" w:fill="FFFFFF"/>
            <w:vAlign w:val="center"/>
          </w:tcPr>
          <w:p w14:paraId="1619F8E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起重用钢丝绳</w:t>
            </w:r>
          </w:p>
        </w:tc>
        <w:tc>
          <w:tcPr>
            <w:tcW w:w="1250" w:type="pct"/>
            <w:shd w:val="clear" w:color="auto" w:fill="FFFFFF"/>
            <w:vAlign w:val="center"/>
          </w:tcPr>
          <w:p w14:paraId="2C80BD0B">
            <w:pPr>
              <w:widowControl w:val="0"/>
              <w:spacing w:line="240" w:lineRule="auto"/>
              <w:ind w:firstLine="0" w:firstLineChars="0"/>
              <w:jc w:val="center"/>
              <w:rPr>
                <w:rFonts w:hint="default"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6*19</w:t>
            </w:r>
            <w:r>
              <w:rPr>
                <w:rFonts w:hint="eastAsia" w:cstheme="minorBidi"/>
                <w:b w:val="0"/>
                <w:color w:val="000000"/>
                <w:kern w:val="2"/>
                <w:sz w:val="21"/>
                <w:szCs w:val="21"/>
                <w:lang w:val="en-US" w:eastAsia="zh-CN" w:bidi="ar-SA"/>
              </w:rPr>
              <w:t>S</w:t>
            </w:r>
            <w:r>
              <w:rPr>
                <w:rFonts w:hint="eastAsia" w:ascii="Times New Roman" w:hAnsi="Times New Roman" w:eastAsia="宋体" w:cstheme="minorBidi"/>
                <w:b w:val="0"/>
                <w:color w:val="000000"/>
                <w:kern w:val="2"/>
                <w:sz w:val="21"/>
                <w:szCs w:val="21"/>
                <w:lang w:val="en-US" w:eastAsia="zh-CN" w:bidi="ar-SA"/>
              </w:rPr>
              <w:t>+FC-1</w:t>
            </w:r>
            <w:r>
              <w:rPr>
                <w:rFonts w:hint="eastAsia" w:cstheme="minorBidi"/>
                <w:b w:val="0"/>
                <w:color w:val="000000"/>
                <w:kern w:val="2"/>
                <w:sz w:val="21"/>
                <w:szCs w:val="21"/>
                <w:lang w:val="en-US" w:eastAsia="zh-CN" w:bidi="ar-SA"/>
              </w:rPr>
              <w:t>8</w:t>
            </w:r>
            <w:r>
              <w:rPr>
                <w:rFonts w:hint="eastAsia" w:ascii="Times New Roman" w:hAnsi="Times New Roman" w:eastAsia="宋体" w:cstheme="minorBidi"/>
                <w:b w:val="0"/>
                <w:color w:val="000000"/>
                <w:kern w:val="2"/>
                <w:sz w:val="21"/>
                <w:szCs w:val="21"/>
                <w:lang w:val="en-US" w:eastAsia="zh-CN" w:bidi="ar-SA"/>
              </w:rPr>
              <w:t>70-</w:t>
            </w:r>
            <w:r>
              <w:rPr>
                <w:rFonts w:hint="eastAsia" w:cstheme="minorBidi"/>
                <w:b w:val="0"/>
                <w:color w:val="000000"/>
                <w:kern w:val="2"/>
                <w:sz w:val="21"/>
                <w:szCs w:val="21"/>
                <w:lang w:val="en-US" w:eastAsia="zh-CN" w:bidi="ar-SA"/>
              </w:rPr>
              <w:t>16</w:t>
            </w:r>
          </w:p>
        </w:tc>
        <w:tc>
          <w:tcPr>
            <w:tcW w:w="402" w:type="pct"/>
            <w:shd w:val="clear" w:color="auto" w:fill="FFFFFF"/>
            <w:vAlign w:val="center"/>
          </w:tcPr>
          <w:p w14:paraId="0A55785F">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2</w:t>
            </w:r>
            <w:r>
              <w:rPr>
                <w:rFonts w:hint="eastAsia" w:ascii="Times New Roman" w:hAnsi="Times New Roman" w:eastAsia="宋体" w:cstheme="minorBidi"/>
                <w:b w:val="0"/>
                <w:color w:val="000000"/>
                <w:kern w:val="2"/>
                <w:sz w:val="21"/>
                <w:szCs w:val="21"/>
                <w:lang w:val="en-US" w:eastAsia="zh-CN" w:bidi="ar-SA"/>
              </w:rPr>
              <w:t xml:space="preserve"> 根</w:t>
            </w:r>
          </w:p>
        </w:tc>
        <w:tc>
          <w:tcPr>
            <w:tcW w:w="2101" w:type="pct"/>
            <w:shd w:val="clear" w:color="auto" w:fill="FFFFFF"/>
            <w:vAlign w:val="center"/>
          </w:tcPr>
          <w:p w14:paraId="09A8767B">
            <w:pPr>
              <w:widowControl w:val="0"/>
              <w:spacing w:line="240" w:lineRule="auto"/>
              <w:ind w:firstLine="0" w:firstLineChars="0"/>
              <w:jc w:val="center"/>
              <w:rPr>
                <w:rFonts w:hint="default" w:ascii="Times New Roman" w:hAnsi="Times New Roman" w:eastAsia="宋体" w:cstheme="minorBidi"/>
                <w:b w:val="0"/>
                <w:color w:val="000000"/>
                <w:kern w:val="2"/>
                <w:sz w:val="21"/>
                <w:szCs w:val="21"/>
                <w:highlight w:val="none"/>
                <w:lang w:val="en-US" w:eastAsia="zh-CN" w:bidi="ar-SA"/>
              </w:rPr>
            </w:pPr>
            <w:r>
              <w:rPr>
                <w:rFonts w:hint="eastAsia" w:ascii="Times New Roman" w:hAnsi="Times New Roman" w:eastAsia="宋体" w:cstheme="minorBidi"/>
                <w:b w:val="0"/>
                <w:color w:val="000000"/>
                <w:kern w:val="2"/>
                <w:sz w:val="21"/>
                <w:szCs w:val="21"/>
                <w:highlight w:val="none"/>
                <w:lang w:val="en-US" w:eastAsia="zh-CN" w:bidi="ar-SA"/>
              </w:rPr>
              <w:t>吊装</w:t>
            </w:r>
            <w:r>
              <w:rPr>
                <w:rFonts w:hint="eastAsia" w:cstheme="minorBidi"/>
                <w:b w:val="0"/>
                <w:color w:val="000000"/>
                <w:kern w:val="2"/>
                <w:sz w:val="21"/>
                <w:szCs w:val="21"/>
                <w:highlight w:val="none"/>
                <w:lang w:val="en-US" w:eastAsia="zh-CN" w:bidi="ar-SA"/>
              </w:rPr>
              <w:t>平衡重、起重臂</w:t>
            </w:r>
          </w:p>
        </w:tc>
      </w:tr>
      <w:tr w14:paraId="28DAF1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1656D58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w:t>
            </w:r>
          </w:p>
        </w:tc>
        <w:tc>
          <w:tcPr>
            <w:tcW w:w="863" w:type="pct"/>
            <w:shd w:val="clear" w:color="auto" w:fill="FFFFFF"/>
            <w:vAlign w:val="center"/>
          </w:tcPr>
          <w:p w14:paraId="0868C1D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起重用钢丝绳</w:t>
            </w:r>
          </w:p>
        </w:tc>
        <w:tc>
          <w:tcPr>
            <w:tcW w:w="1250" w:type="pct"/>
            <w:shd w:val="clear" w:color="auto" w:fill="FFFFFF"/>
            <w:vAlign w:val="center"/>
          </w:tcPr>
          <w:p w14:paraId="7979B3C5">
            <w:pPr>
              <w:widowControl w:val="0"/>
              <w:spacing w:line="240" w:lineRule="auto"/>
              <w:ind w:firstLine="0" w:firstLineChars="0"/>
              <w:jc w:val="center"/>
              <w:rPr>
                <w:rFonts w:hint="default"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6*19</w:t>
            </w:r>
            <w:r>
              <w:rPr>
                <w:rFonts w:hint="eastAsia" w:cstheme="minorBidi"/>
                <w:b w:val="0"/>
                <w:color w:val="000000"/>
                <w:kern w:val="2"/>
                <w:sz w:val="21"/>
                <w:szCs w:val="21"/>
                <w:lang w:val="en-US" w:eastAsia="zh-CN" w:bidi="ar-SA"/>
              </w:rPr>
              <w:t>S</w:t>
            </w:r>
            <w:r>
              <w:rPr>
                <w:rFonts w:hint="eastAsia" w:ascii="Times New Roman" w:hAnsi="Times New Roman" w:eastAsia="宋体" w:cstheme="minorBidi"/>
                <w:b w:val="0"/>
                <w:color w:val="000000"/>
                <w:kern w:val="2"/>
                <w:sz w:val="21"/>
                <w:szCs w:val="21"/>
                <w:lang w:val="en-US" w:eastAsia="zh-CN" w:bidi="ar-SA"/>
              </w:rPr>
              <w:t>+FC-1</w:t>
            </w:r>
            <w:r>
              <w:rPr>
                <w:rFonts w:hint="eastAsia" w:cstheme="minorBidi"/>
                <w:b w:val="0"/>
                <w:color w:val="000000"/>
                <w:kern w:val="2"/>
                <w:sz w:val="21"/>
                <w:szCs w:val="21"/>
                <w:lang w:val="en-US" w:eastAsia="zh-CN" w:bidi="ar-SA"/>
              </w:rPr>
              <w:t>8</w:t>
            </w:r>
            <w:r>
              <w:rPr>
                <w:rFonts w:hint="eastAsia" w:ascii="Times New Roman" w:hAnsi="Times New Roman" w:eastAsia="宋体" w:cstheme="minorBidi"/>
                <w:b w:val="0"/>
                <w:color w:val="000000"/>
                <w:kern w:val="2"/>
                <w:sz w:val="21"/>
                <w:szCs w:val="21"/>
                <w:lang w:val="en-US" w:eastAsia="zh-CN" w:bidi="ar-SA"/>
              </w:rPr>
              <w:t>70-</w:t>
            </w:r>
            <w:r>
              <w:rPr>
                <w:rFonts w:hint="eastAsia" w:cstheme="minorBidi"/>
                <w:b w:val="0"/>
                <w:color w:val="000000"/>
                <w:kern w:val="2"/>
                <w:sz w:val="21"/>
                <w:szCs w:val="21"/>
                <w:lang w:val="en-US" w:eastAsia="zh-CN" w:bidi="ar-SA"/>
              </w:rPr>
              <w:t>18</w:t>
            </w:r>
          </w:p>
        </w:tc>
        <w:tc>
          <w:tcPr>
            <w:tcW w:w="402" w:type="pct"/>
            <w:shd w:val="clear" w:color="auto" w:fill="FFFFFF"/>
            <w:vAlign w:val="center"/>
          </w:tcPr>
          <w:p w14:paraId="1878C9C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根</w:t>
            </w:r>
          </w:p>
        </w:tc>
        <w:tc>
          <w:tcPr>
            <w:tcW w:w="2101" w:type="pct"/>
            <w:shd w:val="clear" w:color="auto" w:fill="FFFFFF"/>
            <w:vAlign w:val="center"/>
          </w:tcPr>
          <w:p w14:paraId="0F561385">
            <w:pPr>
              <w:widowControl w:val="0"/>
              <w:spacing w:line="240" w:lineRule="auto"/>
              <w:ind w:firstLine="0" w:firstLineChars="0"/>
              <w:jc w:val="center"/>
              <w:rPr>
                <w:rFonts w:hint="default" w:ascii="Times New Roman" w:hAnsi="Times New Roman" w:eastAsia="宋体" w:cstheme="minorBidi"/>
                <w:b w:val="0"/>
                <w:color w:val="000000"/>
                <w:kern w:val="2"/>
                <w:sz w:val="21"/>
                <w:szCs w:val="21"/>
                <w:highlight w:val="none"/>
                <w:lang w:val="en-US" w:eastAsia="zh-CN" w:bidi="ar-SA"/>
              </w:rPr>
            </w:pPr>
            <w:r>
              <w:rPr>
                <w:rFonts w:hint="eastAsia" w:cstheme="minorBidi"/>
                <w:b w:val="0"/>
                <w:color w:val="000000"/>
                <w:kern w:val="2"/>
                <w:sz w:val="21"/>
                <w:szCs w:val="21"/>
                <w:highlight w:val="none"/>
                <w:lang w:val="en-US" w:eastAsia="zh-CN" w:bidi="ar-SA"/>
              </w:rPr>
              <w:t>吊装除平衡重、起重臂外的其他构件</w:t>
            </w:r>
          </w:p>
        </w:tc>
      </w:tr>
      <w:tr w14:paraId="030E9F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19CFC53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3</w:t>
            </w:r>
          </w:p>
        </w:tc>
        <w:tc>
          <w:tcPr>
            <w:tcW w:w="863" w:type="pct"/>
            <w:shd w:val="clear" w:color="auto" w:fill="FFFFFF"/>
            <w:vAlign w:val="center"/>
          </w:tcPr>
          <w:p w14:paraId="62849BD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卸 扣</w:t>
            </w:r>
          </w:p>
        </w:tc>
        <w:tc>
          <w:tcPr>
            <w:tcW w:w="1250" w:type="pct"/>
            <w:shd w:val="clear" w:color="auto" w:fill="FFFFFF"/>
            <w:vAlign w:val="center"/>
          </w:tcPr>
          <w:p w14:paraId="0DCF5E6D">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cstheme="minorBidi"/>
                <w:b w:val="0"/>
                <w:color w:val="000000"/>
                <w:kern w:val="2"/>
                <w:sz w:val="21"/>
                <w:szCs w:val="21"/>
                <w:lang w:val="en-US" w:eastAsia="zh-CN" w:bidi="ar-SA"/>
              </w:rPr>
              <w:t>5</w:t>
            </w:r>
            <w:r>
              <w:rPr>
                <w:rFonts w:hint="eastAsia" w:ascii="Times New Roman" w:hAnsi="Times New Roman" w:eastAsia="宋体" w:cstheme="minorBidi"/>
                <w:b w:val="0"/>
                <w:color w:val="000000"/>
                <w:kern w:val="2"/>
                <w:sz w:val="21"/>
                <w:szCs w:val="21"/>
                <w:lang w:val="en-US" w:eastAsia="zh-CN" w:bidi="ar-SA"/>
              </w:rPr>
              <w:t>吨</w:t>
            </w:r>
          </w:p>
        </w:tc>
        <w:tc>
          <w:tcPr>
            <w:tcW w:w="402" w:type="pct"/>
            <w:shd w:val="clear" w:color="auto" w:fill="FFFFFF"/>
            <w:vAlign w:val="center"/>
          </w:tcPr>
          <w:p w14:paraId="6463B57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个</w:t>
            </w:r>
          </w:p>
        </w:tc>
        <w:tc>
          <w:tcPr>
            <w:tcW w:w="2101" w:type="pct"/>
            <w:shd w:val="clear" w:color="auto" w:fill="FFFFFF"/>
            <w:vAlign w:val="center"/>
          </w:tcPr>
          <w:p w14:paraId="2F79BD0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现场拆卸用</w:t>
            </w:r>
          </w:p>
        </w:tc>
      </w:tr>
      <w:tr w14:paraId="564081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6B49AAE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三、主要工具表</w:t>
            </w:r>
          </w:p>
        </w:tc>
      </w:tr>
      <w:tr w14:paraId="0BDAF1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1B7138C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w:t>
            </w:r>
          </w:p>
        </w:tc>
        <w:tc>
          <w:tcPr>
            <w:tcW w:w="863" w:type="pct"/>
            <w:shd w:val="clear" w:color="auto" w:fill="FFFFFF"/>
            <w:vAlign w:val="center"/>
          </w:tcPr>
          <w:p w14:paraId="2F06190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力矩扳手</w:t>
            </w:r>
          </w:p>
        </w:tc>
        <w:tc>
          <w:tcPr>
            <w:tcW w:w="1250" w:type="pct"/>
            <w:shd w:val="clear" w:color="auto" w:fill="FFFFFF"/>
            <w:vAlign w:val="center"/>
          </w:tcPr>
          <w:p w14:paraId="0A5B93CA">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c>
          <w:tcPr>
            <w:tcW w:w="402" w:type="pct"/>
            <w:shd w:val="clear" w:color="auto" w:fill="FFFFFF"/>
            <w:vAlign w:val="center"/>
          </w:tcPr>
          <w:p w14:paraId="21BED7C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 套</w:t>
            </w:r>
          </w:p>
        </w:tc>
        <w:tc>
          <w:tcPr>
            <w:tcW w:w="2101" w:type="pct"/>
            <w:shd w:val="clear" w:color="auto" w:fill="FFFFFF"/>
            <w:vAlign w:val="center"/>
          </w:tcPr>
          <w:p w14:paraId="2E52826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拆卸用，根据需求配置</w:t>
            </w:r>
          </w:p>
        </w:tc>
      </w:tr>
      <w:tr w14:paraId="754B2E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0EBA8E4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w:t>
            </w:r>
          </w:p>
        </w:tc>
        <w:tc>
          <w:tcPr>
            <w:tcW w:w="863" w:type="pct"/>
            <w:shd w:val="clear" w:color="auto" w:fill="FFFFFF"/>
            <w:vAlign w:val="center"/>
          </w:tcPr>
          <w:p w14:paraId="0D29FBC6">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常用扳手</w:t>
            </w:r>
          </w:p>
        </w:tc>
        <w:tc>
          <w:tcPr>
            <w:tcW w:w="1250" w:type="pct"/>
            <w:shd w:val="clear" w:color="auto" w:fill="FFFFFF"/>
            <w:vAlign w:val="center"/>
          </w:tcPr>
          <w:p w14:paraId="771832A5">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402" w:type="pct"/>
            <w:shd w:val="clear" w:color="auto" w:fill="FFFFFF"/>
            <w:vAlign w:val="center"/>
          </w:tcPr>
          <w:p w14:paraId="58C4C27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 套</w:t>
            </w:r>
          </w:p>
        </w:tc>
        <w:tc>
          <w:tcPr>
            <w:tcW w:w="2101" w:type="pct"/>
            <w:shd w:val="clear" w:color="auto" w:fill="FFFFFF"/>
            <w:vAlign w:val="center"/>
          </w:tcPr>
          <w:p w14:paraId="0EB05F7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拆卸用（随机）</w:t>
            </w:r>
          </w:p>
        </w:tc>
      </w:tr>
      <w:tr w14:paraId="0D8E7A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54CDF60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3</w:t>
            </w:r>
          </w:p>
        </w:tc>
        <w:tc>
          <w:tcPr>
            <w:tcW w:w="863" w:type="pct"/>
            <w:shd w:val="clear" w:color="auto" w:fill="FFFFFF"/>
            <w:vAlign w:val="center"/>
          </w:tcPr>
          <w:p w14:paraId="7623D33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手拉葫芦</w:t>
            </w:r>
          </w:p>
        </w:tc>
        <w:tc>
          <w:tcPr>
            <w:tcW w:w="1250" w:type="pct"/>
            <w:shd w:val="clear" w:color="auto" w:fill="FFFFFF"/>
            <w:vAlign w:val="center"/>
          </w:tcPr>
          <w:p w14:paraId="0DDDFE4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2t</w:t>
            </w:r>
          </w:p>
        </w:tc>
        <w:tc>
          <w:tcPr>
            <w:tcW w:w="402" w:type="pct"/>
            <w:shd w:val="clear" w:color="auto" w:fill="FFFFFF"/>
            <w:vAlign w:val="center"/>
          </w:tcPr>
          <w:p w14:paraId="34EBE406">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只</w:t>
            </w:r>
          </w:p>
        </w:tc>
        <w:tc>
          <w:tcPr>
            <w:tcW w:w="2101" w:type="pct"/>
            <w:shd w:val="clear" w:color="auto" w:fill="FFFFFF"/>
            <w:vAlign w:val="center"/>
          </w:tcPr>
          <w:p w14:paraId="7701CB4F">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现场拆卸用</w:t>
            </w:r>
          </w:p>
        </w:tc>
      </w:tr>
      <w:tr w14:paraId="09600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594DA5F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w:t>
            </w:r>
          </w:p>
        </w:tc>
        <w:tc>
          <w:tcPr>
            <w:tcW w:w="863" w:type="pct"/>
            <w:shd w:val="clear" w:color="auto" w:fill="FFFFFF"/>
            <w:vAlign w:val="center"/>
          </w:tcPr>
          <w:p w14:paraId="053B247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机械千斤顶</w:t>
            </w:r>
          </w:p>
        </w:tc>
        <w:tc>
          <w:tcPr>
            <w:tcW w:w="1250" w:type="pct"/>
            <w:shd w:val="clear" w:color="auto" w:fill="FFFFFF"/>
            <w:vAlign w:val="center"/>
          </w:tcPr>
          <w:p w14:paraId="7657892D">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5t</w:t>
            </w:r>
          </w:p>
        </w:tc>
        <w:tc>
          <w:tcPr>
            <w:tcW w:w="402" w:type="pct"/>
            <w:shd w:val="clear" w:color="auto" w:fill="FFFFFF"/>
            <w:vAlign w:val="center"/>
          </w:tcPr>
          <w:p w14:paraId="7A2C8E6D">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 台</w:t>
            </w:r>
          </w:p>
        </w:tc>
        <w:tc>
          <w:tcPr>
            <w:tcW w:w="2101" w:type="pct"/>
            <w:shd w:val="clear" w:color="auto" w:fill="FFFFFF"/>
            <w:vAlign w:val="center"/>
          </w:tcPr>
          <w:p w14:paraId="3673DBF6">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现场拆卸用</w:t>
            </w:r>
          </w:p>
        </w:tc>
      </w:tr>
      <w:tr w14:paraId="4835D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06CAFD9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w:t>
            </w:r>
          </w:p>
        </w:tc>
        <w:tc>
          <w:tcPr>
            <w:tcW w:w="863" w:type="pct"/>
            <w:shd w:val="clear" w:color="auto" w:fill="FFFFFF"/>
            <w:vAlign w:val="center"/>
          </w:tcPr>
          <w:p w14:paraId="06C8E7D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大锤</w:t>
            </w:r>
          </w:p>
        </w:tc>
        <w:tc>
          <w:tcPr>
            <w:tcW w:w="1250" w:type="pct"/>
            <w:shd w:val="clear" w:color="auto" w:fill="FFFFFF"/>
            <w:vAlign w:val="center"/>
          </w:tcPr>
          <w:p w14:paraId="28F8196A">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18P</w:t>
            </w:r>
          </w:p>
        </w:tc>
        <w:tc>
          <w:tcPr>
            <w:tcW w:w="402" w:type="pct"/>
            <w:shd w:val="clear" w:color="auto" w:fill="FFFFFF"/>
            <w:vAlign w:val="center"/>
          </w:tcPr>
          <w:p w14:paraId="54D5F00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 把</w:t>
            </w:r>
          </w:p>
        </w:tc>
        <w:tc>
          <w:tcPr>
            <w:tcW w:w="2101" w:type="pct"/>
            <w:shd w:val="clear" w:color="auto" w:fill="FFFFFF"/>
            <w:vAlign w:val="center"/>
          </w:tcPr>
          <w:p w14:paraId="19DDE5C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现场拆卸用</w:t>
            </w:r>
          </w:p>
        </w:tc>
      </w:tr>
      <w:tr w14:paraId="36FCBB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77E4BFD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w:t>
            </w:r>
          </w:p>
        </w:tc>
        <w:tc>
          <w:tcPr>
            <w:tcW w:w="863" w:type="pct"/>
            <w:shd w:val="clear" w:color="auto" w:fill="FFFFFF"/>
            <w:vAlign w:val="center"/>
          </w:tcPr>
          <w:p w14:paraId="40228A9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撬棍</w:t>
            </w:r>
          </w:p>
        </w:tc>
        <w:tc>
          <w:tcPr>
            <w:tcW w:w="1250" w:type="pct"/>
            <w:shd w:val="clear" w:color="auto" w:fill="FFFFFF"/>
            <w:vAlign w:val="center"/>
          </w:tcPr>
          <w:p w14:paraId="6115367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直径 30</w:t>
            </w:r>
          </w:p>
        </w:tc>
        <w:tc>
          <w:tcPr>
            <w:tcW w:w="402" w:type="pct"/>
            <w:shd w:val="clear" w:color="auto" w:fill="FFFFFF"/>
            <w:vAlign w:val="center"/>
          </w:tcPr>
          <w:p w14:paraId="3B8F285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 把</w:t>
            </w:r>
          </w:p>
        </w:tc>
        <w:tc>
          <w:tcPr>
            <w:tcW w:w="2101" w:type="pct"/>
            <w:shd w:val="clear" w:color="auto" w:fill="FFFFFF"/>
            <w:vAlign w:val="center"/>
          </w:tcPr>
          <w:p w14:paraId="760E07A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现场拆卸用</w:t>
            </w:r>
          </w:p>
        </w:tc>
      </w:tr>
      <w:tr w14:paraId="300A04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5000" w:type="pct"/>
            <w:gridSpan w:val="5"/>
            <w:shd w:val="clear" w:color="auto" w:fill="FFFFFF"/>
            <w:vAlign w:val="center"/>
          </w:tcPr>
          <w:p w14:paraId="598EF130">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四、其他机具材料</w:t>
            </w:r>
          </w:p>
        </w:tc>
      </w:tr>
      <w:tr w14:paraId="1D5E0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3B0ABA56">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w:t>
            </w:r>
          </w:p>
        </w:tc>
        <w:tc>
          <w:tcPr>
            <w:tcW w:w="863" w:type="pct"/>
            <w:shd w:val="clear" w:color="auto" w:fill="FFFFFF"/>
            <w:vAlign w:val="center"/>
          </w:tcPr>
          <w:p w14:paraId="6B53A0D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安全带</w:t>
            </w:r>
          </w:p>
        </w:tc>
        <w:tc>
          <w:tcPr>
            <w:tcW w:w="1250" w:type="pct"/>
            <w:shd w:val="clear" w:color="auto" w:fill="FFFFFF"/>
            <w:vAlign w:val="center"/>
          </w:tcPr>
          <w:p w14:paraId="227D1C6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402" w:type="pct"/>
            <w:shd w:val="clear" w:color="auto" w:fill="FFFFFF"/>
            <w:vAlign w:val="center"/>
          </w:tcPr>
          <w:p w14:paraId="17FBC02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 根</w:t>
            </w:r>
          </w:p>
        </w:tc>
        <w:tc>
          <w:tcPr>
            <w:tcW w:w="2101" w:type="pct"/>
            <w:shd w:val="clear" w:color="auto" w:fill="FFFFFF"/>
            <w:vAlign w:val="center"/>
          </w:tcPr>
          <w:p w14:paraId="58BD8B2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2E4DD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1A1A43B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2</w:t>
            </w:r>
          </w:p>
        </w:tc>
        <w:tc>
          <w:tcPr>
            <w:tcW w:w="863" w:type="pct"/>
            <w:shd w:val="clear" w:color="auto" w:fill="FFFFFF"/>
            <w:vAlign w:val="center"/>
          </w:tcPr>
          <w:p w14:paraId="602B943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安全帽</w:t>
            </w:r>
          </w:p>
        </w:tc>
        <w:tc>
          <w:tcPr>
            <w:tcW w:w="1250" w:type="pct"/>
            <w:shd w:val="clear" w:color="auto" w:fill="FFFFFF"/>
            <w:vAlign w:val="center"/>
          </w:tcPr>
          <w:p w14:paraId="62E69EC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402" w:type="pct"/>
            <w:shd w:val="clear" w:color="auto" w:fill="FFFFFF"/>
            <w:vAlign w:val="center"/>
          </w:tcPr>
          <w:p w14:paraId="1E5DD4AA">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 顶</w:t>
            </w:r>
          </w:p>
        </w:tc>
        <w:tc>
          <w:tcPr>
            <w:tcW w:w="2101" w:type="pct"/>
            <w:shd w:val="clear" w:color="auto" w:fill="FFFFFF"/>
            <w:vAlign w:val="center"/>
          </w:tcPr>
          <w:p w14:paraId="026AD73B">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13CF0D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6A4B4960">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3</w:t>
            </w:r>
          </w:p>
        </w:tc>
        <w:tc>
          <w:tcPr>
            <w:tcW w:w="863" w:type="pct"/>
            <w:shd w:val="clear" w:color="auto" w:fill="FFFFFF"/>
            <w:vAlign w:val="center"/>
          </w:tcPr>
          <w:p w14:paraId="1CA9C1D5">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对讲机</w:t>
            </w:r>
          </w:p>
        </w:tc>
        <w:tc>
          <w:tcPr>
            <w:tcW w:w="1250" w:type="pct"/>
            <w:shd w:val="clear" w:color="auto" w:fill="FFFFFF"/>
            <w:vAlign w:val="center"/>
          </w:tcPr>
          <w:p w14:paraId="78FFDAE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402" w:type="pct"/>
            <w:shd w:val="clear" w:color="auto" w:fill="FFFFFF"/>
            <w:vAlign w:val="center"/>
          </w:tcPr>
          <w:p w14:paraId="5E7D3BD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 台</w:t>
            </w:r>
          </w:p>
        </w:tc>
        <w:tc>
          <w:tcPr>
            <w:tcW w:w="2101" w:type="pct"/>
            <w:shd w:val="clear" w:color="auto" w:fill="FFFFFF"/>
            <w:vAlign w:val="center"/>
          </w:tcPr>
          <w:p w14:paraId="4DF6ECA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6C163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38A7FCE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4</w:t>
            </w:r>
          </w:p>
        </w:tc>
        <w:tc>
          <w:tcPr>
            <w:tcW w:w="863" w:type="pct"/>
            <w:shd w:val="clear" w:color="auto" w:fill="FFFFFF"/>
            <w:vAlign w:val="center"/>
          </w:tcPr>
          <w:p w14:paraId="1A3B3F8C">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棕绳</w:t>
            </w:r>
          </w:p>
        </w:tc>
        <w:tc>
          <w:tcPr>
            <w:tcW w:w="1250" w:type="pct"/>
            <w:shd w:val="clear" w:color="auto" w:fill="FFFFFF"/>
            <w:vAlign w:val="center"/>
          </w:tcPr>
          <w:p w14:paraId="7FB95D59">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Φ18</w:t>
            </w:r>
          </w:p>
        </w:tc>
        <w:tc>
          <w:tcPr>
            <w:tcW w:w="402" w:type="pct"/>
            <w:shd w:val="clear" w:color="auto" w:fill="FFFFFF"/>
            <w:vAlign w:val="center"/>
          </w:tcPr>
          <w:p w14:paraId="25359582">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50m</w:t>
            </w:r>
          </w:p>
        </w:tc>
        <w:tc>
          <w:tcPr>
            <w:tcW w:w="2101" w:type="pct"/>
            <w:shd w:val="clear" w:color="auto" w:fill="FFFFFF"/>
            <w:vAlign w:val="center"/>
          </w:tcPr>
          <w:p w14:paraId="30A779DB">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缆风绳用</w:t>
            </w:r>
          </w:p>
        </w:tc>
      </w:tr>
      <w:tr w14:paraId="6E2D0B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7F3E1B5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w:t>
            </w:r>
          </w:p>
        </w:tc>
        <w:tc>
          <w:tcPr>
            <w:tcW w:w="863" w:type="pct"/>
            <w:shd w:val="clear" w:color="auto" w:fill="FFFFFF"/>
            <w:vAlign w:val="center"/>
          </w:tcPr>
          <w:p w14:paraId="7B8A5841">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警示带</w:t>
            </w:r>
          </w:p>
        </w:tc>
        <w:tc>
          <w:tcPr>
            <w:tcW w:w="1250" w:type="pct"/>
            <w:shd w:val="clear" w:color="auto" w:fill="FFFFFF"/>
            <w:vAlign w:val="center"/>
          </w:tcPr>
          <w:p w14:paraId="25F896F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402" w:type="pct"/>
            <w:shd w:val="clear" w:color="auto" w:fill="FFFFFF"/>
            <w:vAlign w:val="center"/>
          </w:tcPr>
          <w:p w14:paraId="46622130">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500m</w:t>
            </w:r>
          </w:p>
        </w:tc>
        <w:tc>
          <w:tcPr>
            <w:tcW w:w="2101" w:type="pct"/>
            <w:shd w:val="clear" w:color="auto" w:fill="FFFFFF"/>
            <w:vAlign w:val="center"/>
          </w:tcPr>
          <w:p w14:paraId="6502FF0D">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r w14:paraId="2F3622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78E56B4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6</w:t>
            </w:r>
          </w:p>
        </w:tc>
        <w:tc>
          <w:tcPr>
            <w:tcW w:w="863" w:type="pct"/>
            <w:shd w:val="clear" w:color="auto" w:fill="FFFFFF"/>
            <w:vAlign w:val="center"/>
          </w:tcPr>
          <w:p w14:paraId="30BA1AEE">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安全网</w:t>
            </w:r>
          </w:p>
        </w:tc>
        <w:tc>
          <w:tcPr>
            <w:tcW w:w="1250" w:type="pct"/>
            <w:shd w:val="clear" w:color="auto" w:fill="FFFFFF"/>
            <w:vAlign w:val="center"/>
          </w:tcPr>
          <w:p w14:paraId="607358D0">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402" w:type="pct"/>
            <w:shd w:val="clear" w:color="auto" w:fill="FFFFFF"/>
            <w:vAlign w:val="center"/>
          </w:tcPr>
          <w:p w14:paraId="6FE4625B">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 套</w:t>
            </w:r>
          </w:p>
        </w:tc>
        <w:tc>
          <w:tcPr>
            <w:tcW w:w="2101" w:type="pct"/>
            <w:shd w:val="clear" w:color="auto" w:fill="FFFFFF"/>
            <w:vAlign w:val="center"/>
          </w:tcPr>
          <w:p w14:paraId="00644DA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配重处用</w:t>
            </w:r>
          </w:p>
        </w:tc>
      </w:tr>
      <w:tr w14:paraId="414A74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0" w:hRule="atLeast"/>
        </w:trPr>
        <w:tc>
          <w:tcPr>
            <w:tcW w:w="381" w:type="pct"/>
            <w:shd w:val="clear" w:color="auto" w:fill="FFFFFF"/>
            <w:vAlign w:val="center"/>
          </w:tcPr>
          <w:p w14:paraId="72617174">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7</w:t>
            </w:r>
          </w:p>
        </w:tc>
        <w:tc>
          <w:tcPr>
            <w:tcW w:w="863" w:type="pct"/>
            <w:shd w:val="clear" w:color="auto" w:fill="FFFFFF"/>
            <w:vAlign w:val="center"/>
          </w:tcPr>
          <w:p w14:paraId="1742B96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防滑手套</w:t>
            </w:r>
          </w:p>
        </w:tc>
        <w:tc>
          <w:tcPr>
            <w:tcW w:w="1250" w:type="pct"/>
            <w:shd w:val="clear" w:color="auto" w:fill="FFFFFF"/>
            <w:vAlign w:val="center"/>
          </w:tcPr>
          <w:p w14:paraId="75C01A17">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通用</w:t>
            </w:r>
          </w:p>
        </w:tc>
        <w:tc>
          <w:tcPr>
            <w:tcW w:w="402" w:type="pct"/>
            <w:shd w:val="clear" w:color="auto" w:fill="FFFFFF"/>
            <w:vAlign w:val="center"/>
          </w:tcPr>
          <w:p w14:paraId="1E865BA3">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r>
              <w:rPr>
                <w:rFonts w:hint="eastAsia" w:ascii="Times New Roman" w:hAnsi="Times New Roman" w:eastAsia="宋体" w:cstheme="minorBidi"/>
                <w:b w:val="0"/>
                <w:color w:val="000000"/>
                <w:kern w:val="2"/>
                <w:sz w:val="21"/>
                <w:szCs w:val="21"/>
                <w:lang w:val="en-US" w:eastAsia="zh-CN" w:bidi="ar-SA"/>
              </w:rPr>
              <w:t>12 双</w:t>
            </w:r>
          </w:p>
        </w:tc>
        <w:tc>
          <w:tcPr>
            <w:tcW w:w="2101" w:type="pct"/>
            <w:shd w:val="clear" w:color="auto" w:fill="FFFFFF"/>
            <w:vAlign w:val="center"/>
          </w:tcPr>
          <w:p w14:paraId="7AE2E6D8">
            <w:pPr>
              <w:widowControl w:val="0"/>
              <w:spacing w:line="240" w:lineRule="auto"/>
              <w:ind w:firstLine="0" w:firstLineChars="0"/>
              <w:jc w:val="center"/>
              <w:rPr>
                <w:rFonts w:hint="eastAsia" w:ascii="Times New Roman" w:hAnsi="Times New Roman" w:eastAsia="宋体" w:cstheme="minorBidi"/>
                <w:b w:val="0"/>
                <w:color w:val="000000"/>
                <w:kern w:val="2"/>
                <w:sz w:val="21"/>
                <w:szCs w:val="21"/>
                <w:lang w:val="en-US" w:eastAsia="zh-CN" w:bidi="ar-SA"/>
              </w:rPr>
            </w:pPr>
          </w:p>
        </w:tc>
      </w:tr>
    </w:tbl>
    <w:p w14:paraId="404886F4">
      <w:pPr>
        <w:rPr>
          <w:rFonts w:hint="default"/>
          <w:lang w:val="en-US" w:eastAsia="zh-CN"/>
        </w:rPr>
      </w:pPr>
    </w:p>
    <w:p w14:paraId="5D637488">
      <w:pPr>
        <w:pStyle w:val="2"/>
        <w:bidi w:val="0"/>
        <w:ind w:left="432" w:leftChars="0" w:hanging="432" w:firstLineChars="0"/>
        <w:rPr>
          <w:rFonts w:hint="eastAsia"/>
        </w:rPr>
      </w:pPr>
      <w:bookmarkStart w:id="71" w:name="_Toc28712"/>
      <w:bookmarkStart w:id="72" w:name="_Toc30814"/>
      <w:bookmarkStart w:id="73" w:name="_Toc19383"/>
      <w:r>
        <w:rPr>
          <w:rFonts w:hint="eastAsia"/>
          <w:lang w:val="en-US" w:eastAsia="zh-CN"/>
        </w:rPr>
        <w:t>施工方案概述</w:t>
      </w:r>
      <w:bookmarkEnd w:id="71"/>
      <w:bookmarkEnd w:id="72"/>
      <w:bookmarkEnd w:id="73"/>
    </w:p>
    <w:p w14:paraId="6A9514CE">
      <w:pPr>
        <w:pStyle w:val="3"/>
        <w:bidi w:val="0"/>
        <w:ind w:left="575" w:leftChars="0" w:hanging="575" w:firstLineChars="0"/>
        <w:rPr>
          <w:b/>
          <w:bCs w:val="0"/>
          <w:sz w:val="28"/>
          <w:szCs w:val="28"/>
        </w:rPr>
      </w:pPr>
      <w:bookmarkStart w:id="74" w:name="_Toc13349"/>
      <w:bookmarkStart w:id="75" w:name="_Toc9013"/>
      <w:bookmarkStart w:id="76" w:name="_Toc28146"/>
      <w:r>
        <w:rPr>
          <w:rFonts w:hint="eastAsia"/>
          <w:b/>
          <w:bCs w:val="0"/>
          <w:sz w:val="28"/>
          <w:szCs w:val="28"/>
        </w:rPr>
        <w:t>塔吊安装施工工艺流程</w:t>
      </w:r>
      <w:bookmarkEnd w:id="74"/>
      <w:bookmarkEnd w:id="75"/>
      <w:bookmarkEnd w:id="76"/>
    </w:p>
    <w:p w14:paraId="52F1ABE9">
      <w:pPr>
        <w:keepNext w:val="0"/>
        <w:keepLines w:val="0"/>
        <w:widowControl/>
        <w:suppressLineNumbers w:val="0"/>
        <w:jc w:val="left"/>
        <w:rPr>
          <w:rFonts w:hint="eastAsia"/>
          <w:lang w:val="en-US" w:eastAsia="zh-CN"/>
        </w:rPr>
      </w:pPr>
      <w:r>
        <w:rPr>
          <w:rFonts w:hint="eastAsia"/>
          <w:lang w:val="en-US" w:eastAsia="zh-CN"/>
        </w:rPr>
        <w:t>XGT7022-12S塔吊初始安装构件由1节基础节（7.5m）、套架（7.25m）、回转总成（3.91m）、特殊节（3.26m）、平衡臂及起重臂组成。初始安装完成后，根据现场施工进度需要进行顶升加节。</w:t>
      </w:r>
    </w:p>
    <w:p w14:paraId="4ACD4768">
      <w:pPr>
        <w:ind w:firstLine="480"/>
        <w:rPr>
          <w:rFonts w:hint="eastAsia" w:hAnsi="宋体" w:cs="宋体"/>
          <w:bCs/>
        </w:rPr>
      </w:pPr>
      <w:r>
        <w:rPr>
          <w:rFonts w:hint="eastAsia" w:cs="宋体"/>
          <w:bCs/>
          <w:lang w:val="en-US" w:eastAsia="zh-CN"/>
        </w:rPr>
        <w:t>塔机基础施工→</w:t>
      </w:r>
      <w:r>
        <w:rPr>
          <w:rFonts w:hint="eastAsia" w:hAnsi="宋体" w:cs="宋体"/>
          <w:bCs/>
        </w:rPr>
        <w:t>安装</w:t>
      </w:r>
      <w:r>
        <w:rPr>
          <w:rFonts w:hint="eastAsia" w:hAnsi="宋体" w:cs="宋体"/>
          <w:bCs/>
          <w:lang w:val="en-US" w:eastAsia="zh-CN"/>
        </w:rPr>
        <w:t>基础节</w:t>
      </w:r>
      <w:r>
        <w:rPr>
          <w:rFonts w:hint="eastAsia" w:cs="宋体"/>
          <w:bCs/>
          <w:lang w:val="en-US" w:eastAsia="zh-CN"/>
        </w:rPr>
        <w:t>→安装一节标准节→</w:t>
      </w:r>
      <w:r>
        <w:rPr>
          <w:rFonts w:hint="eastAsia" w:hAnsi="宋体" w:cs="宋体"/>
          <w:bCs/>
          <w:lang w:val="en-US" w:eastAsia="zh-CN"/>
        </w:rPr>
        <w:t>安装</w:t>
      </w:r>
      <w:r>
        <w:rPr>
          <w:rFonts w:hint="eastAsia" w:hAnsi="宋体" w:cs="宋体"/>
          <w:bCs/>
        </w:rPr>
        <w:t>套架</w:t>
      </w:r>
      <w:r>
        <w:rPr>
          <w:rFonts w:hint="eastAsia" w:cs="宋体"/>
          <w:bCs/>
          <w:lang w:val="en-US" w:eastAsia="zh-CN"/>
        </w:rPr>
        <w:t>→</w:t>
      </w:r>
      <w:r>
        <w:rPr>
          <w:rFonts w:hint="eastAsia" w:hAnsi="宋体" w:cs="宋体"/>
          <w:bCs/>
        </w:rPr>
        <w:t>安装</w:t>
      </w:r>
      <w:r>
        <w:rPr>
          <w:rFonts w:hint="eastAsia" w:hAnsi="宋体" w:cs="宋体"/>
          <w:bCs/>
          <w:lang w:val="en-US" w:eastAsia="zh-CN"/>
        </w:rPr>
        <w:t>特殊节</w:t>
      </w:r>
      <w:r>
        <w:rPr>
          <w:rFonts w:hint="eastAsia" w:cs="宋体"/>
          <w:bCs/>
          <w:lang w:val="en-US" w:eastAsia="zh-CN"/>
        </w:rPr>
        <w:t>→</w:t>
      </w:r>
      <w:r>
        <w:rPr>
          <w:rFonts w:hint="eastAsia" w:hAnsi="宋体" w:cs="宋体"/>
          <w:bCs/>
        </w:rPr>
        <w:t>安装回转总成</w:t>
      </w:r>
      <w:r>
        <w:rPr>
          <w:rFonts w:hint="eastAsia" w:cs="宋体"/>
          <w:bCs/>
          <w:lang w:val="en-US" w:eastAsia="zh-CN"/>
        </w:rPr>
        <w:t>→</w:t>
      </w:r>
      <w:r>
        <w:rPr>
          <w:rFonts w:hint="eastAsia" w:hAnsi="宋体" w:cs="宋体"/>
          <w:bCs/>
        </w:rPr>
        <w:t>安装</w:t>
      </w:r>
      <w:r>
        <w:rPr>
          <w:rFonts w:hint="eastAsia" w:hAnsi="宋体" w:cs="宋体"/>
          <w:bCs/>
          <w:lang w:val="en-US" w:eastAsia="zh-CN"/>
        </w:rPr>
        <w:t>臂根节</w:t>
      </w:r>
      <w:r>
        <w:rPr>
          <w:rFonts w:hint="eastAsia" w:cs="宋体"/>
          <w:bCs/>
          <w:lang w:val="en-US" w:eastAsia="zh-CN"/>
        </w:rPr>
        <w:t>→</w:t>
      </w:r>
      <w:r>
        <w:rPr>
          <w:rFonts w:hint="eastAsia" w:hAnsi="宋体" w:cs="宋体"/>
          <w:bCs/>
        </w:rPr>
        <w:t>安装平衡臂</w:t>
      </w:r>
      <w:r>
        <w:rPr>
          <w:rFonts w:hint="eastAsia" w:cs="宋体"/>
          <w:bCs/>
          <w:lang w:val="en-US" w:eastAsia="zh-CN"/>
        </w:rPr>
        <w:t>→</w:t>
      </w:r>
      <w:r>
        <w:rPr>
          <w:rFonts w:hint="eastAsia" w:hAnsi="宋体" w:cs="宋体"/>
          <w:bCs/>
          <w:lang w:val="en-US" w:eastAsia="zh-CN"/>
        </w:rPr>
        <w:t>安装两块</w:t>
      </w:r>
      <w:r>
        <w:rPr>
          <w:rFonts w:hint="eastAsia" w:hAnsi="宋体" w:cs="宋体"/>
          <w:bCs/>
        </w:rPr>
        <w:t>平衡重</w:t>
      </w:r>
      <w:r>
        <w:rPr>
          <w:rFonts w:hint="eastAsia" w:cs="宋体"/>
          <w:bCs/>
          <w:lang w:val="en-US" w:eastAsia="zh-CN"/>
        </w:rPr>
        <w:t>→</w:t>
      </w:r>
      <w:r>
        <w:rPr>
          <w:rFonts w:hint="eastAsia" w:hAnsi="宋体" w:cs="宋体"/>
          <w:bCs/>
        </w:rPr>
        <w:t>安装起重臂</w:t>
      </w:r>
      <w:r>
        <w:rPr>
          <w:rFonts w:hint="eastAsia" w:cs="宋体"/>
          <w:bCs/>
          <w:lang w:val="en-US" w:eastAsia="zh-CN"/>
        </w:rPr>
        <w:t>→</w:t>
      </w:r>
      <w:r>
        <w:rPr>
          <w:rFonts w:hint="eastAsia" w:hAnsi="宋体" w:cs="宋体"/>
          <w:bCs/>
        </w:rPr>
        <w:t>配装平衡重（余下的配重）</w:t>
      </w:r>
    </w:p>
    <w:p w14:paraId="3A370DC0">
      <w:pPr>
        <w:pStyle w:val="16"/>
      </w:pPr>
      <w:r>
        <w:drawing>
          <wp:inline distT="0" distB="0" distL="114300" distR="114300">
            <wp:extent cx="5758180" cy="2758440"/>
            <wp:effectExtent l="0" t="0" r="13970" b="381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9"/>
                    <a:stretch>
                      <a:fillRect/>
                    </a:stretch>
                  </pic:blipFill>
                  <pic:spPr>
                    <a:xfrm>
                      <a:off x="0" y="0"/>
                      <a:ext cx="5758180" cy="2758440"/>
                    </a:xfrm>
                    <a:prstGeom prst="rect">
                      <a:avLst/>
                    </a:prstGeom>
                    <a:noFill/>
                    <a:ln>
                      <a:noFill/>
                    </a:ln>
                  </pic:spPr>
                </pic:pic>
              </a:graphicData>
            </a:graphic>
          </wp:inline>
        </w:drawing>
      </w:r>
      <w:r>
        <w:rPr>
          <w:rFonts w:hint="eastAsia"/>
        </w:rPr>
        <w:t xml:space="preserve">图 </w:t>
      </w:r>
      <w:r>
        <w:rPr>
          <w:rFonts w:hint="eastAsia"/>
          <w:lang w:val="en-US" w:eastAsia="zh-CN"/>
        </w:rPr>
        <w:t>4.1</w:t>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t>1</w:t>
      </w:r>
      <w:r>
        <w:fldChar w:fldCharType="end"/>
      </w:r>
      <w:r>
        <w:rPr>
          <w:rFonts w:hint="eastAsia"/>
        </w:rPr>
        <w:t>施工工艺流程图</w:t>
      </w:r>
    </w:p>
    <w:p w14:paraId="3E0B2F5A">
      <w:pPr>
        <w:pStyle w:val="3"/>
        <w:bidi w:val="0"/>
        <w:ind w:left="575" w:leftChars="0" w:hanging="575" w:firstLineChars="0"/>
        <w:rPr>
          <w:b/>
          <w:bCs w:val="0"/>
          <w:sz w:val="28"/>
          <w:szCs w:val="28"/>
        </w:rPr>
      </w:pPr>
      <w:bookmarkStart w:id="77" w:name="_Toc15268"/>
      <w:bookmarkStart w:id="78" w:name="_Toc4184"/>
      <w:bookmarkStart w:id="79" w:name="_Toc14748"/>
      <w:r>
        <w:rPr>
          <w:rFonts w:hint="eastAsia"/>
          <w:b/>
          <w:bCs w:val="0"/>
          <w:sz w:val="28"/>
          <w:szCs w:val="28"/>
        </w:rPr>
        <w:t>主要设备选型</w:t>
      </w:r>
      <w:bookmarkEnd w:id="77"/>
      <w:bookmarkEnd w:id="78"/>
      <w:bookmarkEnd w:id="79"/>
    </w:p>
    <w:p w14:paraId="47F53402">
      <w:pPr>
        <w:pStyle w:val="4"/>
        <w:bidi w:val="0"/>
        <w:ind w:left="720" w:leftChars="0" w:hanging="720" w:firstLineChars="0"/>
        <w:rPr>
          <w:rFonts w:hint="eastAsia"/>
          <w:b/>
          <w:bCs w:val="0"/>
          <w:lang w:val="en-US" w:eastAsia="zh-CN"/>
        </w:rPr>
      </w:pPr>
      <w:r>
        <w:rPr>
          <w:rFonts w:hint="eastAsia"/>
          <w:b/>
          <w:bCs w:val="0"/>
          <w:lang w:val="en-US" w:eastAsia="zh-CN"/>
        </w:rPr>
        <w:t>辅助起重设备选型</w:t>
      </w:r>
    </w:p>
    <w:p w14:paraId="1B42E617">
      <w:pPr>
        <w:ind w:firstLine="480"/>
      </w:pPr>
      <w:r>
        <w:rPr>
          <w:rFonts w:hint="eastAsia"/>
          <w:lang w:val="en-US" w:eastAsia="zh-CN"/>
        </w:rPr>
        <w:t>XGT7022-12S塔机的安装采用50T汽车吊进行安装，</w:t>
      </w:r>
      <w:r>
        <w:rPr>
          <w:rFonts w:hint="eastAsia"/>
        </w:rPr>
        <w:t>相应计算详见第1</w:t>
      </w:r>
      <w:r>
        <w:t>1章节。</w:t>
      </w:r>
    </w:p>
    <w:p w14:paraId="638646AD">
      <w:pPr>
        <w:ind w:firstLine="480"/>
        <w:jc w:val="center"/>
        <w:rPr>
          <w:rFonts w:hint="eastAsia"/>
          <w:lang w:val="en-US" w:eastAsia="zh-CN"/>
        </w:rPr>
      </w:pPr>
      <w:r>
        <w:rPr>
          <w:rFonts w:hint="eastAsia" w:ascii="Times New Roman" w:hAnsi="Times New Roman" w:eastAsia="宋体" w:cstheme="majorBidi"/>
          <w:b/>
          <w:kern w:val="2"/>
          <w:sz w:val="21"/>
          <w:szCs w:val="20"/>
          <w:lang w:val="en-US" w:eastAsia="zh-CN" w:bidi="ar-SA"/>
        </w:rPr>
        <w:t xml:space="preserve">表 </w:t>
      </w:r>
      <w:r>
        <w:rPr>
          <w:rFonts w:hint="eastAsia" w:ascii="Times New Roman" w:hAnsi="Times New Roman" w:eastAsia="宋体" w:cstheme="majorBidi"/>
          <w:b/>
          <w:kern w:val="2"/>
          <w:sz w:val="21"/>
          <w:szCs w:val="20"/>
          <w:lang w:val="en-US" w:eastAsia="zh-CN" w:bidi="ar-SA"/>
        </w:rPr>
        <w:fldChar w:fldCharType="begin"/>
      </w:r>
      <w:r>
        <w:rPr>
          <w:rFonts w:hint="eastAsia" w:ascii="Times New Roman" w:hAnsi="Times New Roman" w:eastAsia="宋体" w:cstheme="majorBidi"/>
          <w:b/>
          <w:kern w:val="2"/>
          <w:sz w:val="21"/>
          <w:szCs w:val="20"/>
          <w:lang w:val="en-US" w:eastAsia="zh-CN" w:bidi="ar-SA"/>
        </w:rPr>
        <w:instrText xml:space="preserve"> STYLEREF 3 \s </w:instrText>
      </w:r>
      <w:r>
        <w:rPr>
          <w:rFonts w:hint="eastAsia" w:ascii="Times New Roman" w:hAnsi="Times New Roman" w:eastAsia="宋体" w:cstheme="majorBidi"/>
          <w:b/>
          <w:kern w:val="2"/>
          <w:sz w:val="21"/>
          <w:szCs w:val="20"/>
          <w:lang w:val="en-US" w:eastAsia="zh-CN" w:bidi="ar-SA"/>
        </w:rPr>
        <w:fldChar w:fldCharType="separate"/>
      </w:r>
      <w:r>
        <w:rPr>
          <w:rFonts w:hint="eastAsia" w:ascii="Times New Roman" w:hAnsi="Times New Roman" w:eastAsia="宋体" w:cstheme="majorBidi"/>
          <w:b/>
          <w:kern w:val="2"/>
          <w:sz w:val="21"/>
          <w:szCs w:val="20"/>
          <w:lang w:val="en-US" w:eastAsia="zh-CN" w:bidi="ar-SA"/>
        </w:rPr>
        <w:t>4.2.1</w:t>
      </w:r>
      <w:r>
        <w:rPr>
          <w:rFonts w:hint="eastAsia" w:ascii="Times New Roman" w:hAnsi="Times New Roman" w:eastAsia="宋体" w:cstheme="majorBidi"/>
          <w:b/>
          <w:kern w:val="2"/>
          <w:sz w:val="21"/>
          <w:szCs w:val="20"/>
          <w:lang w:val="en-US" w:eastAsia="zh-CN" w:bidi="ar-SA"/>
        </w:rPr>
        <w:fldChar w:fldCharType="end"/>
      </w:r>
      <w:r>
        <w:rPr>
          <w:rFonts w:hint="eastAsia" w:ascii="Times New Roman" w:hAnsi="Times New Roman" w:eastAsia="宋体" w:cstheme="majorBidi"/>
          <w:b/>
          <w:kern w:val="2"/>
          <w:sz w:val="21"/>
          <w:szCs w:val="20"/>
          <w:lang w:val="en-US" w:eastAsia="zh-CN" w:bidi="ar-SA"/>
        </w:rPr>
        <w:noBreakHyphen/>
      </w:r>
      <w:r>
        <w:rPr>
          <w:rFonts w:hint="eastAsia" w:ascii="Times New Roman" w:hAnsi="Times New Roman" w:eastAsia="宋体" w:cstheme="majorBidi"/>
          <w:b/>
          <w:kern w:val="2"/>
          <w:sz w:val="21"/>
          <w:szCs w:val="20"/>
          <w:lang w:val="en-US" w:eastAsia="zh-CN" w:bidi="ar-SA"/>
        </w:rPr>
        <w:fldChar w:fldCharType="begin"/>
      </w:r>
      <w:r>
        <w:rPr>
          <w:rFonts w:hint="eastAsia" w:ascii="Times New Roman" w:hAnsi="Times New Roman" w:eastAsia="宋体" w:cstheme="majorBidi"/>
          <w:b/>
          <w:kern w:val="2"/>
          <w:sz w:val="21"/>
          <w:szCs w:val="20"/>
          <w:lang w:val="en-US" w:eastAsia="zh-CN" w:bidi="ar-SA"/>
        </w:rPr>
        <w:instrText xml:space="preserve"> SEQ 表 \* ARABIC \s 3 </w:instrText>
      </w:r>
      <w:r>
        <w:rPr>
          <w:rFonts w:hint="eastAsia" w:ascii="Times New Roman" w:hAnsi="Times New Roman" w:eastAsia="宋体" w:cstheme="majorBidi"/>
          <w:b/>
          <w:kern w:val="2"/>
          <w:sz w:val="21"/>
          <w:szCs w:val="20"/>
          <w:lang w:val="en-US" w:eastAsia="zh-CN" w:bidi="ar-SA"/>
        </w:rPr>
        <w:fldChar w:fldCharType="separate"/>
      </w:r>
      <w:r>
        <w:rPr>
          <w:rFonts w:hint="eastAsia" w:ascii="Times New Roman" w:hAnsi="Times New Roman" w:eastAsia="宋体" w:cstheme="majorBidi"/>
          <w:b/>
          <w:kern w:val="2"/>
          <w:sz w:val="21"/>
          <w:szCs w:val="20"/>
          <w:lang w:val="en-US" w:eastAsia="zh-CN" w:bidi="ar-SA"/>
        </w:rPr>
        <w:t>1</w:t>
      </w:r>
      <w:r>
        <w:rPr>
          <w:rFonts w:hint="eastAsia" w:ascii="Times New Roman" w:hAnsi="Times New Roman" w:eastAsia="宋体" w:cstheme="majorBidi"/>
          <w:b/>
          <w:kern w:val="2"/>
          <w:sz w:val="21"/>
          <w:szCs w:val="20"/>
          <w:lang w:val="en-US" w:eastAsia="zh-CN" w:bidi="ar-SA"/>
        </w:rPr>
        <w:fldChar w:fldCharType="end"/>
      </w:r>
      <w:r>
        <w:rPr>
          <w:rFonts w:hint="eastAsia" w:ascii="Times New Roman" w:hAnsi="Times New Roman" w:eastAsia="宋体" w:cstheme="majorBidi"/>
          <w:b/>
          <w:kern w:val="2"/>
          <w:sz w:val="21"/>
          <w:szCs w:val="20"/>
          <w:lang w:val="en-US" w:eastAsia="zh-CN" w:bidi="ar-SA"/>
        </w:rPr>
        <w:t xml:space="preserve"> </w:t>
      </w:r>
      <w:r>
        <w:rPr>
          <w:rFonts w:hint="eastAsia" w:cstheme="majorBidi"/>
          <w:b/>
          <w:kern w:val="2"/>
          <w:sz w:val="21"/>
          <w:szCs w:val="20"/>
          <w:lang w:val="en-US" w:eastAsia="zh-CN" w:bidi="ar-SA"/>
        </w:rPr>
        <w:t>50T</w:t>
      </w:r>
      <w:r>
        <w:rPr>
          <w:rFonts w:hint="eastAsia" w:ascii="Times New Roman" w:hAnsi="Times New Roman" w:eastAsia="宋体" w:cstheme="majorBidi"/>
          <w:b/>
          <w:kern w:val="2"/>
          <w:sz w:val="21"/>
          <w:szCs w:val="20"/>
          <w:lang w:val="en-US" w:eastAsia="zh-CN" w:bidi="ar-SA"/>
        </w:rPr>
        <w:t>汽车吊性能表</w:t>
      </w:r>
    </w:p>
    <w:p w14:paraId="462DFC72">
      <w:pPr>
        <w:pStyle w:val="15"/>
        <w:ind w:left="0" w:leftChars="0" w:firstLine="0" w:firstLineChars="0"/>
        <w:rPr>
          <w:rFonts w:hint="eastAsia" w:eastAsia="宋体"/>
          <w:lang w:val="en-US" w:eastAsia="zh-CN"/>
        </w:rPr>
      </w:pPr>
      <w:r>
        <w:drawing>
          <wp:inline distT="0" distB="0" distL="114300" distR="114300">
            <wp:extent cx="5760720" cy="6339840"/>
            <wp:effectExtent l="0" t="0" r="11430" b="3810"/>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30"/>
                    <a:stretch>
                      <a:fillRect/>
                    </a:stretch>
                  </pic:blipFill>
                  <pic:spPr>
                    <a:xfrm>
                      <a:off x="0" y="0"/>
                      <a:ext cx="5760720" cy="6339840"/>
                    </a:xfrm>
                    <a:prstGeom prst="rect">
                      <a:avLst/>
                    </a:prstGeom>
                    <a:noFill/>
                    <a:ln>
                      <a:noFill/>
                    </a:ln>
                  </pic:spPr>
                </pic:pic>
              </a:graphicData>
            </a:graphic>
          </wp:inline>
        </w:drawing>
      </w:r>
      <w:r>
        <w:drawing>
          <wp:inline distT="0" distB="0" distL="114300" distR="114300">
            <wp:extent cx="5758815" cy="4772025"/>
            <wp:effectExtent l="0" t="0" r="1333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31"/>
                    <a:stretch>
                      <a:fillRect/>
                    </a:stretch>
                  </pic:blipFill>
                  <pic:spPr>
                    <a:xfrm>
                      <a:off x="0" y="0"/>
                      <a:ext cx="5758815" cy="4772025"/>
                    </a:xfrm>
                    <a:prstGeom prst="rect">
                      <a:avLst/>
                    </a:prstGeom>
                    <a:noFill/>
                    <a:ln>
                      <a:noFill/>
                    </a:ln>
                  </pic:spPr>
                </pic:pic>
              </a:graphicData>
            </a:graphic>
          </wp:inline>
        </w:drawing>
      </w:r>
    </w:p>
    <w:p w14:paraId="535A6355">
      <w:pPr>
        <w:ind w:firstLine="480"/>
        <w:jc w:val="center"/>
        <w:rPr>
          <w:rFonts w:hint="eastAsia"/>
          <w:lang w:val="en-US" w:eastAsia="zh-CN"/>
        </w:rPr>
      </w:pPr>
      <w:r>
        <w:rPr>
          <w:rFonts w:hint="eastAsia" w:ascii="Times New Roman" w:hAnsi="Times New Roman" w:eastAsia="宋体" w:cstheme="majorBidi"/>
          <w:b/>
          <w:kern w:val="2"/>
          <w:sz w:val="21"/>
          <w:szCs w:val="20"/>
          <w:lang w:val="en-US" w:eastAsia="zh-CN" w:bidi="ar-SA"/>
        </w:rPr>
        <w:t xml:space="preserve">表 </w:t>
      </w:r>
      <w:r>
        <w:rPr>
          <w:rFonts w:hint="eastAsia" w:ascii="Times New Roman" w:hAnsi="Times New Roman" w:eastAsia="宋体" w:cstheme="majorBidi"/>
          <w:b/>
          <w:kern w:val="2"/>
          <w:sz w:val="21"/>
          <w:szCs w:val="20"/>
          <w:lang w:val="en-US" w:eastAsia="zh-CN" w:bidi="ar-SA"/>
        </w:rPr>
        <w:fldChar w:fldCharType="begin"/>
      </w:r>
      <w:r>
        <w:rPr>
          <w:rFonts w:hint="eastAsia" w:ascii="Times New Roman" w:hAnsi="Times New Roman" w:eastAsia="宋体" w:cstheme="majorBidi"/>
          <w:b/>
          <w:kern w:val="2"/>
          <w:sz w:val="21"/>
          <w:szCs w:val="20"/>
          <w:lang w:val="en-US" w:eastAsia="zh-CN" w:bidi="ar-SA"/>
        </w:rPr>
        <w:instrText xml:space="preserve"> STYLEREF 3 \s </w:instrText>
      </w:r>
      <w:r>
        <w:rPr>
          <w:rFonts w:hint="eastAsia" w:ascii="Times New Roman" w:hAnsi="Times New Roman" w:eastAsia="宋体" w:cstheme="majorBidi"/>
          <w:b/>
          <w:kern w:val="2"/>
          <w:sz w:val="21"/>
          <w:szCs w:val="20"/>
          <w:lang w:val="en-US" w:eastAsia="zh-CN" w:bidi="ar-SA"/>
        </w:rPr>
        <w:fldChar w:fldCharType="separate"/>
      </w:r>
      <w:r>
        <w:rPr>
          <w:rFonts w:hint="eastAsia" w:ascii="Times New Roman" w:hAnsi="Times New Roman" w:eastAsia="宋体" w:cstheme="majorBidi"/>
          <w:b/>
          <w:kern w:val="2"/>
          <w:sz w:val="21"/>
          <w:szCs w:val="20"/>
          <w:lang w:val="en-US" w:eastAsia="zh-CN" w:bidi="ar-SA"/>
        </w:rPr>
        <w:t>4.2.1</w:t>
      </w:r>
      <w:r>
        <w:rPr>
          <w:rFonts w:hint="eastAsia" w:ascii="Times New Roman" w:hAnsi="Times New Roman" w:eastAsia="宋体" w:cstheme="majorBidi"/>
          <w:b/>
          <w:kern w:val="2"/>
          <w:sz w:val="21"/>
          <w:szCs w:val="20"/>
          <w:lang w:val="en-US" w:eastAsia="zh-CN" w:bidi="ar-SA"/>
        </w:rPr>
        <w:fldChar w:fldCharType="end"/>
      </w:r>
      <w:r>
        <w:rPr>
          <w:rFonts w:hint="eastAsia" w:ascii="Times New Roman" w:hAnsi="Times New Roman" w:eastAsia="宋体" w:cstheme="majorBidi"/>
          <w:b/>
          <w:kern w:val="2"/>
          <w:sz w:val="21"/>
          <w:szCs w:val="20"/>
          <w:lang w:val="en-US" w:eastAsia="zh-CN" w:bidi="ar-SA"/>
        </w:rPr>
        <w:noBreakHyphen/>
      </w:r>
      <w:r>
        <w:rPr>
          <w:rFonts w:hint="eastAsia" w:cstheme="majorBidi"/>
          <w:b/>
          <w:kern w:val="2"/>
          <w:sz w:val="21"/>
          <w:szCs w:val="20"/>
          <w:lang w:val="en-US" w:eastAsia="zh-CN" w:bidi="ar-SA"/>
        </w:rPr>
        <w:t>1</w:t>
      </w:r>
      <w:r>
        <w:rPr>
          <w:rFonts w:hint="eastAsia" w:ascii="Times New Roman" w:hAnsi="Times New Roman" w:eastAsia="宋体" w:cstheme="majorBidi"/>
          <w:b/>
          <w:kern w:val="2"/>
          <w:sz w:val="21"/>
          <w:szCs w:val="20"/>
          <w:lang w:val="en-US" w:eastAsia="zh-CN" w:bidi="ar-SA"/>
        </w:rPr>
        <w:t xml:space="preserve"> </w:t>
      </w:r>
      <w:r>
        <w:rPr>
          <w:rFonts w:hint="eastAsia" w:cstheme="majorBidi"/>
          <w:b/>
          <w:kern w:val="2"/>
          <w:sz w:val="21"/>
          <w:szCs w:val="20"/>
          <w:lang w:val="en-US" w:eastAsia="zh-CN" w:bidi="ar-SA"/>
        </w:rPr>
        <w:t>XGT7022-12S</w:t>
      </w:r>
      <w:r>
        <w:rPr>
          <w:rFonts w:hint="eastAsia" w:ascii="Times New Roman" w:hAnsi="Times New Roman" w:eastAsia="宋体" w:cstheme="majorBidi"/>
          <w:b/>
          <w:kern w:val="2"/>
          <w:sz w:val="21"/>
          <w:szCs w:val="20"/>
          <w:lang w:val="en-US" w:eastAsia="zh-CN" w:bidi="ar-SA"/>
        </w:rPr>
        <w:t>塔机安装时</w:t>
      </w:r>
      <w:r>
        <w:rPr>
          <w:rFonts w:hint="eastAsia" w:cstheme="majorBidi"/>
          <w:b/>
          <w:kern w:val="2"/>
          <w:sz w:val="21"/>
          <w:szCs w:val="20"/>
          <w:lang w:val="en-US" w:eastAsia="zh-CN" w:bidi="ar-SA"/>
        </w:rPr>
        <w:t>50T</w:t>
      </w:r>
      <w:r>
        <w:rPr>
          <w:rFonts w:hint="eastAsia" w:ascii="Times New Roman" w:hAnsi="Times New Roman" w:eastAsia="宋体" w:cstheme="majorBidi"/>
          <w:b/>
          <w:kern w:val="2"/>
          <w:sz w:val="21"/>
          <w:szCs w:val="20"/>
          <w:lang w:val="en-US" w:eastAsia="zh-CN" w:bidi="ar-SA"/>
        </w:rPr>
        <w:t>汽车吊负荷率</w:t>
      </w:r>
    </w:p>
    <w:tbl>
      <w:tblPr>
        <w:tblStyle w:val="4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27"/>
        <w:gridCol w:w="1541"/>
        <w:gridCol w:w="1280"/>
        <w:gridCol w:w="1533"/>
        <w:gridCol w:w="1328"/>
        <w:gridCol w:w="1533"/>
        <w:gridCol w:w="1448"/>
      </w:tblGrid>
      <w:tr w14:paraId="11C25B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0" w:type="auto"/>
            <w:vMerge w:val="restart"/>
            <w:vAlign w:val="center"/>
          </w:tcPr>
          <w:p w14:paraId="7BAF8002">
            <w:pPr>
              <w:widowControl/>
              <w:adjustRightInd w:val="0"/>
              <w:snapToGrid w:val="0"/>
              <w:spacing w:before="156" w:after="156"/>
              <w:ind w:left="0" w:leftChars="0" w:firstLine="0" w:firstLineChars="0"/>
              <w:jc w:val="both"/>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序号</w:t>
            </w:r>
          </w:p>
        </w:tc>
        <w:tc>
          <w:tcPr>
            <w:tcW w:w="0" w:type="auto"/>
            <w:gridSpan w:val="3"/>
            <w:vAlign w:val="center"/>
          </w:tcPr>
          <w:p w14:paraId="71C7D49D">
            <w:pPr>
              <w:widowControl/>
              <w:adjustRightInd w:val="0"/>
              <w:snapToGrid w:val="0"/>
              <w:spacing w:before="156" w:after="156" w:line="240" w:lineRule="auto"/>
              <w:ind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工况</w:t>
            </w:r>
          </w:p>
        </w:tc>
        <w:tc>
          <w:tcPr>
            <w:tcW w:w="0" w:type="auto"/>
            <w:gridSpan w:val="2"/>
            <w:vAlign w:val="center"/>
          </w:tcPr>
          <w:p w14:paraId="2E98CE4A">
            <w:pPr>
              <w:widowControl/>
              <w:adjustRightInd w:val="0"/>
              <w:snapToGrid w:val="0"/>
              <w:spacing w:before="156" w:after="156"/>
              <w:ind w:left="0" w:lef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cs="宋体"/>
                <w:b/>
                <w:bCs/>
                <w:kern w:val="2"/>
                <w:sz w:val="24"/>
                <w:szCs w:val="24"/>
                <w:lang w:val="en-US" w:eastAsia="zh-CN" w:bidi="ar-SA"/>
              </w:rPr>
              <w:t>50T</w:t>
            </w:r>
            <w:r>
              <w:rPr>
                <w:rFonts w:hint="eastAsia" w:ascii="宋体" w:hAnsi="宋体" w:eastAsia="宋体" w:cs="宋体"/>
                <w:b/>
                <w:bCs/>
                <w:kern w:val="2"/>
                <w:sz w:val="24"/>
                <w:szCs w:val="24"/>
                <w:lang w:val="en-US" w:eastAsia="zh-CN" w:bidi="ar-SA"/>
              </w:rPr>
              <w:t>塔吊吊起重能力</w:t>
            </w:r>
          </w:p>
        </w:tc>
        <w:tc>
          <w:tcPr>
            <w:tcW w:w="0" w:type="auto"/>
            <w:vMerge w:val="restart"/>
            <w:vAlign w:val="center"/>
          </w:tcPr>
          <w:p w14:paraId="0E8DAE3C">
            <w:pPr>
              <w:widowControl/>
              <w:adjustRightInd w:val="0"/>
              <w:snapToGrid w:val="0"/>
              <w:spacing w:before="156" w:after="156"/>
              <w:ind w:left="0" w:lef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汽车吊负荷率</w:t>
            </w:r>
          </w:p>
        </w:tc>
      </w:tr>
      <w:tr w14:paraId="0DC3E3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blHeader/>
          <w:jc w:val="center"/>
        </w:trPr>
        <w:tc>
          <w:tcPr>
            <w:tcW w:w="0" w:type="auto"/>
            <w:vMerge w:val="continue"/>
            <w:vAlign w:val="center"/>
          </w:tcPr>
          <w:p w14:paraId="42B8DA7F">
            <w:pPr>
              <w:widowControl/>
              <w:adjustRightInd w:val="0"/>
              <w:snapToGrid w:val="0"/>
              <w:spacing w:before="156" w:after="156"/>
              <w:jc w:val="center"/>
              <w:rPr>
                <w:rFonts w:hint="eastAsia" w:ascii="宋体" w:hAnsi="宋体" w:eastAsia="宋体" w:cs="宋体"/>
                <w:b/>
                <w:bCs/>
                <w:kern w:val="2"/>
                <w:sz w:val="24"/>
                <w:szCs w:val="24"/>
                <w:lang w:val="en-US" w:eastAsia="zh-CN" w:bidi="ar-SA"/>
              </w:rPr>
            </w:pPr>
          </w:p>
        </w:tc>
        <w:tc>
          <w:tcPr>
            <w:tcW w:w="0" w:type="auto"/>
            <w:vAlign w:val="center"/>
          </w:tcPr>
          <w:p w14:paraId="3DBCCDFA">
            <w:pPr>
              <w:widowControl/>
              <w:adjustRightInd w:val="0"/>
              <w:snapToGrid w:val="0"/>
              <w:spacing w:before="156" w:after="156" w:line="240" w:lineRule="auto"/>
              <w:ind w:left="0" w:lef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吊装构件</w:t>
            </w:r>
          </w:p>
        </w:tc>
        <w:tc>
          <w:tcPr>
            <w:tcW w:w="0" w:type="auto"/>
            <w:vAlign w:val="center"/>
          </w:tcPr>
          <w:p w14:paraId="7A881989">
            <w:pPr>
              <w:widowControl/>
              <w:adjustRightInd w:val="0"/>
              <w:snapToGrid w:val="0"/>
              <w:spacing w:before="156" w:after="156" w:line="240" w:lineRule="auto"/>
              <w:ind w:left="0" w:lef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吊重（kg）</w:t>
            </w:r>
          </w:p>
        </w:tc>
        <w:tc>
          <w:tcPr>
            <w:tcW w:w="0" w:type="auto"/>
            <w:vAlign w:val="center"/>
          </w:tcPr>
          <w:p w14:paraId="12621C1E">
            <w:pPr>
              <w:widowControl/>
              <w:adjustRightInd w:val="0"/>
              <w:snapToGrid w:val="0"/>
              <w:spacing w:before="156" w:after="156" w:line="240" w:lineRule="auto"/>
              <w:ind w:left="0" w:lef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吊装幅度（m）</w:t>
            </w:r>
          </w:p>
        </w:tc>
        <w:tc>
          <w:tcPr>
            <w:tcW w:w="0" w:type="auto"/>
            <w:vAlign w:val="center"/>
          </w:tcPr>
          <w:p w14:paraId="7A06F8A8">
            <w:pPr>
              <w:widowControl/>
              <w:adjustRightInd w:val="0"/>
              <w:snapToGrid w:val="0"/>
              <w:spacing w:before="156" w:after="156" w:line="240" w:lineRule="auto"/>
              <w:ind w:left="0" w:lef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起重量（t）</w:t>
            </w:r>
          </w:p>
        </w:tc>
        <w:tc>
          <w:tcPr>
            <w:tcW w:w="0" w:type="auto"/>
            <w:vAlign w:val="center"/>
          </w:tcPr>
          <w:p w14:paraId="3A65F652">
            <w:pPr>
              <w:widowControl/>
              <w:adjustRightInd w:val="0"/>
              <w:snapToGrid w:val="0"/>
              <w:spacing w:before="156" w:after="156" w:line="240" w:lineRule="auto"/>
              <w:ind w:left="0" w:lef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起升高度（m）</w:t>
            </w:r>
          </w:p>
        </w:tc>
        <w:tc>
          <w:tcPr>
            <w:tcW w:w="0" w:type="auto"/>
            <w:vMerge w:val="continue"/>
            <w:vAlign w:val="center"/>
          </w:tcPr>
          <w:p w14:paraId="5BC477A1">
            <w:pPr>
              <w:widowControl/>
              <w:adjustRightInd w:val="0"/>
              <w:snapToGrid w:val="0"/>
              <w:spacing w:before="156" w:after="156" w:line="240" w:lineRule="auto"/>
              <w:jc w:val="center"/>
              <w:rPr>
                <w:rFonts w:hint="eastAsia" w:ascii="宋体" w:hAnsi="宋体" w:eastAsia="宋体" w:cs="宋体"/>
                <w:b/>
                <w:bCs/>
                <w:kern w:val="2"/>
                <w:sz w:val="24"/>
                <w:szCs w:val="24"/>
                <w:lang w:val="en-US" w:eastAsia="zh-CN" w:bidi="ar-SA"/>
              </w:rPr>
            </w:pPr>
          </w:p>
        </w:tc>
      </w:tr>
      <w:tr w14:paraId="1B2321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31B6439E">
            <w:pPr>
              <w:widowControl/>
              <w:numPr>
                <w:ilvl w:val="0"/>
                <w:numId w:val="20"/>
              </w:numPr>
              <w:adjustRightInd w:val="0"/>
              <w:snapToGrid w:val="0"/>
              <w:spacing w:before="156" w:after="156" w:line="240" w:lineRule="auto"/>
              <w:ind w:left="425" w:leftChars="0" w:hanging="425" w:firstLineChars="0"/>
              <w:jc w:val="center"/>
              <w:rPr>
                <w:rFonts w:hint="eastAsia" w:ascii="宋体" w:hAnsi="宋体" w:eastAsia="宋体" w:cs="宋体"/>
                <w:b w:val="0"/>
                <w:bCs w:val="0"/>
                <w:kern w:val="2"/>
                <w:sz w:val="24"/>
                <w:szCs w:val="24"/>
                <w:lang w:val="en-US" w:eastAsia="zh-CN" w:bidi="ar-SA"/>
              </w:rPr>
            </w:pPr>
          </w:p>
        </w:tc>
        <w:tc>
          <w:tcPr>
            <w:tcW w:w="1541" w:type="dxa"/>
            <w:vAlign w:val="center"/>
          </w:tcPr>
          <w:p w14:paraId="76DDA641">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基础</w:t>
            </w:r>
            <w:r>
              <w:rPr>
                <w:rFonts w:hint="eastAsia" w:ascii="宋体" w:hAnsi="宋体" w:eastAsia="宋体" w:cs="宋体"/>
                <w:b w:val="0"/>
                <w:bCs w:val="0"/>
                <w:kern w:val="2"/>
                <w:sz w:val="24"/>
                <w:szCs w:val="24"/>
                <w:lang w:val="en-US" w:eastAsia="zh-CN" w:bidi="ar-SA"/>
              </w:rPr>
              <w:t>节</w:t>
            </w:r>
          </w:p>
        </w:tc>
        <w:tc>
          <w:tcPr>
            <w:tcW w:w="1280" w:type="dxa"/>
            <w:vAlign w:val="center"/>
          </w:tcPr>
          <w:p w14:paraId="79AD45BD">
            <w:pPr>
              <w:keepNext w:val="0"/>
              <w:keepLines w:val="0"/>
              <w:widowControl/>
              <w:suppressLineNumbers w:val="0"/>
              <w:ind w:left="0" w:leftChars="0" w:firstLine="0" w:firstLineChars="0"/>
              <w:jc w:val="center"/>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4038</w:t>
            </w:r>
          </w:p>
        </w:tc>
        <w:tc>
          <w:tcPr>
            <w:tcW w:w="1533" w:type="dxa"/>
            <w:vAlign w:val="center"/>
          </w:tcPr>
          <w:p w14:paraId="6680227D">
            <w:pPr>
              <w:keepNext w:val="0"/>
              <w:keepLines w:val="0"/>
              <w:widowControl/>
              <w:suppressLineNumbers w:val="0"/>
              <w:ind w:firstLine="480" w:firstLineChars="200"/>
              <w:jc w:val="both"/>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16</w:t>
            </w:r>
          </w:p>
        </w:tc>
        <w:tc>
          <w:tcPr>
            <w:tcW w:w="1328" w:type="dxa"/>
            <w:vAlign w:val="center"/>
          </w:tcPr>
          <w:p w14:paraId="55F4E861">
            <w:pPr>
              <w:keepNext w:val="0"/>
              <w:keepLines w:val="0"/>
              <w:widowControl/>
              <w:suppressLineNumbers w:val="0"/>
              <w:ind w:firstLine="480" w:firstLineChars="200"/>
              <w:jc w:val="both"/>
              <w:textAlignment w:val="center"/>
              <w:rPr>
                <w:rFonts w:hint="default"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7.7</w:t>
            </w:r>
          </w:p>
        </w:tc>
        <w:tc>
          <w:tcPr>
            <w:tcW w:w="1533" w:type="dxa"/>
            <w:vAlign w:val="center"/>
          </w:tcPr>
          <w:p w14:paraId="07CFD288">
            <w:pPr>
              <w:keepNext w:val="0"/>
              <w:keepLines w:val="0"/>
              <w:widowControl/>
              <w:suppressLineNumbers w:val="0"/>
              <w:ind w:firstLine="480" w:firstLineChars="200"/>
              <w:jc w:val="both"/>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28</w:t>
            </w:r>
          </w:p>
        </w:tc>
        <w:tc>
          <w:tcPr>
            <w:tcW w:w="1448" w:type="dxa"/>
            <w:vAlign w:val="center"/>
          </w:tcPr>
          <w:p w14:paraId="154CA749">
            <w:pPr>
              <w:keepNext w:val="0"/>
              <w:keepLines w:val="0"/>
              <w:widowControl/>
              <w:suppressLineNumbers w:val="0"/>
              <w:ind w:left="0" w:leftChars="0" w:firstLine="0" w:firstLineChars="0"/>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52.44</w:t>
            </w:r>
            <w:r>
              <w:rPr>
                <w:rFonts w:hint="eastAsia" w:ascii="宋体" w:hAnsi="宋体" w:eastAsia="宋体" w:cs="宋体"/>
                <w:i w:val="0"/>
                <w:iCs w:val="0"/>
                <w:color w:val="000000"/>
                <w:kern w:val="0"/>
                <w:sz w:val="24"/>
                <w:szCs w:val="24"/>
                <w:u w:val="none"/>
                <w:lang w:val="en-US" w:eastAsia="zh-CN" w:bidi="ar"/>
              </w:rPr>
              <w:t>%</w:t>
            </w:r>
          </w:p>
        </w:tc>
      </w:tr>
      <w:tr w14:paraId="2502D8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785A19DC">
            <w:pPr>
              <w:widowControl/>
              <w:numPr>
                <w:ilvl w:val="0"/>
                <w:numId w:val="20"/>
              </w:numPr>
              <w:adjustRightInd w:val="0"/>
              <w:snapToGrid w:val="0"/>
              <w:spacing w:before="156" w:after="156" w:line="240" w:lineRule="auto"/>
              <w:ind w:left="425" w:leftChars="0" w:hanging="425" w:firstLineChars="0"/>
              <w:jc w:val="center"/>
              <w:rPr>
                <w:rFonts w:hint="eastAsia" w:ascii="宋体" w:hAnsi="宋体" w:eastAsia="宋体" w:cs="宋体"/>
                <w:b w:val="0"/>
                <w:bCs w:val="0"/>
                <w:kern w:val="2"/>
                <w:sz w:val="24"/>
                <w:szCs w:val="24"/>
                <w:lang w:val="en-US" w:eastAsia="zh-CN" w:bidi="ar-SA"/>
              </w:rPr>
            </w:pPr>
          </w:p>
        </w:tc>
        <w:tc>
          <w:tcPr>
            <w:tcW w:w="1541" w:type="dxa"/>
            <w:vAlign w:val="center"/>
          </w:tcPr>
          <w:p w14:paraId="61E2DFCE">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标准节</w:t>
            </w:r>
          </w:p>
        </w:tc>
        <w:tc>
          <w:tcPr>
            <w:tcW w:w="1280" w:type="dxa"/>
            <w:vAlign w:val="center"/>
          </w:tcPr>
          <w:p w14:paraId="288E1334">
            <w:pPr>
              <w:keepNext w:val="0"/>
              <w:keepLines w:val="0"/>
              <w:widowControl/>
              <w:suppressLineNumbers w:val="0"/>
              <w:ind w:left="0" w:leftChars="0" w:firstLine="0" w:firstLineChars="0"/>
              <w:jc w:val="center"/>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1754</w:t>
            </w:r>
          </w:p>
        </w:tc>
        <w:tc>
          <w:tcPr>
            <w:tcW w:w="1533" w:type="dxa"/>
            <w:vAlign w:val="center"/>
          </w:tcPr>
          <w:p w14:paraId="577D943B">
            <w:pPr>
              <w:keepNext w:val="0"/>
              <w:keepLines w:val="0"/>
              <w:widowControl/>
              <w:suppressLineNumbers w:val="0"/>
              <w:ind w:firstLine="480" w:firstLineChars="200"/>
              <w:jc w:val="both"/>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16</w:t>
            </w:r>
          </w:p>
        </w:tc>
        <w:tc>
          <w:tcPr>
            <w:tcW w:w="1328" w:type="dxa"/>
            <w:vAlign w:val="center"/>
          </w:tcPr>
          <w:p w14:paraId="71759DB5">
            <w:pPr>
              <w:keepNext w:val="0"/>
              <w:keepLines w:val="0"/>
              <w:widowControl/>
              <w:suppressLineNumbers w:val="0"/>
              <w:ind w:firstLine="480" w:firstLineChars="200"/>
              <w:jc w:val="both"/>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7.7</w:t>
            </w:r>
          </w:p>
        </w:tc>
        <w:tc>
          <w:tcPr>
            <w:tcW w:w="1533" w:type="dxa"/>
            <w:vAlign w:val="center"/>
          </w:tcPr>
          <w:p w14:paraId="6D8ECC2F">
            <w:pPr>
              <w:keepNext w:val="0"/>
              <w:keepLines w:val="0"/>
              <w:widowControl/>
              <w:suppressLineNumbers w:val="0"/>
              <w:ind w:firstLine="480" w:firstLineChars="200"/>
              <w:jc w:val="both"/>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28</w:t>
            </w:r>
          </w:p>
        </w:tc>
        <w:tc>
          <w:tcPr>
            <w:tcW w:w="1448" w:type="dxa"/>
            <w:vAlign w:val="center"/>
          </w:tcPr>
          <w:p w14:paraId="1E44587A">
            <w:pPr>
              <w:keepNext w:val="0"/>
              <w:keepLines w:val="0"/>
              <w:widowControl/>
              <w:suppressLineNumbers w:val="0"/>
              <w:ind w:left="0" w:leftChars="0" w:firstLine="0" w:firstLineChars="0"/>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22.78</w:t>
            </w:r>
            <w:r>
              <w:rPr>
                <w:rFonts w:hint="eastAsia" w:ascii="宋体" w:hAnsi="宋体" w:eastAsia="宋体" w:cs="宋体"/>
                <w:i w:val="0"/>
                <w:iCs w:val="0"/>
                <w:color w:val="000000"/>
                <w:kern w:val="0"/>
                <w:sz w:val="24"/>
                <w:szCs w:val="24"/>
                <w:u w:val="none"/>
                <w:lang w:val="en-US" w:eastAsia="zh-CN" w:bidi="ar"/>
              </w:rPr>
              <w:t>%</w:t>
            </w:r>
          </w:p>
        </w:tc>
      </w:tr>
      <w:tr w14:paraId="79E1FF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095F6A9F">
            <w:pPr>
              <w:widowControl/>
              <w:numPr>
                <w:ilvl w:val="0"/>
                <w:numId w:val="20"/>
              </w:numPr>
              <w:adjustRightInd w:val="0"/>
              <w:snapToGrid w:val="0"/>
              <w:spacing w:before="156" w:after="156" w:line="240" w:lineRule="auto"/>
              <w:ind w:left="425" w:leftChars="0" w:hanging="425" w:firstLineChars="0"/>
              <w:jc w:val="center"/>
              <w:rPr>
                <w:rFonts w:hint="eastAsia" w:ascii="宋体" w:hAnsi="宋体" w:eastAsia="宋体" w:cs="宋体"/>
                <w:b w:val="0"/>
                <w:bCs w:val="0"/>
                <w:kern w:val="2"/>
                <w:sz w:val="24"/>
                <w:szCs w:val="24"/>
                <w:lang w:val="en-US" w:eastAsia="zh-CN" w:bidi="ar-SA"/>
              </w:rPr>
            </w:pPr>
          </w:p>
        </w:tc>
        <w:tc>
          <w:tcPr>
            <w:tcW w:w="1541" w:type="dxa"/>
            <w:vAlign w:val="center"/>
          </w:tcPr>
          <w:p w14:paraId="1F3838A0">
            <w:pPr>
              <w:widowControl/>
              <w:adjustRightInd w:val="0"/>
              <w:snapToGrid w:val="0"/>
              <w:spacing w:before="156" w:after="156" w:line="240" w:lineRule="auto"/>
              <w:ind w:left="0" w:leftChars="0" w:firstLine="0" w:firstLineChars="0"/>
              <w:jc w:val="center"/>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套架</w:t>
            </w:r>
          </w:p>
        </w:tc>
        <w:tc>
          <w:tcPr>
            <w:tcW w:w="1280" w:type="dxa"/>
            <w:vAlign w:val="center"/>
          </w:tcPr>
          <w:p w14:paraId="6AAEA838">
            <w:pPr>
              <w:keepNext w:val="0"/>
              <w:keepLines w:val="0"/>
              <w:widowControl/>
              <w:suppressLineNumbers w:val="0"/>
              <w:ind w:left="0" w:leftChars="0" w:firstLine="0" w:firstLineChars="0"/>
              <w:jc w:val="center"/>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2988</w:t>
            </w:r>
          </w:p>
        </w:tc>
        <w:tc>
          <w:tcPr>
            <w:tcW w:w="1533" w:type="dxa"/>
            <w:vAlign w:val="center"/>
          </w:tcPr>
          <w:p w14:paraId="77903000">
            <w:pPr>
              <w:keepNext w:val="0"/>
              <w:keepLines w:val="0"/>
              <w:widowControl/>
              <w:suppressLineNumbers w:val="0"/>
              <w:ind w:firstLine="480" w:firstLineChars="200"/>
              <w:jc w:val="both"/>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16</w:t>
            </w:r>
          </w:p>
        </w:tc>
        <w:tc>
          <w:tcPr>
            <w:tcW w:w="1328" w:type="dxa"/>
            <w:vAlign w:val="center"/>
          </w:tcPr>
          <w:p w14:paraId="5C204E89">
            <w:pPr>
              <w:keepNext w:val="0"/>
              <w:keepLines w:val="0"/>
              <w:widowControl/>
              <w:suppressLineNumbers w:val="0"/>
              <w:ind w:firstLine="480" w:firstLineChars="200"/>
              <w:jc w:val="both"/>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7.7</w:t>
            </w:r>
          </w:p>
        </w:tc>
        <w:tc>
          <w:tcPr>
            <w:tcW w:w="1533" w:type="dxa"/>
            <w:vAlign w:val="center"/>
          </w:tcPr>
          <w:p w14:paraId="524CCA02">
            <w:pPr>
              <w:keepNext w:val="0"/>
              <w:keepLines w:val="0"/>
              <w:widowControl/>
              <w:suppressLineNumbers w:val="0"/>
              <w:ind w:firstLine="480" w:firstLineChars="200"/>
              <w:jc w:val="both"/>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28</w:t>
            </w:r>
          </w:p>
        </w:tc>
        <w:tc>
          <w:tcPr>
            <w:tcW w:w="1448" w:type="dxa"/>
            <w:vAlign w:val="center"/>
          </w:tcPr>
          <w:p w14:paraId="19AE3DF2">
            <w:pPr>
              <w:keepNext w:val="0"/>
              <w:keepLines w:val="0"/>
              <w:widowControl/>
              <w:suppressLineNumbers w:val="0"/>
              <w:ind w:left="0" w:leftChars="0" w:firstLine="0" w:firstLineChars="0"/>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38.81</w:t>
            </w:r>
            <w:r>
              <w:rPr>
                <w:rFonts w:hint="eastAsia" w:ascii="宋体" w:hAnsi="宋体" w:eastAsia="宋体" w:cs="宋体"/>
                <w:i w:val="0"/>
                <w:iCs w:val="0"/>
                <w:color w:val="000000"/>
                <w:kern w:val="0"/>
                <w:sz w:val="24"/>
                <w:szCs w:val="24"/>
                <w:u w:val="none"/>
                <w:lang w:val="en-US" w:eastAsia="zh-CN" w:bidi="ar"/>
              </w:rPr>
              <w:t>%</w:t>
            </w:r>
          </w:p>
        </w:tc>
      </w:tr>
      <w:tr w14:paraId="0817B5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78B2386B">
            <w:pPr>
              <w:widowControl/>
              <w:numPr>
                <w:ilvl w:val="0"/>
                <w:numId w:val="20"/>
              </w:numPr>
              <w:adjustRightInd w:val="0"/>
              <w:snapToGrid w:val="0"/>
              <w:spacing w:before="156" w:after="156" w:line="240" w:lineRule="auto"/>
              <w:ind w:left="425" w:leftChars="0" w:hanging="425" w:firstLineChars="0"/>
              <w:jc w:val="center"/>
              <w:rPr>
                <w:rFonts w:hint="default" w:ascii="宋体" w:hAnsi="宋体" w:eastAsia="宋体" w:cs="宋体"/>
                <w:b w:val="0"/>
                <w:bCs w:val="0"/>
                <w:kern w:val="2"/>
                <w:sz w:val="24"/>
                <w:szCs w:val="24"/>
                <w:lang w:val="en-US" w:eastAsia="zh-CN" w:bidi="ar-SA"/>
              </w:rPr>
            </w:pPr>
          </w:p>
        </w:tc>
        <w:tc>
          <w:tcPr>
            <w:tcW w:w="1541" w:type="dxa"/>
            <w:vAlign w:val="center"/>
          </w:tcPr>
          <w:p w14:paraId="5FCA5977">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特殊节</w:t>
            </w:r>
          </w:p>
        </w:tc>
        <w:tc>
          <w:tcPr>
            <w:tcW w:w="1280" w:type="dxa"/>
            <w:vAlign w:val="center"/>
          </w:tcPr>
          <w:p w14:paraId="222BD248">
            <w:pPr>
              <w:keepNext w:val="0"/>
              <w:keepLines w:val="0"/>
              <w:widowControl/>
              <w:suppressLineNumbers w:val="0"/>
              <w:ind w:left="0" w:leftChars="0" w:firstLine="0" w:firstLineChars="0"/>
              <w:jc w:val="center"/>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2459</w:t>
            </w:r>
          </w:p>
        </w:tc>
        <w:tc>
          <w:tcPr>
            <w:tcW w:w="1533" w:type="dxa"/>
            <w:vAlign w:val="center"/>
          </w:tcPr>
          <w:p w14:paraId="75B1A601">
            <w:pPr>
              <w:keepNext w:val="0"/>
              <w:keepLines w:val="0"/>
              <w:widowControl/>
              <w:suppressLineNumbers w:val="0"/>
              <w:ind w:firstLine="480" w:firstLineChars="200"/>
              <w:jc w:val="both"/>
              <w:textAlignment w:val="center"/>
              <w:rPr>
                <w:rFonts w:hint="default" w:ascii="宋体" w:hAnsi="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16</w:t>
            </w:r>
          </w:p>
        </w:tc>
        <w:tc>
          <w:tcPr>
            <w:tcW w:w="1328" w:type="dxa"/>
            <w:vAlign w:val="center"/>
          </w:tcPr>
          <w:p w14:paraId="16DF42D3">
            <w:pPr>
              <w:keepNext w:val="0"/>
              <w:keepLines w:val="0"/>
              <w:widowControl/>
              <w:suppressLineNumbers w:val="0"/>
              <w:ind w:firstLine="480" w:firstLineChars="200"/>
              <w:jc w:val="both"/>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7.7</w:t>
            </w:r>
          </w:p>
        </w:tc>
        <w:tc>
          <w:tcPr>
            <w:tcW w:w="1533" w:type="dxa"/>
            <w:vAlign w:val="center"/>
          </w:tcPr>
          <w:p w14:paraId="73ED01EB">
            <w:pPr>
              <w:keepNext w:val="0"/>
              <w:keepLines w:val="0"/>
              <w:widowControl/>
              <w:suppressLineNumbers w:val="0"/>
              <w:ind w:firstLine="480" w:firstLineChars="200"/>
              <w:jc w:val="both"/>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28</w:t>
            </w:r>
          </w:p>
        </w:tc>
        <w:tc>
          <w:tcPr>
            <w:tcW w:w="1448" w:type="dxa"/>
            <w:vAlign w:val="center"/>
          </w:tcPr>
          <w:p w14:paraId="26D6C424">
            <w:pPr>
              <w:keepNext w:val="0"/>
              <w:keepLines w:val="0"/>
              <w:widowControl/>
              <w:suppressLineNumbers w:val="0"/>
              <w:ind w:left="0" w:leftChars="0" w:firstLine="0" w:firstLineChars="0"/>
              <w:jc w:val="center"/>
              <w:textAlignment w:val="center"/>
              <w:rPr>
                <w:rFonts w:hint="eastAsia" w:ascii="宋体" w:hAnsi="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31.94</w:t>
            </w:r>
            <w:r>
              <w:rPr>
                <w:rFonts w:hint="eastAsia" w:ascii="宋体" w:hAnsi="宋体" w:eastAsia="宋体" w:cs="宋体"/>
                <w:i w:val="0"/>
                <w:iCs w:val="0"/>
                <w:color w:val="000000"/>
                <w:kern w:val="0"/>
                <w:sz w:val="24"/>
                <w:szCs w:val="24"/>
                <w:u w:val="none"/>
                <w:lang w:val="en-US" w:eastAsia="zh-CN" w:bidi="ar"/>
              </w:rPr>
              <w:t>%</w:t>
            </w:r>
          </w:p>
        </w:tc>
      </w:tr>
      <w:tr w14:paraId="0F7872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346D93B9">
            <w:pPr>
              <w:widowControl/>
              <w:numPr>
                <w:ilvl w:val="0"/>
                <w:numId w:val="20"/>
              </w:numPr>
              <w:adjustRightInd w:val="0"/>
              <w:snapToGrid w:val="0"/>
              <w:spacing w:before="156" w:after="156" w:line="240" w:lineRule="auto"/>
              <w:ind w:left="425" w:leftChars="0" w:hanging="425" w:firstLineChars="0"/>
              <w:jc w:val="center"/>
              <w:rPr>
                <w:rFonts w:hint="eastAsia" w:ascii="宋体" w:hAnsi="宋体" w:eastAsia="宋体" w:cs="宋体"/>
                <w:b w:val="0"/>
                <w:bCs w:val="0"/>
                <w:kern w:val="2"/>
                <w:sz w:val="24"/>
                <w:szCs w:val="24"/>
                <w:lang w:val="en-US" w:eastAsia="zh-CN" w:bidi="ar-SA"/>
              </w:rPr>
            </w:pPr>
          </w:p>
        </w:tc>
        <w:tc>
          <w:tcPr>
            <w:tcW w:w="1541" w:type="dxa"/>
            <w:vAlign w:val="center"/>
          </w:tcPr>
          <w:p w14:paraId="4D2F36DE">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回转总成</w:t>
            </w:r>
          </w:p>
        </w:tc>
        <w:tc>
          <w:tcPr>
            <w:tcW w:w="1280" w:type="dxa"/>
            <w:vAlign w:val="center"/>
          </w:tcPr>
          <w:p w14:paraId="4583CF9C">
            <w:pPr>
              <w:keepNext w:val="0"/>
              <w:keepLines w:val="0"/>
              <w:widowControl/>
              <w:suppressLineNumbers w:val="0"/>
              <w:ind w:left="0" w:leftChars="0" w:firstLine="0" w:firstLineChars="0"/>
              <w:jc w:val="center"/>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5593</w:t>
            </w:r>
          </w:p>
        </w:tc>
        <w:tc>
          <w:tcPr>
            <w:tcW w:w="1533" w:type="dxa"/>
            <w:vAlign w:val="center"/>
          </w:tcPr>
          <w:p w14:paraId="17A84959">
            <w:pPr>
              <w:keepNext w:val="0"/>
              <w:keepLines w:val="0"/>
              <w:widowControl/>
              <w:suppressLineNumbers w:val="0"/>
              <w:ind w:firstLine="480" w:firstLineChars="200"/>
              <w:jc w:val="both"/>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16</w:t>
            </w:r>
          </w:p>
        </w:tc>
        <w:tc>
          <w:tcPr>
            <w:tcW w:w="1328" w:type="dxa"/>
            <w:vAlign w:val="center"/>
          </w:tcPr>
          <w:p w14:paraId="4EE35F2D">
            <w:pPr>
              <w:keepNext w:val="0"/>
              <w:keepLines w:val="0"/>
              <w:widowControl/>
              <w:suppressLineNumbers w:val="0"/>
              <w:ind w:firstLine="480" w:firstLineChars="200"/>
              <w:jc w:val="both"/>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7.7</w:t>
            </w:r>
          </w:p>
        </w:tc>
        <w:tc>
          <w:tcPr>
            <w:tcW w:w="1533" w:type="dxa"/>
            <w:vAlign w:val="center"/>
          </w:tcPr>
          <w:p w14:paraId="4C9E4B87">
            <w:pPr>
              <w:keepNext w:val="0"/>
              <w:keepLines w:val="0"/>
              <w:widowControl/>
              <w:suppressLineNumbers w:val="0"/>
              <w:ind w:firstLine="480" w:firstLineChars="200"/>
              <w:jc w:val="both"/>
              <w:textAlignment w:val="center"/>
              <w:rPr>
                <w:rFonts w:hint="eastAsia"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28</w:t>
            </w:r>
          </w:p>
        </w:tc>
        <w:tc>
          <w:tcPr>
            <w:tcW w:w="1448" w:type="dxa"/>
            <w:vAlign w:val="center"/>
          </w:tcPr>
          <w:p w14:paraId="5FDC21B4">
            <w:pPr>
              <w:keepNext w:val="0"/>
              <w:keepLines w:val="0"/>
              <w:widowControl/>
              <w:suppressLineNumbers w:val="0"/>
              <w:ind w:left="0" w:leftChars="0" w:firstLine="0" w:firstLineChars="0"/>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72.64</w:t>
            </w:r>
            <w:r>
              <w:rPr>
                <w:rFonts w:hint="eastAsia" w:ascii="宋体" w:hAnsi="宋体" w:eastAsia="宋体" w:cs="宋体"/>
                <w:i w:val="0"/>
                <w:iCs w:val="0"/>
                <w:color w:val="000000"/>
                <w:kern w:val="0"/>
                <w:sz w:val="24"/>
                <w:szCs w:val="24"/>
                <w:u w:val="none"/>
                <w:lang w:val="en-US" w:eastAsia="zh-CN" w:bidi="ar"/>
              </w:rPr>
              <w:t>%</w:t>
            </w:r>
          </w:p>
        </w:tc>
      </w:tr>
      <w:tr w14:paraId="4A39FD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7D835D66">
            <w:pPr>
              <w:widowControl/>
              <w:numPr>
                <w:ilvl w:val="0"/>
                <w:numId w:val="20"/>
              </w:numPr>
              <w:adjustRightInd w:val="0"/>
              <w:snapToGrid w:val="0"/>
              <w:spacing w:before="156" w:after="156" w:line="240" w:lineRule="auto"/>
              <w:ind w:left="425" w:leftChars="0" w:hanging="425" w:firstLineChars="0"/>
              <w:jc w:val="center"/>
              <w:rPr>
                <w:rFonts w:hint="default" w:ascii="宋体" w:hAnsi="宋体" w:eastAsia="宋体" w:cs="宋体"/>
                <w:b w:val="0"/>
                <w:bCs w:val="0"/>
                <w:kern w:val="2"/>
                <w:sz w:val="24"/>
                <w:szCs w:val="24"/>
                <w:lang w:val="en-US" w:eastAsia="zh-CN" w:bidi="ar-SA"/>
              </w:rPr>
            </w:pPr>
          </w:p>
        </w:tc>
        <w:tc>
          <w:tcPr>
            <w:tcW w:w="1541" w:type="dxa"/>
            <w:vAlign w:val="center"/>
          </w:tcPr>
          <w:p w14:paraId="0B6B7213">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臂根节</w:t>
            </w:r>
          </w:p>
        </w:tc>
        <w:tc>
          <w:tcPr>
            <w:tcW w:w="1280" w:type="dxa"/>
            <w:vAlign w:val="center"/>
          </w:tcPr>
          <w:p w14:paraId="4DB58FF2">
            <w:pPr>
              <w:keepNext w:val="0"/>
              <w:keepLines w:val="0"/>
              <w:widowControl/>
              <w:suppressLineNumbers w:val="0"/>
              <w:ind w:left="0" w:leftChars="0" w:firstLine="0" w:firstLineChars="0"/>
              <w:jc w:val="center"/>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4216</w:t>
            </w:r>
          </w:p>
        </w:tc>
        <w:tc>
          <w:tcPr>
            <w:tcW w:w="1533" w:type="dxa"/>
            <w:vAlign w:val="center"/>
          </w:tcPr>
          <w:p w14:paraId="4B60FC39">
            <w:pPr>
              <w:keepNext w:val="0"/>
              <w:keepLines w:val="0"/>
              <w:widowControl/>
              <w:suppressLineNumbers w:val="0"/>
              <w:ind w:firstLine="480" w:firstLineChars="200"/>
              <w:jc w:val="both"/>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16</w:t>
            </w:r>
          </w:p>
        </w:tc>
        <w:tc>
          <w:tcPr>
            <w:tcW w:w="1328" w:type="dxa"/>
            <w:vAlign w:val="center"/>
          </w:tcPr>
          <w:p w14:paraId="615899CA">
            <w:pPr>
              <w:keepNext w:val="0"/>
              <w:keepLines w:val="0"/>
              <w:widowControl/>
              <w:suppressLineNumbers w:val="0"/>
              <w:ind w:firstLine="480" w:firstLineChars="200"/>
              <w:jc w:val="both"/>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7.7</w:t>
            </w:r>
          </w:p>
        </w:tc>
        <w:tc>
          <w:tcPr>
            <w:tcW w:w="1533" w:type="dxa"/>
            <w:vAlign w:val="center"/>
          </w:tcPr>
          <w:p w14:paraId="37A54DAC">
            <w:pPr>
              <w:keepNext w:val="0"/>
              <w:keepLines w:val="0"/>
              <w:widowControl/>
              <w:suppressLineNumbers w:val="0"/>
              <w:ind w:firstLine="480" w:firstLineChars="200"/>
              <w:jc w:val="both"/>
              <w:textAlignment w:val="center"/>
              <w:rPr>
                <w:rFonts w:hint="eastAsia"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28</w:t>
            </w:r>
          </w:p>
        </w:tc>
        <w:tc>
          <w:tcPr>
            <w:tcW w:w="1448" w:type="dxa"/>
            <w:vAlign w:val="center"/>
          </w:tcPr>
          <w:p w14:paraId="1E5B00DD">
            <w:pPr>
              <w:keepNext w:val="0"/>
              <w:keepLines w:val="0"/>
              <w:widowControl/>
              <w:suppressLineNumbers w:val="0"/>
              <w:ind w:left="0" w:leftChars="0" w:firstLine="0" w:firstLineChars="0"/>
              <w:jc w:val="center"/>
              <w:textAlignment w:val="center"/>
              <w:rPr>
                <w:rFonts w:hint="default" w:ascii="宋体" w:hAnsi="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54.75</w:t>
            </w:r>
            <w:r>
              <w:rPr>
                <w:rFonts w:hint="eastAsia" w:ascii="宋体" w:hAnsi="宋体" w:eastAsia="宋体" w:cs="宋体"/>
                <w:i w:val="0"/>
                <w:iCs w:val="0"/>
                <w:color w:val="000000"/>
                <w:kern w:val="0"/>
                <w:sz w:val="24"/>
                <w:szCs w:val="24"/>
                <w:u w:val="none"/>
                <w:lang w:val="en-US" w:eastAsia="zh-CN" w:bidi="ar"/>
              </w:rPr>
              <w:t>%</w:t>
            </w:r>
          </w:p>
        </w:tc>
      </w:tr>
      <w:tr w14:paraId="6BD601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17A94132">
            <w:pPr>
              <w:widowControl/>
              <w:numPr>
                <w:ilvl w:val="0"/>
                <w:numId w:val="20"/>
              </w:numPr>
              <w:adjustRightInd w:val="0"/>
              <w:snapToGrid w:val="0"/>
              <w:spacing w:before="156" w:after="156" w:line="240" w:lineRule="auto"/>
              <w:ind w:left="425" w:leftChars="0" w:hanging="425" w:firstLineChars="0"/>
              <w:jc w:val="center"/>
              <w:rPr>
                <w:rFonts w:hint="eastAsia" w:ascii="宋体" w:hAnsi="宋体" w:eastAsia="宋体" w:cs="宋体"/>
                <w:b w:val="0"/>
                <w:bCs w:val="0"/>
                <w:kern w:val="2"/>
                <w:sz w:val="24"/>
                <w:szCs w:val="24"/>
                <w:lang w:val="en-US" w:eastAsia="zh-CN" w:bidi="ar-SA"/>
              </w:rPr>
            </w:pPr>
          </w:p>
        </w:tc>
        <w:tc>
          <w:tcPr>
            <w:tcW w:w="1541" w:type="dxa"/>
            <w:vAlign w:val="center"/>
          </w:tcPr>
          <w:p w14:paraId="1FA59BA6">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平衡臂</w:t>
            </w:r>
          </w:p>
        </w:tc>
        <w:tc>
          <w:tcPr>
            <w:tcW w:w="1280" w:type="dxa"/>
            <w:vAlign w:val="center"/>
          </w:tcPr>
          <w:p w14:paraId="4F6B4E66">
            <w:pPr>
              <w:keepNext w:val="0"/>
              <w:keepLines w:val="0"/>
              <w:widowControl/>
              <w:suppressLineNumbers w:val="0"/>
              <w:ind w:left="0" w:leftChars="0" w:firstLine="0" w:firstLineChars="0"/>
              <w:jc w:val="center"/>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2717</w:t>
            </w:r>
          </w:p>
        </w:tc>
        <w:tc>
          <w:tcPr>
            <w:tcW w:w="1533" w:type="dxa"/>
            <w:vAlign w:val="center"/>
          </w:tcPr>
          <w:p w14:paraId="2D2BF462">
            <w:pPr>
              <w:keepNext w:val="0"/>
              <w:keepLines w:val="0"/>
              <w:widowControl/>
              <w:suppressLineNumbers w:val="0"/>
              <w:ind w:firstLine="480" w:firstLineChars="200"/>
              <w:jc w:val="both"/>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16</w:t>
            </w:r>
          </w:p>
        </w:tc>
        <w:tc>
          <w:tcPr>
            <w:tcW w:w="1328" w:type="dxa"/>
            <w:vAlign w:val="center"/>
          </w:tcPr>
          <w:p w14:paraId="3EE843EC">
            <w:pPr>
              <w:keepNext w:val="0"/>
              <w:keepLines w:val="0"/>
              <w:widowControl/>
              <w:suppressLineNumbers w:val="0"/>
              <w:ind w:firstLine="480" w:firstLineChars="200"/>
              <w:jc w:val="both"/>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7.7</w:t>
            </w:r>
          </w:p>
        </w:tc>
        <w:tc>
          <w:tcPr>
            <w:tcW w:w="1533" w:type="dxa"/>
            <w:vAlign w:val="center"/>
          </w:tcPr>
          <w:p w14:paraId="027D94D9">
            <w:pPr>
              <w:keepNext w:val="0"/>
              <w:keepLines w:val="0"/>
              <w:widowControl/>
              <w:suppressLineNumbers w:val="0"/>
              <w:ind w:firstLine="480" w:firstLineChars="200"/>
              <w:jc w:val="both"/>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28</w:t>
            </w:r>
          </w:p>
        </w:tc>
        <w:tc>
          <w:tcPr>
            <w:tcW w:w="1448" w:type="dxa"/>
            <w:vAlign w:val="center"/>
          </w:tcPr>
          <w:p w14:paraId="1143C04D">
            <w:pPr>
              <w:keepNext w:val="0"/>
              <w:keepLines w:val="0"/>
              <w:widowControl/>
              <w:suppressLineNumbers w:val="0"/>
              <w:ind w:left="0" w:leftChars="0" w:firstLine="0" w:firstLineChars="0"/>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35.29</w:t>
            </w:r>
            <w:r>
              <w:rPr>
                <w:rFonts w:hint="eastAsia" w:ascii="宋体" w:hAnsi="宋体" w:eastAsia="宋体" w:cs="宋体"/>
                <w:i w:val="0"/>
                <w:iCs w:val="0"/>
                <w:color w:val="000000"/>
                <w:kern w:val="0"/>
                <w:sz w:val="24"/>
                <w:szCs w:val="24"/>
                <w:u w:val="none"/>
                <w:lang w:val="en-US" w:eastAsia="zh-CN" w:bidi="ar"/>
              </w:rPr>
              <w:t>%</w:t>
            </w:r>
          </w:p>
        </w:tc>
      </w:tr>
      <w:tr w14:paraId="0B7810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301886A5">
            <w:pPr>
              <w:widowControl/>
              <w:numPr>
                <w:ilvl w:val="0"/>
                <w:numId w:val="20"/>
              </w:numPr>
              <w:adjustRightInd w:val="0"/>
              <w:snapToGrid w:val="0"/>
              <w:spacing w:before="156" w:after="156" w:line="240" w:lineRule="auto"/>
              <w:ind w:left="425" w:leftChars="0" w:hanging="425" w:firstLineChars="0"/>
              <w:jc w:val="center"/>
              <w:rPr>
                <w:rFonts w:hint="default" w:ascii="宋体" w:hAnsi="宋体" w:cs="宋体"/>
                <w:b w:val="0"/>
                <w:bCs w:val="0"/>
                <w:kern w:val="2"/>
                <w:sz w:val="24"/>
                <w:szCs w:val="24"/>
                <w:lang w:val="en-US" w:eastAsia="zh-CN" w:bidi="ar-SA"/>
              </w:rPr>
            </w:pPr>
          </w:p>
        </w:tc>
        <w:tc>
          <w:tcPr>
            <w:tcW w:w="1541" w:type="dxa"/>
            <w:vAlign w:val="center"/>
          </w:tcPr>
          <w:p w14:paraId="6E6BF786">
            <w:pPr>
              <w:widowControl/>
              <w:adjustRightInd w:val="0"/>
              <w:snapToGrid w:val="0"/>
              <w:spacing w:before="156" w:after="156" w:line="240" w:lineRule="auto"/>
              <w:ind w:left="0" w:leftChars="0" w:firstLine="0" w:firstLineChars="0"/>
              <w:jc w:val="center"/>
              <w:rPr>
                <w:rFonts w:hint="default" w:ascii="宋体" w:hAnsi="宋体" w:eastAsia="宋体" w:cs="宋体"/>
                <w:b w:val="0"/>
                <w:bCs w:val="0"/>
                <w:kern w:val="2"/>
                <w:sz w:val="24"/>
                <w:szCs w:val="24"/>
                <w:lang w:val="en-US" w:eastAsia="zh-CN" w:bidi="ar-SA"/>
              </w:rPr>
            </w:pPr>
            <w:r>
              <w:rPr>
                <w:rFonts w:hint="eastAsia" w:ascii="宋体" w:hAnsi="宋体" w:cs="宋体"/>
                <w:b w:val="0"/>
                <w:bCs w:val="0"/>
                <w:kern w:val="2"/>
                <w:sz w:val="24"/>
                <w:szCs w:val="24"/>
                <w:lang w:val="en-US" w:eastAsia="zh-CN" w:bidi="ar-SA"/>
              </w:rPr>
              <w:t>第一块平衡重A</w:t>
            </w:r>
          </w:p>
        </w:tc>
        <w:tc>
          <w:tcPr>
            <w:tcW w:w="1280" w:type="dxa"/>
            <w:vAlign w:val="center"/>
          </w:tcPr>
          <w:p w14:paraId="5A2D236E">
            <w:pPr>
              <w:keepNext w:val="0"/>
              <w:keepLines w:val="0"/>
              <w:widowControl/>
              <w:suppressLineNumbers w:val="0"/>
              <w:ind w:left="0" w:leftChars="0" w:firstLine="0" w:firstLineChars="0"/>
              <w:jc w:val="center"/>
              <w:textAlignment w:val="center"/>
              <w:rPr>
                <w:rFonts w:hint="default" w:ascii="宋体" w:hAnsi="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3250</w:t>
            </w:r>
          </w:p>
        </w:tc>
        <w:tc>
          <w:tcPr>
            <w:tcW w:w="1533" w:type="dxa"/>
            <w:vAlign w:val="center"/>
          </w:tcPr>
          <w:p w14:paraId="1F3698BA">
            <w:pPr>
              <w:keepNext w:val="0"/>
              <w:keepLines w:val="0"/>
              <w:widowControl/>
              <w:suppressLineNumbers w:val="0"/>
              <w:ind w:firstLine="480" w:firstLineChars="200"/>
              <w:jc w:val="both"/>
              <w:textAlignment w:val="center"/>
              <w:rPr>
                <w:rFonts w:hint="eastAsia" w:ascii="宋体" w:hAnsi="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16</w:t>
            </w:r>
          </w:p>
        </w:tc>
        <w:tc>
          <w:tcPr>
            <w:tcW w:w="1328" w:type="dxa"/>
            <w:vAlign w:val="center"/>
          </w:tcPr>
          <w:p w14:paraId="6C132814">
            <w:pPr>
              <w:keepNext w:val="0"/>
              <w:keepLines w:val="0"/>
              <w:widowControl/>
              <w:suppressLineNumbers w:val="0"/>
              <w:ind w:firstLine="480" w:firstLineChars="200"/>
              <w:jc w:val="both"/>
              <w:textAlignment w:val="center"/>
              <w:rPr>
                <w:rFonts w:hint="eastAsia" w:ascii="宋体" w:hAnsi="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7.7</w:t>
            </w:r>
          </w:p>
        </w:tc>
        <w:tc>
          <w:tcPr>
            <w:tcW w:w="1533" w:type="dxa"/>
            <w:vAlign w:val="center"/>
          </w:tcPr>
          <w:p w14:paraId="18EF9CDF">
            <w:pPr>
              <w:keepNext w:val="0"/>
              <w:keepLines w:val="0"/>
              <w:widowControl/>
              <w:suppressLineNumbers w:val="0"/>
              <w:ind w:firstLine="480" w:firstLineChars="200"/>
              <w:jc w:val="both"/>
              <w:textAlignment w:val="center"/>
              <w:rPr>
                <w:rFonts w:hint="default" w:ascii="宋体" w:hAnsi="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28</w:t>
            </w:r>
          </w:p>
        </w:tc>
        <w:tc>
          <w:tcPr>
            <w:tcW w:w="1448" w:type="dxa"/>
            <w:vAlign w:val="center"/>
          </w:tcPr>
          <w:p w14:paraId="2D69B356">
            <w:pPr>
              <w:keepNext w:val="0"/>
              <w:keepLines w:val="0"/>
              <w:widowControl/>
              <w:suppressLineNumbers w:val="0"/>
              <w:ind w:left="0" w:leftChars="0" w:firstLine="0" w:firstLineChars="0"/>
              <w:jc w:val="center"/>
              <w:textAlignment w:val="center"/>
              <w:rPr>
                <w:rFonts w:hint="default" w:ascii="宋体" w:hAnsi="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42.21</w:t>
            </w:r>
            <w:r>
              <w:rPr>
                <w:rFonts w:hint="eastAsia" w:ascii="宋体" w:hAnsi="宋体" w:eastAsia="宋体" w:cs="宋体"/>
                <w:i w:val="0"/>
                <w:iCs w:val="0"/>
                <w:color w:val="000000"/>
                <w:kern w:val="0"/>
                <w:sz w:val="24"/>
                <w:szCs w:val="24"/>
                <w:u w:val="none"/>
                <w:lang w:val="en-US" w:eastAsia="zh-CN" w:bidi="ar"/>
              </w:rPr>
              <w:t>%</w:t>
            </w:r>
          </w:p>
        </w:tc>
      </w:tr>
      <w:tr w14:paraId="63E093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527F1D94">
            <w:pPr>
              <w:widowControl/>
              <w:numPr>
                <w:ilvl w:val="0"/>
                <w:numId w:val="20"/>
              </w:numPr>
              <w:adjustRightInd w:val="0"/>
              <w:snapToGrid w:val="0"/>
              <w:spacing w:before="156" w:after="156" w:line="240" w:lineRule="auto"/>
              <w:ind w:left="425" w:leftChars="0" w:hanging="425" w:firstLineChars="0"/>
              <w:jc w:val="center"/>
              <w:rPr>
                <w:rFonts w:hint="default" w:ascii="宋体" w:hAnsi="宋体" w:cs="宋体"/>
                <w:b w:val="0"/>
                <w:bCs w:val="0"/>
                <w:kern w:val="2"/>
                <w:sz w:val="24"/>
                <w:szCs w:val="24"/>
                <w:lang w:val="en-US" w:eastAsia="zh-CN" w:bidi="ar-SA"/>
              </w:rPr>
            </w:pPr>
          </w:p>
        </w:tc>
        <w:tc>
          <w:tcPr>
            <w:tcW w:w="1541" w:type="dxa"/>
            <w:vAlign w:val="center"/>
          </w:tcPr>
          <w:p w14:paraId="6EAAB5B9">
            <w:pPr>
              <w:widowControl/>
              <w:adjustRightInd w:val="0"/>
              <w:snapToGrid w:val="0"/>
              <w:spacing w:before="156" w:after="156" w:line="240" w:lineRule="auto"/>
              <w:ind w:left="0" w:leftChars="0" w:firstLine="0" w:firstLineChars="0"/>
              <w:jc w:val="center"/>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起重臂</w:t>
            </w:r>
            <w:r>
              <w:rPr>
                <w:rFonts w:hint="eastAsia" w:ascii="宋体" w:hAnsi="宋体" w:cs="宋体"/>
                <w:b w:val="0"/>
                <w:bCs w:val="0"/>
                <w:kern w:val="2"/>
                <w:sz w:val="24"/>
                <w:szCs w:val="24"/>
                <w:lang w:val="en-US" w:eastAsia="zh-CN" w:bidi="ar-SA"/>
              </w:rPr>
              <w:t>二</w:t>
            </w:r>
          </w:p>
        </w:tc>
        <w:tc>
          <w:tcPr>
            <w:tcW w:w="1280" w:type="dxa"/>
            <w:vAlign w:val="center"/>
          </w:tcPr>
          <w:p w14:paraId="65B447D4">
            <w:pPr>
              <w:keepNext w:val="0"/>
              <w:keepLines w:val="0"/>
              <w:widowControl/>
              <w:suppressLineNumbers w:val="0"/>
              <w:ind w:left="0" w:leftChars="0" w:firstLine="0" w:firstLineChars="0"/>
              <w:jc w:val="center"/>
              <w:textAlignment w:val="center"/>
              <w:rPr>
                <w:rFonts w:hint="default" w:ascii="宋体" w:hAnsi="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2018</w:t>
            </w:r>
          </w:p>
        </w:tc>
        <w:tc>
          <w:tcPr>
            <w:tcW w:w="1533" w:type="dxa"/>
            <w:vAlign w:val="center"/>
          </w:tcPr>
          <w:p w14:paraId="7782B8B1">
            <w:pPr>
              <w:keepNext w:val="0"/>
              <w:keepLines w:val="0"/>
              <w:widowControl/>
              <w:suppressLineNumbers w:val="0"/>
              <w:ind w:firstLine="480" w:firstLineChars="200"/>
              <w:jc w:val="both"/>
              <w:textAlignment w:val="center"/>
              <w:rPr>
                <w:rFonts w:hint="eastAsia" w:ascii="宋体" w:hAnsi="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16</w:t>
            </w:r>
          </w:p>
        </w:tc>
        <w:tc>
          <w:tcPr>
            <w:tcW w:w="1328" w:type="dxa"/>
            <w:vAlign w:val="center"/>
          </w:tcPr>
          <w:p w14:paraId="69FB0709">
            <w:pPr>
              <w:keepNext w:val="0"/>
              <w:keepLines w:val="0"/>
              <w:widowControl/>
              <w:suppressLineNumbers w:val="0"/>
              <w:ind w:firstLine="480" w:firstLineChars="200"/>
              <w:jc w:val="both"/>
              <w:textAlignment w:val="center"/>
              <w:rPr>
                <w:rFonts w:hint="eastAsia" w:ascii="宋体" w:hAnsi="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7.7</w:t>
            </w:r>
          </w:p>
        </w:tc>
        <w:tc>
          <w:tcPr>
            <w:tcW w:w="1533" w:type="dxa"/>
            <w:vAlign w:val="center"/>
          </w:tcPr>
          <w:p w14:paraId="36777F1F">
            <w:pPr>
              <w:keepNext w:val="0"/>
              <w:keepLines w:val="0"/>
              <w:widowControl/>
              <w:suppressLineNumbers w:val="0"/>
              <w:ind w:firstLine="480" w:firstLineChars="200"/>
              <w:jc w:val="both"/>
              <w:textAlignment w:val="center"/>
              <w:rPr>
                <w:rFonts w:hint="default" w:ascii="宋体" w:hAnsi="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28</w:t>
            </w:r>
          </w:p>
        </w:tc>
        <w:tc>
          <w:tcPr>
            <w:tcW w:w="1448" w:type="dxa"/>
            <w:vAlign w:val="center"/>
          </w:tcPr>
          <w:p w14:paraId="64D2EF67">
            <w:pPr>
              <w:keepNext w:val="0"/>
              <w:keepLines w:val="0"/>
              <w:widowControl/>
              <w:suppressLineNumbers w:val="0"/>
              <w:ind w:left="0" w:leftChars="0" w:firstLine="0" w:firstLineChars="0"/>
              <w:jc w:val="center"/>
              <w:textAlignment w:val="center"/>
              <w:rPr>
                <w:rFonts w:hint="default" w:ascii="宋体" w:hAnsi="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26.21</w:t>
            </w:r>
            <w:r>
              <w:rPr>
                <w:rFonts w:hint="eastAsia" w:ascii="宋体" w:hAnsi="宋体" w:eastAsia="宋体" w:cs="宋体"/>
                <w:i w:val="0"/>
                <w:iCs w:val="0"/>
                <w:color w:val="000000"/>
                <w:kern w:val="0"/>
                <w:sz w:val="24"/>
                <w:szCs w:val="24"/>
                <w:u w:val="none"/>
                <w:lang w:val="en-US" w:eastAsia="zh-CN" w:bidi="ar"/>
              </w:rPr>
              <w:t>%</w:t>
            </w:r>
          </w:p>
        </w:tc>
      </w:tr>
      <w:tr w14:paraId="4969D3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21FED8A4">
            <w:pPr>
              <w:widowControl/>
              <w:numPr>
                <w:ilvl w:val="0"/>
                <w:numId w:val="20"/>
              </w:numPr>
              <w:adjustRightInd w:val="0"/>
              <w:snapToGrid w:val="0"/>
              <w:spacing w:before="156" w:after="156" w:line="240" w:lineRule="auto"/>
              <w:ind w:left="425" w:leftChars="0" w:hanging="425" w:firstLineChars="0"/>
              <w:jc w:val="center"/>
              <w:rPr>
                <w:rFonts w:hint="default" w:ascii="宋体" w:hAnsi="宋体" w:cs="宋体"/>
                <w:b w:val="0"/>
                <w:bCs w:val="0"/>
                <w:kern w:val="2"/>
                <w:sz w:val="24"/>
                <w:szCs w:val="24"/>
                <w:lang w:val="en-US" w:eastAsia="zh-CN" w:bidi="ar-SA"/>
              </w:rPr>
            </w:pPr>
          </w:p>
        </w:tc>
        <w:tc>
          <w:tcPr>
            <w:tcW w:w="1541" w:type="dxa"/>
            <w:vAlign w:val="center"/>
          </w:tcPr>
          <w:p w14:paraId="705FD106">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起重臂</w:t>
            </w:r>
            <w:r>
              <w:rPr>
                <w:rFonts w:hint="eastAsia" w:ascii="宋体" w:hAnsi="宋体" w:cs="宋体"/>
                <w:b w:val="0"/>
                <w:bCs w:val="0"/>
                <w:kern w:val="2"/>
                <w:sz w:val="24"/>
                <w:szCs w:val="24"/>
                <w:lang w:val="en-US" w:eastAsia="zh-CN" w:bidi="ar-SA"/>
              </w:rPr>
              <w:t>三</w:t>
            </w:r>
          </w:p>
        </w:tc>
        <w:tc>
          <w:tcPr>
            <w:tcW w:w="1280" w:type="dxa"/>
            <w:vAlign w:val="center"/>
          </w:tcPr>
          <w:p w14:paraId="2B2C27FA">
            <w:pPr>
              <w:keepNext w:val="0"/>
              <w:keepLines w:val="0"/>
              <w:widowControl/>
              <w:suppressLineNumbers w:val="0"/>
              <w:ind w:left="0" w:leftChars="0" w:firstLine="0" w:firstLineChars="0"/>
              <w:jc w:val="center"/>
              <w:textAlignment w:val="center"/>
              <w:rPr>
                <w:rFonts w:hint="default" w:ascii="宋体" w:hAnsi="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1760</w:t>
            </w:r>
          </w:p>
        </w:tc>
        <w:tc>
          <w:tcPr>
            <w:tcW w:w="1533" w:type="dxa"/>
            <w:vAlign w:val="center"/>
          </w:tcPr>
          <w:p w14:paraId="54D387B6">
            <w:pPr>
              <w:keepNext w:val="0"/>
              <w:keepLines w:val="0"/>
              <w:widowControl/>
              <w:suppressLineNumbers w:val="0"/>
              <w:ind w:firstLine="480" w:firstLineChars="200"/>
              <w:jc w:val="both"/>
              <w:textAlignment w:val="center"/>
              <w:rPr>
                <w:rFonts w:hint="eastAsia" w:ascii="宋体" w:hAnsi="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16</w:t>
            </w:r>
          </w:p>
        </w:tc>
        <w:tc>
          <w:tcPr>
            <w:tcW w:w="1328" w:type="dxa"/>
            <w:vAlign w:val="center"/>
          </w:tcPr>
          <w:p w14:paraId="7072DC50">
            <w:pPr>
              <w:keepNext w:val="0"/>
              <w:keepLines w:val="0"/>
              <w:widowControl/>
              <w:suppressLineNumbers w:val="0"/>
              <w:ind w:firstLine="480" w:firstLineChars="200"/>
              <w:jc w:val="both"/>
              <w:textAlignment w:val="center"/>
              <w:rPr>
                <w:rFonts w:hint="eastAsia" w:ascii="宋体" w:hAnsi="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7.7</w:t>
            </w:r>
          </w:p>
        </w:tc>
        <w:tc>
          <w:tcPr>
            <w:tcW w:w="1533" w:type="dxa"/>
            <w:vAlign w:val="center"/>
          </w:tcPr>
          <w:p w14:paraId="37C31ACD">
            <w:pPr>
              <w:keepNext w:val="0"/>
              <w:keepLines w:val="0"/>
              <w:widowControl/>
              <w:suppressLineNumbers w:val="0"/>
              <w:ind w:firstLine="480" w:firstLineChars="200"/>
              <w:jc w:val="both"/>
              <w:textAlignment w:val="center"/>
              <w:rPr>
                <w:rFonts w:hint="default" w:ascii="宋体" w:hAnsi="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28</w:t>
            </w:r>
          </w:p>
        </w:tc>
        <w:tc>
          <w:tcPr>
            <w:tcW w:w="1448" w:type="dxa"/>
            <w:vAlign w:val="center"/>
          </w:tcPr>
          <w:p w14:paraId="04D74CBA">
            <w:pPr>
              <w:keepNext w:val="0"/>
              <w:keepLines w:val="0"/>
              <w:widowControl/>
              <w:suppressLineNumbers w:val="0"/>
              <w:ind w:left="0" w:leftChars="0" w:firstLine="0" w:firstLineChars="0"/>
              <w:jc w:val="center"/>
              <w:textAlignment w:val="center"/>
              <w:rPr>
                <w:rFonts w:hint="default" w:ascii="宋体" w:hAnsi="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22.86</w:t>
            </w:r>
            <w:r>
              <w:rPr>
                <w:rFonts w:hint="eastAsia" w:ascii="宋体" w:hAnsi="宋体" w:eastAsia="宋体" w:cs="宋体"/>
                <w:i w:val="0"/>
                <w:iCs w:val="0"/>
                <w:color w:val="000000"/>
                <w:kern w:val="0"/>
                <w:sz w:val="24"/>
                <w:szCs w:val="24"/>
                <w:u w:val="none"/>
                <w:lang w:val="en-US" w:eastAsia="zh-CN" w:bidi="ar"/>
              </w:rPr>
              <w:t>%</w:t>
            </w:r>
          </w:p>
        </w:tc>
      </w:tr>
      <w:tr w14:paraId="75CBAD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32EA6FF7">
            <w:pPr>
              <w:widowControl/>
              <w:numPr>
                <w:ilvl w:val="0"/>
                <w:numId w:val="20"/>
              </w:numPr>
              <w:adjustRightInd w:val="0"/>
              <w:snapToGrid w:val="0"/>
              <w:spacing w:before="156" w:after="156" w:line="240" w:lineRule="auto"/>
              <w:ind w:left="425" w:leftChars="0" w:hanging="425" w:firstLineChars="0"/>
              <w:jc w:val="center"/>
              <w:rPr>
                <w:rFonts w:hint="default" w:ascii="宋体" w:hAnsi="宋体" w:eastAsia="宋体" w:cs="宋体"/>
                <w:b w:val="0"/>
                <w:bCs w:val="0"/>
                <w:kern w:val="2"/>
                <w:sz w:val="24"/>
                <w:szCs w:val="24"/>
                <w:lang w:val="en-US" w:eastAsia="zh-CN" w:bidi="ar-SA"/>
              </w:rPr>
            </w:pPr>
          </w:p>
        </w:tc>
        <w:tc>
          <w:tcPr>
            <w:tcW w:w="1541" w:type="dxa"/>
            <w:vAlign w:val="center"/>
          </w:tcPr>
          <w:p w14:paraId="342B795A">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起重臂</w:t>
            </w:r>
            <w:r>
              <w:rPr>
                <w:rFonts w:hint="eastAsia" w:ascii="宋体" w:hAnsi="宋体" w:cs="宋体"/>
                <w:b w:val="0"/>
                <w:bCs w:val="0"/>
                <w:kern w:val="2"/>
                <w:sz w:val="24"/>
                <w:szCs w:val="24"/>
                <w:lang w:val="en-US" w:eastAsia="zh-CN" w:bidi="ar-SA"/>
              </w:rPr>
              <w:t>四</w:t>
            </w:r>
          </w:p>
        </w:tc>
        <w:tc>
          <w:tcPr>
            <w:tcW w:w="1280" w:type="dxa"/>
            <w:vAlign w:val="center"/>
          </w:tcPr>
          <w:p w14:paraId="3C97F6A2">
            <w:pPr>
              <w:keepNext w:val="0"/>
              <w:keepLines w:val="0"/>
              <w:widowControl/>
              <w:suppressLineNumbers w:val="0"/>
              <w:ind w:left="0" w:leftChars="0" w:firstLine="0" w:firstLineChars="0"/>
              <w:jc w:val="center"/>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1366</w:t>
            </w:r>
          </w:p>
        </w:tc>
        <w:tc>
          <w:tcPr>
            <w:tcW w:w="1533" w:type="dxa"/>
            <w:vAlign w:val="center"/>
          </w:tcPr>
          <w:p w14:paraId="33C5C4E2">
            <w:pPr>
              <w:keepNext w:val="0"/>
              <w:keepLines w:val="0"/>
              <w:widowControl/>
              <w:suppressLineNumbers w:val="0"/>
              <w:ind w:firstLine="480" w:firstLineChars="200"/>
              <w:jc w:val="both"/>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16</w:t>
            </w:r>
          </w:p>
        </w:tc>
        <w:tc>
          <w:tcPr>
            <w:tcW w:w="1328" w:type="dxa"/>
            <w:vAlign w:val="center"/>
          </w:tcPr>
          <w:p w14:paraId="3E4A5F85">
            <w:pPr>
              <w:keepNext w:val="0"/>
              <w:keepLines w:val="0"/>
              <w:widowControl/>
              <w:suppressLineNumbers w:val="0"/>
              <w:ind w:firstLine="480" w:firstLineChars="200"/>
              <w:jc w:val="both"/>
              <w:textAlignment w:val="center"/>
              <w:rPr>
                <w:rFonts w:hint="eastAsia"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7.7</w:t>
            </w:r>
          </w:p>
        </w:tc>
        <w:tc>
          <w:tcPr>
            <w:tcW w:w="1533" w:type="dxa"/>
            <w:vAlign w:val="center"/>
          </w:tcPr>
          <w:p w14:paraId="16CC40DF">
            <w:pPr>
              <w:keepNext w:val="0"/>
              <w:keepLines w:val="0"/>
              <w:widowControl/>
              <w:suppressLineNumbers w:val="0"/>
              <w:ind w:firstLine="480" w:firstLineChars="200"/>
              <w:jc w:val="both"/>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28</w:t>
            </w:r>
          </w:p>
        </w:tc>
        <w:tc>
          <w:tcPr>
            <w:tcW w:w="1448" w:type="dxa"/>
            <w:vAlign w:val="center"/>
          </w:tcPr>
          <w:p w14:paraId="6C50FC2C">
            <w:pPr>
              <w:keepNext w:val="0"/>
              <w:keepLines w:val="0"/>
              <w:widowControl/>
              <w:suppressLineNumbers w:val="0"/>
              <w:ind w:left="0" w:leftChars="0" w:firstLine="0" w:firstLineChars="0"/>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17.74</w:t>
            </w:r>
            <w:r>
              <w:rPr>
                <w:rFonts w:hint="eastAsia" w:ascii="宋体" w:hAnsi="宋体" w:eastAsia="宋体" w:cs="宋体"/>
                <w:i w:val="0"/>
                <w:iCs w:val="0"/>
                <w:color w:val="000000"/>
                <w:kern w:val="0"/>
                <w:sz w:val="24"/>
                <w:szCs w:val="24"/>
                <w:u w:val="none"/>
                <w:lang w:val="en-US" w:eastAsia="zh-CN" w:bidi="ar"/>
              </w:rPr>
              <w:t>%</w:t>
            </w:r>
          </w:p>
        </w:tc>
      </w:tr>
      <w:tr w14:paraId="7C3C28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2D565D64">
            <w:pPr>
              <w:widowControl/>
              <w:numPr>
                <w:ilvl w:val="0"/>
                <w:numId w:val="20"/>
              </w:numPr>
              <w:adjustRightInd w:val="0"/>
              <w:snapToGrid w:val="0"/>
              <w:spacing w:before="156" w:after="156" w:line="240" w:lineRule="auto"/>
              <w:ind w:left="425" w:leftChars="0" w:hanging="425" w:firstLineChars="0"/>
              <w:jc w:val="center"/>
              <w:rPr>
                <w:rFonts w:hint="default" w:ascii="宋体" w:hAnsi="宋体" w:eastAsia="宋体" w:cs="宋体"/>
                <w:b w:val="0"/>
                <w:bCs w:val="0"/>
                <w:kern w:val="2"/>
                <w:sz w:val="24"/>
                <w:szCs w:val="24"/>
                <w:lang w:val="en-US" w:eastAsia="zh-CN" w:bidi="ar-SA"/>
              </w:rPr>
            </w:pPr>
          </w:p>
        </w:tc>
        <w:tc>
          <w:tcPr>
            <w:tcW w:w="1541" w:type="dxa"/>
            <w:vAlign w:val="center"/>
          </w:tcPr>
          <w:p w14:paraId="5E8CC47F">
            <w:pPr>
              <w:widowControl/>
              <w:adjustRightInd w:val="0"/>
              <w:snapToGrid w:val="0"/>
              <w:spacing w:before="156" w:after="156" w:line="240" w:lineRule="auto"/>
              <w:ind w:left="0" w:leftChars="0" w:firstLine="0" w:firstLineChars="0"/>
              <w:jc w:val="center"/>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起重臂</w:t>
            </w:r>
            <w:r>
              <w:rPr>
                <w:rFonts w:hint="eastAsia" w:ascii="宋体" w:hAnsi="宋体" w:cs="宋体"/>
                <w:b w:val="0"/>
                <w:bCs w:val="0"/>
                <w:kern w:val="2"/>
                <w:sz w:val="24"/>
                <w:szCs w:val="24"/>
                <w:lang w:val="en-US" w:eastAsia="zh-CN" w:bidi="ar-SA"/>
              </w:rPr>
              <w:t>五</w:t>
            </w:r>
          </w:p>
        </w:tc>
        <w:tc>
          <w:tcPr>
            <w:tcW w:w="1280" w:type="dxa"/>
            <w:vAlign w:val="center"/>
          </w:tcPr>
          <w:p w14:paraId="3A672163">
            <w:pPr>
              <w:keepNext w:val="0"/>
              <w:keepLines w:val="0"/>
              <w:widowControl/>
              <w:suppressLineNumbers w:val="0"/>
              <w:ind w:left="0" w:leftChars="0" w:firstLine="0" w:firstLineChars="0"/>
              <w:jc w:val="center"/>
              <w:textAlignment w:val="center"/>
              <w:rPr>
                <w:rFonts w:hint="default"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5</w:t>
            </w:r>
            <w:r>
              <w:rPr>
                <w:rFonts w:hint="eastAsia" w:ascii="宋体" w:hAnsi="宋体" w:cs="宋体"/>
                <w:i w:val="0"/>
                <w:iCs w:val="0"/>
                <w:color w:val="000000"/>
                <w:kern w:val="0"/>
                <w:sz w:val="24"/>
                <w:szCs w:val="24"/>
                <w:u w:val="none"/>
                <w:lang w:val="en-US" w:eastAsia="zh-CN" w:bidi="ar"/>
              </w:rPr>
              <w:t>69</w:t>
            </w:r>
          </w:p>
        </w:tc>
        <w:tc>
          <w:tcPr>
            <w:tcW w:w="1533" w:type="dxa"/>
            <w:vAlign w:val="center"/>
          </w:tcPr>
          <w:p w14:paraId="798685FC">
            <w:pPr>
              <w:keepNext w:val="0"/>
              <w:keepLines w:val="0"/>
              <w:widowControl/>
              <w:suppressLineNumbers w:val="0"/>
              <w:ind w:firstLine="480" w:firstLineChars="200"/>
              <w:jc w:val="both"/>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16</w:t>
            </w:r>
          </w:p>
        </w:tc>
        <w:tc>
          <w:tcPr>
            <w:tcW w:w="1328" w:type="dxa"/>
            <w:vAlign w:val="center"/>
          </w:tcPr>
          <w:p w14:paraId="42E14A6F">
            <w:pPr>
              <w:keepNext w:val="0"/>
              <w:keepLines w:val="0"/>
              <w:widowControl/>
              <w:suppressLineNumbers w:val="0"/>
              <w:ind w:firstLine="480" w:firstLineChars="200"/>
              <w:jc w:val="both"/>
              <w:textAlignment w:val="center"/>
              <w:rPr>
                <w:rFonts w:hint="default"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7.7</w:t>
            </w:r>
          </w:p>
        </w:tc>
        <w:tc>
          <w:tcPr>
            <w:tcW w:w="1533" w:type="dxa"/>
            <w:vAlign w:val="center"/>
          </w:tcPr>
          <w:p w14:paraId="1F7B7DED">
            <w:pPr>
              <w:keepNext w:val="0"/>
              <w:keepLines w:val="0"/>
              <w:widowControl/>
              <w:suppressLineNumbers w:val="0"/>
              <w:ind w:firstLine="480" w:firstLineChars="200"/>
              <w:jc w:val="both"/>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28</w:t>
            </w:r>
          </w:p>
        </w:tc>
        <w:tc>
          <w:tcPr>
            <w:tcW w:w="1448" w:type="dxa"/>
            <w:vAlign w:val="center"/>
          </w:tcPr>
          <w:p w14:paraId="52738537">
            <w:pPr>
              <w:keepNext w:val="0"/>
              <w:keepLines w:val="0"/>
              <w:widowControl/>
              <w:suppressLineNumbers w:val="0"/>
              <w:ind w:left="0" w:leftChars="0" w:firstLine="0" w:firstLineChars="0"/>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7.39</w:t>
            </w:r>
            <w:r>
              <w:rPr>
                <w:rFonts w:hint="eastAsia" w:ascii="宋体" w:hAnsi="宋体" w:eastAsia="宋体" w:cs="宋体"/>
                <w:i w:val="0"/>
                <w:iCs w:val="0"/>
                <w:color w:val="000000"/>
                <w:kern w:val="0"/>
                <w:sz w:val="24"/>
                <w:szCs w:val="24"/>
                <w:u w:val="none"/>
                <w:lang w:val="en-US" w:eastAsia="zh-CN" w:bidi="ar"/>
              </w:rPr>
              <w:t>%</w:t>
            </w:r>
          </w:p>
        </w:tc>
      </w:tr>
      <w:tr w14:paraId="0AC964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6BF3DA3E">
            <w:pPr>
              <w:widowControl/>
              <w:numPr>
                <w:ilvl w:val="0"/>
                <w:numId w:val="20"/>
              </w:numPr>
              <w:adjustRightInd w:val="0"/>
              <w:snapToGrid w:val="0"/>
              <w:spacing w:before="156" w:after="156" w:line="240" w:lineRule="auto"/>
              <w:ind w:left="425" w:leftChars="0" w:hanging="425" w:firstLineChars="0"/>
              <w:jc w:val="center"/>
              <w:rPr>
                <w:rFonts w:hint="default" w:ascii="宋体" w:hAnsi="宋体" w:eastAsia="宋体" w:cs="宋体"/>
                <w:b w:val="0"/>
                <w:bCs w:val="0"/>
                <w:kern w:val="2"/>
                <w:sz w:val="24"/>
                <w:szCs w:val="24"/>
                <w:lang w:val="en-US" w:eastAsia="zh-CN" w:bidi="ar-SA"/>
              </w:rPr>
            </w:pPr>
          </w:p>
        </w:tc>
        <w:tc>
          <w:tcPr>
            <w:tcW w:w="1541" w:type="dxa"/>
            <w:vAlign w:val="center"/>
          </w:tcPr>
          <w:p w14:paraId="76EF2419">
            <w:pPr>
              <w:widowControl/>
              <w:adjustRightInd w:val="0"/>
              <w:snapToGrid w:val="0"/>
              <w:spacing w:before="156" w:after="156" w:line="240" w:lineRule="auto"/>
              <w:ind w:left="0" w:leftChars="0" w:firstLine="0" w:firstLineChars="0"/>
              <w:jc w:val="center"/>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起重臂</w:t>
            </w:r>
            <w:r>
              <w:rPr>
                <w:rFonts w:hint="eastAsia" w:ascii="宋体" w:hAnsi="宋体" w:cs="宋体"/>
                <w:b w:val="0"/>
                <w:bCs w:val="0"/>
                <w:kern w:val="2"/>
                <w:sz w:val="24"/>
                <w:szCs w:val="24"/>
                <w:lang w:val="en-US" w:eastAsia="zh-CN" w:bidi="ar-SA"/>
              </w:rPr>
              <w:t>六及臂头</w:t>
            </w:r>
          </w:p>
        </w:tc>
        <w:tc>
          <w:tcPr>
            <w:tcW w:w="1280" w:type="dxa"/>
            <w:vAlign w:val="center"/>
          </w:tcPr>
          <w:p w14:paraId="1608C362">
            <w:pPr>
              <w:keepNext w:val="0"/>
              <w:keepLines w:val="0"/>
              <w:widowControl/>
              <w:suppressLineNumbers w:val="0"/>
              <w:ind w:left="0" w:leftChars="0" w:firstLine="0" w:firstLineChars="0"/>
              <w:jc w:val="center"/>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1016</w:t>
            </w:r>
          </w:p>
        </w:tc>
        <w:tc>
          <w:tcPr>
            <w:tcW w:w="1533" w:type="dxa"/>
            <w:vAlign w:val="center"/>
          </w:tcPr>
          <w:p w14:paraId="42DB9724">
            <w:pPr>
              <w:keepNext w:val="0"/>
              <w:keepLines w:val="0"/>
              <w:widowControl/>
              <w:suppressLineNumbers w:val="0"/>
              <w:ind w:firstLine="480" w:firstLineChars="200"/>
              <w:jc w:val="both"/>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16</w:t>
            </w:r>
          </w:p>
        </w:tc>
        <w:tc>
          <w:tcPr>
            <w:tcW w:w="1328" w:type="dxa"/>
            <w:vAlign w:val="center"/>
          </w:tcPr>
          <w:p w14:paraId="2E10795E">
            <w:pPr>
              <w:keepNext w:val="0"/>
              <w:keepLines w:val="0"/>
              <w:widowControl/>
              <w:suppressLineNumbers w:val="0"/>
              <w:ind w:firstLine="480" w:firstLineChars="200"/>
              <w:jc w:val="both"/>
              <w:textAlignment w:val="center"/>
              <w:rPr>
                <w:rFonts w:hint="default" w:ascii="宋体" w:hAnsi="宋体" w:eastAsia="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7.7</w:t>
            </w:r>
          </w:p>
        </w:tc>
        <w:tc>
          <w:tcPr>
            <w:tcW w:w="1533" w:type="dxa"/>
            <w:vAlign w:val="center"/>
          </w:tcPr>
          <w:p w14:paraId="798F5F40">
            <w:pPr>
              <w:keepNext w:val="0"/>
              <w:keepLines w:val="0"/>
              <w:widowControl/>
              <w:suppressLineNumbers w:val="0"/>
              <w:ind w:firstLine="480" w:firstLineChars="200"/>
              <w:jc w:val="both"/>
              <w:textAlignment w:val="center"/>
              <w:rPr>
                <w:rFonts w:hint="default"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28</w:t>
            </w:r>
          </w:p>
        </w:tc>
        <w:tc>
          <w:tcPr>
            <w:tcW w:w="1448" w:type="dxa"/>
            <w:vAlign w:val="center"/>
          </w:tcPr>
          <w:p w14:paraId="2AE7CACC">
            <w:pPr>
              <w:keepNext w:val="0"/>
              <w:keepLines w:val="0"/>
              <w:widowControl/>
              <w:suppressLineNumbers w:val="0"/>
              <w:ind w:left="0" w:leftChars="0" w:firstLine="0" w:firstLineChars="0"/>
              <w:jc w:val="center"/>
              <w:textAlignment w:val="center"/>
              <w:rPr>
                <w:rFonts w:hint="eastAsia" w:ascii="宋体" w:hAnsi="宋体" w:eastAsia="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13.19</w:t>
            </w:r>
            <w:r>
              <w:rPr>
                <w:rFonts w:hint="eastAsia" w:ascii="宋体" w:hAnsi="宋体" w:eastAsia="宋体" w:cs="宋体"/>
                <w:i w:val="0"/>
                <w:iCs w:val="0"/>
                <w:color w:val="000000"/>
                <w:kern w:val="0"/>
                <w:sz w:val="24"/>
                <w:szCs w:val="24"/>
                <w:u w:val="none"/>
                <w:lang w:val="en-US" w:eastAsia="zh-CN" w:bidi="ar"/>
              </w:rPr>
              <w:t>%</w:t>
            </w:r>
          </w:p>
        </w:tc>
      </w:tr>
      <w:tr w14:paraId="6CE5C7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22564FED">
            <w:pPr>
              <w:widowControl/>
              <w:numPr>
                <w:ilvl w:val="0"/>
                <w:numId w:val="20"/>
              </w:numPr>
              <w:adjustRightInd w:val="0"/>
              <w:snapToGrid w:val="0"/>
              <w:spacing w:before="156" w:after="156" w:line="240" w:lineRule="auto"/>
              <w:ind w:left="425" w:leftChars="0" w:hanging="425" w:firstLineChars="0"/>
              <w:jc w:val="center"/>
              <w:rPr>
                <w:rFonts w:hint="default" w:ascii="宋体" w:hAnsi="宋体" w:eastAsia="宋体" w:cs="宋体"/>
                <w:b w:val="0"/>
                <w:bCs w:val="0"/>
                <w:kern w:val="2"/>
                <w:sz w:val="24"/>
                <w:szCs w:val="24"/>
                <w:lang w:val="en-US" w:eastAsia="zh-CN" w:bidi="ar-SA"/>
              </w:rPr>
            </w:pPr>
          </w:p>
        </w:tc>
        <w:tc>
          <w:tcPr>
            <w:tcW w:w="1541" w:type="dxa"/>
            <w:vAlign w:val="center"/>
          </w:tcPr>
          <w:p w14:paraId="6D4D0914">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起重臂</w:t>
            </w:r>
            <w:r>
              <w:rPr>
                <w:rFonts w:hint="eastAsia" w:ascii="宋体" w:hAnsi="宋体" w:cs="宋体"/>
                <w:b w:val="0"/>
                <w:bCs w:val="0"/>
                <w:kern w:val="2"/>
                <w:sz w:val="24"/>
                <w:szCs w:val="24"/>
                <w:lang w:val="en-US" w:eastAsia="zh-CN" w:bidi="ar-SA"/>
              </w:rPr>
              <w:t>七及臂头</w:t>
            </w:r>
          </w:p>
        </w:tc>
        <w:tc>
          <w:tcPr>
            <w:tcW w:w="1280" w:type="dxa"/>
            <w:vAlign w:val="center"/>
          </w:tcPr>
          <w:p w14:paraId="43A9DE64">
            <w:pPr>
              <w:keepNext w:val="0"/>
              <w:keepLines w:val="0"/>
              <w:widowControl/>
              <w:suppressLineNumbers w:val="0"/>
              <w:ind w:left="0" w:leftChars="0" w:firstLine="0" w:firstLineChars="0"/>
              <w:jc w:val="center"/>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500.2</w:t>
            </w:r>
          </w:p>
        </w:tc>
        <w:tc>
          <w:tcPr>
            <w:tcW w:w="1533" w:type="dxa"/>
            <w:vAlign w:val="center"/>
          </w:tcPr>
          <w:p w14:paraId="5F50B320">
            <w:pPr>
              <w:keepNext w:val="0"/>
              <w:keepLines w:val="0"/>
              <w:widowControl/>
              <w:suppressLineNumbers w:val="0"/>
              <w:ind w:firstLine="480" w:firstLineChars="200"/>
              <w:jc w:val="both"/>
              <w:textAlignment w:val="center"/>
              <w:rPr>
                <w:rFonts w:hint="default" w:ascii="宋体" w:hAnsi="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16</w:t>
            </w:r>
          </w:p>
        </w:tc>
        <w:tc>
          <w:tcPr>
            <w:tcW w:w="1328" w:type="dxa"/>
            <w:vAlign w:val="center"/>
          </w:tcPr>
          <w:p w14:paraId="2A222C65">
            <w:pPr>
              <w:keepNext w:val="0"/>
              <w:keepLines w:val="0"/>
              <w:widowControl/>
              <w:suppressLineNumbers w:val="0"/>
              <w:ind w:firstLine="480" w:firstLineChars="200"/>
              <w:jc w:val="both"/>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7.7</w:t>
            </w:r>
          </w:p>
        </w:tc>
        <w:tc>
          <w:tcPr>
            <w:tcW w:w="1533" w:type="dxa"/>
            <w:vAlign w:val="center"/>
          </w:tcPr>
          <w:p w14:paraId="1CA07F98">
            <w:pPr>
              <w:keepNext w:val="0"/>
              <w:keepLines w:val="0"/>
              <w:widowControl/>
              <w:suppressLineNumbers w:val="0"/>
              <w:ind w:firstLine="480" w:firstLineChars="200"/>
              <w:jc w:val="both"/>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28</w:t>
            </w:r>
          </w:p>
        </w:tc>
        <w:tc>
          <w:tcPr>
            <w:tcW w:w="1448" w:type="dxa"/>
            <w:vAlign w:val="center"/>
          </w:tcPr>
          <w:p w14:paraId="51F5B94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6.50</w:t>
            </w:r>
            <w:r>
              <w:rPr>
                <w:rFonts w:hint="eastAsia" w:ascii="宋体" w:hAnsi="宋体" w:eastAsia="宋体" w:cs="宋体"/>
                <w:i w:val="0"/>
                <w:iCs w:val="0"/>
                <w:color w:val="000000"/>
                <w:kern w:val="0"/>
                <w:sz w:val="24"/>
                <w:szCs w:val="24"/>
                <w:u w:val="none"/>
                <w:lang w:val="en-US" w:eastAsia="zh-CN" w:bidi="ar"/>
              </w:rPr>
              <w:t>%</w:t>
            </w:r>
          </w:p>
        </w:tc>
      </w:tr>
      <w:tr w14:paraId="4A5BF5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2282ECE9">
            <w:pPr>
              <w:widowControl/>
              <w:numPr>
                <w:ilvl w:val="0"/>
                <w:numId w:val="20"/>
              </w:numPr>
              <w:adjustRightInd w:val="0"/>
              <w:snapToGrid w:val="0"/>
              <w:spacing w:before="156" w:after="156" w:line="240" w:lineRule="auto"/>
              <w:ind w:left="425" w:leftChars="0" w:hanging="425" w:firstLineChars="0"/>
              <w:jc w:val="center"/>
              <w:rPr>
                <w:rFonts w:hint="eastAsia" w:ascii="宋体" w:hAnsi="宋体" w:cs="宋体"/>
                <w:b w:val="0"/>
                <w:bCs w:val="0"/>
                <w:kern w:val="2"/>
                <w:sz w:val="24"/>
                <w:szCs w:val="24"/>
                <w:lang w:val="en-US" w:eastAsia="zh-CN" w:bidi="ar-SA"/>
              </w:rPr>
            </w:pPr>
          </w:p>
        </w:tc>
        <w:tc>
          <w:tcPr>
            <w:tcW w:w="1541" w:type="dxa"/>
            <w:vAlign w:val="center"/>
          </w:tcPr>
          <w:p w14:paraId="29EE8DBC">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剩余平衡重</w:t>
            </w:r>
            <w:r>
              <w:rPr>
                <w:rFonts w:hint="eastAsia" w:ascii="宋体" w:hAnsi="宋体" w:cs="宋体"/>
                <w:b w:val="0"/>
                <w:bCs w:val="0"/>
                <w:kern w:val="2"/>
                <w:sz w:val="24"/>
                <w:szCs w:val="24"/>
                <w:lang w:val="en-US" w:eastAsia="zh-CN" w:bidi="ar-SA"/>
              </w:rPr>
              <w:t>A</w:t>
            </w:r>
          </w:p>
        </w:tc>
        <w:tc>
          <w:tcPr>
            <w:tcW w:w="1280" w:type="dxa"/>
            <w:vAlign w:val="center"/>
          </w:tcPr>
          <w:p w14:paraId="476A7525">
            <w:pPr>
              <w:keepNext w:val="0"/>
              <w:keepLines w:val="0"/>
              <w:widowControl/>
              <w:suppressLineNumbers w:val="0"/>
              <w:ind w:left="0" w:leftChars="0" w:firstLine="0" w:firstLineChars="0"/>
              <w:jc w:val="center"/>
              <w:textAlignment w:val="center"/>
              <w:rPr>
                <w:rFonts w:hint="default" w:ascii="宋体" w:hAnsi="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3250</w:t>
            </w:r>
          </w:p>
        </w:tc>
        <w:tc>
          <w:tcPr>
            <w:tcW w:w="1533" w:type="dxa"/>
            <w:vAlign w:val="center"/>
          </w:tcPr>
          <w:p w14:paraId="34FABF49">
            <w:pPr>
              <w:keepNext w:val="0"/>
              <w:keepLines w:val="0"/>
              <w:widowControl/>
              <w:suppressLineNumbers w:val="0"/>
              <w:ind w:firstLine="480" w:firstLineChars="200"/>
              <w:jc w:val="both"/>
              <w:textAlignment w:val="center"/>
              <w:rPr>
                <w:rFonts w:hint="eastAsia" w:ascii="宋体" w:hAnsi="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16</w:t>
            </w:r>
          </w:p>
        </w:tc>
        <w:tc>
          <w:tcPr>
            <w:tcW w:w="1328" w:type="dxa"/>
            <w:vAlign w:val="center"/>
          </w:tcPr>
          <w:p w14:paraId="2E6F9B9C">
            <w:pPr>
              <w:keepNext w:val="0"/>
              <w:keepLines w:val="0"/>
              <w:widowControl/>
              <w:suppressLineNumbers w:val="0"/>
              <w:ind w:firstLine="480" w:firstLineChars="200"/>
              <w:jc w:val="both"/>
              <w:textAlignment w:val="center"/>
              <w:rPr>
                <w:rFonts w:hint="eastAsia" w:ascii="宋体" w:hAnsi="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7.7</w:t>
            </w:r>
          </w:p>
        </w:tc>
        <w:tc>
          <w:tcPr>
            <w:tcW w:w="1533" w:type="dxa"/>
            <w:vAlign w:val="center"/>
          </w:tcPr>
          <w:p w14:paraId="1F8225BD">
            <w:pPr>
              <w:keepNext w:val="0"/>
              <w:keepLines w:val="0"/>
              <w:widowControl/>
              <w:suppressLineNumbers w:val="0"/>
              <w:ind w:firstLine="480" w:firstLineChars="200"/>
              <w:jc w:val="both"/>
              <w:textAlignment w:val="center"/>
              <w:rPr>
                <w:rFonts w:hint="eastAsia" w:ascii="宋体" w:hAnsi="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28</w:t>
            </w:r>
          </w:p>
        </w:tc>
        <w:tc>
          <w:tcPr>
            <w:tcW w:w="1448" w:type="dxa"/>
            <w:vAlign w:val="center"/>
          </w:tcPr>
          <w:p w14:paraId="765E1657">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42.21</w:t>
            </w:r>
            <w:r>
              <w:rPr>
                <w:rFonts w:hint="eastAsia" w:ascii="宋体" w:hAnsi="宋体" w:eastAsia="宋体" w:cs="宋体"/>
                <w:i w:val="0"/>
                <w:iCs w:val="0"/>
                <w:color w:val="000000"/>
                <w:kern w:val="0"/>
                <w:sz w:val="24"/>
                <w:szCs w:val="24"/>
                <w:u w:val="none"/>
                <w:lang w:val="en-US" w:eastAsia="zh-CN" w:bidi="ar"/>
              </w:rPr>
              <w:t>%</w:t>
            </w:r>
          </w:p>
        </w:tc>
      </w:tr>
      <w:tr w14:paraId="334BE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0" w:type="auto"/>
            <w:vAlign w:val="center"/>
          </w:tcPr>
          <w:p w14:paraId="3731D836">
            <w:pPr>
              <w:widowControl/>
              <w:numPr>
                <w:ilvl w:val="0"/>
                <w:numId w:val="20"/>
              </w:numPr>
              <w:adjustRightInd w:val="0"/>
              <w:snapToGrid w:val="0"/>
              <w:spacing w:before="156" w:after="156" w:line="240" w:lineRule="auto"/>
              <w:ind w:left="425" w:leftChars="0" w:hanging="425" w:firstLineChars="0"/>
              <w:jc w:val="center"/>
              <w:rPr>
                <w:rFonts w:hint="eastAsia" w:ascii="宋体" w:hAnsi="宋体" w:cs="宋体"/>
                <w:b w:val="0"/>
                <w:bCs w:val="0"/>
                <w:kern w:val="2"/>
                <w:sz w:val="24"/>
                <w:szCs w:val="24"/>
                <w:lang w:val="en-US" w:eastAsia="zh-CN" w:bidi="ar-SA"/>
              </w:rPr>
            </w:pPr>
          </w:p>
        </w:tc>
        <w:tc>
          <w:tcPr>
            <w:tcW w:w="1541" w:type="dxa"/>
            <w:vAlign w:val="center"/>
          </w:tcPr>
          <w:p w14:paraId="0A95AB0A">
            <w:pPr>
              <w:widowControl/>
              <w:adjustRightInd w:val="0"/>
              <w:snapToGrid w:val="0"/>
              <w:spacing w:before="156" w:after="156" w:line="240" w:lineRule="auto"/>
              <w:ind w:left="0" w:leftChars="0" w:firstLine="0" w:firstLine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剩余平衡重</w:t>
            </w:r>
            <w:r>
              <w:rPr>
                <w:rFonts w:hint="eastAsia" w:ascii="宋体" w:hAnsi="宋体" w:cs="宋体"/>
                <w:b w:val="0"/>
                <w:bCs w:val="0"/>
                <w:kern w:val="2"/>
                <w:sz w:val="24"/>
                <w:szCs w:val="24"/>
                <w:lang w:val="en-US" w:eastAsia="zh-CN" w:bidi="ar-SA"/>
              </w:rPr>
              <w:t>B</w:t>
            </w:r>
          </w:p>
        </w:tc>
        <w:tc>
          <w:tcPr>
            <w:tcW w:w="1280" w:type="dxa"/>
            <w:vAlign w:val="center"/>
          </w:tcPr>
          <w:p w14:paraId="2A30EB6E">
            <w:pPr>
              <w:keepNext w:val="0"/>
              <w:keepLines w:val="0"/>
              <w:widowControl/>
              <w:suppressLineNumbers w:val="0"/>
              <w:ind w:left="0" w:leftChars="0" w:firstLine="0" w:firstLineChars="0"/>
              <w:jc w:val="center"/>
              <w:textAlignment w:val="center"/>
              <w:rPr>
                <w:rFonts w:hint="default" w:ascii="宋体" w:hAnsi="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1800</w:t>
            </w:r>
          </w:p>
        </w:tc>
        <w:tc>
          <w:tcPr>
            <w:tcW w:w="1533" w:type="dxa"/>
            <w:vAlign w:val="center"/>
          </w:tcPr>
          <w:p w14:paraId="3C77096B">
            <w:pPr>
              <w:keepNext w:val="0"/>
              <w:keepLines w:val="0"/>
              <w:widowControl/>
              <w:suppressLineNumbers w:val="0"/>
              <w:ind w:firstLine="480" w:firstLineChars="200"/>
              <w:jc w:val="both"/>
              <w:textAlignment w:val="center"/>
              <w:rPr>
                <w:rFonts w:hint="eastAsia" w:ascii="宋体" w:hAnsi="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16</w:t>
            </w:r>
          </w:p>
        </w:tc>
        <w:tc>
          <w:tcPr>
            <w:tcW w:w="1328" w:type="dxa"/>
            <w:vAlign w:val="center"/>
          </w:tcPr>
          <w:p w14:paraId="041FE431">
            <w:pPr>
              <w:keepNext w:val="0"/>
              <w:keepLines w:val="0"/>
              <w:widowControl/>
              <w:suppressLineNumbers w:val="0"/>
              <w:ind w:firstLine="480" w:firstLineChars="200"/>
              <w:jc w:val="both"/>
              <w:textAlignment w:val="center"/>
              <w:rPr>
                <w:rFonts w:hint="eastAsia" w:ascii="宋体" w:hAnsi="宋体" w:cs="宋体"/>
                <w:b w:val="0"/>
                <w:bCs w:val="0"/>
                <w:kern w:val="2"/>
                <w:sz w:val="24"/>
                <w:szCs w:val="24"/>
                <w:lang w:val="en-US" w:eastAsia="zh-CN" w:bidi="ar-SA"/>
              </w:rPr>
            </w:pPr>
            <w:r>
              <w:rPr>
                <w:rFonts w:hint="eastAsia" w:ascii="宋体" w:hAnsi="宋体" w:eastAsia="宋体" w:cs="宋体"/>
                <w:i w:val="0"/>
                <w:iCs w:val="0"/>
                <w:color w:val="000000"/>
                <w:kern w:val="0"/>
                <w:sz w:val="24"/>
                <w:szCs w:val="24"/>
                <w:u w:val="none"/>
                <w:lang w:val="en-US" w:eastAsia="zh-CN" w:bidi="ar"/>
              </w:rPr>
              <w:t>7.7</w:t>
            </w:r>
          </w:p>
        </w:tc>
        <w:tc>
          <w:tcPr>
            <w:tcW w:w="1533" w:type="dxa"/>
            <w:vAlign w:val="center"/>
          </w:tcPr>
          <w:p w14:paraId="32852BA9">
            <w:pPr>
              <w:keepNext w:val="0"/>
              <w:keepLines w:val="0"/>
              <w:widowControl/>
              <w:suppressLineNumbers w:val="0"/>
              <w:ind w:firstLine="480" w:firstLineChars="200"/>
              <w:jc w:val="both"/>
              <w:textAlignment w:val="center"/>
              <w:rPr>
                <w:rFonts w:hint="eastAsia" w:ascii="宋体" w:hAnsi="宋体" w:cs="宋体"/>
                <w:b w:val="0"/>
                <w:bCs w:val="0"/>
                <w:kern w:val="2"/>
                <w:sz w:val="24"/>
                <w:szCs w:val="24"/>
                <w:lang w:val="en-US" w:eastAsia="zh-CN" w:bidi="ar-SA"/>
              </w:rPr>
            </w:pPr>
            <w:r>
              <w:rPr>
                <w:rFonts w:hint="eastAsia" w:ascii="宋体" w:hAnsi="宋体" w:cs="宋体"/>
                <w:i w:val="0"/>
                <w:iCs w:val="0"/>
                <w:color w:val="000000"/>
                <w:kern w:val="0"/>
                <w:sz w:val="24"/>
                <w:szCs w:val="24"/>
                <w:u w:val="none"/>
                <w:lang w:val="en-US" w:eastAsia="zh-CN" w:bidi="ar"/>
              </w:rPr>
              <w:t>28</w:t>
            </w:r>
          </w:p>
        </w:tc>
        <w:tc>
          <w:tcPr>
            <w:tcW w:w="1448" w:type="dxa"/>
            <w:vAlign w:val="center"/>
          </w:tcPr>
          <w:p w14:paraId="7FE1D55F">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cs="宋体"/>
                <w:i w:val="0"/>
                <w:iCs w:val="0"/>
                <w:color w:val="000000"/>
                <w:kern w:val="0"/>
                <w:sz w:val="24"/>
                <w:szCs w:val="24"/>
                <w:u w:val="none"/>
                <w:lang w:val="en-US" w:eastAsia="zh-CN" w:bidi="ar"/>
              </w:rPr>
              <w:t>23.38</w:t>
            </w:r>
            <w:r>
              <w:rPr>
                <w:rFonts w:hint="eastAsia" w:ascii="宋体" w:hAnsi="宋体" w:eastAsia="宋体" w:cs="宋体"/>
                <w:i w:val="0"/>
                <w:iCs w:val="0"/>
                <w:color w:val="000000"/>
                <w:kern w:val="0"/>
                <w:sz w:val="24"/>
                <w:szCs w:val="24"/>
                <w:u w:val="none"/>
                <w:lang w:val="en-US" w:eastAsia="zh-CN" w:bidi="ar"/>
              </w:rPr>
              <w:t>%</w:t>
            </w:r>
          </w:p>
        </w:tc>
      </w:tr>
    </w:tbl>
    <w:p w14:paraId="041A49A6">
      <w:pPr>
        <w:pStyle w:val="4"/>
        <w:bidi w:val="0"/>
        <w:ind w:left="720" w:leftChars="0" w:hanging="720" w:firstLineChars="0"/>
        <w:rPr>
          <w:rFonts w:hint="eastAsia"/>
          <w:b/>
          <w:bCs w:val="0"/>
          <w:lang w:val="en-US" w:eastAsia="zh-CN"/>
        </w:rPr>
      </w:pPr>
      <w:r>
        <w:rPr>
          <w:rFonts w:hint="eastAsia"/>
          <w:b/>
          <w:bCs w:val="0"/>
          <w:lang w:val="en-US" w:eastAsia="zh-CN"/>
        </w:rPr>
        <w:t>锚定XGT7022-12S塔吊安装汽车吊平面布置</w:t>
      </w:r>
    </w:p>
    <w:p w14:paraId="36DFFF58">
      <w:pPr>
        <w:rPr>
          <w:rFonts w:hint="eastAsia"/>
          <w:lang w:val="en-US" w:eastAsia="zh-CN"/>
        </w:rPr>
      </w:pPr>
      <w:r>
        <w:rPr>
          <w:rFonts w:hint="eastAsia"/>
          <w:lang w:val="en-US" w:eastAsia="zh-CN"/>
        </w:rPr>
        <w:t>塔吊安装汽车吊布置如图4.2.2-1，4.2.2-2，4.2.2-3</w:t>
      </w:r>
    </w:p>
    <w:p w14:paraId="213BD8A1">
      <w:pPr>
        <w:jc w:val="center"/>
      </w:pPr>
      <w:r>
        <w:drawing>
          <wp:inline distT="0" distB="0" distL="114300" distR="114300">
            <wp:extent cx="1835150" cy="1930400"/>
            <wp:effectExtent l="0" t="0" r="12700" b="12700"/>
            <wp:docPr id="3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8"/>
                    <pic:cNvPicPr>
                      <a:picLocks noChangeAspect="1"/>
                    </pic:cNvPicPr>
                  </pic:nvPicPr>
                  <pic:blipFill>
                    <a:blip r:embed="rId32"/>
                    <a:stretch>
                      <a:fillRect/>
                    </a:stretch>
                  </pic:blipFill>
                  <pic:spPr>
                    <a:xfrm>
                      <a:off x="0" y="0"/>
                      <a:ext cx="1835150" cy="1930400"/>
                    </a:xfrm>
                    <a:prstGeom prst="rect">
                      <a:avLst/>
                    </a:prstGeom>
                    <a:noFill/>
                    <a:ln>
                      <a:noFill/>
                    </a:ln>
                  </pic:spPr>
                </pic:pic>
              </a:graphicData>
            </a:graphic>
          </wp:inline>
        </w:drawing>
      </w:r>
    </w:p>
    <w:p w14:paraId="2E89692A">
      <w:pPr>
        <w:jc w:val="center"/>
        <w:rPr>
          <w:rFonts w:hint="default"/>
          <w:lang w:val="en-US" w:eastAsia="zh-CN"/>
        </w:rPr>
      </w:pPr>
      <w:r>
        <w:rPr>
          <w:rFonts w:hint="eastAsia"/>
          <w:lang w:val="en-US" w:eastAsia="zh-CN"/>
        </w:rPr>
        <w:t>该位置安装基础节，标准节，套架，特殊节，回转总成，臂根节，平衡臂，平衡重</w:t>
      </w:r>
    </w:p>
    <w:p w14:paraId="2F131339">
      <w:pPr>
        <w:pStyle w:val="15"/>
        <w:jc w:val="center"/>
        <w:rPr>
          <w:rFonts w:hint="default" w:ascii="Times New Roman" w:hAnsi="Times New Roman" w:eastAsia="宋体" w:cstheme="majorBidi"/>
          <w:b/>
          <w:kern w:val="2"/>
          <w:sz w:val="21"/>
          <w:szCs w:val="20"/>
          <w:lang w:val="en-US" w:eastAsia="zh-CN" w:bidi="ar-SA"/>
        </w:rPr>
      </w:pPr>
      <w:r>
        <w:rPr>
          <w:rFonts w:hint="eastAsia" w:ascii="Times New Roman" w:hAnsi="Times New Roman" w:eastAsia="宋体" w:cstheme="majorBidi"/>
          <w:b/>
          <w:kern w:val="2"/>
          <w:sz w:val="21"/>
          <w:szCs w:val="20"/>
          <w:lang w:val="en-US" w:eastAsia="zh-CN" w:bidi="ar-SA"/>
        </w:rPr>
        <w:t>图4.2.2-1塔吊安装汽车吊布置图</w:t>
      </w:r>
    </w:p>
    <w:p w14:paraId="7869668B">
      <w:pPr>
        <w:ind w:left="0" w:leftChars="0" w:firstLine="0" w:firstLineChars="0"/>
        <w:jc w:val="center"/>
      </w:pPr>
      <w:r>
        <w:drawing>
          <wp:inline distT="0" distB="0" distL="114300" distR="114300">
            <wp:extent cx="2961005" cy="2696210"/>
            <wp:effectExtent l="0" t="0" r="10795" b="8890"/>
            <wp:docPr id="3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9"/>
                    <pic:cNvPicPr>
                      <a:picLocks noChangeAspect="1"/>
                    </pic:cNvPicPr>
                  </pic:nvPicPr>
                  <pic:blipFill>
                    <a:blip r:embed="rId33"/>
                    <a:stretch>
                      <a:fillRect/>
                    </a:stretch>
                  </pic:blipFill>
                  <pic:spPr>
                    <a:xfrm>
                      <a:off x="0" y="0"/>
                      <a:ext cx="2961005" cy="2696210"/>
                    </a:xfrm>
                    <a:prstGeom prst="rect">
                      <a:avLst/>
                    </a:prstGeom>
                    <a:noFill/>
                    <a:ln>
                      <a:noFill/>
                    </a:ln>
                  </pic:spPr>
                </pic:pic>
              </a:graphicData>
            </a:graphic>
          </wp:inline>
        </w:drawing>
      </w:r>
    </w:p>
    <w:p w14:paraId="5968895F">
      <w:pPr>
        <w:ind w:left="0" w:leftChars="0" w:firstLine="0" w:firstLineChars="0"/>
        <w:jc w:val="center"/>
        <w:rPr>
          <w:rFonts w:hint="default"/>
          <w:lang w:val="en-US" w:eastAsia="zh-CN"/>
        </w:rPr>
      </w:pPr>
      <w:r>
        <w:rPr>
          <w:rFonts w:hint="eastAsia"/>
          <w:lang w:val="en-US" w:eastAsia="zh-CN"/>
        </w:rPr>
        <w:t>该位置安装起重臂二、三、四</w:t>
      </w:r>
    </w:p>
    <w:p w14:paraId="6A0864DA">
      <w:pPr>
        <w:pStyle w:val="15"/>
        <w:jc w:val="center"/>
        <w:rPr>
          <w:rFonts w:hint="default" w:ascii="Times New Roman" w:hAnsi="Times New Roman" w:eastAsia="宋体" w:cstheme="majorBidi"/>
          <w:b/>
          <w:kern w:val="2"/>
          <w:sz w:val="21"/>
          <w:szCs w:val="20"/>
          <w:lang w:val="en-US" w:eastAsia="zh-CN" w:bidi="ar-SA"/>
        </w:rPr>
      </w:pPr>
      <w:r>
        <w:rPr>
          <w:rFonts w:hint="default" w:ascii="Times New Roman" w:hAnsi="Times New Roman" w:eastAsia="宋体" w:cstheme="majorBidi"/>
          <w:b/>
          <w:kern w:val="2"/>
          <w:sz w:val="21"/>
          <w:szCs w:val="20"/>
          <w:lang w:val="en-US" w:eastAsia="zh-CN" w:bidi="ar-SA"/>
        </w:rPr>
        <w:t>图4.2.2-</w:t>
      </w:r>
      <w:r>
        <w:rPr>
          <w:rFonts w:hint="eastAsia" w:ascii="Times New Roman" w:hAnsi="Times New Roman" w:eastAsia="宋体" w:cstheme="majorBidi"/>
          <w:b/>
          <w:kern w:val="2"/>
          <w:sz w:val="21"/>
          <w:szCs w:val="20"/>
          <w:lang w:val="en-US" w:eastAsia="zh-CN" w:bidi="ar-SA"/>
        </w:rPr>
        <w:t>2</w:t>
      </w:r>
      <w:r>
        <w:rPr>
          <w:rFonts w:hint="default" w:ascii="Times New Roman" w:hAnsi="Times New Roman" w:eastAsia="宋体" w:cstheme="majorBidi"/>
          <w:b/>
          <w:kern w:val="2"/>
          <w:sz w:val="21"/>
          <w:szCs w:val="20"/>
          <w:lang w:val="en-US" w:eastAsia="zh-CN" w:bidi="ar-SA"/>
        </w:rPr>
        <w:t>塔吊安装汽车吊布置图</w:t>
      </w:r>
    </w:p>
    <w:p w14:paraId="06631F71">
      <w:pPr>
        <w:jc w:val="center"/>
      </w:pPr>
      <w:r>
        <w:drawing>
          <wp:inline distT="0" distB="0" distL="114300" distR="114300">
            <wp:extent cx="2936240" cy="3592195"/>
            <wp:effectExtent l="0" t="0" r="16510" b="8255"/>
            <wp:docPr id="3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0"/>
                    <pic:cNvPicPr>
                      <a:picLocks noChangeAspect="1"/>
                    </pic:cNvPicPr>
                  </pic:nvPicPr>
                  <pic:blipFill>
                    <a:blip r:embed="rId34"/>
                    <a:stretch>
                      <a:fillRect/>
                    </a:stretch>
                  </pic:blipFill>
                  <pic:spPr>
                    <a:xfrm>
                      <a:off x="0" y="0"/>
                      <a:ext cx="2936240" cy="3592195"/>
                    </a:xfrm>
                    <a:prstGeom prst="rect">
                      <a:avLst/>
                    </a:prstGeom>
                    <a:noFill/>
                    <a:ln>
                      <a:noFill/>
                    </a:ln>
                  </pic:spPr>
                </pic:pic>
              </a:graphicData>
            </a:graphic>
          </wp:inline>
        </w:drawing>
      </w:r>
    </w:p>
    <w:p w14:paraId="32939117">
      <w:pPr>
        <w:jc w:val="center"/>
        <w:rPr>
          <w:rFonts w:hint="default"/>
          <w:lang w:val="en-US" w:eastAsia="zh-CN"/>
        </w:rPr>
      </w:pPr>
      <w:r>
        <w:rPr>
          <w:rFonts w:hint="eastAsia"/>
          <w:lang w:val="en-US" w:eastAsia="zh-CN"/>
        </w:rPr>
        <w:t>该位置安装起重臂五、六、七及臂头</w:t>
      </w:r>
    </w:p>
    <w:p w14:paraId="59018A72">
      <w:pPr>
        <w:pStyle w:val="15"/>
        <w:jc w:val="center"/>
        <w:rPr>
          <w:rFonts w:hint="default"/>
          <w:lang w:val="en-US" w:eastAsia="zh-CN"/>
        </w:rPr>
      </w:pPr>
      <w:r>
        <w:rPr>
          <w:rFonts w:hint="default" w:ascii="Times New Roman" w:hAnsi="Times New Roman" w:eastAsia="宋体" w:cstheme="majorBidi"/>
          <w:b/>
          <w:kern w:val="2"/>
          <w:sz w:val="21"/>
          <w:szCs w:val="20"/>
          <w:lang w:val="en-US" w:eastAsia="zh-CN" w:bidi="ar-SA"/>
        </w:rPr>
        <w:t>图4.2.2-</w:t>
      </w:r>
      <w:r>
        <w:rPr>
          <w:rFonts w:hint="eastAsia" w:ascii="Times New Roman" w:hAnsi="Times New Roman" w:eastAsia="宋体" w:cstheme="majorBidi"/>
          <w:b/>
          <w:kern w:val="2"/>
          <w:sz w:val="21"/>
          <w:szCs w:val="20"/>
          <w:lang w:val="en-US" w:eastAsia="zh-CN" w:bidi="ar-SA"/>
        </w:rPr>
        <w:t>3</w:t>
      </w:r>
      <w:r>
        <w:rPr>
          <w:rFonts w:hint="default" w:ascii="Times New Roman" w:hAnsi="Times New Roman" w:eastAsia="宋体" w:cstheme="majorBidi"/>
          <w:b/>
          <w:kern w:val="2"/>
          <w:sz w:val="21"/>
          <w:szCs w:val="20"/>
          <w:lang w:val="en-US" w:eastAsia="zh-CN" w:bidi="ar-SA"/>
        </w:rPr>
        <w:t>塔吊安装汽车吊布置图</w:t>
      </w:r>
    </w:p>
    <w:p w14:paraId="5B118154">
      <w:pPr>
        <w:pStyle w:val="4"/>
        <w:bidi w:val="0"/>
        <w:ind w:left="720" w:leftChars="0" w:hanging="720" w:firstLineChars="0"/>
        <w:rPr>
          <w:rFonts w:hint="eastAsia"/>
          <w:b/>
          <w:bCs w:val="0"/>
          <w:lang w:val="en-US" w:eastAsia="zh-CN"/>
        </w:rPr>
      </w:pPr>
      <w:r>
        <w:rPr>
          <w:rFonts w:hint="eastAsia"/>
          <w:b/>
          <w:bCs w:val="0"/>
          <w:lang w:val="en-US" w:eastAsia="zh-CN"/>
        </w:rPr>
        <w:t>吊装钢丝绳选型</w:t>
      </w:r>
    </w:p>
    <w:p w14:paraId="731F7240">
      <w:pPr>
        <w:ind w:firstLine="480"/>
        <w:rPr>
          <w:rFonts w:ascii="宋体" w:hAnsi="宋体" w:cs="宋体"/>
        </w:rPr>
      </w:pPr>
      <w:r>
        <w:rPr>
          <w:rFonts w:hint="eastAsia" w:ascii="宋体" w:hAnsi="宋体" w:cs="宋体"/>
        </w:rPr>
        <w:t>相应验算详见第1</w:t>
      </w:r>
      <w:r>
        <w:rPr>
          <w:rFonts w:ascii="宋体" w:hAnsi="宋体" w:cs="宋体"/>
        </w:rPr>
        <w:t>1</w:t>
      </w:r>
      <w:r>
        <w:rPr>
          <w:rFonts w:hint="eastAsia" w:ascii="宋体" w:hAnsi="宋体" w:cs="宋体"/>
        </w:rPr>
        <w:t>章节</w:t>
      </w:r>
    </w:p>
    <w:p w14:paraId="7C049FBA">
      <w:pPr>
        <w:pStyle w:val="3"/>
        <w:bidi w:val="0"/>
        <w:ind w:left="575" w:leftChars="0" w:hanging="575" w:firstLineChars="0"/>
        <w:rPr>
          <w:b/>
          <w:bCs w:val="0"/>
          <w:sz w:val="28"/>
          <w:szCs w:val="28"/>
        </w:rPr>
      </w:pPr>
      <w:bookmarkStart w:id="80" w:name="_Toc17089"/>
      <w:bookmarkStart w:id="81" w:name="_Toc8537"/>
      <w:bookmarkStart w:id="82" w:name="_Toc2810"/>
      <w:r>
        <w:rPr>
          <w:rFonts w:hint="eastAsia"/>
          <w:b/>
          <w:bCs w:val="0"/>
          <w:sz w:val="28"/>
          <w:szCs w:val="28"/>
        </w:rPr>
        <w:t>塔吊安装前施工准备</w:t>
      </w:r>
      <w:bookmarkEnd w:id="80"/>
      <w:bookmarkEnd w:id="81"/>
      <w:bookmarkEnd w:id="82"/>
    </w:p>
    <w:p w14:paraId="37D29087">
      <w:pPr>
        <w:pStyle w:val="4"/>
        <w:bidi w:val="0"/>
        <w:ind w:left="720" w:leftChars="0" w:hanging="720" w:firstLineChars="0"/>
        <w:rPr>
          <w:rFonts w:hint="eastAsia"/>
          <w:b/>
          <w:bCs w:val="0"/>
          <w:lang w:val="en-US" w:eastAsia="zh-CN"/>
        </w:rPr>
      </w:pPr>
      <w:r>
        <w:rPr>
          <w:rFonts w:hint="eastAsia"/>
          <w:b/>
          <w:bCs w:val="0"/>
          <w:lang w:val="en-US" w:eastAsia="zh-CN"/>
        </w:rPr>
        <w:t>技术准备</w:t>
      </w:r>
    </w:p>
    <w:p w14:paraId="600FA250">
      <w:pPr>
        <w:ind w:firstLine="480"/>
      </w:pPr>
      <w:r>
        <w:rPr>
          <w:rFonts w:hint="eastAsia"/>
        </w:rPr>
        <w:t>设备技术资料查验、安装方案、人员及工器具审核及报备工作。</w:t>
      </w:r>
    </w:p>
    <w:p w14:paraId="75C6686C">
      <w:pPr>
        <w:pStyle w:val="4"/>
        <w:bidi w:val="0"/>
        <w:ind w:left="720" w:leftChars="0" w:hanging="720" w:firstLineChars="0"/>
        <w:rPr>
          <w:rFonts w:hint="eastAsia"/>
          <w:b/>
          <w:bCs w:val="0"/>
          <w:lang w:val="en-US" w:eastAsia="zh-CN"/>
        </w:rPr>
      </w:pPr>
      <w:r>
        <w:rPr>
          <w:rFonts w:hint="eastAsia"/>
          <w:b/>
          <w:bCs w:val="0"/>
          <w:lang w:val="en-US" w:eastAsia="zh-CN"/>
        </w:rPr>
        <w:t>组织准备</w:t>
      </w:r>
    </w:p>
    <w:p w14:paraId="353B5DD0">
      <w:pPr>
        <w:ind w:firstLine="480"/>
      </w:pPr>
      <w:r>
        <w:rPr>
          <w:rFonts w:hint="eastAsia"/>
        </w:rPr>
        <w:t>（1）施工队伍应有合格的安装资质，且熟悉塔式起重机安装工艺。</w:t>
      </w:r>
    </w:p>
    <w:p w14:paraId="257B9278">
      <w:pPr>
        <w:ind w:firstLine="480"/>
      </w:pPr>
      <w:r>
        <w:rPr>
          <w:rFonts w:hint="eastAsia"/>
        </w:rPr>
        <w:t>（2）成立安装安全领导小组和安装工作小组，对整个安装过程进行有效监管。</w:t>
      </w:r>
    </w:p>
    <w:p w14:paraId="576DEBD6">
      <w:pPr>
        <w:ind w:firstLine="480"/>
      </w:pPr>
      <w:r>
        <w:rPr>
          <w:rFonts w:hint="eastAsia"/>
        </w:rPr>
        <w:t>（3）组织学习安全技术措施，现场进行技术交底，落实每项工作。</w:t>
      </w:r>
    </w:p>
    <w:p w14:paraId="2A4BA511">
      <w:pPr>
        <w:ind w:firstLine="480"/>
      </w:pPr>
      <w:r>
        <w:rPr>
          <w:rFonts w:hint="eastAsia"/>
        </w:rPr>
        <w:t>（4）所有进行安装的有关人员，均需持证上岗，并针对本工程经过培训。</w:t>
      </w:r>
    </w:p>
    <w:p w14:paraId="1F3E85EA">
      <w:pPr>
        <w:pStyle w:val="4"/>
        <w:bidi w:val="0"/>
        <w:ind w:left="720" w:leftChars="0" w:hanging="720" w:firstLineChars="0"/>
        <w:rPr>
          <w:rFonts w:hint="eastAsia"/>
          <w:b/>
          <w:bCs w:val="0"/>
          <w:lang w:val="en-US" w:eastAsia="zh-CN"/>
        </w:rPr>
      </w:pPr>
      <w:r>
        <w:rPr>
          <w:rFonts w:hint="eastAsia"/>
          <w:b/>
          <w:bCs w:val="0"/>
          <w:lang w:val="en-US" w:eastAsia="zh-CN"/>
        </w:rPr>
        <w:t>工索具、起重设备准备</w:t>
      </w:r>
    </w:p>
    <w:p w14:paraId="320F6ED2">
      <w:pPr>
        <w:ind w:firstLine="480"/>
      </w:pPr>
      <w:r>
        <w:rPr>
          <w:rFonts w:hint="eastAsia"/>
        </w:rPr>
        <w:t>（1）准备好安装人员的安全带，安全绳，防滑鞋，安全帽等。</w:t>
      </w:r>
    </w:p>
    <w:p w14:paraId="70F75177">
      <w:pPr>
        <w:ind w:firstLine="480"/>
      </w:pPr>
      <w:r>
        <w:rPr>
          <w:rFonts w:hint="eastAsia"/>
        </w:rPr>
        <w:t>（2）定好吊装主要部件的尺寸，重量，高度，确定起重设备规格，并准备好吊装机具，安装工具（扳手、大锤、钢丝绳、手拉葫芦、氧气乙炔）等。</w:t>
      </w:r>
    </w:p>
    <w:p w14:paraId="31ED1B72">
      <w:pPr>
        <w:ind w:firstLine="480"/>
      </w:pPr>
      <w:r>
        <w:rPr>
          <w:rFonts w:hint="eastAsia"/>
        </w:rPr>
        <w:t>（3）所有起重设备应进行试吊，确保设备完好。</w:t>
      </w:r>
    </w:p>
    <w:p w14:paraId="6068772F">
      <w:pPr>
        <w:ind w:firstLine="480"/>
      </w:pPr>
      <w:r>
        <w:rPr>
          <w:rFonts w:hint="eastAsia"/>
        </w:rPr>
        <w:t>（4）所有手动吊装、焊接、测量等工具，均需经计量检验合格，方可用于本工程。</w:t>
      </w:r>
    </w:p>
    <w:p w14:paraId="1409BA7B">
      <w:pPr>
        <w:pStyle w:val="4"/>
        <w:bidi w:val="0"/>
        <w:ind w:left="720" w:leftChars="0" w:hanging="720" w:firstLineChars="0"/>
        <w:rPr>
          <w:rFonts w:hint="eastAsia"/>
          <w:b/>
          <w:bCs w:val="0"/>
          <w:lang w:val="en-US" w:eastAsia="zh-CN"/>
        </w:rPr>
      </w:pPr>
      <w:r>
        <w:rPr>
          <w:rFonts w:hint="eastAsia"/>
          <w:b/>
          <w:bCs w:val="0"/>
          <w:lang w:val="en-US" w:eastAsia="zh-CN"/>
        </w:rPr>
        <w:t>检查准备</w:t>
      </w:r>
    </w:p>
    <w:p w14:paraId="31F9D18C">
      <w:pPr>
        <w:ind w:firstLine="480"/>
      </w:pPr>
      <w:r>
        <w:rPr>
          <w:rFonts w:hint="eastAsia"/>
        </w:rPr>
        <w:t>正式施工前，做好主要施工机具和分项工艺的检验工作。根据检验结果，对工艺进行进一步的修改及细化。</w:t>
      </w:r>
    </w:p>
    <w:p w14:paraId="18306A92">
      <w:pPr>
        <w:ind w:firstLine="480"/>
      </w:pPr>
      <w:r>
        <w:rPr>
          <w:rFonts w:hint="eastAsia"/>
        </w:rPr>
        <w:t>（1）设备检查</w:t>
      </w:r>
    </w:p>
    <w:p w14:paraId="5B0D2438">
      <w:pPr>
        <w:ind w:firstLine="480"/>
      </w:pPr>
      <w:r>
        <w:rPr>
          <w:rFonts w:hint="eastAsia"/>
        </w:rPr>
        <w:t>a塔吊所有钢构件无变形、无裂纹；塔吊所有电机机座是否固定牢靠，传动部位有无变形、裂纹；</w:t>
      </w:r>
    </w:p>
    <w:p w14:paraId="1A106ACE">
      <w:pPr>
        <w:ind w:firstLine="480"/>
      </w:pPr>
      <w:r>
        <w:rPr>
          <w:rFonts w:hint="eastAsia"/>
        </w:rPr>
        <w:t>b塔吊所有滑轮部位有无防钢丝绳脱槽装置，滑轮轴有无磨损，滑轮座是否固定牢靠；塔吊所有防护栏杆是否完好，焊接牢靠，无锈蚀；</w:t>
      </w:r>
    </w:p>
    <w:p w14:paraId="4E6CB6A1">
      <w:pPr>
        <w:ind w:firstLine="480"/>
      </w:pPr>
      <w:r>
        <w:rPr>
          <w:rFonts w:hint="eastAsia"/>
        </w:rPr>
        <w:t>c塔吊所有柱销孔和销柱体符合要求，无晃动、无严重磨损；</w:t>
      </w:r>
    </w:p>
    <w:p w14:paraId="57A8102F">
      <w:pPr>
        <w:ind w:firstLine="480"/>
      </w:pPr>
      <w:r>
        <w:rPr>
          <w:rFonts w:hint="eastAsia"/>
        </w:rPr>
        <w:t>d塔吊所有柱销上的开口销是否配套，并开口；</w:t>
      </w:r>
    </w:p>
    <w:p w14:paraId="3AD5C47B">
      <w:pPr>
        <w:ind w:firstLine="480"/>
      </w:pPr>
      <w:r>
        <w:rPr>
          <w:rFonts w:hint="eastAsia"/>
        </w:rPr>
        <w:t>e检查钢丝绳磨损状况；检查顶升套架围栏支撑连接部位部件是否完好；</w:t>
      </w:r>
    </w:p>
    <w:p w14:paraId="76499B3A">
      <w:pPr>
        <w:ind w:firstLine="480"/>
      </w:pPr>
      <w:r>
        <w:rPr>
          <w:rFonts w:hint="eastAsia"/>
        </w:rPr>
        <w:t>f检查顶升套架机构滑动部位及支撑的爪钩等处是否完好；</w:t>
      </w:r>
    </w:p>
    <w:p w14:paraId="1CF8A89D">
      <w:pPr>
        <w:ind w:firstLine="480"/>
      </w:pPr>
      <w:r>
        <w:rPr>
          <w:rFonts w:hint="eastAsia"/>
        </w:rPr>
        <w:t xml:space="preserve">g检查顶升套架标准节安装推入机构是否完好，各部件无变形； </w:t>
      </w:r>
    </w:p>
    <w:p w14:paraId="61DAB306">
      <w:pPr>
        <w:ind w:firstLine="480"/>
      </w:pPr>
      <w:r>
        <w:rPr>
          <w:rFonts w:hint="eastAsia"/>
        </w:rPr>
        <w:t>h检查回转支撑机构是否润滑良好，螺栓是否紧固；</w:t>
      </w:r>
    </w:p>
    <w:p w14:paraId="3EF3FBC7">
      <w:pPr>
        <w:ind w:firstLine="480"/>
      </w:pPr>
      <w:r>
        <w:rPr>
          <w:rFonts w:hint="eastAsia"/>
        </w:rPr>
        <w:t>i检查电器是否完好无损，电缆线无老化、裸露，各电气绝缘保证良好；</w:t>
      </w:r>
    </w:p>
    <w:p w14:paraId="544E7CBE">
      <w:pPr>
        <w:ind w:firstLine="480"/>
      </w:pPr>
      <w:r>
        <w:rPr>
          <w:rFonts w:hint="eastAsia"/>
        </w:rPr>
        <w:t>j幅度、力矩、超重、回转、吊钩高度限位器和电铃等安全装置齐全，并保证其灵敏可靠；检查吊钩保险、大钢丝绳卷筒保险、防小钢丝绳断绳装置等保险装置是否完好；检查司机楼、闸箱等是否完好，固定牢靠；</w:t>
      </w:r>
    </w:p>
    <w:p w14:paraId="5E736DB4">
      <w:pPr>
        <w:ind w:firstLine="480"/>
      </w:pPr>
      <w:r>
        <w:rPr>
          <w:rFonts w:hint="eastAsia"/>
        </w:rPr>
        <w:t>k检查刹车部位是否完好，刹车皮是否磨损严重；</w:t>
      </w:r>
    </w:p>
    <w:p w14:paraId="0A70F302">
      <w:pPr>
        <w:ind w:firstLine="480"/>
      </w:pPr>
      <w:r>
        <w:rPr>
          <w:rFonts w:hint="eastAsia"/>
        </w:rPr>
        <w:t>l查塔吊小车行走轮是否润滑良好，有无严重磨损和裂纹；检查配重、配重吊环是否牢固，完好。</w:t>
      </w:r>
    </w:p>
    <w:p w14:paraId="64BE07D6">
      <w:pPr>
        <w:pStyle w:val="4"/>
        <w:bidi w:val="0"/>
        <w:ind w:left="720" w:leftChars="0" w:hanging="720" w:firstLineChars="0"/>
        <w:rPr>
          <w:rFonts w:hint="eastAsia"/>
          <w:b/>
          <w:bCs w:val="0"/>
          <w:lang w:val="en-US" w:eastAsia="zh-CN"/>
        </w:rPr>
      </w:pPr>
      <w:r>
        <w:rPr>
          <w:rFonts w:hint="eastAsia"/>
          <w:b/>
          <w:bCs w:val="0"/>
          <w:lang w:val="en-US" w:eastAsia="zh-CN"/>
        </w:rPr>
        <w:t>其他</w:t>
      </w:r>
    </w:p>
    <w:p w14:paraId="026F1D42">
      <w:pPr>
        <w:ind w:firstLine="480"/>
      </w:pPr>
      <w:r>
        <w:rPr>
          <w:rFonts w:hint="eastAsia"/>
        </w:rPr>
        <w:t>（1）在吊装前应</w:t>
      </w:r>
      <w:r>
        <w:rPr>
          <w:rFonts w:hint="eastAsia"/>
          <w:color w:val="000000" w:themeColor="text1"/>
          <w14:textFill>
            <w14:solidFill>
              <w14:schemeClr w14:val="tx1"/>
            </w14:solidFill>
          </w14:textFill>
        </w:rPr>
        <w:t>做好</w:t>
      </w:r>
      <w:r>
        <w:rPr>
          <w:rFonts w:hint="eastAsia"/>
        </w:rPr>
        <w:t>现场气象资料的预报和收集工作，在吊装过程中应对现场气象情况进行实时监控并要安装单位提供当地气象局三天内的天气报告。</w:t>
      </w:r>
    </w:p>
    <w:p w14:paraId="181AFEBF">
      <w:pPr>
        <w:ind w:firstLine="480"/>
      </w:pPr>
      <w:r>
        <w:rPr>
          <w:rFonts w:hint="eastAsia"/>
        </w:rPr>
        <w:t>（2）划分安全警戒区域，指定监护人员，非工作人员不得进入警戒区。</w:t>
      </w:r>
    </w:p>
    <w:p w14:paraId="66AACBA7">
      <w:pPr>
        <w:ind w:firstLine="480"/>
      </w:pPr>
      <w:r>
        <w:rPr>
          <w:rFonts w:hint="eastAsia"/>
        </w:rPr>
        <w:t>（3）每台塔式起重机设立专用配电箱，符合临时用电《施工现场临时用电安全技术规范》（JGJ46-2005）相关要求。</w:t>
      </w:r>
    </w:p>
    <w:p w14:paraId="7789721A">
      <w:pPr>
        <w:pStyle w:val="3"/>
        <w:bidi w:val="0"/>
        <w:rPr>
          <w:b/>
          <w:bCs w:val="0"/>
          <w:sz w:val="28"/>
          <w:szCs w:val="28"/>
        </w:rPr>
      </w:pPr>
      <w:bookmarkStart w:id="83" w:name="_Toc16632"/>
      <w:bookmarkStart w:id="84" w:name="_Toc19615"/>
      <w:bookmarkStart w:id="85" w:name="_Toc22399"/>
      <w:r>
        <w:rPr>
          <w:rFonts w:hint="eastAsia"/>
          <w:b/>
          <w:bCs w:val="0"/>
          <w:sz w:val="28"/>
          <w:szCs w:val="28"/>
        </w:rPr>
        <w:t>塔吊安装具体步骤</w:t>
      </w:r>
      <w:bookmarkEnd w:id="83"/>
      <w:bookmarkEnd w:id="84"/>
      <w:bookmarkEnd w:id="85"/>
    </w:p>
    <w:p w14:paraId="2FD6E7F5">
      <w:pPr>
        <w:pStyle w:val="4"/>
        <w:bidi w:val="0"/>
        <w:ind w:left="720" w:leftChars="0" w:hanging="720" w:firstLineChars="0"/>
        <w:rPr>
          <w:rFonts w:hint="eastAsia"/>
          <w:b/>
          <w:bCs w:val="0"/>
          <w:lang w:val="en-US" w:eastAsia="zh-CN"/>
        </w:rPr>
      </w:pPr>
      <w:r>
        <w:rPr>
          <w:rFonts w:hint="eastAsia"/>
          <w:b/>
          <w:bCs w:val="0"/>
          <w:lang w:val="en-US" w:eastAsia="zh-CN"/>
        </w:rPr>
        <w:t>塔吊基础</w:t>
      </w:r>
    </w:p>
    <w:p w14:paraId="1E9B4267">
      <w:pPr>
        <w:rPr>
          <w:rFonts w:hint="default"/>
          <w:lang w:val="en-US" w:eastAsia="zh-CN"/>
        </w:rPr>
      </w:pPr>
      <w:r>
        <w:rPr>
          <w:rFonts w:hint="eastAsia"/>
          <w:lang w:val="en-US" w:eastAsia="zh-CN"/>
        </w:rPr>
        <w:t>XGT7022-12S塔吊，采用混凝土板式基础形式，基础尺寸7.1×7.1×1.65m，地基承载力≥200Kpa如4.4.1-1图所示。</w:t>
      </w:r>
    </w:p>
    <w:p w14:paraId="3C613EB3">
      <w:pPr>
        <w:pStyle w:val="15"/>
        <w:jc w:val="center"/>
        <w:rPr>
          <w:rFonts w:hint="default"/>
          <w:lang w:val="en-US" w:eastAsia="zh-CN"/>
        </w:rPr>
      </w:pPr>
      <w:r>
        <w:rPr>
          <w:rFonts w:hint="eastAsia" w:ascii="Times New Roman" w:hAnsi="Times New Roman" w:eastAsia="宋体" w:cstheme="majorBidi"/>
          <w:b/>
          <w:kern w:val="2"/>
          <w:sz w:val="21"/>
          <w:szCs w:val="20"/>
          <w:lang w:val="en-US" w:eastAsia="zh-CN" w:bidi="ar-SA"/>
        </w:rPr>
        <w:t>图4.4.1-1塔吊基础形式</w:t>
      </w:r>
    </w:p>
    <w:p w14:paraId="3061D923">
      <w:pPr>
        <w:pStyle w:val="15"/>
        <w:rPr>
          <w:rFonts w:hint="default"/>
          <w:lang w:val="en-US" w:eastAsia="zh-CN"/>
        </w:rPr>
      </w:pPr>
      <w:r>
        <w:rPr>
          <w:rFonts w:hint="eastAsia"/>
          <w:lang w:val="en-US" w:eastAsia="zh-CN"/>
        </w:rPr>
        <w:t xml:space="preserve">                   </w:t>
      </w:r>
    </w:p>
    <w:p w14:paraId="61E10C80">
      <w:pPr>
        <w:ind w:firstLine="0" w:firstLineChars="0"/>
        <w:jc w:val="center"/>
        <w:rPr>
          <w:rFonts w:hint="default"/>
          <w:lang w:val="en-US" w:eastAsia="zh-CN"/>
        </w:rPr>
      </w:pPr>
      <w:r>
        <w:drawing>
          <wp:inline distT="0" distB="0" distL="114300" distR="114300">
            <wp:extent cx="5755640" cy="3925570"/>
            <wp:effectExtent l="0" t="0" r="16510" b="1778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35"/>
                    <a:stretch>
                      <a:fillRect/>
                    </a:stretch>
                  </pic:blipFill>
                  <pic:spPr>
                    <a:xfrm>
                      <a:off x="0" y="0"/>
                      <a:ext cx="5755640" cy="3925570"/>
                    </a:xfrm>
                    <a:prstGeom prst="rect">
                      <a:avLst/>
                    </a:prstGeom>
                    <a:noFill/>
                    <a:ln>
                      <a:noFill/>
                    </a:ln>
                  </pic:spPr>
                </pic:pic>
              </a:graphicData>
            </a:graphic>
          </wp:inline>
        </w:drawing>
      </w:r>
      <w:r>
        <w:drawing>
          <wp:inline distT="0" distB="0" distL="114300" distR="114300">
            <wp:extent cx="5755005" cy="1664970"/>
            <wp:effectExtent l="0" t="0" r="17145" b="11430"/>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36"/>
                    <a:stretch>
                      <a:fillRect/>
                    </a:stretch>
                  </pic:blipFill>
                  <pic:spPr>
                    <a:xfrm>
                      <a:off x="0" y="0"/>
                      <a:ext cx="5755005" cy="1664970"/>
                    </a:xfrm>
                    <a:prstGeom prst="rect">
                      <a:avLst/>
                    </a:prstGeom>
                    <a:noFill/>
                    <a:ln>
                      <a:noFill/>
                    </a:ln>
                  </pic:spPr>
                </pic:pic>
              </a:graphicData>
            </a:graphic>
          </wp:inline>
        </w:drawing>
      </w:r>
    </w:p>
    <w:p w14:paraId="291D4606">
      <w:pPr>
        <w:rPr>
          <w:rFonts w:hint="default"/>
          <w:lang w:val="en-US" w:eastAsia="zh-CN"/>
        </w:rPr>
      </w:pPr>
      <w:bookmarkStart w:id="316" w:name="_GoBack"/>
      <w:bookmarkEnd w:id="316"/>
    </w:p>
    <w:p w14:paraId="272756CE">
      <w:pPr>
        <w:pStyle w:val="4"/>
        <w:bidi w:val="0"/>
        <w:ind w:left="720" w:leftChars="0" w:hanging="720" w:firstLineChars="0"/>
        <w:rPr>
          <w:rFonts w:hint="eastAsia"/>
          <w:b/>
          <w:bCs w:val="0"/>
          <w:lang w:val="en-US" w:eastAsia="zh-CN"/>
        </w:rPr>
      </w:pPr>
      <w:r>
        <w:rPr>
          <w:rFonts w:hint="eastAsia"/>
          <w:b/>
          <w:bCs w:val="0"/>
          <w:lang w:val="en-US" w:eastAsia="zh-CN"/>
        </w:rPr>
        <w:t>安装基础节与一节标准节</w:t>
      </w:r>
    </w:p>
    <w:p w14:paraId="32F9EA2C">
      <w:pPr>
        <w:pStyle w:val="5"/>
        <w:bidi w:val="0"/>
        <w:ind w:left="864" w:leftChars="0" w:hanging="864" w:firstLineChars="0"/>
        <w:rPr>
          <w:rFonts w:hint="eastAsia"/>
          <w:b/>
          <w:bCs w:val="0"/>
          <w:lang w:val="en-US" w:eastAsia="zh-CN"/>
        </w:rPr>
      </w:pPr>
      <w:r>
        <w:rPr>
          <w:rFonts w:hint="eastAsia"/>
          <w:b/>
          <w:bCs w:val="0"/>
          <w:lang w:val="en-US" w:eastAsia="zh-CN"/>
        </w:rPr>
        <w:t>安装前的条件</w:t>
      </w:r>
    </w:p>
    <w:p w14:paraId="70A22417">
      <w:pPr>
        <w:rPr>
          <w:rFonts w:hint="eastAsia"/>
          <w:lang w:val="en-US" w:eastAsia="zh-CN"/>
        </w:rPr>
      </w:pPr>
    </w:p>
    <w:p w14:paraId="127E5C16">
      <w:pPr>
        <w:pStyle w:val="16"/>
        <w:rPr>
          <w:rFonts w:ascii="宋体" w:hAnsi="宋体" w:cs="宋体"/>
          <w:bCs/>
          <w:color w:val="000000" w:themeColor="text1"/>
          <w14:textFill>
            <w14:solidFill>
              <w14:schemeClr w14:val="tx1"/>
            </w14:solidFill>
          </w14:textFill>
        </w:rPr>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4.4.</w:t>
      </w:r>
      <w:r>
        <w:rPr>
          <w:rFonts w:hint="eastAsia"/>
          <w:lang w:val="en-US" w:eastAsia="zh-CN"/>
        </w:rPr>
        <w:t>2</w:t>
      </w:r>
      <w:r>
        <w:fldChar w:fldCharType="end"/>
      </w:r>
      <w:r>
        <w:rPr>
          <w:rFonts w:hint="eastAsia"/>
          <w:lang w:val="en-US" w:eastAsia="zh-CN"/>
        </w:rPr>
        <w:t>.1</w:t>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t>1</w:t>
      </w:r>
      <w:r>
        <w:fldChar w:fldCharType="end"/>
      </w:r>
      <w:r>
        <w:rPr>
          <w:rFonts w:hint="eastAsia" w:ascii="宋体" w:hAnsi="宋体" w:cs="宋体"/>
          <w:bCs/>
          <w:color w:val="000000" w:themeColor="text1"/>
          <w14:textFill>
            <w14:solidFill>
              <w14:schemeClr w14:val="tx1"/>
            </w14:solidFill>
          </w14:textFill>
        </w:rPr>
        <w:t>安装前提表</w:t>
      </w:r>
    </w:p>
    <w:tbl>
      <w:tblPr>
        <w:tblStyle w:val="156"/>
        <w:tblW w:w="9072"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533"/>
        <w:gridCol w:w="6539"/>
      </w:tblGrid>
      <w:tr w14:paraId="76C35A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556" w:type="dxa"/>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356303E9">
            <w:pPr>
              <w:pStyle w:val="50"/>
              <w:rPr>
                <w:rFonts w:ascii="Times New Roman" w:hAnsi="Times New Roman" w:eastAsia="宋体" w:cstheme="minorBidi"/>
                <w:b w:val="0"/>
                <w:i w:val="0"/>
              </w:rPr>
            </w:pPr>
            <w:r>
              <w:rPr>
                <w:rFonts w:hint="eastAsia" w:ascii="Times New Roman" w:hAnsi="Times New Roman" w:eastAsia="宋体" w:cstheme="minorBidi"/>
                <w:b w:val="0"/>
                <w:i w:val="0"/>
              </w:rPr>
              <w:t>序号</w:t>
            </w:r>
          </w:p>
        </w:tc>
        <w:tc>
          <w:tcPr>
            <w:tcW w:w="6604" w:type="dxa"/>
            <w:tcBorders>
              <w:top w:val="single" w:color="000000" w:sz="12" w:space="0"/>
              <w:left w:val="single" w:color="000000" w:sz="4" w:space="0"/>
              <w:bottom w:val="single" w:color="000000" w:sz="4" w:space="0"/>
              <w:right w:val="single" w:color="000000" w:sz="12" w:space="0"/>
            </w:tcBorders>
            <w:shd w:val="clear" w:color="auto" w:fill="FFFFFF"/>
            <w:vAlign w:val="center"/>
          </w:tcPr>
          <w:p w14:paraId="4D8F8782">
            <w:pPr>
              <w:pStyle w:val="50"/>
              <w:rPr>
                <w:rFonts w:ascii="Times New Roman" w:hAnsi="Times New Roman" w:eastAsia="宋体" w:cstheme="minorBidi"/>
                <w:b w:val="0"/>
                <w:i w:val="0"/>
              </w:rPr>
            </w:pPr>
            <w:r>
              <w:rPr>
                <w:rFonts w:hint="eastAsia" w:ascii="Times New Roman" w:hAnsi="Times New Roman" w:eastAsia="宋体" w:cstheme="minorBidi"/>
                <w:b w:val="0"/>
                <w:i w:val="0"/>
              </w:rPr>
              <w:t>安装前需具备条件</w:t>
            </w:r>
          </w:p>
        </w:tc>
      </w:tr>
      <w:tr w14:paraId="63AF543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556"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0998CF58">
            <w:pPr>
              <w:pStyle w:val="50"/>
              <w:rPr>
                <w:rFonts w:ascii="Times New Roman" w:hAnsi="Times New Roman" w:eastAsia="宋体" w:cstheme="minorBidi"/>
                <w:b w:val="0"/>
                <w:i w:val="0"/>
              </w:rPr>
            </w:pPr>
            <w:r>
              <w:rPr>
                <w:rFonts w:hint="eastAsia" w:ascii="Times New Roman" w:hAnsi="Times New Roman" w:eastAsia="宋体" w:cstheme="minorBidi"/>
                <w:b w:val="0"/>
                <w:i w:val="0"/>
              </w:rPr>
              <w:t>1</w:t>
            </w:r>
          </w:p>
        </w:tc>
        <w:tc>
          <w:tcPr>
            <w:tcW w:w="6604"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0B93F7DD">
            <w:pPr>
              <w:pStyle w:val="50"/>
              <w:rPr>
                <w:rFonts w:cstheme="minorBidi"/>
                <w:b w:val="0"/>
              </w:rPr>
            </w:pPr>
            <w:r>
              <w:rPr>
                <w:rFonts w:hint="eastAsia" w:cstheme="minorBidi"/>
                <w:b w:val="0"/>
              </w:rPr>
              <w:t>基础验收合格并出具验收表</w:t>
            </w:r>
          </w:p>
        </w:tc>
      </w:tr>
      <w:tr w14:paraId="05B7C8D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556"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25CFB6B9">
            <w:pPr>
              <w:pStyle w:val="50"/>
              <w:rPr>
                <w:rFonts w:ascii="Times New Roman" w:hAnsi="Times New Roman" w:eastAsia="宋体" w:cstheme="minorBidi"/>
                <w:b w:val="0"/>
                <w:i w:val="0"/>
              </w:rPr>
            </w:pPr>
            <w:r>
              <w:rPr>
                <w:rFonts w:hint="eastAsia" w:ascii="Times New Roman" w:hAnsi="Times New Roman" w:eastAsia="宋体" w:cstheme="minorBidi"/>
                <w:b w:val="0"/>
                <w:i w:val="0"/>
              </w:rPr>
              <w:t>2</w:t>
            </w:r>
          </w:p>
        </w:tc>
        <w:tc>
          <w:tcPr>
            <w:tcW w:w="6604"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4A134C12">
            <w:pPr>
              <w:pStyle w:val="50"/>
              <w:rPr>
                <w:rFonts w:cstheme="minorBidi"/>
                <w:b w:val="0"/>
              </w:rPr>
            </w:pPr>
            <w:r>
              <w:rPr>
                <w:rFonts w:hint="eastAsia" w:cstheme="minorBidi"/>
                <w:b w:val="0"/>
              </w:rPr>
              <w:t>配置符合要求的塔机专用配电箱</w:t>
            </w:r>
          </w:p>
        </w:tc>
      </w:tr>
      <w:tr w14:paraId="56D7C0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556" w:type="dxa"/>
            <w:tcBorders>
              <w:top w:val="single" w:color="000000" w:sz="4" w:space="0"/>
              <w:left w:val="single" w:color="000000" w:sz="12" w:space="0"/>
              <w:bottom w:val="single" w:color="000000" w:sz="4" w:space="0"/>
              <w:right w:val="single" w:color="000000" w:sz="4" w:space="0"/>
            </w:tcBorders>
            <w:shd w:val="clear" w:color="auto" w:fill="FFFFFF"/>
            <w:vAlign w:val="center"/>
          </w:tcPr>
          <w:p w14:paraId="6CA7FC4F">
            <w:pPr>
              <w:pStyle w:val="50"/>
              <w:rPr>
                <w:rFonts w:ascii="Times New Roman" w:hAnsi="Times New Roman" w:eastAsia="宋体" w:cstheme="minorBidi"/>
                <w:b w:val="0"/>
                <w:i w:val="0"/>
              </w:rPr>
            </w:pPr>
            <w:r>
              <w:rPr>
                <w:rFonts w:hint="eastAsia" w:ascii="Times New Roman" w:hAnsi="Times New Roman" w:eastAsia="宋体" w:cstheme="minorBidi"/>
                <w:b w:val="0"/>
                <w:i w:val="0"/>
              </w:rPr>
              <w:t>3</w:t>
            </w:r>
          </w:p>
        </w:tc>
        <w:tc>
          <w:tcPr>
            <w:tcW w:w="6604" w:type="dxa"/>
            <w:tcBorders>
              <w:top w:val="single" w:color="000000" w:sz="4" w:space="0"/>
              <w:left w:val="single" w:color="000000" w:sz="4" w:space="0"/>
              <w:bottom w:val="single" w:color="000000" w:sz="4" w:space="0"/>
              <w:right w:val="single" w:color="000000" w:sz="12" w:space="0"/>
            </w:tcBorders>
            <w:shd w:val="clear" w:color="auto" w:fill="FFFFFF"/>
            <w:vAlign w:val="center"/>
          </w:tcPr>
          <w:p w14:paraId="0915CE2A">
            <w:pPr>
              <w:pStyle w:val="50"/>
              <w:rPr>
                <w:rFonts w:cstheme="minorBidi"/>
                <w:b w:val="0"/>
              </w:rPr>
            </w:pPr>
            <w:r>
              <w:rPr>
                <w:rFonts w:hint="eastAsia" w:cstheme="minorBidi"/>
                <w:b w:val="0"/>
              </w:rPr>
              <w:t>现场具备</w:t>
            </w:r>
            <w:r>
              <w:rPr>
                <w:rFonts w:hint="eastAsia" w:cstheme="minorBidi"/>
                <w:b w:val="0"/>
                <w:lang w:eastAsia="zh-CN"/>
              </w:rPr>
              <w:t>汽车吊</w:t>
            </w:r>
            <w:r>
              <w:rPr>
                <w:rFonts w:hint="eastAsia" w:cstheme="minorBidi"/>
                <w:b w:val="0"/>
              </w:rPr>
              <w:t>及运输车辆的行驶条件</w:t>
            </w:r>
          </w:p>
        </w:tc>
      </w:tr>
      <w:tr w14:paraId="78068C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2556" w:type="dxa"/>
            <w:tcBorders>
              <w:top w:val="single" w:color="000000" w:sz="4" w:space="0"/>
              <w:left w:val="single" w:color="000000" w:sz="12" w:space="0"/>
              <w:bottom w:val="single" w:color="000000" w:sz="12" w:space="0"/>
              <w:right w:val="single" w:color="000000" w:sz="4" w:space="0"/>
            </w:tcBorders>
            <w:shd w:val="clear" w:color="auto" w:fill="FFFFFF"/>
            <w:vAlign w:val="center"/>
          </w:tcPr>
          <w:p w14:paraId="738D7728">
            <w:pPr>
              <w:pStyle w:val="50"/>
              <w:rPr>
                <w:rFonts w:ascii="Times New Roman" w:hAnsi="Times New Roman" w:eastAsia="宋体" w:cstheme="minorBidi"/>
                <w:b w:val="0"/>
                <w:i w:val="0"/>
              </w:rPr>
            </w:pPr>
            <w:r>
              <w:rPr>
                <w:rFonts w:hint="eastAsia" w:ascii="Times New Roman" w:hAnsi="Times New Roman" w:eastAsia="宋体" w:cstheme="minorBidi"/>
                <w:b w:val="0"/>
                <w:i w:val="0"/>
              </w:rPr>
              <w:t>4</w:t>
            </w:r>
          </w:p>
        </w:tc>
        <w:tc>
          <w:tcPr>
            <w:tcW w:w="6604" w:type="dxa"/>
            <w:tcBorders>
              <w:top w:val="single" w:color="000000" w:sz="4" w:space="0"/>
              <w:left w:val="single" w:color="000000" w:sz="4" w:space="0"/>
              <w:bottom w:val="single" w:color="000000" w:sz="12" w:space="0"/>
              <w:right w:val="single" w:color="000000" w:sz="12" w:space="0"/>
            </w:tcBorders>
            <w:shd w:val="clear" w:color="auto" w:fill="FFFFFF"/>
            <w:vAlign w:val="center"/>
          </w:tcPr>
          <w:p w14:paraId="090BDF12">
            <w:pPr>
              <w:pStyle w:val="50"/>
              <w:rPr>
                <w:rFonts w:cstheme="minorBidi"/>
                <w:b w:val="0"/>
              </w:rPr>
            </w:pPr>
            <w:r>
              <w:rPr>
                <w:rFonts w:hint="eastAsia" w:cstheme="minorBidi"/>
                <w:b w:val="0"/>
              </w:rPr>
              <w:t>现场具备辅助</w:t>
            </w:r>
            <w:r>
              <w:rPr>
                <w:rFonts w:hint="eastAsia" w:cstheme="minorBidi"/>
                <w:b w:val="0"/>
                <w:lang w:eastAsia="zh-CN"/>
              </w:rPr>
              <w:t>汽车吊</w:t>
            </w:r>
            <w:r>
              <w:rPr>
                <w:rFonts w:hint="eastAsia" w:cstheme="minorBidi"/>
                <w:b w:val="0"/>
              </w:rPr>
              <w:t>支设的场地及塔机拼装场地</w:t>
            </w:r>
          </w:p>
        </w:tc>
      </w:tr>
    </w:tbl>
    <w:p w14:paraId="5181E348">
      <w:pPr>
        <w:pStyle w:val="5"/>
        <w:bidi w:val="0"/>
        <w:ind w:left="864" w:leftChars="0" w:hanging="864" w:firstLineChars="0"/>
        <w:rPr>
          <w:rFonts w:hint="default"/>
          <w:b/>
          <w:bCs w:val="0"/>
          <w:lang w:val="en-US" w:eastAsia="zh-CN"/>
        </w:rPr>
      </w:pPr>
      <w:r>
        <w:rPr>
          <w:rFonts w:hint="eastAsia"/>
          <w:b/>
          <w:bCs w:val="0"/>
          <w:lang w:val="en-US" w:eastAsia="zh-CN"/>
        </w:rPr>
        <w:t>安装基础节</w:t>
      </w:r>
    </w:p>
    <w:p w14:paraId="188FDC75">
      <w:pPr>
        <w:widowControl w:val="0"/>
        <w:adjustRightInd/>
        <w:snapToGrid/>
        <w:ind w:firstLine="480"/>
        <w:rPr>
          <w:rFonts w:hint="default" w:cs="Times New Roman"/>
          <w:szCs w:val="21"/>
          <w:lang w:val="en-US" w:eastAsia="zh-CN"/>
        </w:rPr>
      </w:pPr>
      <w:r>
        <w:rPr>
          <w:rFonts w:hint="eastAsia" w:cs="Times New Roman"/>
          <w:szCs w:val="21"/>
          <w:lang w:val="en-US" w:eastAsia="zh-CN"/>
        </w:rPr>
        <w:t>XGT7022-12S由1 节基础节组成，基础节高度7.5m。</w:t>
      </w:r>
    </w:p>
    <w:p w14:paraId="63D0C555">
      <w:pPr>
        <w:widowControl w:val="0"/>
        <w:adjustRightInd/>
        <w:snapToGrid/>
        <w:ind w:firstLine="480"/>
        <w:rPr>
          <w:rFonts w:ascii="Times New Roman" w:hAnsi="Times New Roman" w:eastAsia="宋体" w:cs="Times New Roman"/>
          <w:szCs w:val="21"/>
        </w:rPr>
      </w:pPr>
      <w:r>
        <w:rPr>
          <w:rFonts w:hint="eastAsia" w:cs="Times New Roman"/>
          <w:szCs w:val="21"/>
          <w:lang w:val="en-US" w:eastAsia="zh-CN"/>
        </w:rPr>
        <w:t>基础节</w:t>
      </w:r>
      <w:r>
        <w:rPr>
          <w:rFonts w:hint="eastAsia" w:ascii="Times New Roman" w:hAnsi="Times New Roman" w:eastAsia="宋体" w:cs="Times New Roman"/>
          <w:szCs w:val="21"/>
        </w:rPr>
        <w:t>吊装采用四点吊，</w:t>
      </w:r>
      <w:r>
        <w:rPr>
          <w:rFonts w:hint="eastAsia" w:cs="Times New Roman"/>
          <w:szCs w:val="21"/>
          <w:lang w:val="en-US" w:eastAsia="zh-CN"/>
        </w:rPr>
        <w:t>基础节</w:t>
      </w:r>
      <w:r>
        <w:rPr>
          <w:rFonts w:hint="eastAsia" w:ascii="Times New Roman" w:hAnsi="Times New Roman" w:eastAsia="宋体" w:cs="Times New Roman"/>
          <w:szCs w:val="21"/>
        </w:rPr>
        <w:t>以顶部四个销轴孔作为吊装孔，采用4根</w:t>
      </w:r>
      <w:r>
        <w:rPr>
          <w:rFonts w:hint="eastAsia" w:cs="Times New Roman"/>
          <w:szCs w:val="21"/>
          <w:lang w:val="en-US" w:eastAsia="zh-CN"/>
        </w:rPr>
        <w:t>18</w:t>
      </w:r>
      <w:r>
        <w:rPr>
          <w:rFonts w:hint="eastAsia" w:ascii="Times New Roman" w:hAnsi="Times New Roman" w:eastAsia="宋体" w:cs="Times New Roman"/>
          <w:szCs w:val="21"/>
        </w:rPr>
        <w:t>mm</w:t>
      </w:r>
      <w:r>
        <w:rPr>
          <w:rFonts w:ascii="Times New Roman" w:hAnsi="Times New Roman" w:eastAsia="宋体" w:cs="Times New Roman"/>
          <w:szCs w:val="21"/>
        </w:rPr>
        <w:t>  6×19S+FC 1</w:t>
      </w:r>
      <w:r>
        <w:rPr>
          <w:rFonts w:hint="eastAsia" w:cs="Times New Roman"/>
          <w:szCs w:val="21"/>
          <w:lang w:val="en-US" w:eastAsia="zh-CN"/>
        </w:rPr>
        <w:t>87</w:t>
      </w:r>
      <w:r>
        <w:rPr>
          <w:rFonts w:ascii="Times New Roman" w:hAnsi="Times New Roman" w:eastAsia="宋体" w:cs="Times New Roman"/>
          <w:szCs w:val="21"/>
        </w:rPr>
        <w:t>0</w:t>
      </w:r>
      <w:r>
        <w:rPr>
          <w:rFonts w:hint="eastAsia" w:ascii="Times New Roman" w:hAnsi="Times New Roman" w:eastAsia="宋体" w:cs="Times New Roman"/>
          <w:szCs w:val="21"/>
        </w:rPr>
        <w:t>Mpa的钢丝绳配套</w:t>
      </w:r>
      <w:r>
        <w:rPr>
          <w:rFonts w:ascii="Times New Roman" w:hAnsi="Times New Roman" w:eastAsia="宋体" w:cs="Times New Roman"/>
          <w:szCs w:val="21"/>
        </w:rPr>
        <w:t>GB/T 25854-6-DW</w:t>
      </w:r>
      <w:r>
        <w:rPr>
          <w:rFonts w:hint="eastAsia" w:cs="Times New Roman"/>
          <w:szCs w:val="21"/>
          <w:lang w:val="en-US" w:eastAsia="zh-CN"/>
        </w:rPr>
        <w:t>5</w:t>
      </w:r>
      <w:r>
        <w:rPr>
          <w:rFonts w:hint="eastAsia" w:ascii="Times New Roman" w:hAnsi="Times New Roman" w:eastAsia="宋体" w:cs="Times New Roman"/>
          <w:szCs w:val="21"/>
        </w:rPr>
        <w:t>卸扣进行吊装。</w:t>
      </w:r>
    </w:p>
    <w:p w14:paraId="0B91E3E6">
      <w:pPr>
        <w:widowControl w:val="0"/>
        <w:adjustRightInd/>
        <w:snapToGrid/>
        <w:ind w:firstLine="480"/>
        <w:rPr>
          <w:rFonts w:hint="eastAsia" w:cs="Times New Roman"/>
          <w:szCs w:val="21"/>
          <w:lang w:eastAsia="zh-CN"/>
        </w:rPr>
      </w:pPr>
      <w:r>
        <w:rPr>
          <w:rFonts w:hint="eastAsia" w:ascii="Times New Roman" w:hAnsi="Times New Roman" w:eastAsia="宋体" w:cs="Times New Roman"/>
          <w:szCs w:val="21"/>
        </w:rPr>
        <w:t>作业人员在地面上先将钢丝绳一端挂在</w:t>
      </w:r>
      <w:r>
        <w:rPr>
          <w:rFonts w:hint="eastAsia" w:cs="Times New Roman"/>
          <w:szCs w:val="21"/>
          <w:lang w:eastAsia="zh-CN"/>
        </w:rPr>
        <w:t>汽车吊</w:t>
      </w:r>
      <w:r>
        <w:rPr>
          <w:rFonts w:hint="eastAsia" w:ascii="Times New Roman" w:hAnsi="Times New Roman" w:eastAsia="宋体" w:cs="Times New Roman"/>
          <w:szCs w:val="21"/>
        </w:rPr>
        <w:t>吊钩，另一端与卸扣连接，卸扣与吊装孔连接，并在</w:t>
      </w:r>
      <w:r>
        <w:rPr>
          <w:rFonts w:hint="eastAsia" w:cs="Times New Roman"/>
          <w:szCs w:val="21"/>
          <w:lang w:val="en-US" w:eastAsia="zh-CN"/>
        </w:rPr>
        <w:t>基础节</w:t>
      </w:r>
      <w:r>
        <w:rPr>
          <w:rFonts w:hint="eastAsia" w:ascii="Times New Roman" w:hAnsi="Times New Roman" w:eastAsia="宋体" w:cs="Times New Roman"/>
          <w:szCs w:val="21"/>
        </w:rPr>
        <w:t>立杆上栓好2根溜绳。启动</w:t>
      </w:r>
      <w:r>
        <w:rPr>
          <w:rFonts w:hint="eastAsia" w:cs="Times New Roman"/>
          <w:szCs w:val="21"/>
          <w:lang w:eastAsia="zh-CN"/>
        </w:rPr>
        <w:t>汽车吊</w:t>
      </w:r>
      <w:r>
        <w:rPr>
          <w:rFonts w:hint="eastAsia" w:ascii="Times New Roman" w:hAnsi="Times New Roman" w:eastAsia="宋体" w:cs="Times New Roman"/>
          <w:szCs w:val="21"/>
        </w:rPr>
        <w:t>，将</w:t>
      </w:r>
      <w:r>
        <w:rPr>
          <w:rFonts w:hint="eastAsia" w:cs="Times New Roman"/>
          <w:szCs w:val="21"/>
          <w:lang w:val="en-US" w:eastAsia="zh-CN"/>
        </w:rPr>
        <w:t>基础节</w:t>
      </w:r>
      <w:r>
        <w:rPr>
          <w:rFonts w:hint="eastAsia" w:ascii="Times New Roman" w:hAnsi="Times New Roman" w:eastAsia="宋体" w:cs="Times New Roman"/>
          <w:szCs w:val="21"/>
        </w:rPr>
        <w:t>缓慢提升，用溜绳控制其摆动。起吊</w:t>
      </w:r>
      <w:r>
        <w:rPr>
          <w:rFonts w:hint="eastAsia" w:cs="Times New Roman"/>
          <w:szCs w:val="21"/>
          <w:lang w:val="en-US" w:eastAsia="zh-CN"/>
        </w:rPr>
        <w:t>基础节</w:t>
      </w:r>
      <w:r>
        <w:rPr>
          <w:rFonts w:hint="eastAsia" w:ascii="Times New Roman" w:hAnsi="Times New Roman" w:eastAsia="宋体" w:cs="Times New Roman"/>
          <w:szCs w:val="21"/>
        </w:rPr>
        <w:t>至塔吊固定支腿上方，</w:t>
      </w:r>
      <w:r>
        <w:rPr>
          <w:rFonts w:hint="eastAsia" w:cs="Times New Roman"/>
          <w:szCs w:val="21"/>
          <w:lang w:eastAsia="zh-CN"/>
        </w:rPr>
        <w:t>汽车吊</w:t>
      </w:r>
      <w:r>
        <w:rPr>
          <w:rFonts w:hint="eastAsia" w:ascii="Times New Roman" w:hAnsi="Times New Roman" w:eastAsia="宋体" w:cs="Times New Roman"/>
          <w:szCs w:val="21"/>
        </w:rPr>
        <w:t>缓慢落钩，直至</w:t>
      </w:r>
      <w:r>
        <w:rPr>
          <w:rFonts w:hint="eastAsia" w:cs="Times New Roman"/>
          <w:szCs w:val="21"/>
          <w:lang w:val="en-US" w:eastAsia="zh-CN"/>
        </w:rPr>
        <w:t>基础节</w:t>
      </w:r>
      <w:r>
        <w:rPr>
          <w:rFonts w:hint="eastAsia" w:ascii="Times New Roman" w:hAnsi="Times New Roman" w:eastAsia="宋体" w:cs="Times New Roman"/>
          <w:szCs w:val="21"/>
        </w:rPr>
        <w:t>底部销轴孔与预埋固定支腿轴孔对齐，作业人员插入与预埋固定支腿的连接销轴，完成</w:t>
      </w:r>
      <w:r>
        <w:rPr>
          <w:rFonts w:hint="eastAsia" w:cs="Times New Roman"/>
          <w:szCs w:val="21"/>
          <w:lang w:val="en-US" w:eastAsia="zh-CN"/>
        </w:rPr>
        <w:t>基础节</w:t>
      </w:r>
      <w:r>
        <w:rPr>
          <w:rFonts w:hint="eastAsia" w:ascii="Times New Roman" w:hAnsi="Times New Roman" w:eastAsia="宋体" w:cs="Times New Roman"/>
          <w:szCs w:val="21"/>
        </w:rPr>
        <w:t>与固定支腿的连接，并在销轴端部插入开口销固定。</w:t>
      </w:r>
      <w:r>
        <w:rPr>
          <w:rFonts w:hint="eastAsia" w:cs="Times New Roman"/>
          <w:szCs w:val="21"/>
          <w:lang w:val="en-US" w:eastAsia="zh-CN"/>
        </w:rPr>
        <w:t>基础节</w:t>
      </w:r>
      <w:r>
        <w:rPr>
          <w:rFonts w:hint="eastAsia" w:ascii="Times New Roman" w:hAnsi="Times New Roman" w:eastAsia="宋体" w:cs="Times New Roman"/>
          <w:szCs w:val="21"/>
        </w:rPr>
        <w:t>吊装示意如下图所示</w:t>
      </w:r>
      <w:r>
        <w:rPr>
          <w:rFonts w:hint="eastAsia" w:cs="Times New Roman"/>
          <w:szCs w:val="21"/>
          <w:lang w:eastAsia="zh-CN"/>
        </w:rPr>
        <w:t>：</w:t>
      </w:r>
    </w:p>
    <w:p w14:paraId="39DE5EE8">
      <w:pPr>
        <w:widowControl w:val="0"/>
        <w:adjustRightInd/>
        <w:snapToGrid/>
        <w:ind w:firstLine="480"/>
        <w:jc w:val="center"/>
      </w:pPr>
      <w:r>
        <w:drawing>
          <wp:inline distT="0" distB="0" distL="114300" distR="114300">
            <wp:extent cx="2604135" cy="3860800"/>
            <wp:effectExtent l="0" t="0" r="5715" b="6350"/>
            <wp:docPr id="3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1"/>
                    <pic:cNvPicPr>
                      <a:picLocks noChangeAspect="1"/>
                    </pic:cNvPicPr>
                  </pic:nvPicPr>
                  <pic:blipFill>
                    <a:blip r:embed="rId37"/>
                    <a:stretch>
                      <a:fillRect/>
                    </a:stretch>
                  </pic:blipFill>
                  <pic:spPr>
                    <a:xfrm>
                      <a:off x="0" y="0"/>
                      <a:ext cx="2604135" cy="3860800"/>
                    </a:xfrm>
                    <a:prstGeom prst="rect">
                      <a:avLst/>
                    </a:prstGeom>
                    <a:noFill/>
                    <a:ln>
                      <a:noFill/>
                    </a:ln>
                  </pic:spPr>
                </pic:pic>
              </a:graphicData>
            </a:graphic>
          </wp:inline>
        </w:drawing>
      </w:r>
    </w:p>
    <w:p w14:paraId="6C46042D">
      <w:pPr>
        <w:widowControl w:val="0"/>
        <w:adjustRightInd/>
        <w:snapToGrid/>
        <w:ind w:firstLine="480"/>
        <w:jc w:val="center"/>
        <w:rPr>
          <w:rFonts w:hint="eastAsia"/>
          <w:lang w:eastAsia="zh-CN"/>
        </w:rPr>
      </w:pPr>
      <w:r>
        <w:rPr>
          <w:rFonts w:hint="eastAsia" w:ascii="Times New Roman" w:hAnsi="Times New Roman" w:eastAsia="宋体" w:cstheme="majorBidi"/>
          <w:b/>
          <w:kern w:val="2"/>
          <w:sz w:val="21"/>
          <w:szCs w:val="20"/>
          <w:lang w:val="en-US" w:eastAsia="zh-CN" w:bidi="ar-SA"/>
        </w:rPr>
        <w:t>图 4.4.2.2</w:t>
      </w:r>
      <w:r>
        <w:rPr>
          <w:rFonts w:hint="eastAsia" w:ascii="Times New Roman" w:hAnsi="Times New Roman" w:eastAsia="宋体" w:cstheme="majorBidi"/>
          <w:b/>
          <w:kern w:val="2"/>
          <w:sz w:val="21"/>
          <w:szCs w:val="20"/>
          <w:lang w:val="en-US" w:eastAsia="zh-CN" w:bidi="ar-SA"/>
        </w:rPr>
        <w:noBreakHyphen/>
      </w:r>
      <w:r>
        <w:rPr>
          <w:rFonts w:hint="eastAsia" w:cstheme="majorBidi"/>
          <w:b/>
          <w:kern w:val="2"/>
          <w:sz w:val="21"/>
          <w:szCs w:val="20"/>
          <w:lang w:val="en-US" w:eastAsia="zh-CN" w:bidi="ar-SA"/>
        </w:rPr>
        <w:t>1</w:t>
      </w:r>
      <w:r>
        <w:rPr>
          <w:rFonts w:hint="eastAsia" w:ascii="Times New Roman" w:hAnsi="Times New Roman" w:eastAsia="宋体" w:cstheme="majorBidi"/>
          <w:b/>
          <w:kern w:val="2"/>
          <w:sz w:val="21"/>
          <w:szCs w:val="20"/>
          <w:lang w:val="en-US" w:eastAsia="zh-CN" w:bidi="ar-SA"/>
        </w:rPr>
        <w:t xml:space="preserve"> 塔机基础节吊装</w:t>
      </w:r>
      <w:r>
        <w:rPr>
          <w:rFonts w:hint="eastAsia" w:cstheme="majorBidi"/>
          <w:b/>
          <w:kern w:val="2"/>
          <w:sz w:val="21"/>
          <w:szCs w:val="20"/>
          <w:lang w:val="en-US" w:eastAsia="zh-CN" w:bidi="ar-SA"/>
        </w:rPr>
        <w:t>立</w:t>
      </w:r>
      <w:r>
        <w:rPr>
          <w:rFonts w:hint="eastAsia" w:ascii="Times New Roman" w:hAnsi="Times New Roman" w:eastAsia="宋体" w:cstheme="majorBidi"/>
          <w:b/>
          <w:kern w:val="2"/>
          <w:sz w:val="21"/>
          <w:szCs w:val="20"/>
          <w:lang w:val="en-US" w:eastAsia="zh-CN" w:bidi="ar-SA"/>
        </w:rPr>
        <w:t>面示意图</w:t>
      </w:r>
    </w:p>
    <w:p w14:paraId="6D5974BD">
      <w:pPr>
        <w:widowControl w:val="0"/>
        <w:adjustRightInd/>
        <w:snapToGrid/>
        <w:ind w:firstLine="480"/>
        <w:jc w:val="center"/>
      </w:pPr>
      <w:r>
        <w:drawing>
          <wp:inline distT="0" distB="0" distL="114300" distR="114300">
            <wp:extent cx="2355850" cy="2479040"/>
            <wp:effectExtent l="0" t="0" r="6350" b="16510"/>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7"/>
                    <pic:cNvPicPr>
                      <a:picLocks noChangeAspect="1"/>
                    </pic:cNvPicPr>
                  </pic:nvPicPr>
                  <pic:blipFill>
                    <a:blip r:embed="rId32"/>
                    <a:stretch>
                      <a:fillRect/>
                    </a:stretch>
                  </pic:blipFill>
                  <pic:spPr>
                    <a:xfrm>
                      <a:off x="0" y="0"/>
                      <a:ext cx="2355850" cy="2479040"/>
                    </a:xfrm>
                    <a:prstGeom prst="rect">
                      <a:avLst/>
                    </a:prstGeom>
                    <a:noFill/>
                    <a:ln>
                      <a:noFill/>
                    </a:ln>
                  </pic:spPr>
                </pic:pic>
              </a:graphicData>
            </a:graphic>
          </wp:inline>
        </w:drawing>
      </w:r>
    </w:p>
    <w:p w14:paraId="017FCFC1">
      <w:pPr>
        <w:widowControl w:val="0"/>
        <w:adjustRightInd/>
        <w:snapToGrid/>
        <w:ind w:firstLine="480"/>
        <w:jc w:val="center"/>
        <w:rPr>
          <w:rFonts w:hint="eastAsia" w:ascii="Times New Roman" w:hAnsi="Times New Roman" w:eastAsia="宋体" w:cs="Times New Roman"/>
          <w:szCs w:val="21"/>
          <w:lang w:val="en-US" w:eastAsia="zh-CN"/>
        </w:rPr>
      </w:pPr>
      <w:r>
        <w:rPr>
          <w:rFonts w:hint="eastAsia" w:ascii="Times New Roman" w:hAnsi="Times New Roman" w:eastAsia="宋体" w:cstheme="majorBidi"/>
          <w:b/>
          <w:kern w:val="2"/>
          <w:sz w:val="21"/>
          <w:szCs w:val="20"/>
          <w:lang w:val="en-US" w:eastAsia="zh-CN" w:bidi="ar-SA"/>
        </w:rPr>
        <w:t>图 4.4.2.2</w:t>
      </w:r>
      <w:r>
        <w:rPr>
          <w:rFonts w:hint="eastAsia" w:ascii="Times New Roman" w:hAnsi="Times New Roman" w:eastAsia="宋体" w:cstheme="majorBidi"/>
          <w:b/>
          <w:kern w:val="2"/>
          <w:sz w:val="21"/>
          <w:szCs w:val="20"/>
          <w:lang w:val="en-US" w:eastAsia="zh-CN" w:bidi="ar-SA"/>
        </w:rPr>
        <w:noBreakHyphen/>
      </w:r>
      <w:r>
        <w:rPr>
          <w:rFonts w:hint="eastAsia" w:ascii="Times New Roman" w:hAnsi="Times New Roman" w:eastAsia="宋体" w:cstheme="majorBidi"/>
          <w:b/>
          <w:kern w:val="2"/>
          <w:sz w:val="21"/>
          <w:szCs w:val="20"/>
          <w:lang w:val="en-US" w:eastAsia="zh-CN" w:bidi="ar-SA"/>
        </w:rPr>
        <w:t>2 塔机基础节吊装平面示意图</w:t>
      </w:r>
    </w:p>
    <w:p w14:paraId="3F997194">
      <w:pPr>
        <w:widowControl w:val="0"/>
        <w:adjustRightInd/>
        <w:snapToGrid/>
        <w:ind w:firstLine="480"/>
        <w:rPr>
          <w:rFonts w:hint="eastAsia" w:ascii="Times New Roman" w:hAnsi="Times New Roman" w:eastAsia="宋体" w:cs="Times New Roman"/>
          <w:szCs w:val="21"/>
        </w:rPr>
      </w:pPr>
      <w:r>
        <w:rPr>
          <w:rFonts w:hint="eastAsia" w:ascii="Times New Roman" w:hAnsi="Times New Roman" w:eastAsia="宋体" w:cs="Times New Roman"/>
          <w:szCs w:val="21"/>
        </w:rPr>
        <w:t>作业人员通过</w:t>
      </w:r>
      <w:r>
        <w:rPr>
          <w:rFonts w:hint="eastAsia" w:cs="Times New Roman"/>
          <w:szCs w:val="21"/>
          <w:lang w:val="en-US" w:eastAsia="zh-CN"/>
        </w:rPr>
        <w:t>基础节</w:t>
      </w:r>
      <w:r>
        <w:rPr>
          <w:rFonts w:hint="eastAsia" w:ascii="Times New Roman" w:hAnsi="Times New Roman" w:eastAsia="宋体" w:cs="Times New Roman"/>
          <w:szCs w:val="21"/>
        </w:rPr>
        <w:t>爬梯爬至</w:t>
      </w:r>
      <w:r>
        <w:rPr>
          <w:rFonts w:hint="eastAsia" w:cs="Times New Roman"/>
          <w:szCs w:val="21"/>
          <w:lang w:val="en-US" w:eastAsia="zh-CN"/>
        </w:rPr>
        <w:t>基础节</w:t>
      </w:r>
      <w:r>
        <w:rPr>
          <w:rFonts w:hint="eastAsia" w:ascii="Times New Roman" w:hAnsi="Times New Roman" w:eastAsia="宋体" w:cs="Times New Roman"/>
          <w:szCs w:val="21"/>
        </w:rPr>
        <w:t>顶部，系挂好安全带，站立在</w:t>
      </w:r>
      <w:r>
        <w:rPr>
          <w:rFonts w:hint="eastAsia" w:cs="Times New Roman"/>
          <w:szCs w:val="21"/>
          <w:lang w:val="en-US" w:eastAsia="zh-CN"/>
        </w:rPr>
        <w:t>基础节</w:t>
      </w:r>
      <w:r>
        <w:rPr>
          <w:rFonts w:hint="eastAsia" w:ascii="Times New Roman" w:hAnsi="Times New Roman" w:eastAsia="宋体" w:cs="Times New Roman"/>
          <w:szCs w:val="21"/>
        </w:rPr>
        <w:t>横杆上，</w:t>
      </w:r>
      <w:r>
        <w:rPr>
          <w:rFonts w:hint="eastAsia" w:cs="Times New Roman"/>
          <w:szCs w:val="21"/>
          <w:lang w:eastAsia="zh-CN"/>
        </w:rPr>
        <w:t>汽车吊</w:t>
      </w:r>
      <w:r>
        <w:rPr>
          <w:rFonts w:hint="eastAsia" w:ascii="Times New Roman" w:hAnsi="Times New Roman" w:eastAsia="宋体" w:cs="Times New Roman"/>
          <w:szCs w:val="21"/>
        </w:rPr>
        <w:t>放松吊钩，作业人员解除卸扣与</w:t>
      </w:r>
      <w:r>
        <w:rPr>
          <w:rFonts w:hint="eastAsia" w:cs="Times New Roman"/>
          <w:szCs w:val="21"/>
          <w:lang w:val="en-US" w:eastAsia="zh-CN"/>
        </w:rPr>
        <w:t>基础节</w:t>
      </w:r>
      <w:r>
        <w:rPr>
          <w:rFonts w:hint="eastAsia" w:ascii="Times New Roman" w:hAnsi="Times New Roman" w:eastAsia="宋体" w:cs="Times New Roman"/>
          <w:szCs w:val="21"/>
        </w:rPr>
        <w:t>的连接，完成</w:t>
      </w:r>
      <w:r>
        <w:rPr>
          <w:rFonts w:hint="eastAsia" w:cs="Times New Roman"/>
          <w:szCs w:val="21"/>
          <w:lang w:eastAsia="zh-CN"/>
        </w:rPr>
        <w:t>基础节</w:t>
      </w:r>
      <w:r>
        <w:rPr>
          <w:rFonts w:hint="eastAsia" w:ascii="Times New Roman" w:hAnsi="Times New Roman" w:eastAsia="宋体" w:cs="Times New Roman"/>
          <w:szCs w:val="21"/>
        </w:rPr>
        <w:t>的安装。</w:t>
      </w:r>
    </w:p>
    <w:p w14:paraId="325EA9A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塔吊</w:t>
      </w:r>
      <w:r>
        <w:rPr>
          <w:rFonts w:hint="eastAsia" w:cs="Times New Roman"/>
          <w:szCs w:val="21"/>
          <w:lang w:val="en-US" w:eastAsia="zh-CN"/>
        </w:rPr>
        <w:t>基础节</w:t>
      </w:r>
      <w:r>
        <w:rPr>
          <w:rFonts w:hint="eastAsia" w:ascii="Times New Roman" w:hAnsi="Times New Roman" w:eastAsia="宋体" w:cs="Times New Roman"/>
          <w:szCs w:val="21"/>
        </w:rPr>
        <w:t>安装时设置警戒区，起吊安排专人负责指挥，专人操作，严禁无关人员进入起重作业范围内。</w:t>
      </w:r>
    </w:p>
    <w:p w14:paraId="7285BDFA">
      <w:pPr>
        <w:widowControl w:val="0"/>
        <w:adjustRightInd/>
        <w:snapToGrid/>
        <w:ind w:firstLine="480"/>
        <w:rPr>
          <w:rFonts w:ascii="Times New Roman" w:hAnsi="Times New Roman" w:eastAsia="宋体" w:cs="Times New Roman"/>
          <w:szCs w:val="21"/>
        </w:rPr>
      </w:pPr>
      <w:r>
        <w:rPr>
          <w:rFonts w:hint="eastAsia" w:cs="Times New Roman"/>
          <w:szCs w:val="21"/>
          <w:lang w:eastAsia="zh-CN"/>
        </w:rPr>
        <w:t>基础节</w:t>
      </w:r>
      <w:r>
        <w:rPr>
          <w:rFonts w:hint="eastAsia" w:ascii="Times New Roman" w:hAnsi="Times New Roman" w:eastAsia="宋体" w:cs="Times New Roman"/>
          <w:szCs w:val="21"/>
        </w:rPr>
        <w:t>吊装后采</w:t>
      </w:r>
      <w:r>
        <w:rPr>
          <w:rFonts w:ascii="Times New Roman" w:hAnsi="Times New Roman" w:eastAsia="宋体" w:cs="Times New Roman"/>
          <w:szCs w:val="21"/>
        </w:rPr>
        <w:t>用</w:t>
      </w:r>
      <w:r>
        <w:rPr>
          <w:rFonts w:hint="eastAsia" w:ascii="Times New Roman" w:hAnsi="Times New Roman" w:eastAsia="宋体" w:cs="Times New Roman"/>
          <w:szCs w:val="21"/>
        </w:rPr>
        <w:t>垂</w:t>
      </w:r>
      <w:r>
        <w:rPr>
          <w:rFonts w:ascii="Times New Roman" w:hAnsi="Times New Roman" w:eastAsia="宋体" w:cs="Times New Roman"/>
          <w:szCs w:val="21"/>
        </w:rPr>
        <w:t>线法检查其垂直度，主弦杆四个侧面的垂直度误差应不大于 1.5/1000。</w:t>
      </w:r>
    </w:p>
    <w:p w14:paraId="34C422E1">
      <w:pPr>
        <w:pStyle w:val="5"/>
        <w:bidi w:val="0"/>
        <w:ind w:left="864" w:leftChars="0" w:hanging="864" w:firstLineChars="0"/>
        <w:rPr>
          <w:rFonts w:hint="eastAsia" w:ascii="Times New Roman" w:hAnsi="Times New Roman" w:eastAsia="宋体" w:cstheme="majorBidi"/>
          <w:b/>
          <w:bCs w:val="0"/>
          <w:kern w:val="2"/>
          <w:sz w:val="24"/>
          <w:szCs w:val="24"/>
          <w:lang w:val="en-US" w:eastAsia="zh-CN" w:bidi="ar-SA"/>
        </w:rPr>
      </w:pPr>
      <w:r>
        <w:rPr>
          <w:rFonts w:hint="eastAsia" w:cstheme="majorBidi"/>
          <w:b/>
          <w:bCs w:val="0"/>
          <w:kern w:val="2"/>
          <w:sz w:val="24"/>
          <w:szCs w:val="24"/>
          <w:lang w:val="en-US" w:eastAsia="zh-CN" w:bidi="ar-SA"/>
        </w:rPr>
        <w:t>安装标准节</w:t>
      </w:r>
    </w:p>
    <w:p w14:paraId="1DC7D8B3">
      <w:pPr>
        <w:widowControl w:val="0"/>
        <w:adjustRightInd/>
        <w:snapToGrid/>
        <w:ind w:firstLine="480"/>
        <w:rPr>
          <w:rFonts w:ascii="Times New Roman" w:hAnsi="Times New Roman" w:eastAsia="宋体" w:cs="Times New Roman"/>
          <w:szCs w:val="21"/>
        </w:rPr>
      </w:pPr>
      <w:r>
        <w:rPr>
          <w:rFonts w:hint="eastAsia" w:cs="Times New Roman"/>
          <w:szCs w:val="21"/>
          <w:lang w:val="en-US" w:eastAsia="zh-CN"/>
        </w:rPr>
        <w:t>基础节</w:t>
      </w:r>
      <w:r>
        <w:rPr>
          <w:rFonts w:hint="eastAsia" w:ascii="Times New Roman" w:hAnsi="Times New Roman" w:eastAsia="宋体" w:cs="Times New Roman"/>
          <w:szCs w:val="21"/>
        </w:rPr>
        <w:t>吊装采用四点吊，</w:t>
      </w:r>
      <w:r>
        <w:rPr>
          <w:rFonts w:hint="eastAsia" w:cs="Times New Roman"/>
          <w:szCs w:val="21"/>
          <w:lang w:val="en-US" w:eastAsia="zh-CN"/>
        </w:rPr>
        <w:t>基础节</w:t>
      </w:r>
      <w:r>
        <w:rPr>
          <w:rFonts w:hint="eastAsia" w:ascii="Times New Roman" w:hAnsi="Times New Roman" w:eastAsia="宋体" w:cs="Times New Roman"/>
          <w:szCs w:val="21"/>
        </w:rPr>
        <w:t>以顶部四个销轴孔作为吊装孔，采用4根</w:t>
      </w:r>
      <w:r>
        <w:rPr>
          <w:rFonts w:hint="eastAsia" w:cs="Times New Roman"/>
          <w:szCs w:val="21"/>
          <w:lang w:val="en-US" w:eastAsia="zh-CN"/>
        </w:rPr>
        <w:t>18</w:t>
      </w:r>
      <w:r>
        <w:rPr>
          <w:rFonts w:hint="eastAsia" w:ascii="Times New Roman" w:hAnsi="Times New Roman" w:eastAsia="宋体" w:cs="Times New Roman"/>
          <w:szCs w:val="21"/>
        </w:rPr>
        <w:t>mm</w:t>
      </w:r>
      <w:r>
        <w:rPr>
          <w:rFonts w:ascii="Times New Roman" w:hAnsi="Times New Roman" w:eastAsia="宋体" w:cs="Times New Roman"/>
          <w:szCs w:val="21"/>
        </w:rPr>
        <w:t>  6×19S+FC 1</w:t>
      </w:r>
      <w:r>
        <w:rPr>
          <w:rFonts w:hint="eastAsia" w:cs="Times New Roman"/>
          <w:szCs w:val="21"/>
          <w:lang w:val="en-US" w:eastAsia="zh-CN"/>
        </w:rPr>
        <w:t>87</w:t>
      </w:r>
      <w:r>
        <w:rPr>
          <w:rFonts w:ascii="Times New Roman" w:hAnsi="Times New Roman" w:eastAsia="宋体" w:cs="Times New Roman"/>
          <w:szCs w:val="21"/>
        </w:rPr>
        <w:t>0</w:t>
      </w:r>
      <w:r>
        <w:rPr>
          <w:rFonts w:hint="eastAsia" w:ascii="Times New Roman" w:hAnsi="Times New Roman" w:eastAsia="宋体" w:cs="Times New Roman"/>
          <w:szCs w:val="21"/>
        </w:rPr>
        <w:t>Mpa的钢丝绳配套</w:t>
      </w:r>
      <w:r>
        <w:rPr>
          <w:rFonts w:ascii="Times New Roman" w:hAnsi="Times New Roman" w:eastAsia="宋体" w:cs="Times New Roman"/>
          <w:szCs w:val="21"/>
        </w:rPr>
        <w:t>GB/T 25854-6-DW</w:t>
      </w:r>
      <w:r>
        <w:rPr>
          <w:rFonts w:hint="eastAsia" w:cs="Times New Roman"/>
          <w:szCs w:val="21"/>
          <w:lang w:val="en-US" w:eastAsia="zh-CN"/>
        </w:rPr>
        <w:t>5</w:t>
      </w:r>
      <w:r>
        <w:rPr>
          <w:rFonts w:hint="eastAsia" w:ascii="Times New Roman" w:hAnsi="Times New Roman" w:eastAsia="宋体" w:cs="Times New Roman"/>
          <w:szCs w:val="21"/>
        </w:rPr>
        <w:t>卸扣进行吊装。</w:t>
      </w:r>
    </w:p>
    <w:p w14:paraId="3AEFBEAA">
      <w:pPr>
        <w:jc w:val="center"/>
      </w:pPr>
      <w:r>
        <w:drawing>
          <wp:inline distT="0" distB="0" distL="114300" distR="114300">
            <wp:extent cx="2447290" cy="3084830"/>
            <wp:effectExtent l="0" t="0" r="10160" b="1270"/>
            <wp:docPr id="3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2"/>
                    <pic:cNvPicPr>
                      <a:picLocks noChangeAspect="1"/>
                    </pic:cNvPicPr>
                  </pic:nvPicPr>
                  <pic:blipFill>
                    <a:blip r:embed="rId38"/>
                    <a:stretch>
                      <a:fillRect/>
                    </a:stretch>
                  </pic:blipFill>
                  <pic:spPr>
                    <a:xfrm>
                      <a:off x="0" y="0"/>
                      <a:ext cx="2447290" cy="3084830"/>
                    </a:xfrm>
                    <a:prstGeom prst="rect">
                      <a:avLst/>
                    </a:prstGeom>
                    <a:noFill/>
                    <a:ln>
                      <a:noFill/>
                    </a:ln>
                  </pic:spPr>
                </pic:pic>
              </a:graphicData>
            </a:graphic>
          </wp:inline>
        </w:drawing>
      </w:r>
    </w:p>
    <w:p w14:paraId="0997B5A5">
      <w:pPr>
        <w:jc w:val="center"/>
      </w:pPr>
      <w:r>
        <w:rPr>
          <w:rFonts w:hint="eastAsia" w:ascii="Times New Roman" w:hAnsi="Times New Roman" w:eastAsia="宋体" w:cstheme="majorBidi"/>
          <w:b/>
          <w:kern w:val="2"/>
          <w:sz w:val="21"/>
          <w:szCs w:val="20"/>
          <w:lang w:val="en-US" w:eastAsia="zh-CN" w:bidi="ar-SA"/>
        </w:rPr>
        <w:t>图 4.4.2</w:t>
      </w:r>
      <w:r>
        <w:rPr>
          <w:rFonts w:hint="eastAsia" w:cstheme="majorBidi"/>
          <w:b/>
          <w:kern w:val="2"/>
          <w:sz w:val="21"/>
          <w:szCs w:val="20"/>
          <w:lang w:val="en-US" w:eastAsia="zh-CN" w:bidi="ar-SA"/>
        </w:rPr>
        <w:t>.3</w:t>
      </w:r>
      <w:r>
        <w:rPr>
          <w:rFonts w:hint="eastAsia" w:ascii="Times New Roman" w:hAnsi="Times New Roman" w:eastAsia="宋体" w:cstheme="majorBidi"/>
          <w:b/>
          <w:kern w:val="2"/>
          <w:sz w:val="21"/>
          <w:szCs w:val="20"/>
          <w:lang w:val="en-US" w:eastAsia="zh-CN" w:bidi="ar-SA"/>
        </w:rPr>
        <w:noBreakHyphen/>
      </w:r>
      <w:r>
        <w:rPr>
          <w:rFonts w:hint="eastAsia" w:cstheme="majorBidi"/>
          <w:b/>
          <w:kern w:val="2"/>
          <w:sz w:val="21"/>
          <w:szCs w:val="20"/>
          <w:lang w:val="en-US" w:eastAsia="zh-CN" w:bidi="ar-SA"/>
        </w:rPr>
        <w:t>1</w:t>
      </w:r>
      <w:r>
        <w:rPr>
          <w:rFonts w:hint="eastAsia" w:ascii="Times New Roman" w:hAnsi="Times New Roman" w:eastAsia="宋体" w:cstheme="majorBidi"/>
          <w:b/>
          <w:kern w:val="2"/>
          <w:sz w:val="21"/>
          <w:szCs w:val="20"/>
          <w:lang w:val="en-US" w:eastAsia="zh-CN" w:bidi="ar-SA"/>
        </w:rPr>
        <w:t xml:space="preserve"> 塔机</w:t>
      </w:r>
      <w:r>
        <w:rPr>
          <w:rFonts w:hint="eastAsia" w:cstheme="majorBidi"/>
          <w:b/>
          <w:kern w:val="2"/>
          <w:sz w:val="21"/>
          <w:szCs w:val="20"/>
          <w:lang w:val="en-US" w:eastAsia="zh-CN" w:bidi="ar-SA"/>
        </w:rPr>
        <w:t>标准</w:t>
      </w:r>
      <w:r>
        <w:rPr>
          <w:rFonts w:hint="eastAsia" w:ascii="Times New Roman" w:hAnsi="Times New Roman" w:eastAsia="宋体" w:cstheme="majorBidi"/>
          <w:b/>
          <w:kern w:val="2"/>
          <w:sz w:val="21"/>
          <w:szCs w:val="20"/>
          <w:lang w:val="en-US" w:eastAsia="zh-CN" w:bidi="ar-SA"/>
        </w:rPr>
        <w:t>节吊装</w:t>
      </w:r>
      <w:r>
        <w:rPr>
          <w:rFonts w:hint="eastAsia" w:cstheme="majorBidi"/>
          <w:b/>
          <w:kern w:val="2"/>
          <w:sz w:val="21"/>
          <w:szCs w:val="20"/>
          <w:lang w:val="en-US" w:eastAsia="zh-CN" w:bidi="ar-SA"/>
        </w:rPr>
        <w:t>立</w:t>
      </w:r>
      <w:r>
        <w:rPr>
          <w:rFonts w:hint="eastAsia" w:ascii="Times New Roman" w:hAnsi="Times New Roman" w:eastAsia="宋体" w:cstheme="majorBidi"/>
          <w:b/>
          <w:kern w:val="2"/>
          <w:sz w:val="21"/>
          <w:szCs w:val="20"/>
          <w:lang w:val="en-US" w:eastAsia="zh-CN" w:bidi="ar-SA"/>
        </w:rPr>
        <w:t>面示意图</w:t>
      </w:r>
    </w:p>
    <w:p w14:paraId="0DE6D5D5">
      <w:pPr>
        <w:jc w:val="center"/>
      </w:pPr>
      <w:r>
        <w:drawing>
          <wp:inline distT="0" distB="0" distL="114300" distR="114300">
            <wp:extent cx="2355850" cy="2479040"/>
            <wp:effectExtent l="0" t="0" r="6350" b="16510"/>
            <wp:docPr id="3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7"/>
                    <pic:cNvPicPr>
                      <a:picLocks noChangeAspect="1"/>
                    </pic:cNvPicPr>
                  </pic:nvPicPr>
                  <pic:blipFill>
                    <a:blip r:embed="rId32"/>
                    <a:stretch>
                      <a:fillRect/>
                    </a:stretch>
                  </pic:blipFill>
                  <pic:spPr>
                    <a:xfrm>
                      <a:off x="0" y="0"/>
                      <a:ext cx="2355850" cy="2479040"/>
                    </a:xfrm>
                    <a:prstGeom prst="rect">
                      <a:avLst/>
                    </a:prstGeom>
                    <a:noFill/>
                    <a:ln>
                      <a:noFill/>
                    </a:ln>
                  </pic:spPr>
                </pic:pic>
              </a:graphicData>
            </a:graphic>
          </wp:inline>
        </w:drawing>
      </w:r>
    </w:p>
    <w:p w14:paraId="0FE8A10C">
      <w:pPr>
        <w:jc w:val="center"/>
        <w:rPr>
          <w:rFonts w:hint="eastAsia"/>
          <w:lang w:val="en-US" w:eastAsia="zh-CN"/>
        </w:rPr>
      </w:pPr>
      <w:r>
        <w:rPr>
          <w:rFonts w:hint="eastAsia" w:ascii="Times New Roman" w:hAnsi="Times New Roman" w:eastAsia="宋体" w:cstheme="majorBidi"/>
          <w:b/>
          <w:kern w:val="2"/>
          <w:sz w:val="21"/>
          <w:szCs w:val="20"/>
          <w:lang w:val="en-US" w:eastAsia="zh-CN" w:bidi="ar-SA"/>
        </w:rPr>
        <w:t>图 4.4.2</w:t>
      </w:r>
      <w:r>
        <w:rPr>
          <w:rFonts w:hint="eastAsia" w:cstheme="majorBidi"/>
          <w:b/>
          <w:kern w:val="2"/>
          <w:sz w:val="21"/>
          <w:szCs w:val="20"/>
          <w:lang w:val="en-US" w:eastAsia="zh-CN" w:bidi="ar-SA"/>
        </w:rPr>
        <w:t>.3</w:t>
      </w:r>
      <w:r>
        <w:rPr>
          <w:rFonts w:hint="eastAsia" w:ascii="Times New Roman" w:hAnsi="Times New Roman" w:eastAsia="宋体" w:cstheme="majorBidi"/>
          <w:b/>
          <w:kern w:val="2"/>
          <w:sz w:val="21"/>
          <w:szCs w:val="20"/>
          <w:lang w:val="en-US" w:eastAsia="zh-CN" w:bidi="ar-SA"/>
        </w:rPr>
        <w:noBreakHyphen/>
      </w:r>
      <w:r>
        <w:rPr>
          <w:rFonts w:hint="eastAsia" w:ascii="Times New Roman" w:hAnsi="Times New Roman" w:eastAsia="宋体" w:cstheme="majorBidi"/>
          <w:b/>
          <w:kern w:val="2"/>
          <w:sz w:val="21"/>
          <w:szCs w:val="20"/>
          <w:lang w:val="en-US" w:eastAsia="zh-CN" w:bidi="ar-SA"/>
        </w:rPr>
        <w:t>2 塔机</w:t>
      </w:r>
      <w:r>
        <w:rPr>
          <w:rFonts w:hint="eastAsia" w:cstheme="majorBidi"/>
          <w:b/>
          <w:kern w:val="2"/>
          <w:sz w:val="21"/>
          <w:szCs w:val="20"/>
          <w:lang w:val="en-US" w:eastAsia="zh-CN" w:bidi="ar-SA"/>
        </w:rPr>
        <w:t>标准</w:t>
      </w:r>
      <w:r>
        <w:rPr>
          <w:rFonts w:hint="eastAsia" w:ascii="Times New Roman" w:hAnsi="Times New Roman" w:eastAsia="宋体" w:cstheme="majorBidi"/>
          <w:b/>
          <w:kern w:val="2"/>
          <w:sz w:val="21"/>
          <w:szCs w:val="20"/>
          <w:lang w:val="en-US" w:eastAsia="zh-CN" w:bidi="ar-SA"/>
        </w:rPr>
        <w:t>节吊装平面示意图</w:t>
      </w:r>
    </w:p>
    <w:p w14:paraId="730F28CD">
      <w:pPr>
        <w:pStyle w:val="4"/>
        <w:bidi w:val="0"/>
        <w:ind w:left="720" w:leftChars="0" w:hanging="720" w:firstLineChars="0"/>
        <w:rPr>
          <w:rFonts w:hint="eastAsia"/>
          <w:b/>
          <w:bCs w:val="0"/>
          <w:lang w:val="en-US" w:eastAsia="zh-CN"/>
        </w:rPr>
      </w:pPr>
      <w:r>
        <w:rPr>
          <w:rFonts w:hint="eastAsia"/>
          <w:b/>
          <w:bCs w:val="0"/>
          <w:lang w:val="en-US" w:eastAsia="zh-CN"/>
        </w:rPr>
        <w:t>安装套架</w:t>
      </w:r>
    </w:p>
    <w:p w14:paraId="6ECFB18E">
      <w:pPr>
        <w:pStyle w:val="5"/>
        <w:bidi w:val="0"/>
        <w:ind w:left="864" w:leftChars="0" w:hanging="864" w:firstLineChars="0"/>
        <w:rPr>
          <w:rFonts w:hint="default"/>
          <w:b/>
          <w:bCs w:val="0"/>
          <w:lang w:val="en-US" w:eastAsia="zh-CN"/>
        </w:rPr>
      </w:pPr>
      <w:r>
        <w:rPr>
          <w:rFonts w:hint="eastAsia"/>
          <w:b/>
          <w:bCs w:val="0"/>
          <w:lang w:val="en-US" w:eastAsia="zh-CN"/>
        </w:rPr>
        <w:t>结构简述</w:t>
      </w:r>
    </w:p>
    <w:p w14:paraId="40DD65EB">
      <w:pPr>
        <w:pStyle w:val="15"/>
        <w:rPr>
          <w:rFonts w:hint="eastAsia"/>
        </w:rPr>
      </w:pPr>
      <w:r>
        <w:rPr>
          <w:rFonts w:hint="eastAsia"/>
          <w:lang w:val="en-US" w:eastAsia="zh-CN"/>
        </w:rPr>
        <w:t xml:space="preserve">套架由主结构、平台、爬梯及液压顶升系统等组成，塔机的顶升运动主要靠此部件完成。 </w:t>
      </w:r>
    </w:p>
    <w:p w14:paraId="6E9DCEFB">
      <w:pPr>
        <w:pStyle w:val="15"/>
        <w:rPr>
          <w:rFonts w:hint="eastAsia"/>
        </w:rPr>
      </w:pPr>
      <w:r>
        <w:rPr>
          <w:rFonts w:hint="eastAsia"/>
          <w:lang w:val="en-US" w:eastAsia="zh-CN"/>
        </w:rPr>
        <w:t>顶升油缸安装在套架后侧的横梁上(即预装平衡臂的一侧)，液压泵站放在液压缸一侧的平台上，套架内侧有 16 个滚轮，顶升时滚轮支于塔身主弦杆外侧，起导向支承作用。为了便于顶升安装和安全需要，在顶升挂板上设有防脱装置。在套架上部、中部及下部位置设有平台及栏杆，顶升时，工作人员站在平台上，操纵液压系统，完成顶升、引入标准 节和打入连接销轴的工作。</w:t>
      </w:r>
    </w:p>
    <w:p w14:paraId="78CB7EDD">
      <w:pPr>
        <w:pStyle w:val="5"/>
        <w:bidi w:val="0"/>
        <w:ind w:left="864" w:leftChars="0" w:hanging="864" w:firstLineChars="0"/>
        <w:rPr>
          <w:rFonts w:hint="default"/>
          <w:b/>
          <w:bCs w:val="0"/>
          <w:lang w:val="en-US" w:eastAsia="zh-CN"/>
        </w:rPr>
      </w:pPr>
      <w:r>
        <w:rPr>
          <w:rFonts w:hint="eastAsia"/>
          <w:b/>
          <w:bCs w:val="0"/>
          <w:lang w:val="en-US" w:eastAsia="zh-CN"/>
        </w:rPr>
        <w:t>安装套架平台</w:t>
      </w:r>
    </w:p>
    <w:p w14:paraId="49EAE356">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爬升架装有</w:t>
      </w:r>
      <w:r>
        <w:rPr>
          <w:rFonts w:hint="default" w:ascii="Times New Roman" w:hAnsi="Times New Roman" w:eastAsia="宋体" w:cs="Times New Roman"/>
          <w:color w:val="000000"/>
          <w:kern w:val="0"/>
          <w:sz w:val="24"/>
          <w:szCs w:val="24"/>
          <w:lang w:val="en-US" w:eastAsia="zh-CN" w:bidi="ar"/>
        </w:rPr>
        <w:t>2</w:t>
      </w:r>
      <w:r>
        <w:rPr>
          <w:rFonts w:hint="eastAsia" w:ascii="宋体" w:hAnsi="宋体" w:eastAsia="宋体" w:cs="宋体"/>
          <w:color w:val="000000"/>
          <w:kern w:val="0"/>
          <w:sz w:val="24"/>
          <w:szCs w:val="24"/>
          <w:lang w:val="en-US" w:eastAsia="zh-CN" w:bidi="ar"/>
        </w:rPr>
        <w:t>层含有扶手栏杆的平台：下层包括四个平台，即爬升架每面各一个。上层包括三个平台，即爬升架左右面各一个，后面也有一个，依靠爬梯连接上下两层平台。</w:t>
      </w:r>
    </w:p>
    <w:p w14:paraId="38FB55F8">
      <w:pPr>
        <w:ind w:firstLine="0" w:firstLineChars="0"/>
        <w:jc w:val="center"/>
        <w:rPr>
          <w:rFonts w:hint="default"/>
          <w:lang w:val="en-US" w:eastAsia="zh-CN"/>
        </w:rPr>
      </w:pPr>
      <w:r>
        <w:drawing>
          <wp:inline distT="0" distB="0" distL="114300" distR="114300">
            <wp:extent cx="3343275" cy="3552825"/>
            <wp:effectExtent l="0" t="0" r="9525" b="9525"/>
            <wp:docPr id="1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0"/>
                    <pic:cNvPicPr>
                      <a:picLocks noChangeAspect="1"/>
                    </pic:cNvPicPr>
                  </pic:nvPicPr>
                  <pic:blipFill>
                    <a:blip r:embed="rId39"/>
                    <a:stretch>
                      <a:fillRect/>
                    </a:stretch>
                  </pic:blipFill>
                  <pic:spPr>
                    <a:xfrm>
                      <a:off x="0" y="0"/>
                      <a:ext cx="3343275" cy="3552825"/>
                    </a:xfrm>
                    <a:prstGeom prst="rect">
                      <a:avLst/>
                    </a:prstGeom>
                    <a:noFill/>
                    <a:ln>
                      <a:noFill/>
                    </a:ln>
                  </pic:spPr>
                </pic:pic>
              </a:graphicData>
            </a:graphic>
          </wp:inline>
        </w:drawing>
      </w:r>
    </w:p>
    <w:p w14:paraId="4BDB9AC2">
      <w:pPr>
        <w:jc w:val="center"/>
        <w:rPr>
          <w:rFonts w:hint="default"/>
          <w:lang w:val="en-US" w:eastAsia="zh-CN"/>
        </w:rPr>
      </w:pPr>
      <w:r>
        <w:rPr>
          <w:rFonts w:hint="default" w:ascii="Times New Roman" w:hAnsi="Times New Roman" w:eastAsia="宋体" w:cstheme="majorBidi"/>
          <w:b/>
          <w:kern w:val="2"/>
          <w:sz w:val="21"/>
          <w:szCs w:val="20"/>
          <w:lang w:val="en-US" w:eastAsia="zh-CN" w:bidi="ar-SA"/>
        </w:rPr>
        <w:t>图4.</w:t>
      </w:r>
      <w:r>
        <w:rPr>
          <w:rFonts w:hint="eastAsia" w:ascii="Times New Roman" w:hAnsi="Times New Roman" w:eastAsia="宋体" w:cstheme="majorBidi"/>
          <w:b/>
          <w:kern w:val="2"/>
          <w:sz w:val="21"/>
          <w:szCs w:val="20"/>
          <w:lang w:val="en-US" w:eastAsia="zh-CN" w:bidi="ar-SA"/>
        </w:rPr>
        <w:t>4.3.2-1</w:t>
      </w:r>
      <w:r>
        <w:rPr>
          <w:rFonts w:hint="default" w:ascii="Times New Roman" w:hAnsi="Times New Roman" w:eastAsia="宋体" w:cstheme="majorBidi"/>
          <w:b/>
          <w:kern w:val="2"/>
          <w:sz w:val="21"/>
          <w:szCs w:val="20"/>
          <w:lang w:val="en-US" w:eastAsia="zh-CN" w:bidi="ar-SA"/>
        </w:rPr>
        <w:t>套架平台示意图</w:t>
      </w:r>
    </w:p>
    <w:p w14:paraId="5545BA52">
      <w:pPr>
        <w:pStyle w:val="5"/>
        <w:bidi w:val="0"/>
        <w:ind w:left="864" w:leftChars="0" w:hanging="864" w:firstLineChars="0"/>
        <w:rPr>
          <w:rFonts w:hint="default"/>
          <w:b/>
          <w:bCs w:val="0"/>
          <w:lang w:val="en-US" w:eastAsia="zh-CN"/>
        </w:rPr>
      </w:pPr>
      <w:r>
        <w:rPr>
          <w:rFonts w:hint="default"/>
          <w:b/>
          <w:bCs w:val="0"/>
          <w:lang w:val="en-US" w:eastAsia="zh-CN"/>
        </w:rPr>
        <w:t>安装套架爬梯</w:t>
      </w:r>
    </w:p>
    <w:p w14:paraId="703C39E2">
      <w:pPr>
        <w:keepNext w:val="0"/>
        <w:keepLines w:val="0"/>
        <w:widowControl/>
        <w:suppressLineNumbers w:val="0"/>
        <w:jc w:val="left"/>
      </w:pPr>
      <w:r>
        <w:rPr>
          <w:rFonts w:hint="default" w:ascii="Times New Roman" w:hAnsi="Times New Roman" w:eastAsia="宋体" w:cs="Times New Roman"/>
          <w:color w:val="auto"/>
          <w:kern w:val="2"/>
          <w:sz w:val="24"/>
          <w:szCs w:val="21"/>
          <w:lang w:val="en-US" w:eastAsia="zh-CN" w:bidi="ar"/>
        </w:rPr>
        <w:t>将栏杆扶手（1）插入平台连接套（2）中，用弹簧销（3）将栏杆固定。相邻平台之间的栏杆用两块夹板（5）、螺栓和螺母（4、6）固定，最后将爬梯楔块（7）插入楔套（8）中，至销孔露出楔套，插入开口销（9）并充分打开。</w:t>
      </w:r>
    </w:p>
    <w:p w14:paraId="78F2C9DA">
      <w:pPr>
        <w:jc w:val="center"/>
        <w:rPr>
          <w:rFonts w:hint="default"/>
          <w:lang w:val="en-US" w:eastAsia="zh-CN"/>
        </w:rPr>
      </w:pPr>
      <w:r>
        <w:drawing>
          <wp:inline distT="0" distB="0" distL="114300" distR="114300">
            <wp:extent cx="5760085" cy="3108325"/>
            <wp:effectExtent l="0" t="0" r="12065" b="15875"/>
            <wp:docPr id="1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1"/>
                    <pic:cNvPicPr>
                      <a:picLocks noChangeAspect="1"/>
                    </pic:cNvPicPr>
                  </pic:nvPicPr>
                  <pic:blipFill>
                    <a:blip r:embed="rId40"/>
                    <a:stretch>
                      <a:fillRect/>
                    </a:stretch>
                  </pic:blipFill>
                  <pic:spPr>
                    <a:xfrm>
                      <a:off x="0" y="0"/>
                      <a:ext cx="5760085" cy="3108325"/>
                    </a:xfrm>
                    <a:prstGeom prst="rect">
                      <a:avLst/>
                    </a:prstGeom>
                    <a:noFill/>
                    <a:ln>
                      <a:noFill/>
                    </a:ln>
                  </pic:spPr>
                </pic:pic>
              </a:graphicData>
            </a:graphic>
          </wp:inline>
        </w:drawing>
      </w:r>
    </w:p>
    <w:p w14:paraId="6271262D">
      <w:pPr>
        <w:jc w:val="center"/>
        <w:rPr>
          <w:rFonts w:hint="default"/>
          <w:lang w:val="en-US" w:eastAsia="zh-CN"/>
        </w:rPr>
      </w:pPr>
      <w:r>
        <w:rPr>
          <w:rFonts w:hint="default" w:ascii="Times New Roman" w:hAnsi="Times New Roman" w:eastAsia="宋体" w:cstheme="majorBidi"/>
          <w:b/>
          <w:kern w:val="2"/>
          <w:sz w:val="21"/>
          <w:szCs w:val="20"/>
          <w:lang w:val="en-US" w:eastAsia="zh-CN" w:bidi="ar-SA"/>
        </w:rPr>
        <w:t>图4.</w:t>
      </w:r>
      <w:r>
        <w:rPr>
          <w:rFonts w:hint="eastAsia" w:ascii="Times New Roman" w:hAnsi="Times New Roman" w:eastAsia="宋体" w:cstheme="majorBidi"/>
          <w:b/>
          <w:kern w:val="2"/>
          <w:sz w:val="21"/>
          <w:szCs w:val="20"/>
          <w:lang w:val="en-US" w:eastAsia="zh-CN" w:bidi="ar-SA"/>
        </w:rPr>
        <w:t>4.3.3</w:t>
      </w:r>
      <w:r>
        <w:rPr>
          <w:rFonts w:hint="default" w:ascii="Times New Roman" w:hAnsi="Times New Roman" w:eastAsia="宋体" w:cstheme="majorBidi"/>
          <w:b/>
          <w:kern w:val="2"/>
          <w:sz w:val="21"/>
          <w:szCs w:val="20"/>
          <w:lang w:val="en-US" w:eastAsia="zh-CN" w:bidi="ar-SA"/>
        </w:rPr>
        <w:t>-</w:t>
      </w:r>
      <w:r>
        <w:rPr>
          <w:rFonts w:hint="eastAsia" w:ascii="Times New Roman" w:hAnsi="Times New Roman" w:eastAsia="宋体" w:cstheme="majorBidi"/>
          <w:b/>
          <w:kern w:val="2"/>
          <w:sz w:val="21"/>
          <w:szCs w:val="20"/>
          <w:lang w:val="en-US" w:eastAsia="zh-CN" w:bidi="ar-SA"/>
        </w:rPr>
        <w:t>1</w:t>
      </w:r>
      <w:r>
        <w:rPr>
          <w:rFonts w:hint="default" w:ascii="Times New Roman" w:hAnsi="Times New Roman" w:eastAsia="宋体" w:cstheme="majorBidi"/>
          <w:b/>
          <w:kern w:val="2"/>
          <w:sz w:val="21"/>
          <w:szCs w:val="20"/>
          <w:lang w:val="en-US" w:eastAsia="zh-CN" w:bidi="ar-SA"/>
        </w:rPr>
        <w:t xml:space="preserve"> 套架爬梯安装示意图</w:t>
      </w:r>
    </w:p>
    <w:p w14:paraId="6240D1EB">
      <w:pPr>
        <w:pStyle w:val="5"/>
        <w:bidi w:val="0"/>
        <w:ind w:left="864" w:leftChars="0" w:hanging="864" w:firstLineChars="0"/>
        <w:rPr>
          <w:rFonts w:hint="default"/>
          <w:b/>
          <w:bCs w:val="0"/>
          <w:lang w:val="en-US" w:eastAsia="zh-CN"/>
        </w:rPr>
      </w:pPr>
      <w:r>
        <w:rPr>
          <w:rFonts w:hint="eastAsia"/>
          <w:b/>
          <w:bCs w:val="0"/>
          <w:lang w:val="en-US" w:eastAsia="zh-CN"/>
        </w:rPr>
        <w:t>安装顶升顶升油缸</w:t>
      </w:r>
    </w:p>
    <w:p w14:paraId="58AB5A72">
      <w:pPr>
        <w:keepNext w:val="0"/>
        <w:keepLines w:val="0"/>
        <w:widowControl w:val="0"/>
        <w:suppressLineNumbers w:val="0"/>
        <w:ind w:firstLine="480"/>
        <w:jc w:val="left"/>
        <w:rPr>
          <w:rFonts w:hint="eastAsia" w:ascii="宋体" w:hAnsi="宋体" w:cs="宋体"/>
          <w:kern w:val="2"/>
          <w:sz w:val="24"/>
          <w:szCs w:val="21"/>
          <w:lang w:val="en-US" w:eastAsia="zh-CN" w:bidi="ar"/>
        </w:rPr>
      </w:pPr>
      <w:r>
        <w:rPr>
          <w:rFonts w:hint="eastAsia" w:ascii="宋体" w:hAnsi="宋体" w:eastAsia="宋体" w:cs="宋体"/>
          <w:color w:val="auto"/>
          <w:kern w:val="2"/>
          <w:sz w:val="24"/>
          <w:szCs w:val="21"/>
          <w:lang w:val="en-US" w:eastAsia="zh-CN" w:bidi="ar"/>
        </w:rPr>
        <w:t>将吊索绕在顶升横梁（1）上方销孔之间，使用双倍长的吊索以便能更好地引导横梁 靠在塔身节的踏步上，将横梁精准定位，使其两侧挂靴挂在踏步上。</w:t>
      </w:r>
      <w:r>
        <w:rPr>
          <w:rFonts w:hint="eastAsia" w:ascii="宋体" w:hAnsi="宋体" w:cs="宋体"/>
          <w:kern w:val="2"/>
          <w:sz w:val="24"/>
          <w:szCs w:val="21"/>
          <w:lang w:val="en-US" w:eastAsia="zh-CN" w:bidi="ar"/>
        </w:rPr>
        <w:t>如下图所示：</w:t>
      </w:r>
    </w:p>
    <w:p w14:paraId="76EBF8D9">
      <w:pPr>
        <w:keepNext w:val="0"/>
        <w:keepLines w:val="0"/>
        <w:widowControl w:val="0"/>
        <w:suppressLineNumbers w:val="0"/>
        <w:ind w:firstLine="0" w:firstLineChars="0"/>
        <w:jc w:val="center"/>
      </w:pPr>
      <w:r>
        <w:drawing>
          <wp:inline distT="0" distB="0" distL="114300" distR="114300">
            <wp:extent cx="4752975" cy="3571875"/>
            <wp:effectExtent l="0" t="0" r="9525" b="9525"/>
            <wp:docPr id="1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2"/>
                    <pic:cNvPicPr>
                      <a:picLocks noChangeAspect="1"/>
                    </pic:cNvPicPr>
                  </pic:nvPicPr>
                  <pic:blipFill>
                    <a:blip r:embed="rId41"/>
                    <a:stretch>
                      <a:fillRect/>
                    </a:stretch>
                  </pic:blipFill>
                  <pic:spPr>
                    <a:xfrm>
                      <a:off x="0" y="0"/>
                      <a:ext cx="4752975" cy="3571875"/>
                    </a:xfrm>
                    <a:prstGeom prst="rect">
                      <a:avLst/>
                    </a:prstGeom>
                    <a:noFill/>
                    <a:ln>
                      <a:noFill/>
                    </a:ln>
                  </pic:spPr>
                </pic:pic>
              </a:graphicData>
            </a:graphic>
          </wp:inline>
        </w:drawing>
      </w:r>
    </w:p>
    <w:p w14:paraId="4BF75CED">
      <w:pPr>
        <w:keepNext w:val="0"/>
        <w:keepLines w:val="0"/>
        <w:widowControl w:val="0"/>
        <w:suppressLineNumbers w:val="0"/>
        <w:ind w:firstLine="0" w:firstLineChars="0"/>
        <w:jc w:val="center"/>
        <w:rPr>
          <w:rFonts w:hint="default" w:eastAsia="宋体" w:cstheme="majorBidi"/>
          <w:b/>
          <w:sz w:val="21"/>
          <w:szCs w:val="20"/>
          <w:lang w:val="en-US" w:eastAsia="zh-CN"/>
        </w:rPr>
      </w:pPr>
      <w:r>
        <w:rPr>
          <w:rFonts w:hint="default" w:cstheme="majorBidi"/>
          <w:b/>
          <w:sz w:val="21"/>
          <w:szCs w:val="20"/>
          <w:lang w:val="en-US" w:eastAsia="zh-CN"/>
        </w:rPr>
        <w:t>图4.4.3.4-1顶升横梁安装示意图</w:t>
      </w:r>
    </w:p>
    <w:p w14:paraId="3D2F380B">
      <w:pPr>
        <w:keepNext w:val="0"/>
        <w:keepLines w:val="0"/>
        <w:widowControl w:val="0"/>
        <w:suppressLineNumbers w:val="0"/>
        <w:ind w:firstLine="480"/>
        <w:jc w:val="left"/>
        <w:rPr>
          <w:rFonts w:hint="eastAsia" w:ascii="宋体" w:hAnsi="宋体" w:cs="宋体"/>
          <w:lang w:bidi="ar"/>
        </w:rPr>
      </w:pPr>
      <w:r>
        <w:rPr>
          <w:rFonts w:hint="eastAsia" w:ascii="宋体" w:hAnsi="宋体" w:eastAsia="宋体" w:cs="宋体"/>
          <w:color w:val="auto"/>
          <w:kern w:val="2"/>
          <w:sz w:val="24"/>
          <w:szCs w:val="21"/>
          <w:lang w:val="en-US" w:eastAsia="zh-CN" w:bidi="ar"/>
        </w:rPr>
        <w:t>将吊索绕至油缸（1）。将油缸上方固定在爬升架耳板上，并用销轴（2）和开口销（3）固定。伸出油缸，然后将活塞杆固定在顶升横梁耳板上，并用销轴（4）和开口销（5）固定，如下图所示：</w:t>
      </w:r>
    </w:p>
    <w:p w14:paraId="518D2AF6">
      <w:pPr>
        <w:keepNext w:val="0"/>
        <w:keepLines w:val="0"/>
        <w:widowControl w:val="0"/>
        <w:suppressLineNumbers w:val="0"/>
        <w:ind w:firstLine="0" w:firstLineChars="0"/>
        <w:jc w:val="center"/>
      </w:pPr>
      <w:r>
        <w:drawing>
          <wp:inline distT="0" distB="0" distL="114300" distR="114300">
            <wp:extent cx="3696335" cy="2938780"/>
            <wp:effectExtent l="0" t="0" r="18415" b="13970"/>
            <wp:docPr id="1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3"/>
                    <pic:cNvPicPr>
                      <a:picLocks noChangeAspect="1"/>
                    </pic:cNvPicPr>
                  </pic:nvPicPr>
                  <pic:blipFill>
                    <a:blip r:embed="rId42"/>
                    <a:stretch>
                      <a:fillRect/>
                    </a:stretch>
                  </pic:blipFill>
                  <pic:spPr>
                    <a:xfrm>
                      <a:off x="0" y="0"/>
                      <a:ext cx="3696335" cy="2938780"/>
                    </a:xfrm>
                    <a:prstGeom prst="rect">
                      <a:avLst/>
                    </a:prstGeom>
                    <a:noFill/>
                    <a:ln>
                      <a:noFill/>
                    </a:ln>
                  </pic:spPr>
                </pic:pic>
              </a:graphicData>
            </a:graphic>
          </wp:inline>
        </w:drawing>
      </w:r>
    </w:p>
    <w:p w14:paraId="269427CF">
      <w:pPr>
        <w:keepNext w:val="0"/>
        <w:keepLines w:val="0"/>
        <w:widowControl w:val="0"/>
        <w:suppressLineNumbers w:val="0"/>
        <w:ind w:firstLine="0" w:firstLineChars="0"/>
        <w:jc w:val="center"/>
        <w:rPr>
          <w:rFonts w:hint="default" w:cstheme="majorBidi"/>
          <w:b/>
          <w:sz w:val="21"/>
          <w:szCs w:val="20"/>
          <w:lang w:bidi="ar"/>
        </w:rPr>
      </w:pPr>
      <w:r>
        <w:rPr>
          <w:rFonts w:hint="default" w:cstheme="majorBidi"/>
          <w:b/>
          <w:sz w:val="21"/>
          <w:szCs w:val="20"/>
          <w:lang w:val="en-US" w:eastAsia="zh-CN"/>
        </w:rPr>
        <w:t>图4.4.3.4-2油缸安装示意图</w:t>
      </w:r>
    </w:p>
    <w:p w14:paraId="2D352FA0">
      <w:pPr>
        <w:pStyle w:val="5"/>
        <w:bidi w:val="0"/>
        <w:ind w:left="864" w:leftChars="0" w:hanging="864" w:firstLineChars="0"/>
        <w:rPr>
          <w:rFonts w:hint="default"/>
          <w:b/>
          <w:bCs w:val="0"/>
          <w:lang w:val="en-US" w:eastAsia="zh-CN"/>
        </w:rPr>
      </w:pPr>
      <w:r>
        <w:rPr>
          <w:rFonts w:hint="eastAsia"/>
          <w:b/>
          <w:bCs w:val="0"/>
          <w:lang w:val="en-US" w:eastAsia="zh-CN"/>
        </w:rPr>
        <w:t>套架吊装</w:t>
      </w:r>
    </w:p>
    <w:p w14:paraId="156C44B5">
      <w:pPr>
        <w:widowControl w:val="0"/>
        <w:adjustRightInd/>
        <w:snapToGrid/>
        <w:ind w:firstLine="480"/>
        <w:rPr>
          <w:rFonts w:hint="eastAsia" w:ascii="Times New Roman" w:hAnsi="Times New Roman" w:eastAsia="宋体" w:cs="Times New Roman"/>
          <w:szCs w:val="21"/>
        </w:rPr>
      </w:pPr>
      <w:r>
        <w:rPr>
          <w:rFonts w:hint="eastAsia" w:ascii="宋体" w:hAnsi="宋体" w:eastAsia="宋体" w:cs="宋体"/>
          <w:szCs w:val="21"/>
        </w:rPr>
        <w:t>采用</w:t>
      </w:r>
      <w:r>
        <w:rPr>
          <w:rFonts w:hint="eastAsia" w:ascii="宋体" w:hAnsi="宋体" w:cs="宋体"/>
          <w:szCs w:val="21"/>
          <w:lang w:eastAsia="zh-CN"/>
        </w:rPr>
        <w:t>汽车吊</w:t>
      </w:r>
      <w:r>
        <w:rPr>
          <w:rFonts w:hint="eastAsia" w:ascii="宋体" w:hAnsi="宋体" w:eastAsia="宋体" w:cs="宋体"/>
          <w:szCs w:val="21"/>
        </w:rPr>
        <w:t>配合人工在地面上将</w:t>
      </w:r>
      <w:r>
        <w:rPr>
          <w:rFonts w:hint="eastAsia" w:ascii="宋体" w:hAnsi="宋体" w:cs="宋体"/>
          <w:szCs w:val="21"/>
          <w:lang w:eastAsia="zh-CN"/>
        </w:rPr>
        <w:t>套架</w:t>
      </w:r>
      <w:r>
        <w:rPr>
          <w:rFonts w:hint="eastAsia" w:ascii="宋体" w:hAnsi="宋体" w:eastAsia="宋体" w:cs="宋体"/>
          <w:szCs w:val="21"/>
        </w:rPr>
        <w:t>架体、平台、顶升横梁、油缸及液压站等拼装成整体，</w:t>
      </w:r>
      <w:r>
        <w:rPr>
          <w:rFonts w:hint="eastAsia" w:cs="Times New Roman"/>
          <w:szCs w:val="21"/>
          <w:lang w:eastAsia="zh-CN"/>
        </w:rPr>
        <w:t>套架</w:t>
      </w:r>
      <w:r>
        <w:rPr>
          <w:rFonts w:hint="eastAsia" w:ascii="Times New Roman" w:hAnsi="Times New Roman" w:eastAsia="宋体" w:cs="Times New Roman"/>
          <w:szCs w:val="21"/>
        </w:rPr>
        <w:t>吊装采用四点吊，以</w:t>
      </w:r>
      <w:r>
        <w:rPr>
          <w:rFonts w:hint="eastAsia" w:cs="Times New Roman"/>
          <w:szCs w:val="21"/>
          <w:lang w:eastAsia="zh-CN"/>
        </w:rPr>
        <w:t>套架</w:t>
      </w:r>
      <w:r>
        <w:rPr>
          <w:rFonts w:hint="eastAsia" w:ascii="Times New Roman" w:hAnsi="Times New Roman" w:eastAsia="宋体" w:cs="Times New Roman"/>
          <w:szCs w:val="21"/>
        </w:rPr>
        <w:t>顶部四个销轴孔作为吊装孔，采用4根</w:t>
      </w:r>
      <w:r>
        <w:rPr>
          <w:rFonts w:hint="eastAsia" w:cs="Times New Roman"/>
          <w:szCs w:val="21"/>
          <w:lang w:val="en-US" w:eastAsia="zh-CN"/>
        </w:rPr>
        <w:t>18</w:t>
      </w:r>
      <w:r>
        <w:rPr>
          <w:rFonts w:hint="eastAsia" w:ascii="Times New Roman" w:hAnsi="Times New Roman" w:eastAsia="宋体" w:cs="Times New Roman"/>
          <w:szCs w:val="21"/>
        </w:rPr>
        <w:t>mm</w:t>
      </w:r>
      <w:r>
        <w:rPr>
          <w:rFonts w:ascii="Times New Roman" w:hAnsi="Times New Roman" w:eastAsia="宋体" w:cs="Times New Roman"/>
          <w:szCs w:val="21"/>
        </w:rPr>
        <w:t>  6×19S+FC 1</w:t>
      </w:r>
      <w:r>
        <w:rPr>
          <w:rFonts w:hint="eastAsia" w:cs="Times New Roman"/>
          <w:szCs w:val="21"/>
          <w:lang w:val="en-US" w:eastAsia="zh-CN"/>
        </w:rPr>
        <w:t>87</w:t>
      </w:r>
      <w:r>
        <w:rPr>
          <w:rFonts w:ascii="Times New Roman" w:hAnsi="Times New Roman" w:eastAsia="宋体" w:cs="Times New Roman"/>
          <w:szCs w:val="21"/>
        </w:rPr>
        <w:t>0</w:t>
      </w:r>
      <w:r>
        <w:rPr>
          <w:rFonts w:hint="eastAsia" w:ascii="Times New Roman" w:hAnsi="Times New Roman" w:eastAsia="宋体" w:cs="Times New Roman"/>
          <w:szCs w:val="21"/>
        </w:rPr>
        <w:t>Mpa的钢丝绳配套</w:t>
      </w:r>
      <w:r>
        <w:rPr>
          <w:rFonts w:ascii="Times New Roman" w:hAnsi="Times New Roman" w:eastAsia="宋体" w:cs="Times New Roman"/>
          <w:szCs w:val="21"/>
        </w:rPr>
        <w:t>GB/T 25854-6-DW</w:t>
      </w:r>
      <w:r>
        <w:rPr>
          <w:rFonts w:hint="eastAsia" w:cs="Times New Roman"/>
          <w:szCs w:val="21"/>
          <w:lang w:val="en-US" w:eastAsia="zh-CN"/>
        </w:rPr>
        <w:t>5</w:t>
      </w:r>
      <w:r>
        <w:rPr>
          <w:rFonts w:hint="eastAsia" w:ascii="Times New Roman" w:hAnsi="Times New Roman" w:eastAsia="宋体" w:cs="Times New Roman"/>
          <w:szCs w:val="21"/>
        </w:rPr>
        <w:t>卸扣进行吊装。</w:t>
      </w:r>
    </w:p>
    <w:p w14:paraId="6E6E30A6">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作业人员在地面上先将钢丝绳一端挂在</w:t>
      </w:r>
      <w:r>
        <w:rPr>
          <w:rFonts w:hint="eastAsia" w:cs="Times New Roman"/>
          <w:szCs w:val="21"/>
          <w:lang w:eastAsia="zh-CN"/>
        </w:rPr>
        <w:t>汽车吊</w:t>
      </w:r>
      <w:r>
        <w:rPr>
          <w:rFonts w:hint="eastAsia" w:ascii="Times New Roman" w:hAnsi="Times New Roman" w:eastAsia="宋体" w:cs="Times New Roman"/>
          <w:szCs w:val="21"/>
        </w:rPr>
        <w:t>吊钩，另一端与卸扣连接，卸扣与吊装孔连接，并在</w:t>
      </w:r>
      <w:r>
        <w:rPr>
          <w:rFonts w:hint="eastAsia" w:cs="Times New Roman"/>
          <w:szCs w:val="21"/>
          <w:lang w:eastAsia="zh-CN"/>
        </w:rPr>
        <w:t>套架</w:t>
      </w:r>
      <w:r>
        <w:rPr>
          <w:rFonts w:hint="eastAsia" w:ascii="Times New Roman" w:hAnsi="Times New Roman" w:eastAsia="宋体" w:cs="Times New Roman"/>
          <w:szCs w:val="21"/>
        </w:rPr>
        <w:t>立杆上栓好2根溜绳。启动</w:t>
      </w:r>
      <w:r>
        <w:rPr>
          <w:rFonts w:hint="eastAsia" w:cs="Times New Roman"/>
          <w:szCs w:val="21"/>
          <w:lang w:eastAsia="zh-CN"/>
        </w:rPr>
        <w:t>汽车吊</w:t>
      </w:r>
      <w:r>
        <w:rPr>
          <w:rFonts w:hint="eastAsia" w:ascii="Times New Roman" w:hAnsi="Times New Roman" w:eastAsia="宋体" w:cs="Times New Roman"/>
          <w:szCs w:val="21"/>
        </w:rPr>
        <w:t>，将</w:t>
      </w:r>
      <w:r>
        <w:rPr>
          <w:rFonts w:hint="eastAsia" w:cs="Times New Roman"/>
          <w:szCs w:val="21"/>
          <w:lang w:eastAsia="zh-CN"/>
        </w:rPr>
        <w:t>套架</w:t>
      </w:r>
      <w:r>
        <w:rPr>
          <w:rFonts w:hint="eastAsia" w:ascii="Times New Roman" w:hAnsi="Times New Roman" w:eastAsia="宋体" w:cs="Times New Roman"/>
          <w:szCs w:val="21"/>
        </w:rPr>
        <w:t>缓慢提升，用溜绳控制其摆动。起吊</w:t>
      </w:r>
      <w:r>
        <w:rPr>
          <w:rFonts w:hint="eastAsia" w:cs="Times New Roman"/>
          <w:szCs w:val="21"/>
          <w:lang w:eastAsia="zh-CN"/>
        </w:rPr>
        <w:t>套架</w:t>
      </w:r>
      <w:r>
        <w:rPr>
          <w:rFonts w:hint="eastAsia" w:ascii="Times New Roman" w:hAnsi="Times New Roman" w:eastAsia="宋体" w:cs="Times New Roman"/>
          <w:szCs w:val="21"/>
        </w:rPr>
        <w:t>至</w:t>
      </w:r>
      <w:r>
        <w:rPr>
          <w:rFonts w:hint="eastAsia" w:cs="Times New Roman"/>
          <w:szCs w:val="21"/>
          <w:lang w:val="en-US" w:eastAsia="zh-CN"/>
        </w:rPr>
        <w:t>标准</w:t>
      </w:r>
      <w:r>
        <w:rPr>
          <w:rFonts w:hint="eastAsia" w:cs="Times New Roman"/>
          <w:szCs w:val="21"/>
          <w:lang w:eastAsia="zh-CN"/>
        </w:rPr>
        <w:t>节</w:t>
      </w:r>
      <w:r>
        <w:rPr>
          <w:rFonts w:hint="eastAsia" w:ascii="Times New Roman" w:hAnsi="Times New Roman" w:eastAsia="宋体" w:cs="Times New Roman"/>
          <w:szCs w:val="21"/>
        </w:rPr>
        <w:t>上方，</w:t>
      </w:r>
      <w:r>
        <w:rPr>
          <w:rFonts w:hint="eastAsia" w:cs="Times New Roman"/>
          <w:szCs w:val="21"/>
          <w:lang w:eastAsia="zh-CN"/>
        </w:rPr>
        <w:t>汽车吊</w:t>
      </w:r>
      <w:r>
        <w:rPr>
          <w:rFonts w:hint="eastAsia" w:ascii="Times New Roman" w:hAnsi="Times New Roman" w:eastAsia="宋体" w:cs="Times New Roman"/>
          <w:szCs w:val="21"/>
        </w:rPr>
        <w:t>缓慢落钩，将</w:t>
      </w:r>
      <w:r>
        <w:rPr>
          <w:rFonts w:hint="eastAsia" w:cs="Times New Roman"/>
          <w:szCs w:val="21"/>
          <w:lang w:eastAsia="zh-CN"/>
        </w:rPr>
        <w:t>套架</w:t>
      </w:r>
      <w:r>
        <w:rPr>
          <w:rFonts w:hint="eastAsia" w:ascii="Times New Roman" w:hAnsi="Times New Roman" w:eastAsia="宋体" w:cs="Times New Roman"/>
          <w:szCs w:val="21"/>
        </w:rPr>
        <w:t>套入</w:t>
      </w:r>
      <w:r>
        <w:rPr>
          <w:rFonts w:hint="eastAsia" w:cs="Times New Roman"/>
          <w:szCs w:val="21"/>
          <w:lang w:val="en-US" w:eastAsia="zh-CN"/>
        </w:rPr>
        <w:t>标准</w:t>
      </w:r>
      <w:r>
        <w:rPr>
          <w:rFonts w:hint="eastAsia" w:cs="Times New Roman"/>
          <w:szCs w:val="21"/>
          <w:lang w:eastAsia="zh-CN"/>
        </w:rPr>
        <w:t>节</w:t>
      </w:r>
      <w:r>
        <w:rPr>
          <w:rFonts w:hint="eastAsia" w:ascii="Times New Roman" w:hAnsi="Times New Roman" w:eastAsia="宋体" w:cs="Times New Roman"/>
          <w:szCs w:val="21"/>
        </w:rPr>
        <w:t>，作业人员通过爬梯爬至</w:t>
      </w:r>
      <w:r>
        <w:rPr>
          <w:rFonts w:hint="eastAsia" w:cs="Times New Roman"/>
          <w:szCs w:val="21"/>
          <w:lang w:val="en-US" w:eastAsia="zh-CN"/>
        </w:rPr>
        <w:t>标准</w:t>
      </w:r>
      <w:r>
        <w:rPr>
          <w:rFonts w:hint="eastAsia" w:cs="Times New Roman"/>
          <w:szCs w:val="21"/>
          <w:lang w:eastAsia="zh-CN"/>
        </w:rPr>
        <w:t>节</w:t>
      </w:r>
      <w:r>
        <w:rPr>
          <w:rFonts w:hint="eastAsia" w:ascii="Times New Roman" w:hAnsi="Times New Roman" w:eastAsia="宋体" w:cs="Times New Roman"/>
          <w:szCs w:val="21"/>
        </w:rPr>
        <w:t>对应的</w:t>
      </w:r>
      <w:r>
        <w:rPr>
          <w:rFonts w:hint="eastAsia" w:cs="Times New Roman"/>
          <w:szCs w:val="21"/>
          <w:lang w:eastAsia="zh-CN"/>
        </w:rPr>
        <w:t>套架</w:t>
      </w:r>
      <w:r>
        <w:rPr>
          <w:rFonts w:hint="eastAsia" w:ascii="Times New Roman" w:hAnsi="Times New Roman" w:eastAsia="宋体" w:cs="Times New Roman"/>
          <w:szCs w:val="21"/>
        </w:rPr>
        <w:t>爬爪处，将安全带系挂在</w:t>
      </w:r>
      <w:r>
        <w:rPr>
          <w:rFonts w:hint="eastAsia" w:cs="Times New Roman"/>
          <w:szCs w:val="21"/>
          <w:lang w:val="en-US" w:eastAsia="zh-CN"/>
        </w:rPr>
        <w:t>标准</w:t>
      </w:r>
      <w:r>
        <w:rPr>
          <w:rFonts w:hint="eastAsia" w:cs="Times New Roman"/>
          <w:szCs w:val="21"/>
          <w:lang w:eastAsia="zh-CN"/>
        </w:rPr>
        <w:t>节</w:t>
      </w:r>
      <w:r>
        <w:rPr>
          <w:rFonts w:hint="eastAsia" w:ascii="Times New Roman" w:hAnsi="Times New Roman" w:eastAsia="宋体" w:cs="Times New Roman"/>
          <w:szCs w:val="21"/>
        </w:rPr>
        <w:t>横杆上，将爬爪放在</w:t>
      </w:r>
      <w:r>
        <w:rPr>
          <w:rFonts w:hint="eastAsia" w:cs="Times New Roman"/>
          <w:szCs w:val="21"/>
          <w:lang w:val="en-US" w:eastAsia="zh-CN"/>
        </w:rPr>
        <w:t>标准</w:t>
      </w:r>
      <w:r>
        <w:rPr>
          <w:rFonts w:hint="eastAsia" w:cs="Times New Roman"/>
          <w:szCs w:val="21"/>
          <w:lang w:eastAsia="zh-CN"/>
        </w:rPr>
        <w:t>节</w:t>
      </w:r>
      <w:r>
        <w:rPr>
          <w:rFonts w:hint="eastAsia" w:ascii="Times New Roman" w:hAnsi="Times New Roman" w:eastAsia="宋体" w:cs="Times New Roman"/>
          <w:szCs w:val="21"/>
        </w:rPr>
        <w:t>踏步上，并通过安全销固定。</w:t>
      </w:r>
      <w:r>
        <w:rPr>
          <w:rFonts w:hint="eastAsia" w:cs="Times New Roman"/>
          <w:szCs w:val="21"/>
          <w:lang w:eastAsia="zh-CN"/>
        </w:rPr>
        <w:t>套架</w:t>
      </w:r>
      <w:r>
        <w:rPr>
          <w:rFonts w:hint="eastAsia" w:ascii="Times New Roman" w:hAnsi="Times New Roman" w:eastAsia="宋体" w:cs="Times New Roman"/>
          <w:szCs w:val="21"/>
        </w:rPr>
        <w:t>吊装示意如下图所示。</w:t>
      </w:r>
    </w:p>
    <w:p w14:paraId="7A420B90">
      <w:pPr>
        <w:jc w:val="center"/>
      </w:pPr>
      <w:r>
        <w:drawing>
          <wp:inline distT="0" distB="0" distL="114300" distR="114300">
            <wp:extent cx="2040890" cy="2805430"/>
            <wp:effectExtent l="0" t="0" r="16510" b="13970"/>
            <wp:docPr id="4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3"/>
                    <pic:cNvPicPr>
                      <a:picLocks noChangeAspect="1"/>
                    </pic:cNvPicPr>
                  </pic:nvPicPr>
                  <pic:blipFill>
                    <a:blip r:embed="rId43"/>
                    <a:stretch>
                      <a:fillRect/>
                    </a:stretch>
                  </pic:blipFill>
                  <pic:spPr>
                    <a:xfrm>
                      <a:off x="0" y="0"/>
                      <a:ext cx="2040890" cy="2805430"/>
                    </a:xfrm>
                    <a:prstGeom prst="rect">
                      <a:avLst/>
                    </a:prstGeom>
                    <a:noFill/>
                    <a:ln>
                      <a:noFill/>
                    </a:ln>
                  </pic:spPr>
                </pic:pic>
              </a:graphicData>
            </a:graphic>
          </wp:inline>
        </w:drawing>
      </w:r>
    </w:p>
    <w:p w14:paraId="5DD9BD37">
      <w:pPr>
        <w:jc w:val="center"/>
      </w:pPr>
      <w:r>
        <w:rPr>
          <w:rFonts w:hint="eastAsia" w:ascii="Times New Roman" w:hAnsi="Times New Roman" w:eastAsia="宋体" w:cstheme="majorBidi"/>
          <w:b/>
          <w:kern w:val="2"/>
          <w:sz w:val="21"/>
          <w:szCs w:val="20"/>
          <w:lang w:val="en-US" w:eastAsia="zh-CN" w:bidi="ar-SA"/>
        </w:rPr>
        <w:t>图 4.4.3.5</w:t>
      </w:r>
      <w:r>
        <w:rPr>
          <w:rFonts w:hint="eastAsia" w:ascii="Times New Roman" w:hAnsi="Times New Roman" w:eastAsia="宋体" w:cstheme="majorBidi"/>
          <w:b/>
          <w:kern w:val="2"/>
          <w:sz w:val="21"/>
          <w:szCs w:val="20"/>
          <w:lang w:val="en-US" w:eastAsia="zh-CN" w:bidi="ar-SA"/>
        </w:rPr>
        <w:noBreakHyphen/>
      </w:r>
      <w:r>
        <w:rPr>
          <w:rFonts w:hint="eastAsia" w:cstheme="majorBidi"/>
          <w:b/>
          <w:kern w:val="2"/>
          <w:sz w:val="21"/>
          <w:szCs w:val="20"/>
          <w:lang w:val="en-US" w:eastAsia="zh-CN" w:bidi="ar-SA"/>
        </w:rPr>
        <w:t>1</w:t>
      </w:r>
      <w:r>
        <w:rPr>
          <w:rFonts w:hint="eastAsia" w:ascii="Times New Roman" w:hAnsi="Times New Roman" w:eastAsia="宋体" w:cstheme="majorBidi"/>
          <w:b/>
          <w:kern w:val="2"/>
          <w:sz w:val="21"/>
          <w:szCs w:val="20"/>
          <w:lang w:val="en-US" w:eastAsia="zh-CN" w:bidi="ar-SA"/>
        </w:rPr>
        <w:t xml:space="preserve"> 套架吊装</w:t>
      </w:r>
      <w:r>
        <w:rPr>
          <w:rFonts w:hint="eastAsia" w:cstheme="majorBidi"/>
          <w:b/>
          <w:kern w:val="2"/>
          <w:sz w:val="21"/>
          <w:szCs w:val="20"/>
          <w:lang w:val="en-US" w:eastAsia="zh-CN" w:bidi="ar-SA"/>
        </w:rPr>
        <w:t>立</w:t>
      </w:r>
      <w:r>
        <w:rPr>
          <w:rFonts w:hint="eastAsia" w:ascii="Times New Roman" w:hAnsi="Times New Roman" w:eastAsia="宋体" w:cstheme="majorBidi"/>
          <w:b/>
          <w:kern w:val="2"/>
          <w:sz w:val="21"/>
          <w:szCs w:val="20"/>
          <w:lang w:val="en-US" w:eastAsia="zh-CN" w:bidi="ar-SA"/>
        </w:rPr>
        <w:t>面示意图</w:t>
      </w:r>
    </w:p>
    <w:p w14:paraId="02439585">
      <w:pPr>
        <w:jc w:val="center"/>
      </w:pPr>
      <w:r>
        <w:drawing>
          <wp:inline distT="0" distB="0" distL="114300" distR="114300">
            <wp:extent cx="2355850" cy="2479040"/>
            <wp:effectExtent l="0" t="0" r="6350" b="16510"/>
            <wp:docPr id="4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pic:cNvPicPr>
                      <a:picLocks noChangeAspect="1"/>
                    </pic:cNvPicPr>
                  </pic:nvPicPr>
                  <pic:blipFill>
                    <a:blip r:embed="rId32"/>
                    <a:stretch>
                      <a:fillRect/>
                    </a:stretch>
                  </pic:blipFill>
                  <pic:spPr>
                    <a:xfrm>
                      <a:off x="0" y="0"/>
                      <a:ext cx="2355850" cy="2479040"/>
                    </a:xfrm>
                    <a:prstGeom prst="rect">
                      <a:avLst/>
                    </a:prstGeom>
                    <a:noFill/>
                    <a:ln>
                      <a:noFill/>
                    </a:ln>
                  </pic:spPr>
                </pic:pic>
              </a:graphicData>
            </a:graphic>
          </wp:inline>
        </w:drawing>
      </w:r>
    </w:p>
    <w:p w14:paraId="277D46E5">
      <w:pPr>
        <w:jc w:val="center"/>
        <w:rPr>
          <w:rFonts w:hint="eastAsia" w:eastAsia="仿宋"/>
          <w:lang w:eastAsia="zh-CN"/>
        </w:rPr>
      </w:pPr>
      <w:r>
        <w:rPr>
          <w:rFonts w:hint="eastAsia" w:ascii="Times New Roman" w:hAnsi="Times New Roman" w:eastAsia="宋体" w:cstheme="majorBidi"/>
          <w:b/>
          <w:kern w:val="2"/>
          <w:sz w:val="21"/>
          <w:szCs w:val="20"/>
          <w:lang w:val="en-US" w:eastAsia="zh-CN" w:bidi="ar-SA"/>
        </w:rPr>
        <w:t>图 4.4.3.5</w:t>
      </w:r>
      <w:r>
        <w:rPr>
          <w:rFonts w:hint="eastAsia" w:ascii="Times New Roman" w:hAnsi="Times New Roman" w:eastAsia="宋体" w:cstheme="majorBidi"/>
          <w:b/>
          <w:kern w:val="2"/>
          <w:sz w:val="21"/>
          <w:szCs w:val="20"/>
          <w:lang w:val="en-US" w:eastAsia="zh-CN" w:bidi="ar-SA"/>
        </w:rPr>
        <w:noBreakHyphen/>
      </w:r>
      <w:r>
        <w:rPr>
          <w:rFonts w:hint="eastAsia" w:ascii="Times New Roman" w:hAnsi="Times New Roman" w:eastAsia="宋体" w:cstheme="majorBidi"/>
          <w:b/>
          <w:kern w:val="2"/>
          <w:sz w:val="21"/>
          <w:szCs w:val="20"/>
          <w:lang w:val="en-US" w:eastAsia="zh-CN" w:bidi="ar-SA"/>
        </w:rPr>
        <w:t>2 套架吊装平面示意图</w:t>
      </w:r>
    </w:p>
    <w:p w14:paraId="407D972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作业人员通过爬梯爬至</w:t>
      </w:r>
      <w:r>
        <w:rPr>
          <w:rFonts w:hint="eastAsia" w:cs="Times New Roman"/>
          <w:szCs w:val="21"/>
          <w:lang w:eastAsia="zh-CN"/>
        </w:rPr>
        <w:t>套架</w:t>
      </w:r>
      <w:r>
        <w:rPr>
          <w:rFonts w:hint="eastAsia" w:ascii="Times New Roman" w:hAnsi="Times New Roman" w:eastAsia="宋体" w:cs="Times New Roman"/>
          <w:szCs w:val="21"/>
        </w:rPr>
        <w:t>顶部，将安全带系挂在</w:t>
      </w:r>
      <w:r>
        <w:rPr>
          <w:rFonts w:hint="eastAsia" w:cs="Times New Roman"/>
          <w:szCs w:val="21"/>
          <w:lang w:eastAsia="zh-CN"/>
        </w:rPr>
        <w:t>套架</w:t>
      </w:r>
      <w:r>
        <w:rPr>
          <w:rFonts w:hint="eastAsia" w:ascii="Times New Roman" w:hAnsi="Times New Roman" w:eastAsia="宋体" w:cs="Times New Roman"/>
          <w:szCs w:val="21"/>
        </w:rPr>
        <w:t>顶部的横杆上，站立在</w:t>
      </w:r>
      <w:r>
        <w:rPr>
          <w:rFonts w:hint="eastAsia" w:cs="Times New Roman"/>
          <w:szCs w:val="21"/>
          <w:lang w:eastAsia="zh-CN"/>
        </w:rPr>
        <w:t>套架</w:t>
      </w:r>
      <w:r>
        <w:rPr>
          <w:rFonts w:hint="eastAsia" w:ascii="Times New Roman" w:hAnsi="Times New Roman" w:eastAsia="宋体" w:cs="Times New Roman"/>
          <w:szCs w:val="21"/>
        </w:rPr>
        <w:t>顶部的平台上，</w:t>
      </w:r>
      <w:r>
        <w:rPr>
          <w:rFonts w:hint="eastAsia" w:cs="Times New Roman"/>
          <w:szCs w:val="21"/>
          <w:lang w:eastAsia="zh-CN"/>
        </w:rPr>
        <w:t>汽车吊</w:t>
      </w:r>
      <w:r>
        <w:rPr>
          <w:rFonts w:hint="eastAsia" w:ascii="Times New Roman" w:hAnsi="Times New Roman" w:eastAsia="宋体" w:cs="Times New Roman"/>
          <w:szCs w:val="21"/>
        </w:rPr>
        <w:t>放松吊钩，作业人员解除卸扣与</w:t>
      </w:r>
      <w:r>
        <w:rPr>
          <w:rFonts w:hint="eastAsia" w:cs="Times New Roman"/>
          <w:szCs w:val="21"/>
          <w:lang w:eastAsia="zh-CN"/>
        </w:rPr>
        <w:t>套架</w:t>
      </w:r>
      <w:r>
        <w:rPr>
          <w:rFonts w:hint="eastAsia" w:ascii="Times New Roman" w:hAnsi="Times New Roman" w:eastAsia="宋体" w:cs="Times New Roman"/>
          <w:szCs w:val="21"/>
        </w:rPr>
        <w:t>的连接。</w:t>
      </w:r>
    </w:p>
    <w:p w14:paraId="6D5D603B">
      <w:pPr>
        <w:widowControl w:val="0"/>
        <w:adjustRightInd/>
        <w:snapToGrid/>
        <w:ind w:firstLine="480"/>
        <w:rPr>
          <w:rFonts w:hint="eastAsia" w:ascii="Times New Roman" w:hAnsi="Times New Roman" w:eastAsia="宋体" w:cs="Times New Roman"/>
          <w:szCs w:val="21"/>
        </w:rPr>
      </w:pPr>
      <w:r>
        <w:rPr>
          <w:rFonts w:hint="eastAsia" w:ascii="Times New Roman" w:hAnsi="Times New Roman" w:eastAsia="宋体" w:cs="Times New Roman"/>
          <w:szCs w:val="21"/>
        </w:rPr>
        <w:t>塔吊</w:t>
      </w:r>
      <w:r>
        <w:rPr>
          <w:rFonts w:hint="eastAsia" w:cs="Times New Roman"/>
          <w:szCs w:val="21"/>
          <w:lang w:eastAsia="zh-CN"/>
        </w:rPr>
        <w:t>套架</w:t>
      </w:r>
      <w:r>
        <w:rPr>
          <w:rFonts w:hint="eastAsia" w:ascii="Times New Roman" w:hAnsi="Times New Roman" w:eastAsia="宋体" w:cs="Times New Roman"/>
          <w:szCs w:val="21"/>
        </w:rPr>
        <w:t>安装时设置警戒区，起吊安排专人负责指挥，专人操作，严禁无关人员进入起重作业范围内。</w:t>
      </w:r>
    </w:p>
    <w:p w14:paraId="7C7E7FC4">
      <w:pPr>
        <w:pStyle w:val="4"/>
        <w:bidi w:val="0"/>
        <w:ind w:left="720" w:leftChars="0" w:hanging="720" w:firstLineChars="0"/>
        <w:rPr>
          <w:rFonts w:hint="eastAsia"/>
          <w:b/>
          <w:bCs w:val="0"/>
          <w:lang w:val="en-US" w:eastAsia="zh-CN"/>
        </w:rPr>
      </w:pPr>
      <w:r>
        <w:rPr>
          <w:rFonts w:hint="eastAsia"/>
          <w:b/>
          <w:bCs w:val="0"/>
          <w:lang w:val="en-US" w:eastAsia="zh-CN"/>
        </w:rPr>
        <w:t>安装特殊节</w:t>
      </w:r>
    </w:p>
    <w:p w14:paraId="2C448A71">
      <w:pPr>
        <w:widowControl w:val="0"/>
        <w:adjustRightInd/>
        <w:snapToGrid/>
        <w:ind w:firstLine="480"/>
        <w:rPr>
          <w:rFonts w:hint="eastAsia" w:ascii="Times New Roman" w:hAnsi="Times New Roman" w:eastAsia="宋体" w:cs="Times New Roman"/>
          <w:szCs w:val="21"/>
        </w:rPr>
      </w:pPr>
      <w:r>
        <w:rPr>
          <w:rFonts w:hint="eastAsia" w:ascii="宋体" w:hAnsi="宋体" w:eastAsia="宋体" w:cs="宋体"/>
          <w:szCs w:val="21"/>
        </w:rPr>
        <w:t>采用</w:t>
      </w:r>
      <w:r>
        <w:rPr>
          <w:rFonts w:hint="eastAsia" w:ascii="宋体" w:hAnsi="宋体" w:cs="宋体"/>
          <w:szCs w:val="21"/>
          <w:lang w:eastAsia="zh-CN"/>
        </w:rPr>
        <w:t>汽车吊</w:t>
      </w:r>
      <w:r>
        <w:rPr>
          <w:rFonts w:hint="eastAsia" w:ascii="宋体" w:hAnsi="宋体" w:eastAsia="宋体" w:cs="宋体"/>
          <w:szCs w:val="21"/>
        </w:rPr>
        <w:t>配合人工在地面上将</w:t>
      </w:r>
      <w:r>
        <w:rPr>
          <w:rFonts w:hint="eastAsia" w:ascii="宋体" w:hAnsi="宋体" w:cs="宋体"/>
          <w:szCs w:val="21"/>
          <w:lang w:val="en-US" w:eastAsia="zh-CN"/>
        </w:rPr>
        <w:t>特殊节</w:t>
      </w:r>
      <w:r>
        <w:rPr>
          <w:rFonts w:hint="eastAsia" w:ascii="宋体" w:hAnsi="宋体" w:eastAsia="宋体" w:cs="宋体"/>
          <w:szCs w:val="21"/>
        </w:rPr>
        <w:t>、平台等拼装成</w:t>
      </w:r>
      <w:r>
        <w:rPr>
          <w:rFonts w:hint="eastAsia" w:ascii="宋体" w:hAnsi="宋体" w:cs="宋体"/>
          <w:szCs w:val="21"/>
          <w:lang w:val="en-US" w:eastAsia="zh-CN"/>
        </w:rPr>
        <w:t>特殊节</w:t>
      </w:r>
      <w:r>
        <w:rPr>
          <w:rFonts w:hint="eastAsia" w:ascii="宋体" w:hAnsi="宋体" w:eastAsia="宋体" w:cs="宋体"/>
          <w:szCs w:val="21"/>
        </w:rPr>
        <w:t>，</w:t>
      </w:r>
      <w:r>
        <w:rPr>
          <w:rFonts w:hint="eastAsia" w:ascii="宋体" w:hAnsi="宋体" w:cs="宋体"/>
          <w:szCs w:val="21"/>
          <w:lang w:val="en-US" w:eastAsia="zh-CN"/>
        </w:rPr>
        <w:t>特殊节</w:t>
      </w:r>
      <w:r>
        <w:rPr>
          <w:rFonts w:hint="eastAsia" w:ascii="Times New Roman" w:hAnsi="Times New Roman" w:eastAsia="宋体" w:cs="Times New Roman"/>
          <w:szCs w:val="21"/>
        </w:rPr>
        <w:t>吊装采用四点吊，以</w:t>
      </w:r>
      <w:r>
        <w:rPr>
          <w:rFonts w:hint="eastAsia" w:ascii="宋体" w:hAnsi="宋体" w:cs="宋体"/>
          <w:szCs w:val="21"/>
          <w:lang w:val="en-US" w:eastAsia="zh-CN"/>
        </w:rPr>
        <w:t>特殊节</w:t>
      </w:r>
      <w:r>
        <w:rPr>
          <w:rFonts w:hint="eastAsia" w:ascii="Times New Roman" w:hAnsi="Times New Roman" w:eastAsia="宋体" w:cs="Times New Roman"/>
          <w:szCs w:val="21"/>
        </w:rPr>
        <w:t>顶部四个销轴孔作为吊装孔，采用4根</w:t>
      </w:r>
      <w:r>
        <w:rPr>
          <w:rFonts w:hint="eastAsia" w:cs="Times New Roman"/>
          <w:szCs w:val="21"/>
          <w:lang w:val="en-US" w:eastAsia="zh-CN"/>
        </w:rPr>
        <w:t>18</w:t>
      </w:r>
      <w:r>
        <w:rPr>
          <w:rFonts w:hint="eastAsia" w:ascii="Times New Roman" w:hAnsi="Times New Roman" w:eastAsia="宋体" w:cs="Times New Roman"/>
          <w:szCs w:val="21"/>
        </w:rPr>
        <w:t>mm</w:t>
      </w:r>
      <w:r>
        <w:rPr>
          <w:rFonts w:ascii="Times New Roman" w:hAnsi="Times New Roman" w:eastAsia="宋体" w:cs="Times New Roman"/>
          <w:szCs w:val="21"/>
        </w:rPr>
        <w:t>  6×19S+FC 1</w:t>
      </w:r>
      <w:r>
        <w:rPr>
          <w:rFonts w:hint="eastAsia" w:cs="Times New Roman"/>
          <w:szCs w:val="21"/>
          <w:lang w:val="en-US" w:eastAsia="zh-CN"/>
        </w:rPr>
        <w:t>87</w:t>
      </w:r>
      <w:r>
        <w:rPr>
          <w:rFonts w:ascii="Times New Roman" w:hAnsi="Times New Roman" w:eastAsia="宋体" w:cs="Times New Roman"/>
          <w:szCs w:val="21"/>
        </w:rPr>
        <w:t>0</w:t>
      </w:r>
      <w:r>
        <w:rPr>
          <w:rFonts w:hint="eastAsia" w:ascii="Times New Roman" w:hAnsi="Times New Roman" w:eastAsia="宋体" w:cs="Times New Roman"/>
          <w:szCs w:val="21"/>
        </w:rPr>
        <w:t>Mpa的钢丝绳配套</w:t>
      </w:r>
      <w:r>
        <w:rPr>
          <w:rFonts w:ascii="Times New Roman" w:hAnsi="Times New Roman" w:eastAsia="宋体" w:cs="Times New Roman"/>
          <w:szCs w:val="21"/>
        </w:rPr>
        <w:t>GB/T 25854-6-DW</w:t>
      </w:r>
      <w:r>
        <w:rPr>
          <w:rFonts w:hint="eastAsia" w:cs="Times New Roman"/>
          <w:szCs w:val="21"/>
          <w:lang w:val="en-US" w:eastAsia="zh-CN"/>
        </w:rPr>
        <w:t>5</w:t>
      </w:r>
      <w:r>
        <w:rPr>
          <w:rFonts w:hint="eastAsia" w:ascii="Times New Roman" w:hAnsi="Times New Roman" w:eastAsia="宋体" w:cs="Times New Roman"/>
          <w:szCs w:val="21"/>
        </w:rPr>
        <w:t>卸扣进行吊装。</w:t>
      </w:r>
    </w:p>
    <w:p w14:paraId="691B650A">
      <w:pPr>
        <w:rPr>
          <w:rFonts w:hint="eastAsia"/>
          <w:lang w:val="en-US" w:eastAsia="zh-CN"/>
        </w:rPr>
      </w:pPr>
      <w:r>
        <w:rPr>
          <w:rFonts w:hint="default"/>
          <w:lang w:val="en-US" w:eastAsia="zh-CN"/>
        </w:rPr>
        <w:t>安装特殊节，</w:t>
      </w:r>
      <w:r>
        <w:rPr>
          <w:rFonts w:hint="eastAsia"/>
          <w:lang w:val="en-US" w:eastAsia="zh-CN"/>
        </w:rPr>
        <w:t>先</w:t>
      </w:r>
      <w:r>
        <w:rPr>
          <w:rFonts w:hint="default"/>
          <w:lang w:val="en-US" w:eastAsia="zh-CN"/>
        </w:rPr>
        <w:t>将引进装置中的一根引进梁用人力抬入下支座下面，并将引进梁前端抬起用销轴和开口销固定，向下压下引进梁前端使引进梁后端抬起就位后，用销轴和开口销将引进梁后端固定。用同样方法安装另一引进梁。引进装置安好后，再将这一套部件吊起至已安装好的</w:t>
      </w:r>
      <w:r>
        <w:rPr>
          <w:rFonts w:hint="eastAsia"/>
          <w:lang w:val="en-US" w:eastAsia="zh-CN"/>
        </w:rPr>
        <w:t>套架</w:t>
      </w:r>
      <w:r>
        <w:rPr>
          <w:rFonts w:hint="default"/>
          <w:lang w:val="en-US" w:eastAsia="zh-CN"/>
        </w:rPr>
        <w:t>上方，使引进梁处于顶升套架开口方向</w:t>
      </w:r>
      <w:r>
        <w:rPr>
          <w:rFonts w:hint="eastAsia"/>
          <w:lang w:val="en-US" w:eastAsia="zh-CN"/>
        </w:rPr>
        <w:t>，</w:t>
      </w:r>
      <w:r>
        <w:rPr>
          <w:rFonts w:hint="default"/>
          <w:lang w:val="en-US" w:eastAsia="zh-CN"/>
        </w:rPr>
        <w:t>用销轴分别与</w:t>
      </w:r>
      <w:r>
        <w:rPr>
          <w:rFonts w:hint="eastAsia"/>
          <w:lang w:val="en-US" w:eastAsia="zh-CN"/>
        </w:rPr>
        <w:t>套架</w:t>
      </w:r>
      <w:r>
        <w:rPr>
          <w:rFonts w:hint="default"/>
          <w:lang w:val="en-US" w:eastAsia="zh-CN"/>
        </w:rPr>
        <w:t>连接，下降整套部件使四条支脚插入</w:t>
      </w:r>
      <w:r>
        <w:rPr>
          <w:rFonts w:hint="eastAsia"/>
          <w:lang w:val="en-US" w:eastAsia="zh-CN"/>
        </w:rPr>
        <w:t>销轴孔</w:t>
      </w:r>
      <w:r>
        <w:rPr>
          <w:rFonts w:hint="default"/>
          <w:lang w:val="en-US" w:eastAsia="zh-CN"/>
        </w:rPr>
        <w:t>内，打入八根带肩锥头销轴和 4 根锁销，装上开口销，并将开口销充分打开。</w:t>
      </w:r>
      <w:r>
        <w:rPr>
          <w:rFonts w:hint="eastAsia"/>
          <w:lang w:val="en-US" w:eastAsia="zh-CN"/>
        </w:rPr>
        <w:t>吊装示意图如下：</w:t>
      </w:r>
    </w:p>
    <w:p w14:paraId="39CCE1B2">
      <w:pPr>
        <w:jc w:val="center"/>
      </w:pPr>
      <w:r>
        <w:drawing>
          <wp:inline distT="0" distB="0" distL="114300" distR="114300">
            <wp:extent cx="3776345" cy="4739640"/>
            <wp:effectExtent l="0" t="0" r="14605" b="3810"/>
            <wp:docPr id="4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4"/>
                    <pic:cNvPicPr>
                      <a:picLocks noChangeAspect="1"/>
                    </pic:cNvPicPr>
                  </pic:nvPicPr>
                  <pic:blipFill>
                    <a:blip r:embed="rId44"/>
                    <a:stretch>
                      <a:fillRect/>
                    </a:stretch>
                  </pic:blipFill>
                  <pic:spPr>
                    <a:xfrm>
                      <a:off x="0" y="0"/>
                      <a:ext cx="3776345" cy="4739640"/>
                    </a:xfrm>
                    <a:prstGeom prst="rect">
                      <a:avLst/>
                    </a:prstGeom>
                    <a:noFill/>
                    <a:ln>
                      <a:noFill/>
                    </a:ln>
                  </pic:spPr>
                </pic:pic>
              </a:graphicData>
            </a:graphic>
          </wp:inline>
        </w:drawing>
      </w:r>
    </w:p>
    <w:p w14:paraId="06B1A269">
      <w:pPr>
        <w:jc w:val="center"/>
        <w:rPr>
          <w:rFonts w:hint="eastAsia"/>
          <w:lang w:val="en-US" w:eastAsia="zh-CN"/>
        </w:rPr>
      </w:pPr>
      <w:r>
        <w:rPr>
          <w:rFonts w:hint="eastAsia" w:ascii="Times New Roman" w:hAnsi="Times New Roman" w:eastAsia="宋体" w:cstheme="majorBidi"/>
          <w:b/>
          <w:kern w:val="2"/>
          <w:sz w:val="21"/>
          <w:szCs w:val="20"/>
          <w:lang w:val="en-US" w:eastAsia="zh-CN" w:bidi="ar-SA"/>
        </w:rPr>
        <w:t>图 4.4.4</w:t>
      </w:r>
      <w:r>
        <w:rPr>
          <w:rFonts w:hint="eastAsia" w:ascii="Times New Roman" w:hAnsi="Times New Roman" w:eastAsia="宋体" w:cstheme="majorBidi"/>
          <w:b/>
          <w:kern w:val="2"/>
          <w:sz w:val="21"/>
          <w:szCs w:val="20"/>
          <w:lang w:val="en-US" w:eastAsia="zh-CN" w:bidi="ar-SA"/>
        </w:rPr>
        <w:noBreakHyphen/>
      </w:r>
      <w:r>
        <w:rPr>
          <w:rFonts w:hint="eastAsia" w:cstheme="majorBidi"/>
          <w:b/>
          <w:kern w:val="2"/>
          <w:sz w:val="21"/>
          <w:szCs w:val="20"/>
          <w:lang w:val="en-US" w:eastAsia="zh-CN" w:bidi="ar-SA"/>
        </w:rPr>
        <w:t>1</w:t>
      </w:r>
      <w:r>
        <w:rPr>
          <w:rFonts w:hint="eastAsia" w:ascii="Times New Roman" w:hAnsi="Times New Roman" w:eastAsia="宋体" w:cstheme="majorBidi"/>
          <w:b/>
          <w:kern w:val="2"/>
          <w:sz w:val="21"/>
          <w:szCs w:val="20"/>
          <w:lang w:val="en-US" w:eastAsia="zh-CN" w:bidi="ar-SA"/>
        </w:rPr>
        <w:t xml:space="preserve"> 特殊节吊装</w:t>
      </w:r>
      <w:r>
        <w:rPr>
          <w:rFonts w:hint="eastAsia" w:cstheme="majorBidi"/>
          <w:b/>
          <w:kern w:val="2"/>
          <w:sz w:val="21"/>
          <w:szCs w:val="20"/>
          <w:lang w:val="en-US" w:eastAsia="zh-CN" w:bidi="ar-SA"/>
        </w:rPr>
        <w:t>立</w:t>
      </w:r>
      <w:r>
        <w:rPr>
          <w:rFonts w:hint="eastAsia" w:ascii="Times New Roman" w:hAnsi="Times New Roman" w:eastAsia="宋体" w:cstheme="majorBidi"/>
          <w:b/>
          <w:kern w:val="2"/>
          <w:sz w:val="21"/>
          <w:szCs w:val="20"/>
          <w:lang w:val="en-US" w:eastAsia="zh-CN" w:bidi="ar-SA"/>
        </w:rPr>
        <w:t>面示意图</w:t>
      </w:r>
    </w:p>
    <w:p w14:paraId="5AFFE5FD">
      <w:pPr>
        <w:jc w:val="center"/>
      </w:pPr>
      <w:r>
        <w:drawing>
          <wp:inline distT="0" distB="0" distL="114300" distR="114300">
            <wp:extent cx="2355850" cy="2479040"/>
            <wp:effectExtent l="0" t="0" r="6350" b="16510"/>
            <wp:docPr id="4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pic:cNvPicPr>
                      <a:picLocks noChangeAspect="1"/>
                    </pic:cNvPicPr>
                  </pic:nvPicPr>
                  <pic:blipFill>
                    <a:blip r:embed="rId32"/>
                    <a:stretch>
                      <a:fillRect/>
                    </a:stretch>
                  </pic:blipFill>
                  <pic:spPr>
                    <a:xfrm>
                      <a:off x="0" y="0"/>
                      <a:ext cx="2355850" cy="2479040"/>
                    </a:xfrm>
                    <a:prstGeom prst="rect">
                      <a:avLst/>
                    </a:prstGeom>
                    <a:noFill/>
                    <a:ln>
                      <a:noFill/>
                    </a:ln>
                  </pic:spPr>
                </pic:pic>
              </a:graphicData>
            </a:graphic>
          </wp:inline>
        </w:drawing>
      </w:r>
    </w:p>
    <w:p w14:paraId="37954127">
      <w:pPr>
        <w:jc w:val="center"/>
        <w:rPr>
          <w:rFonts w:hint="default" w:eastAsia="宋体"/>
          <w:lang w:val="en-US" w:eastAsia="zh-CN"/>
        </w:rPr>
      </w:pPr>
      <w:r>
        <w:rPr>
          <w:rFonts w:hint="eastAsia" w:ascii="Times New Roman" w:hAnsi="Times New Roman" w:eastAsia="宋体" w:cstheme="majorBidi"/>
          <w:b/>
          <w:kern w:val="2"/>
          <w:sz w:val="21"/>
          <w:szCs w:val="20"/>
          <w:lang w:val="en-US" w:eastAsia="zh-CN" w:bidi="ar-SA"/>
        </w:rPr>
        <w:t>图 4.4.4</w:t>
      </w:r>
      <w:r>
        <w:rPr>
          <w:rFonts w:hint="eastAsia" w:ascii="Times New Roman" w:hAnsi="Times New Roman" w:eastAsia="宋体" w:cstheme="majorBidi"/>
          <w:b/>
          <w:kern w:val="2"/>
          <w:sz w:val="21"/>
          <w:szCs w:val="20"/>
          <w:lang w:val="en-US" w:eastAsia="zh-CN" w:bidi="ar-SA"/>
        </w:rPr>
        <w:noBreakHyphen/>
      </w:r>
      <w:r>
        <w:rPr>
          <w:rFonts w:hint="eastAsia" w:ascii="Times New Roman" w:hAnsi="Times New Roman" w:eastAsia="宋体" w:cstheme="majorBidi"/>
          <w:b/>
          <w:kern w:val="2"/>
          <w:sz w:val="21"/>
          <w:szCs w:val="20"/>
          <w:lang w:val="en-US" w:eastAsia="zh-CN" w:bidi="ar-SA"/>
        </w:rPr>
        <w:t>2 特殊节吊装平面示意图</w:t>
      </w:r>
    </w:p>
    <w:p w14:paraId="3A333087">
      <w:pPr>
        <w:pStyle w:val="4"/>
        <w:bidi w:val="0"/>
        <w:ind w:left="720" w:leftChars="0" w:hanging="720" w:firstLineChars="0"/>
        <w:rPr>
          <w:rFonts w:hint="eastAsia"/>
          <w:b/>
          <w:bCs w:val="0"/>
          <w:lang w:val="en-US" w:eastAsia="zh-CN"/>
        </w:rPr>
      </w:pPr>
      <w:r>
        <w:rPr>
          <w:rFonts w:hint="eastAsia"/>
          <w:b/>
          <w:bCs w:val="0"/>
          <w:lang w:val="en-US" w:eastAsia="zh-CN"/>
        </w:rPr>
        <w:t>安装回转总成</w:t>
      </w:r>
    </w:p>
    <w:p w14:paraId="7A352940">
      <w:pPr>
        <w:widowControl w:val="0"/>
        <w:adjustRightInd/>
        <w:snapToGrid/>
        <w:ind w:firstLine="480"/>
        <w:rPr>
          <w:rFonts w:hint="eastAsia" w:ascii="Times New Roman" w:hAnsi="Times New Roman" w:eastAsia="宋体" w:cs="Times New Roman"/>
          <w:szCs w:val="21"/>
        </w:rPr>
      </w:pPr>
      <w:r>
        <w:rPr>
          <w:rFonts w:hint="eastAsia" w:ascii="宋体" w:hAnsi="宋体" w:eastAsia="宋体" w:cs="宋体"/>
          <w:szCs w:val="21"/>
        </w:rPr>
        <w:t>采用</w:t>
      </w:r>
      <w:r>
        <w:rPr>
          <w:rFonts w:hint="eastAsia" w:ascii="宋体" w:hAnsi="宋体" w:cs="宋体"/>
          <w:szCs w:val="21"/>
          <w:lang w:eastAsia="zh-CN"/>
        </w:rPr>
        <w:t>汽车吊</w:t>
      </w:r>
      <w:r>
        <w:rPr>
          <w:rFonts w:hint="eastAsia" w:ascii="宋体" w:hAnsi="宋体" w:eastAsia="宋体" w:cs="宋体"/>
          <w:szCs w:val="21"/>
        </w:rPr>
        <w:t>配合人工在地面上将回转支座、回转限位器、司机室和维修平台等拼装成回转总成，</w:t>
      </w:r>
      <w:r>
        <w:rPr>
          <w:rFonts w:hint="eastAsia" w:ascii="Times New Roman" w:hAnsi="Times New Roman" w:eastAsia="宋体" w:cs="Times New Roman"/>
          <w:szCs w:val="21"/>
        </w:rPr>
        <w:t>回转总成吊装采用四点吊，以回转总成顶部四个销轴孔作为吊装孔，采用4根</w:t>
      </w:r>
      <w:r>
        <w:rPr>
          <w:rFonts w:hint="eastAsia" w:cs="Times New Roman"/>
          <w:szCs w:val="21"/>
          <w:lang w:val="en-US" w:eastAsia="zh-CN"/>
        </w:rPr>
        <w:t>18</w:t>
      </w:r>
      <w:r>
        <w:rPr>
          <w:rFonts w:hint="eastAsia" w:ascii="Times New Roman" w:hAnsi="Times New Roman" w:eastAsia="宋体" w:cs="Times New Roman"/>
          <w:szCs w:val="21"/>
        </w:rPr>
        <w:t>mm</w:t>
      </w:r>
      <w:r>
        <w:rPr>
          <w:rFonts w:ascii="Times New Roman" w:hAnsi="Times New Roman" w:eastAsia="宋体" w:cs="Times New Roman"/>
          <w:szCs w:val="21"/>
        </w:rPr>
        <w:t>  6×19S+FC 1</w:t>
      </w:r>
      <w:r>
        <w:rPr>
          <w:rFonts w:hint="eastAsia" w:cs="Times New Roman"/>
          <w:szCs w:val="21"/>
          <w:lang w:val="en-US" w:eastAsia="zh-CN"/>
        </w:rPr>
        <w:t>87</w:t>
      </w:r>
      <w:r>
        <w:rPr>
          <w:rFonts w:ascii="Times New Roman" w:hAnsi="Times New Roman" w:eastAsia="宋体" w:cs="Times New Roman"/>
          <w:szCs w:val="21"/>
        </w:rPr>
        <w:t>0</w:t>
      </w:r>
      <w:r>
        <w:rPr>
          <w:rFonts w:hint="eastAsia" w:ascii="Times New Roman" w:hAnsi="Times New Roman" w:eastAsia="宋体" w:cs="Times New Roman"/>
          <w:szCs w:val="21"/>
        </w:rPr>
        <w:t>Mpa的钢丝绳配套</w:t>
      </w:r>
      <w:r>
        <w:rPr>
          <w:rFonts w:ascii="Times New Roman" w:hAnsi="Times New Roman" w:eastAsia="宋体" w:cs="Times New Roman"/>
          <w:szCs w:val="21"/>
        </w:rPr>
        <w:t>GB/T 25854-6-DW</w:t>
      </w:r>
      <w:r>
        <w:rPr>
          <w:rFonts w:hint="eastAsia" w:cs="Times New Roman"/>
          <w:szCs w:val="21"/>
          <w:lang w:val="en-US" w:eastAsia="zh-CN"/>
        </w:rPr>
        <w:t>5</w:t>
      </w:r>
      <w:r>
        <w:rPr>
          <w:rFonts w:hint="eastAsia" w:ascii="Times New Roman" w:hAnsi="Times New Roman" w:eastAsia="宋体" w:cs="Times New Roman"/>
          <w:szCs w:val="21"/>
        </w:rPr>
        <w:t>卸扣进行吊装。</w:t>
      </w:r>
    </w:p>
    <w:p w14:paraId="1CC8E1A2">
      <w:pPr>
        <w:spacing w:line="360" w:lineRule="auto"/>
        <w:ind w:firstLine="480" w:firstLineChars="200"/>
      </w:pPr>
      <w:r>
        <w:rPr>
          <w:rFonts w:hint="eastAsia" w:cs="宋体"/>
          <w:sz w:val="24"/>
          <w:szCs w:val="24"/>
          <w:lang w:val="en-US" w:eastAsia="zh-CN"/>
        </w:rPr>
        <w:t>（1）检查回转支承上的高强螺栓的预紧力矩是否达 1350N·m，且防松螺母的预紧力矩稍大于或等于 1350N·m</w:t>
      </w:r>
      <w:r>
        <w:rPr>
          <w:rFonts w:hint="eastAsia" w:cs="宋体"/>
          <w:sz w:val="24"/>
          <w:szCs w:val="24"/>
          <w:lang w:eastAsia="zh-CN"/>
        </w:rPr>
        <w:t>。</w:t>
      </w:r>
    </w:p>
    <w:p w14:paraId="6A997F34">
      <w:pPr>
        <w:spacing w:line="360" w:lineRule="auto"/>
        <w:ind w:firstLine="480" w:firstLineChars="200"/>
        <w:rPr>
          <w:rFonts w:hint="eastAsia" w:ascii="Times New Roman" w:hAnsi="Times New Roman" w:eastAsia="宋体" w:cs="Times New Roman"/>
          <w:szCs w:val="21"/>
        </w:rPr>
      </w:pPr>
      <w:r>
        <w:rPr>
          <w:rFonts w:hint="eastAsia" w:cs="Times New Roman"/>
          <w:szCs w:val="21"/>
          <w:lang w:val="en-US" w:eastAsia="zh-CN"/>
        </w:rPr>
        <w:t>（2）</w:t>
      </w:r>
      <w:r>
        <w:rPr>
          <w:rFonts w:hint="eastAsia" w:ascii="Times New Roman" w:hAnsi="Times New Roman" w:eastAsia="宋体" w:cs="Times New Roman"/>
          <w:szCs w:val="21"/>
        </w:rPr>
        <w:t>作业人员在地面上先将钢丝绳一端挂在</w:t>
      </w:r>
      <w:r>
        <w:rPr>
          <w:rFonts w:hint="eastAsia" w:cs="Times New Roman"/>
          <w:szCs w:val="21"/>
          <w:lang w:eastAsia="zh-CN"/>
        </w:rPr>
        <w:t>汽车吊</w:t>
      </w:r>
      <w:r>
        <w:rPr>
          <w:rFonts w:hint="eastAsia" w:ascii="Times New Roman" w:hAnsi="Times New Roman" w:eastAsia="宋体" w:cs="Times New Roman"/>
          <w:szCs w:val="21"/>
        </w:rPr>
        <w:t>吊钩，另一端与卸扣连接，卸扣与吊装孔连接，并在回转总成上栓好2根溜绳。启动</w:t>
      </w:r>
      <w:r>
        <w:rPr>
          <w:rFonts w:hint="eastAsia" w:cs="Times New Roman"/>
          <w:szCs w:val="21"/>
          <w:lang w:eastAsia="zh-CN"/>
        </w:rPr>
        <w:t>汽车吊</w:t>
      </w:r>
      <w:r>
        <w:rPr>
          <w:rFonts w:hint="eastAsia" w:ascii="Times New Roman" w:hAnsi="Times New Roman" w:eastAsia="宋体" w:cs="Times New Roman"/>
          <w:szCs w:val="21"/>
        </w:rPr>
        <w:t>，将回转总成缓慢提升，用溜绳控制其摆动。起吊回转总成至</w:t>
      </w:r>
      <w:r>
        <w:rPr>
          <w:rFonts w:hint="eastAsia" w:cs="Times New Roman"/>
          <w:szCs w:val="21"/>
          <w:lang w:val="en-US" w:eastAsia="zh-CN"/>
        </w:rPr>
        <w:t>特殊节</w:t>
      </w:r>
      <w:r>
        <w:rPr>
          <w:rFonts w:hint="eastAsia" w:ascii="Times New Roman" w:hAnsi="Times New Roman" w:eastAsia="宋体" w:cs="Times New Roman"/>
          <w:szCs w:val="21"/>
        </w:rPr>
        <w:t>上方，</w:t>
      </w:r>
      <w:r>
        <w:rPr>
          <w:rFonts w:hint="eastAsia" w:cs="Times New Roman"/>
          <w:szCs w:val="21"/>
          <w:lang w:eastAsia="zh-CN"/>
        </w:rPr>
        <w:t>汽车吊</w:t>
      </w:r>
      <w:r>
        <w:rPr>
          <w:rFonts w:hint="eastAsia" w:ascii="Times New Roman" w:hAnsi="Times New Roman" w:eastAsia="宋体" w:cs="Times New Roman"/>
          <w:szCs w:val="21"/>
        </w:rPr>
        <w:t>缓慢落钩，直至回转总成下支座销轴孔与</w:t>
      </w:r>
      <w:r>
        <w:rPr>
          <w:rFonts w:hint="eastAsia" w:cs="Times New Roman"/>
          <w:szCs w:val="21"/>
          <w:lang w:val="en-US" w:eastAsia="zh-CN"/>
        </w:rPr>
        <w:t>特殊节</w:t>
      </w:r>
      <w:r>
        <w:rPr>
          <w:rFonts w:hint="eastAsia" w:ascii="Times New Roman" w:hAnsi="Times New Roman" w:eastAsia="宋体" w:cs="Times New Roman"/>
          <w:szCs w:val="21"/>
        </w:rPr>
        <w:t>销轴孔对齐，将安全带系挂在</w:t>
      </w:r>
      <w:r>
        <w:rPr>
          <w:rFonts w:hint="eastAsia" w:cs="Times New Roman"/>
          <w:szCs w:val="21"/>
          <w:lang w:val="en-US" w:eastAsia="zh-CN"/>
        </w:rPr>
        <w:t>特殊节</w:t>
      </w:r>
      <w:r>
        <w:rPr>
          <w:rFonts w:hint="eastAsia" w:ascii="Times New Roman" w:hAnsi="Times New Roman" w:eastAsia="宋体" w:cs="Times New Roman"/>
          <w:szCs w:val="21"/>
        </w:rPr>
        <w:t>的横杆上，站立在</w:t>
      </w:r>
      <w:r>
        <w:rPr>
          <w:rFonts w:hint="eastAsia" w:cs="Times New Roman"/>
          <w:szCs w:val="21"/>
          <w:lang w:val="en-US" w:eastAsia="zh-CN"/>
        </w:rPr>
        <w:t>特殊节</w:t>
      </w:r>
      <w:r>
        <w:rPr>
          <w:rFonts w:hint="eastAsia" w:ascii="Times New Roman" w:hAnsi="Times New Roman" w:eastAsia="宋体" w:cs="Times New Roman"/>
          <w:szCs w:val="21"/>
        </w:rPr>
        <w:t>顶部的平台上，插入</w:t>
      </w:r>
      <w:r>
        <w:rPr>
          <w:rFonts w:hint="eastAsia" w:cs="Times New Roman"/>
          <w:szCs w:val="21"/>
          <w:lang w:val="en-US" w:eastAsia="zh-CN"/>
        </w:rPr>
        <w:t>特殊节</w:t>
      </w:r>
      <w:r>
        <w:rPr>
          <w:rFonts w:hint="eastAsia" w:ascii="Times New Roman" w:hAnsi="Times New Roman" w:eastAsia="宋体" w:cs="Times New Roman"/>
          <w:szCs w:val="21"/>
        </w:rPr>
        <w:t>与回转总成下支座的连接销轴，完成回转总成与</w:t>
      </w:r>
      <w:r>
        <w:rPr>
          <w:rFonts w:hint="eastAsia" w:cs="Times New Roman"/>
          <w:szCs w:val="21"/>
          <w:lang w:val="en-US" w:eastAsia="zh-CN"/>
        </w:rPr>
        <w:t>特殊节</w:t>
      </w:r>
      <w:r>
        <w:rPr>
          <w:rFonts w:hint="eastAsia" w:ascii="Times New Roman" w:hAnsi="Times New Roman" w:eastAsia="宋体" w:cs="Times New Roman"/>
          <w:szCs w:val="21"/>
        </w:rPr>
        <w:t>的连接。</w:t>
      </w:r>
    </w:p>
    <w:p w14:paraId="3A1E6C71">
      <w:pPr>
        <w:spacing w:line="360" w:lineRule="auto"/>
        <w:ind w:firstLine="480" w:firstLineChars="200"/>
        <w:jc w:val="center"/>
        <w:rPr>
          <w:rFonts w:hint="eastAsia" w:ascii="Times New Roman" w:hAnsi="Times New Roman" w:eastAsia="宋体" w:cs="Times New Roman"/>
          <w:szCs w:val="21"/>
        </w:rPr>
      </w:pPr>
      <w:r>
        <w:drawing>
          <wp:inline distT="0" distB="0" distL="114300" distR="114300">
            <wp:extent cx="3102610" cy="3984625"/>
            <wp:effectExtent l="0" t="0" r="2540" b="15875"/>
            <wp:docPr id="4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5"/>
                    <pic:cNvPicPr>
                      <a:picLocks noChangeAspect="1"/>
                    </pic:cNvPicPr>
                  </pic:nvPicPr>
                  <pic:blipFill>
                    <a:blip r:embed="rId45"/>
                    <a:stretch>
                      <a:fillRect/>
                    </a:stretch>
                  </pic:blipFill>
                  <pic:spPr>
                    <a:xfrm>
                      <a:off x="0" y="0"/>
                      <a:ext cx="3102610" cy="3984625"/>
                    </a:xfrm>
                    <a:prstGeom prst="rect">
                      <a:avLst/>
                    </a:prstGeom>
                    <a:noFill/>
                    <a:ln>
                      <a:noFill/>
                    </a:ln>
                  </pic:spPr>
                </pic:pic>
              </a:graphicData>
            </a:graphic>
          </wp:inline>
        </w:drawing>
      </w:r>
    </w:p>
    <w:p w14:paraId="6759BA6A">
      <w:pPr>
        <w:pStyle w:val="14"/>
        <w:jc w:val="center"/>
      </w:pPr>
      <w:r>
        <w:rPr>
          <w:rFonts w:hint="eastAsia" w:ascii="Times New Roman" w:hAnsi="Times New Roman" w:eastAsia="宋体" w:cstheme="majorBidi"/>
          <w:b/>
          <w:kern w:val="2"/>
          <w:sz w:val="21"/>
          <w:szCs w:val="20"/>
          <w:lang w:val="en-US" w:eastAsia="zh-CN" w:bidi="ar-SA"/>
        </w:rPr>
        <w:t>图 4.4.5</w:t>
      </w:r>
      <w:r>
        <w:rPr>
          <w:rFonts w:hint="eastAsia" w:ascii="Times New Roman" w:hAnsi="Times New Roman" w:eastAsia="宋体" w:cstheme="majorBidi"/>
          <w:b/>
          <w:kern w:val="2"/>
          <w:sz w:val="21"/>
          <w:szCs w:val="20"/>
          <w:lang w:val="en-US" w:eastAsia="zh-CN" w:bidi="ar-SA"/>
        </w:rPr>
        <w:noBreakHyphen/>
      </w:r>
      <w:r>
        <w:rPr>
          <w:rFonts w:hint="eastAsia" w:ascii="Times New Roman" w:hAnsi="Times New Roman" w:eastAsia="宋体" w:cstheme="majorBidi"/>
          <w:b/>
          <w:kern w:val="2"/>
          <w:sz w:val="21"/>
          <w:szCs w:val="20"/>
          <w:lang w:val="en-US" w:eastAsia="zh-CN" w:bidi="ar-SA"/>
        </w:rPr>
        <w:t>1 塔吊回转总成吊装立面示意图</w:t>
      </w:r>
    </w:p>
    <w:p w14:paraId="6FD568CB">
      <w:pPr>
        <w:pStyle w:val="14"/>
        <w:jc w:val="center"/>
      </w:pPr>
      <w:r>
        <w:drawing>
          <wp:inline distT="0" distB="0" distL="114300" distR="114300">
            <wp:extent cx="2355850" cy="2479040"/>
            <wp:effectExtent l="0" t="0" r="6350" b="16510"/>
            <wp:docPr id="4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pic:cNvPicPr>
                      <a:picLocks noChangeAspect="1"/>
                    </pic:cNvPicPr>
                  </pic:nvPicPr>
                  <pic:blipFill>
                    <a:blip r:embed="rId32"/>
                    <a:stretch>
                      <a:fillRect/>
                    </a:stretch>
                  </pic:blipFill>
                  <pic:spPr>
                    <a:xfrm>
                      <a:off x="0" y="0"/>
                      <a:ext cx="2355850" cy="2479040"/>
                    </a:xfrm>
                    <a:prstGeom prst="rect">
                      <a:avLst/>
                    </a:prstGeom>
                    <a:noFill/>
                    <a:ln>
                      <a:noFill/>
                    </a:ln>
                  </pic:spPr>
                </pic:pic>
              </a:graphicData>
            </a:graphic>
          </wp:inline>
        </w:drawing>
      </w:r>
    </w:p>
    <w:p w14:paraId="49501D3C">
      <w:pPr>
        <w:pStyle w:val="14"/>
        <w:jc w:val="center"/>
      </w:pPr>
      <w:r>
        <w:rPr>
          <w:rFonts w:hint="eastAsia" w:ascii="Times New Roman" w:hAnsi="Times New Roman" w:eastAsia="宋体" w:cstheme="majorBidi"/>
          <w:b/>
          <w:kern w:val="2"/>
          <w:sz w:val="21"/>
          <w:szCs w:val="20"/>
          <w:lang w:val="en-US" w:eastAsia="zh-CN" w:bidi="ar-SA"/>
        </w:rPr>
        <w:t>图 4.4.5</w:t>
      </w:r>
      <w:r>
        <w:rPr>
          <w:rFonts w:hint="eastAsia" w:ascii="Times New Roman" w:hAnsi="Times New Roman" w:eastAsia="宋体" w:cstheme="majorBidi"/>
          <w:b/>
          <w:kern w:val="2"/>
          <w:sz w:val="21"/>
          <w:szCs w:val="20"/>
          <w:lang w:val="en-US" w:eastAsia="zh-CN" w:bidi="ar-SA"/>
        </w:rPr>
        <w:noBreakHyphen/>
      </w:r>
      <w:r>
        <w:rPr>
          <w:rFonts w:hint="eastAsia" w:ascii="Times New Roman" w:hAnsi="Times New Roman" w:eastAsia="宋体" w:cstheme="majorBidi"/>
          <w:b/>
          <w:kern w:val="2"/>
          <w:sz w:val="21"/>
          <w:szCs w:val="20"/>
          <w:lang w:val="en-US" w:eastAsia="zh-CN" w:bidi="ar-SA"/>
        </w:rPr>
        <w:t>2 塔吊回转总成吊装平面示意图</w:t>
      </w:r>
    </w:p>
    <w:p w14:paraId="5A6BED1A">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作业人员通过爬梯爬至回转总成顶部，将安全带系挂在回转总成顶部的横杆上，站立在回转总成顶部，</w:t>
      </w:r>
      <w:r>
        <w:rPr>
          <w:rFonts w:hint="eastAsia" w:cs="Times New Roman"/>
          <w:szCs w:val="21"/>
          <w:lang w:eastAsia="zh-CN"/>
        </w:rPr>
        <w:t>汽车吊</w:t>
      </w:r>
      <w:r>
        <w:rPr>
          <w:rFonts w:hint="eastAsia" w:ascii="Times New Roman" w:hAnsi="Times New Roman" w:eastAsia="宋体" w:cs="Times New Roman"/>
          <w:szCs w:val="21"/>
        </w:rPr>
        <w:t>放松吊钩，作业人员解除卸扣与回转总成的连接。</w:t>
      </w:r>
    </w:p>
    <w:p w14:paraId="213A9AD9">
      <w:pPr>
        <w:widowControl w:val="0"/>
        <w:adjustRightInd/>
        <w:snapToGrid/>
        <w:ind w:firstLine="480"/>
        <w:rPr>
          <w:rFonts w:hint="eastAsia" w:ascii="Times New Roman" w:hAnsi="Times New Roman" w:eastAsia="宋体" w:cs="Times New Roman"/>
          <w:szCs w:val="21"/>
        </w:rPr>
      </w:pPr>
      <w:r>
        <w:rPr>
          <w:rFonts w:hint="eastAsia" w:ascii="Times New Roman" w:hAnsi="Times New Roman" w:eastAsia="宋体" w:cs="Times New Roman"/>
          <w:szCs w:val="21"/>
        </w:rPr>
        <w:t>塔吊回转总成安装时设置警戒区，起吊安排专人负责指挥，专人操作，严禁无关人员进入起重作业范围内。</w:t>
      </w:r>
    </w:p>
    <w:p w14:paraId="0A98A07C">
      <w:pPr>
        <w:widowControl w:val="0"/>
        <w:adjustRightInd/>
        <w:snapToGrid/>
        <w:ind w:firstLine="480"/>
        <w:rPr>
          <w:rFonts w:hint="eastAsia" w:ascii="Times New Roman" w:hAnsi="Times New Roman" w:eastAsia="宋体" w:cs="Times New Roman"/>
          <w:szCs w:val="21"/>
        </w:rPr>
      </w:pPr>
      <w:r>
        <w:rPr>
          <w:rFonts w:hint="eastAsia" w:ascii="Times New Roman" w:hAnsi="Times New Roman" w:eastAsia="宋体" w:cs="Times New Roman"/>
          <w:szCs w:val="21"/>
        </w:rPr>
        <w:t>注意：为了方便回转支承注油和螺栓紧固，下支座上设计有维修吊篮，此吊篮仅供维保时使用，正常的工作时务必取下放置在特殊节平台上，否则将导致回转时司机室与该吊篮干涉。</w:t>
      </w:r>
    </w:p>
    <w:p w14:paraId="2B873D6E">
      <w:pPr>
        <w:pStyle w:val="4"/>
        <w:bidi w:val="0"/>
        <w:ind w:left="720" w:leftChars="0" w:hanging="720" w:firstLineChars="0"/>
        <w:rPr>
          <w:rFonts w:hint="eastAsia"/>
          <w:b/>
          <w:bCs w:val="0"/>
          <w:lang w:val="en-US"/>
        </w:rPr>
      </w:pPr>
      <w:r>
        <w:rPr>
          <w:rFonts w:hint="eastAsia"/>
          <w:b/>
          <w:bCs w:val="0"/>
          <w:lang w:val="en-US" w:eastAsia="zh-CN"/>
        </w:rPr>
        <w:t>安装臂根节</w:t>
      </w:r>
    </w:p>
    <w:p w14:paraId="0CA2CA6B">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如下图所示，在吊装臂根节时，选用四根钢丝绳分别穿过吊耳，最终统一悬挂在吊钩上，吊装中保证吊装平衡，实现臂根节的吊装。将臂根节（</w:t>
      </w:r>
      <w:r>
        <w:rPr>
          <w:rFonts w:hint="default" w:ascii="Times New Roman" w:hAnsi="Times New Roman" w:eastAsia="宋体" w:cs="Times New Roman"/>
          <w:color w:val="000000"/>
          <w:kern w:val="0"/>
          <w:sz w:val="24"/>
          <w:szCs w:val="24"/>
          <w:lang w:val="en-US" w:eastAsia="zh-CN" w:bidi="ar"/>
        </w:rPr>
        <w:t>1</w:t>
      </w:r>
      <w:r>
        <w:rPr>
          <w:rFonts w:hint="eastAsia" w:ascii="宋体" w:hAnsi="宋体" w:eastAsia="宋体" w:cs="宋体"/>
          <w:color w:val="000000"/>
          <w:kern w:val="0"/>
          <w:sz w:val="24"/>
          <w:szCs w:val="24"/>
          <w:lang w:val="en-US" w:eastAsia="zh-CN" w:bidi="ar"/>
        </w:rPr>
        <w:t>）与上支座通过销轴装配到一起。</w:t>
      </w:r>
    </w:p>
    <w:p w14:paraId="4E339014">
      <w:pPr>
        <w:ind w:firstLine="0" w:firstLineChars="0"/>
        <w:jc w:val="center"/>
        <w:rPr>
          <w:rFonts w:hint="eastAsia" w:cs="Times New Roman"/>
          <w:szCs w:val="21"/>
          <w:lang w:val="en-US" w:eastAsia="zh-CN"/>
        </w:rPr>
      </w:pPr>
      <w:r>
        <w:drawing>
          <wp:inline distT="0" distB="0" distL="114300" distR="114300">
            <wp:extent cx="4305935" cy="3235960"/>
            <wp:effectExtent l="0" t="0" r="18415" b="2540"/>
            <wp:docPr id="1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7"/>
                    <pic:cNvPicPr>
                      <a:picLocks noChangeAspect="1"/>
                    </pic:cNvPicPr>
                  </pic:nvPicPr>
                  <pic:blipFill>
                    <a:blip r:embed="rId46"/>
                    <a:stretch>
                      <a:fillRect/>
                    </a:stretch>
                  </pic:blipFill>
                  <pic:spPr>
                    <a:xfrm>
                      <a:off x="0" y="0"/>
                      <a:ext cx="4305935" cy="3235960"/>
                    </a:xfrm>
                    <a:prstGeom prst="rect">
                      <a:avLst/>
                    </a:prstGeom>
                    <a:noFill/>
                    <a:ln>
                      <a:noFill/>
                    </a:ln>
                  </pic:spPr>
                </pic:pic>
              </a:graphicData>
            </a:graphic>
          </wp:inline>
        </w:drawing>
      </w:r>
    </w:p>
    <w:p w14:paraId="6FFC6D7E">
      <w:pPr>
        <w:jc w:val="center"/>
        <w:rPr>
          <w:rFonts w:hint="eastAsia" w:ascii="Times New Roman" w:hAnsi="Times New Roman" w:eastAsia="宋体" w:cstheme="majorBidi"/>
          <w:b/>
          <w:kern w:val="2"/>
          <w:sz w:val="21"/>
          <w:szCs w:val="20"/>
          <w:lang w:val="en-US" w:eastAsia="zh-CN" w:bidi="ar-SA"/>
        </w:rPr>
      </w:pPr>
      <w:r>
        <w:rPr>
          <w:rFonts w:hint="eastAsia" w:ascii="Times New Roman" w:hAnsi="Times New Roman" w:eastAsia="宋体" w:cstheme="majorBidi"/>
          <w:b/>
          <w:kern w:val="2"/>
          <w:sz w:val="21"/>
          <w:szCs w:val="20"/>
          <w:lang w:val="en-US" w:eastAsia="zh-CN" w:bidi="ar-SA"/>
        </w:rPr>
        <w:t>图 4.4.6</w:t>
      </w:r>
      <w:r>
        <w:rPr>
          <w:rFonts w:hint="eastAsia" w:ascii="Times New Roman" w:hAnsi="Times New Roman" w:eastAsia="宋体" w:cstheme="majorBidi"/>
          <w:b/>
          <w:kern w:val="2"/>
          <w:sz w:val="21"/>
          <w:szCs w:val="20"/>
          <w:lang w:val="en-US" w:eastAsia="zh-CN" w:bidi="ar-SA"/>
        </w:rPr>
        <w:noBreakHyphen/>
      </w:r>
      <w:r>
        <w:rPr>
          <w:rFonts w:hint="eastAsia" w:ascii="Times New Roman" w:hAnsi="Times New Roman" w:eastAsia="宋体" w:cstheme="majorBidi"/>
          <w:b/>
          <w:kern w:val="2"/>
          <w:sz w:val="21"/>
          <w:szCs w:val="20"/>
          <w:lang w:val="en-US" w:eastAsia="zh-CN" w:bidi="ar-SA"/>
        </w:rPr>
        <w:t xml:space="preserve">1 </w:t>
      </w:r>
      <w:r>
        <w:rPr>
          <w:rFonts w:hint="eastAsia" w:cstheme="majorBidi"/>
          <w:b/>
          <w:kern w:val="2"/>
          <w:sz w:val="21"/>
          <w:szCs w:val="20"/>
          <w:lang w:val="en-US" w:eastAsia="zh-CN" w:bidi="ar-SA"/>
        </w:rPr>
        <w:t>臂根节</w:t>
      </w:r>
      <w:r>
        <w:rPr>
          <w:rFonts w:hint="eastAsia" w:ascii="Times New Roman" w:hAnsi="Times New Roman" w:eastAsia="宋体" w:cstheme="majorBidi"/>
          <w:b/>
          <w:kern w:val="2"/>
          <w:sz w:val="21"/>
          <w:szCs w:val="20"/>
          <w:lang w:val="en-US" w:eastAsia="zh-CN" w:bidi="ar-SA"/>
        </w:rPr>
        <w:t>安装示意图</w:t>
      </w:r>
    </w:p>
    <w:p w14:paraId="59638774">
      <w:pPr>
        <w:jc w:val="center"/>
      </w:pPr>
      <w:r>
        <w:drawing>
          <wp:inline distT="0" distB="0" distL="114300" distR="114300">
            <wp:extent cx="2581910" cy="3179445"/>
            <wp:effectExtent l="0" t="0" r="8890" b="1905"/>
            <wp:docPr id="4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6"/>
                    <pic:cNvPicPr>
                      <a:picLocks noChangeAspect="1"/>
                    </pic:cNvPicPr>
                  </pic:nvPicPr>
                  <pic:blipFill>
                    <a:blip r:embed="rId47"/>
                    <a:stretch>
                      <a:fillRect/>
                    </a:stretch>
                  </pic:blipFill>
                  <pic:spPr>
                    <a:xfrm>
                      <a:off x="0" y="0"/>
                      <a:ext cx="2581910" cy="3179445"/>
                    </a:xfrm>
                    <a:prstGeom prst="rect">
                      <a:avLst/>
                    </a:prstGeom>
                    <a:noFill/>
                    <a:ln>
                      <a:noFill/>
                    </a:ln>
                  </pic:spPr>
                </pic:pic>
              </a:graphicData>
            </a:graphic>
          </wp:inline>
        </w:drawing>
      </w:r>
    </w:p>
    <w:p w14:paraId="2DD2B5A3">
      <w:pPr>
        <w:pStyle w:val="14"/>
        <w:jc w:val="center"/>
        <w:rPr>
          <w:rFonts w:hint="eastAsia"/>
          <w:lang w:val="en-US" w:eastAsia="zh-CN"/>
        </w:rPr>
      </w:pPr>
      <w:r>
        <w:rPr>
          <w:rFonts w:hint="eastAsia" w:ascii="Times New Roman" w:hAnsi="Times New Roman" w:eastAsia="宋体" w:cstheme="majorBidi"/>
          <w:b/>
          <w:kern w:val="2"/>
          <w:sz w:val="21"/>
          <w:szCs w:val="20"/>
          <w:lang w:val="en-US" w:eastAsia="zh-CN" w:bidi="ar-SA"/>
        </w:rPr>
        <w:t>图 4.4.6</w:t>
      </w:r>
      <w:r>
        <w:rPr>
          <w:rFonts w:hint="eastAsia" w:ascii="Times New Roman" w:hAnsi="Times New Roman" w:eastAsia="宋体" w:cstheme="majorBidi"/>
          <w:b/>
          <w:kern w:val="2"/>
          <w:sz w:val="21"/>
          <w:szCs w:val="20"/>
          <w:lang w:val="en-US" w:eastAsia="zh-CN" w:bidi="ar-SA"/>
        </w:rPr>
        <w:noBreakHyphen/>
      </w:r>
      <w:r>
        <w:rPr>
          <w:rFonts w:hint="eastAsia" w:ascii="Times New Roman" w:hAnsi="Times New Roman" w:eastAsia="宋体" w:cstheme="majorBidi"/>
          <w:b/>
          <w:kern w:val="2"/>
          <w:sz w:val="21"/>
          <w:szCs w:val="20"/>
          <w:lang w:val="en-US" w:eastAsia="zh-CN" w:bidi="ar-SA"/>
        </w:rPr>
        <w:t>2 塔吊臂根节吊装立面示意图</w:t>
      </w:r>
    </w:p>
    <w:p w14:paraId="50B676C4">
      <w:pPr>
        <w:ind w:firstLine="0" w:firstLineChars="0"/>
        <w:jc w:val="center"/>
        <w:rPr>
          <w:rFonts w:hint="default" w:cs="Times New Roman"/>
          <w:szCs w:val="21"/>
          <w:lang w:val="en-US" w:eastAsia="zh-CN"/>
        </w:rPr>
      </w:pPr>
      <w:r>
        <w:rPr>
          <w:rFonts w:hint="eastAsia"/>
          <w:lang w:val="en-US" w:eastAsia="zh-CN"/>
        </w:rPr>
        <w:t xml:space="preserve"> </w:t>
      </w:r>
      <w:r>
        <w:drawing>
          <wp:inline distT="0" distB="0" distL="114300" distR="114300">
            <wp:extent cx="3268345" cy="2452370"/>
            <wp:effectExtent l="0" t="0" r="8255" b="5080"/>
            <wp:docPr id="4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7"/>
                    <pic:cNvPicPr>
                      <a:picLocks noChangeAspect="1"/>
                    </pic:cNvPicPr>
                  </pic:nvPicPr>
                  <pic:blipFill>
                    <a:blip r:embed="rId48"/>
                    <a:stretch>
                      <a:fillRect/>
                    </a:stretch>
                  </pic:blipFill>
                  <pic:spPr>
                    <a:xfrm>
                      <a:off x="0" y="0"/>
                      <a:ext cx="3268345" cy="2452370"/>
                    </a:xfrm>
                    <a:prstGeom prst="rect">
                      <a:avLst/>
                    </a:prstGeom>
                    <a:noFill/>
                    <a:ln>
                      <a:noFill/>
                    </a:ln>
                  </pic:spPr>
                </pic:pic>
              </a:graphicData>
            </a:graphic>
          </wp:inline>
        </w:drawing>
      </w:r>
    </w:p>
    <w:p w14:paraId="19C3AC06">
      <w:pPr>
        <w:pStyle w:val="14"/>
        <w:jc w:val="center"/>
        <w:rPr>
          <w:rFonts w:hint="eastAsia" w:ascii="Times New Roman" w:hAnsi="Times New Roman" w:eastAsia="宋体" w:cs="Times New Roman"/>
          <w:color w:val="auto"/>
          <w:kern w:val="2"/>
          <w:sz w:val="24"/>
          <w:szCs w:val="21"/>
          <w:lang w:val="en-US" w:eastAsia="zh-CN" w:bidi="ar-SA"/>
        </w:rPr>
      </w:pPr>
      <w:r>
        <w:rPr>
          <w:rFonts w:hint="eastAsia" w:ascii="Times New Roman" w:hAnsi="Times New Roman" w:eastAsia="宋体" w:cstheme="majorBidi"/>
          <w:b/>
          <w:kern w:val="2"/>
          <w:sz w:val="21"/>
          <w:szCs w:val="20"/>
          <w:lang w:val="en-US" w:eastAsia="zh-CN" w:bidi="ar-SA"/>
        </w:rPr>
        <w:t>图 4.4.6</w:t>
      </w:r>
      <w:r>
        <w:rPr>
          <w:rFonts w:hint="eastAsia" w:ascii="Times New Roman" w:hAnsi="Times New Roman" w:eastAsia="宋体" w:cstheme="majorBidi"/>
          <w:b/>
          <w:kern w:val="2"/>
          <w:sz w:val="21"/>
          <w:szCs w:val="20"/>
          <w:lang w:val="en-US" w:eastAsia="zh-CN" w:bidi="ar-SA"/>
        </w:rPr>
        <w:noBreakHyphen/>
      </w:r>
      <w:r>
        <w:rPr>
          <w:rFonts w:hint="eastAsia" w:ascii="Times New Roman" w:hAnsi="Times New Roman" w:eastAsia="宋体" w:cstheme="majorBidi"/>
          <w:b/>
          <w:kern w:val="2"/>
          <w:sz w:val="21"/>
          <w:szCs w:val="20"/>
          <w:lang w:val="en-US" w:eastAsia="zh-CN" w:bidi="ar-SA"/>
        </w:rPr>
        <w:t>3 塔吊臂根节吊装平面示意图</w:t>
      </w:r>
    </w:p>
    <w:p w14:paraId="6C291321"/>
    <w:p w14:paraId="655A461D">
      <w:pPr>
        <w:pStyle w:val="4"/>
        <w:bidi w:val="0"/>
        <w:ind w:left="720" w:leftChars="0" w:hanging="720" w:firstLineChars="0"/>
        <w:rPr>
          <w:rFonts w:hint="eastAsia"/>
          <w:b/>
          <w:bCs w:val="0"/>
          <w:lang w:val="en-US" w:eastAsia="zh-CN"/>
        </w:rPr>
      </w:pPr>
      <w:r>
        <w:rPr>
          <w:rFonts w:hint="eastAsia"/>
          <w:b/>
          <w:bCs w:val="0"/>
          <w:lang w:val="en-US" w:eastAsia="zh-CN"/>
        </w:rPr>
        <w:t>安装平衡臂</w:t>
      </w:r>
    </w:p>
    <w:p w14:paraId="6464601D">
      <w:pPr>
        <w:keepNext w:val="0"/>
        <w:keepLines w:val="0"/>
        <w:widowControl/>
        <w:suppressLineNumbers w:val="0"/>
        <w:jc w:val="left"/>
      </w:pPr>
      <w:r>
        <w:rPr>
          <w:rFonts w:hint="eastAsia" w:ascii="宋体" w:hAnsi="宋体" w:eastAsia="宋体" w:cs="宋体"/>
          <w:color w:val="000000"/>
          <w:kern w:val="0"/>
          <w:sz w:val="24"/>
          <w:szCs w:val="24"/>
          <w:lang w:val="en-US" w:eastAsia="zh-CN" w:bidi="ar"/>
        </w:rPr>
        <w:t>将组装好的平衡臂吊起，对接好起重臂臂根节，装入拉杆，插入销轴，缓慢放下。</w:t>
      </w:r>
    </w:p>
    <w:p w14:paraId="16E4D806">
      <w:pPr>
        <w:pStyle w:val="38"/>
        <w:jc w:val="center"/>
        <w:rPr>
          <w:rFonts w:hint="default"/>
          <w:lang w:val="en-US" w:eastAsia="zh-CN"/>
        </w:rPr>
      </w:pPr>
      <w:r>
        <w:drawing>
          <wp:inline distT="0" distB="0" distL="114300" distR="114300">
            <wp:extent cx="5429250" cy="2409825"/>
            <wp:effectExtent l="0" t="0" r="0" b="9525"/>
            <wp:docPr id="1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30"/>
                    <pic:cNvPicPr>
                      <a:picLocks noChangeAspect="1"/>
                    </pic:cNvPicPr>
                  </pic:nvPicPr>
                  <pic:blipFill>
                    <a:blip r:embed="rId49"/>
                    <a:stretch>
                      <a:fillRect/>
                    </a:stretch>
                  </pic:blipFill>
                  <pic:spPr>
                    <a:xfrm>
                      <a:off x="0" y="0"/>
                      <a:ext cx="5429250" cy="2409825"/>
                    </a:xfrm>
                    <a:prstGeom prst="rect">
                      <a:avLst/>
                    </a:prstGeom>
                    <a:noFill/>
                    <a:ln>
                      <a:noFill/>
                    </a:ln>
                  </pic:spPr>
                </pic:pic>
              </a:graphicData>
            </a:graphic>
          </wp:inline>
        </w:drawing>
      </w:r>
    </w:p>
    <w:p w14:paraId="73FED6AE">
      <w:pPr>
        <w:pStyle w:val="38"/>
        <w:jc w:val="center"/>
        <w:rPr>
          <w:rFonts w:hint="eastAsia" w:eastAsia="宋体" w:cs="Times New Roman"/>
          <w:color w:val="auto"/>
          <w:kern w:val="2"/>
          <w:sz w:val="24"/>
          <w:szCs w:val="21"/>
          <w:lang w:val="en-US" w:eastAsia="zh-CN" w:bidi="ar-SA"/>
        </w:rPr>
      </w:pPr>
      <w:r>
        <w:rPr>
          <w:rFonts w:hint="eastAsia" w:ascii="Times New Roman" w:hAnsi="Times New Roman" w:eastAsia="宋体" w:cstheme="majorBidi"/>
          <w:b/>
          <w:color w:val="auto"/>
          <w:kern w:val="2"/>
          <w:sz w:val="21"/>
          <w:szCs w:val="20"/>
          <w:lang w:val="en-US" w:eastAsia="zh-CN" w:bidi="ar-SA"/>
        </w:rPr>
        <w:t>图 4.4.7</w:t>
      </w:r>
      <w:r>
        <w:rPr>
          <w:rFonts w:hint="eastAsia" w:ascii="Times New Roman" w:hAnsi="Times New Roman" w:eastAsia="宋体" w:cstheme="majorBidi"/>
          <w:b/>
          <w:color w:val="auto"/>
          <w:kern w:val="2"/>
          <w:sz w:val="21"/>
          <w:szCs w:val="20"/>
          <w:lang w:val="en-US" w:eastAsia="zh-CN" w:bidi="ar-SA"/>
        </w:rPr>
        <w:noBreakHyphen/>
      </w:r>
      <w:r>
        <w:rPr>
          <w:rFonts w:hint="eastAsia" w:ascii="Times New Roman" w:hAnsi="Times New Roman" w:eastAsia="宋体" w:cstheme="majorBidi"/>
          <w:b/>
          <w:color w:val="auto"/>
          <w:kern w:val="2"/>
          <w:sz w:val="21"/>
          <w:szCs w:val="20"/>
          <w:lang w:val="en-US" w:eastAsia="zh-CN" w:bidi="ar-SA"/>
        </w:rPr>
        <w:t>1 塔吊</w:t>
      </w:r>
      <w:r>
        <w:rPr>
          <w:rFonts w:hint="eastAsia" w:cstheme="majorBidi"/>
          <w:b/>
          <w:color w:val="auto"/>
          <w:kern w:val="2"/>
          <w:sz w:val="21"/>
          <w:szCs w:val="20"/>
          <w:lang w:val="en-US" w:eastAsia="zh-CN" w:bidi="ar-SA"/>
        </w:rPr>
        <w:t>平衡臂</w:t>
      </w:r>
      <w:r>
        <w:rPr>
          <w:rFonts w:hint="eastAsia" w:ascii="Times New Roman" w:hAnsi="Times New Roman" w:eastAsia="宋体" w:cstheme="majorBidi"/>
          <w:b/>
          <w:color w:val="auto"/>
          <w:kern w:val="2"/>
          <w:sz w:val="21"/>
          <w:szCs w:val="20"/>
          <w:lang w:val="en-US" w:eastAsia="zh-CN" w:bidi="ar-SA"/>
        </w:rPr>
        <w:t>安装示意图</w:t>
      </w:r>
    </w:p>
    <w:p w14:paraId="32DA2695">
      <w:pPr>
        <w:widowControl w:val="0"/>
        <w:spacing w:before="154" w:line="360" w:lineRule="auto"/>
        <w:ind w:left="0" w:firstLine="0" w:firstLineChars="0"/>
        <w:jc w:val="center"/>
      </w:pPr>
      <w:r>
        <w:drawing>
          <wp:inline distT="0" distB="0" distL="114300" distR="114300">
            <wp:extent cx="3964940" cy="4044950"/>
            <wp:effectExtent l="0" t="0" r="16510" b="12700"/>
            <wp:docPr id="4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8"/>
                    <pic:cNvPicPr>
                      <a:picLocks noChangeAspect="1"/>
                    </pic:cNvPicPr>
                  </pic:nvPicPr>
                  <pic:blipFill>
                    <a:blip r:embed="rId50"/>
                    <a:stretch>
                      <a:fillRect/>
                    </a:stretch>
                  </pic:blipFill>
                  <pic:spPr>
                    <a:xfrm>
                      <a:off x="0" y="0"/>
                      <a:ext cx="3964940" cy="4044950"/>
                    </a:xfrm>
                    <a:prstGeom prst="rect">
                      <a:avLst/>
                    </a:prstGeom>
                    <a:noFill/>
                    <a:ln>
                      <a:noFill/>
                    </a:ln>
                  </pic:spPr>
                </pic:pic>
              </a:graphicData>
            </a:graphic>
          </wp:inline>
        </w:drawing>
      </w:r>
    </w:p>
    <w:p w14:paraId="4885C540">
      <w:pPr>
        <w:pStyle w:val="13"/>
        <w:jc w:val="center"/>
      </w:pPr>
      <w:r>
        <w:rPr>
          <w:rFonts w:hint="eastAsia" w:ascii="Times New Roman" w:hAnsi="Times New Roman" w:eastAsia="宋体" w:cstheme="majorBidi"/>
          <w:b/>
          <w:color w:val="auto"/>
          <w:kern w:val="2"/>
          <w:sz w:val="21"/>
          <w:szCs w:val="20"/>
          <w:lang w:val="en-US" w:eastAsia="zh-CN" w:bidi="ar-SA"/>
        </w:rPr>
        <w:t>图 4.4.7</w:t>
      </w:r>
      <w:r>
        <w:rPr>
          <w:rFonts w:hint="eastAsia" w:ascii="Times New Roman" w:hAnsi="Times New Roman" w:eastAsia="宋体" w:cstheme="majorBidi"/>
          <w:b/>
          <w:color w:val="auto"/>
          <w:kern w:val="2"/>
          <w:sz w:val="21"/>
          <w:szCs w:val="20"/>
          <w:lang w:val="en-US" w:eastAsia="zh-CN" w:bidi="ar-SA"/>
        </w:rPr>
        <w:noBreakHyphen/>
      </w:r>
      <w:r>
        <w:rPr>
          <w:rFonts w:hint="eastAsia" w:ascii="Times New Roman" w:hAnsi="Times New Roman" w:cstheme="majorBidi"/>
          <w:b/>
          <w:color w:val="auto"/>
          <w:kern w:val="2"/>
          <w:sz w:val="21"/>
          <w:szCs w:val="20"/>
          <w:lang w:val="en-US" w:eastAsia="zh-CN" w:bidi="ar-SA"/>
        </w:rPr>
        <w:t>2</w:t>
      </w:r>
      <w:r>
        <w:rPr>
          <w:rFonts w:hint="eastAsia" w:ascii="Times New Roman" w:hAnsi="Times New Roman" w:eastAsia="宋体" w:cstheme="majorBidi"/>
          <w:b/>
          <w:color w:val="auto"/>
          <w:kern w:val="2"/>
          <w:sz w:val="21"/>
          <w:szCs w:val="20"/>
          <w:lang w:val="en-US" w:eastAsia="zh-CN" w:bidi="ar-SA"/>
        </w:rPr>
        <w:t xml:space="preserve"> 塔吊</w:t>
      </w:r>
      <w:r>
        <w:rPr>
          <w:rFonts w:hint="eastAsia" w:cstheme="majorBidi"/>
          <w:b/>
          <w:color w:val="auto"/>
          <w:kern w:val="2"/>
          <w:sz w:val="21"/>
          <w:szCs w:val="20"/>
          <w:lang w:val="en-US" w:eastAsia="zh-CN" w:bidi="ar-SA"/>
        </w:rPr>
        <w:t>平衡臂</w:t>
      </w:r>
      <w:r>
        <w:rPr>
          <w:rFonts w:hint="eastAsia" w:ascii="Times New Roman" w:hAnsi="Times New Roman" w:eastAsia="宋体" w:cstheme="majorBidi"/>
          <w:b/>
          <w:color w:val="auto"/>
          <w:kern w:val="2"/>
          <w:sz w:val="21"/>
          <w:szCs w:val="20"/>
          <w:lang w:val="en-US" w:eastAsia="zh-CN" w:bidi="ar-SA"/>
        </w:rPr>
        <w:t>吊装</w:t>
      </w:r>
      <w:r>
        <w:rPr>
          <w:rFonts w:hint="eastAsia" w:ascii="Times New Roman" w:hAnsi="Times New Roman" w:cstheme="majorBidi"/>
          <w:b/>
          <w:color w:val="auto"/>
          <w:kern w:val="2"/>
          <w:sz w:val="21"/>
          <w:szCs w:val="20"/>
          <w:lang w:val="en-US" w:eastAsia="zh-CN" w:bidi="ar-SA"/>
        </w:rPr>
        <w:t>立</w:t>
      </w:r>
      <w:r>
        <w:rPr>
          <w:rFonts w:hint="eastAsia" w:ascii="Times New Roman" w:hAnsi="Times New Roman" w:eastAsia="宋体" w:cstheme="majorBidi"/>
          <w:b/>
          <w:color w:val="auto"/>
          <w:kern w:val="2"/>
          <w:sz w:val="21"/>
          <w:szCs w:val="20"/>
          <w:lang w:val="en-US" w:eastAsia="zh-CN" w:bidi="ar-SA"/>
        </w:rPr>
        <w:t>面示意图</w:t>
      </w:r>
    </w:p>
    <w:p w14:paraId="221552A8">
      <w:pPr>
        <w:pStyle w:val="13"/>
        <w:jc w:val="center"/>
      </w:pPr>
      <w:r>
        <w:drawing>
          <wp:inline distT="0" distB="0" distL="114300" distR="114300">
            <wp:extent cx="3343910" cy="3272155"/>
            <wp:effectExtent l="0" t="0" r="8890" b="4445"/>
            <wp:docPr id="4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9"/>
                    <pic:cNvPicPr>
                      <a:picLocks noChangeAspect="1"/>
                    </pic:cNvPicPr>
                  </pic:nvPicPr>
                  <pic:blipFill>
                    <a:blip r:embed="rId51"/>
                    <a:stretch>
                      <a:fillRect/>
                    </a:stretch>
                  </pic:blipFill>
                  <pic:spPr>
                    <a:xfrm>
                      <a:off x="0" y="0"/>
                      <a:ext cx="3343910" cy="3272155"/>
                    </a:xfrm>
                    <a:prstGeom prst="rect">
                      <a:avLst/>
                    </a:prstGeom>
                    <a:noFill/>
                    <a:ln>
                      <a:noFill/>
                    </a:ln>
                  </pic:spPr>
                </pic:pic>
              </a:graphicData>
            </a:graphic>
          </wp:inline>
        </w:drawing>
      </w:r>
    </w:p>
    <w:p w14:paraId="702EF5F4">
      <w:pPr>
        <w:pStyle w:val="13"/>
        <w:jc w:val="center"/>
        <w:rPr>
          <w:rFonts w:hint="eastAsia" w:eastAsia="宋体" w:cs="Times New Roman"/>
          <w:color w:val="auto"/>
          <w:kern w:val="2"/>
          <w:sz w:val="24"/>
          <w:szCs w:val="21"/>
          <w:lang w:val="en-US" w:eastAsia="zh-CN" w:bidi="ar-SA"/>
        </w:rPr>
      </w:pPr>
      <w:r>
        <w:rPr>
          <w:rFonts w:hint="eastAsia" w:ascii="Times New Roman" w:hAnsi="Times New Roman" w:eastAsia="宋体" w:cstheme="majorBidi"/>
          <w:b/>
          <w:color w:val="auto"/>
          <w:kern w:val="2"/>
          <w:sz w:val="21"/>
          <w:szCs w:val="20"/>
          <w:lang w:val="en-US" w:eastAsia="zh-CN" w:bidi="ar-SA"/>
        </w:rPr>
        <w:t>图 4.4.7</w:t>
      </w:r>
      <w:r>
        <w:rPr>
          <w:rFonts w:hint="eastAsia" w:ascii="Times New Roman" w:hAnsi="Times New Roman" w:eastAsia="宋体" w:cstheme="majorBidi"/>
          <w:b/>
          <w:color w:val="auto"/>
          <w:kern w:val="2"/>
          <w:sz w:val="21"/>
          <w:szCs w:val="20"/>
          <w:lang w:val="en-US" w:eastAsia="zh-CN" w:bidi="ar-SA"/>
        </w:rPr>
        <w:noBreakHyphen/>
      </w:r>
      <w:r>
        <w:rPr>
          <w:rFonts w:hint="eastAsia" w:ascii="Times New Roman" w:hAnsi="Times New Roman" w:eastAsia="宋体" w:cstheme="majorBidi"/>
          <w:b/>
          <w:color w:val="auto"/>
          <w:kern w:val="2"/>
          <w:sz w:val="21"/>
          <w:szCs w:val="20"/>
          <w:lang w:val="en-US" w:eastAsia="zh-CN" w:bidi="ar-SA"/>
        </w:rPr>
        <w:t>3 塔吊</w:t>
      </w:r>
      <w:r>
        <w:rPr>
          <w:rFonts w:hint="eastAsia" w:cstheme="majorBidi"/>
          <w:b/>
          <w:color w:val="auto"/>
          <w:kern w:val="2"/>
          <w:sz w:val="21"/>
          <w:szCs w:val="20"/>
          <w:lang w:val="en-US" w:eastAsia="zh-CN" w:bidi="ar-SA"/>
        </w:rPr>
        <w:t>平衡臂</w:t>
      </w:r>
      <w:r>
        <w:rPr>
          <w:rFonts w:hint="eastAsia" w:ascii="Times New Roman" w:hAnsi="Times New Roman" w:eastAsia="宋体" w:cstheme="majorBidi"/>
          <w:b/>
          <w:color w:val="auto"/>
          <w:kern w:val="2"/>
          <w:sz w:val="21"/>
          <w:szCs w:val="20"/>
          <w:lang w:val="en-US" w:eastAsia="zh-CN" w:bidi="ar-SA"/>
        </w:rPr>
        <w:t>吊装平面示意图</w:t>
      </w:r>
    </w:p>
    <w:p w14:paraId="5CA4A125">
      <w:pPr>
        <w:pStyle w:val="4"/>
        <w:bidi w:val="0"/>
        <w:ind w:left="720" w:leftChars="0" w:hanging="720" w:firstLineChars="0"/>
        <w:rPr>
          <w:rFonts w:hint="eastAsia"/>
          <w:b/>
          <w:bCs w:val="0"/>
          <w:lang w:val="en-US" w:eastAsia="zh-CN"/>
        </w:rPr>
      </w:pPr>
      <w:r>
        <w:rPr>
          <w:rFonts w:hint="eastAsia"/>
          <w:b/>
          <w:bCs w:val="0"/>
          <w:lang w:val="en-US" w:eastAsia="zh-CN"/>
        </w:rPr>
        <w:t>安装第1块平衡重</w:t>
      </w:r>
    </w:p>
    <w:p w14:paraId="52983837">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平衡重吊装采用两点吊，采用2根</w:t>
      </w:r>
      <w:r>
        <w:rPr>
          <w:rFonts w:hint="eastAsia" w:cs="Times New Roman"/>
          <w:szCs w:val="21"/>
          <w:lang w:val="en-US" w:eastAsia="zh-CN"/>
        </w:rPr>
        <w:t>16</w:t>
      </w:r>
      <w:r>
        <w:rPr>
          <w:rFonts w:hint="eastAsia" w:ascii="Times New Roman" w:hAnsi="Times New Roman" w:eastAsia="宋体" w:cs="Times New Roman"/>
          <w:szCs w:val="21"/>
        </w:rPr>
        <w:t>mm</w:t>
      </w:r>
      <w:r>
        <w:rPr>
          <w:rFonts w:ascii="Times New Roman" w:hAnsi="Times New Roman" w:eastAsia="宋体" w:cs="Times New Roman"/>
          <w:szCs w:val="21"/>
        </w:rPr>
        <w:t>  6×19S+FC 1</w:t>
      </w:r>
      <w:r>
        <w:rPr>
          <w:rFonts w:hint="eastAsia" w:cs="Times New Roman"/>
          <w:szCs w:val="21"/>
          <w:lang w:val="en-US" w:eastAsia="zh-CN"/>
        </w:rPr>
        <w:t>87</w:t>
      </w:r>
      <w:r>
        <w:rPr>
          <w:rFonts w:ascii="Times New Roman" w:hAnsi="Times New Roman" w:eastAsia="宋体" w:cs="Times New Roman"/>
          <w:szCs w:val="21"/>
        </w:rPr>
        <w:t>0</w:t>
      </w:r>
      <w:r>
        <w:rPr>
          <w:rFonts w:hint="eastAsia" w:ascii="Times New Roman" w:hAnsi="Times New Roman" w:eastAsia="宋体" w:cs="Times New Roman"/>
          <w:szCs w:val="21"/>
        </w:rPr>
        <w:t>Mpa的钢丝绳配套</w:t>
      </w:r>
      <w:r>
        <w:rPr>
          <w:rFonts w:ascii="Times New Roman" w:hAnsi="Times New Roman" w:eastAsia="宋体" w:cs="Times New Roman"/>
          <w:szCs w:val="21"/>
        </w:rPr>
        <w:t>GB/T 25854-6-DW</w:t>
      </w:r>
      <w:r>
        <w:rPr>
          <w:rFonts w:hint="eastAsia" w:cs="Times New Roman"/>
          <w:szCs w:val="21"/>
          <w:lang w:val="en-US" w:eastAsia="zh-CN"/>
        </w:rPr>
        <w:t>5</w:t>
      </w:r>
      <w:r>
        <w:rPr>
          <w:rFonts w:hint="eastAsia" w:ascii="Times New Roman" w:hAnsi="Times New Roman" w:eastAsia="宋体" w:cs="Times New Roman"/>
          <w:szCs w:val="21"/>
        </w:rPr>
        <w:t>卸扣与平衡重吊耳进行连接吊装。</w:t>
      </w:r>
    </w:p>
    <w:p w14:paraId="0ACB3EDA">
      <w:pPr>
        <w:keepNext w:val="0"/>
        <w:keepLines w:val="0"/>
        <w:widowControl/>
        <w:suppressLineNumbers w:val="0"/>
        <w:jc w:val="left"/>
        <w:rPr>
          <w:rFonts w:hint="eastAsia" w:ascii="Times New Roman" w:hAnsi="Times New Roman" w:eastAsia="宋体" w:cs="Times New Roman"/>
          <w:szCs w:val="21"/>
        </w:rPr>
      </w:pPr>
      <w:r>
        <w:rPr>
          <w:rFonts w:hint="eastAsia" w:ascii="Times New Roman" w:hAnsi="Times New Roman" w:eastAsia="宋体" w:cs="Times New Roman"/>
          <w:szCs w:val="21"/>
        </w:rPr>
        <w:t>作业人员在地面上先将钢丝绳一端挂在</w:t>
      </w:r>
      <w:r>
        <w:rPr>
          <w:rFonts w:hint="eastAsia" w:cs="Times New Roman"/>
          <w:szCs w:val="21"/>
          <w:lang w:eastAsia="zh-CN"/>
        </w:rPr>
        <w:t>汽车吊</w:t>
      </w:r>
      <w:r>
        <w:rPr>
          <w:rFonts w:hint="eastAsia" w:ascii="Times New Roman" w:hAnsi="Times New Roman" w:eastAsia="宋体" w:cs="Times New Roman"/>
          <w:szCs w:val="21"/>
        </w:rPr>
        <w:t>吊钩，另一端与卸扣连接，卸扣与吊耳通过销轴连接，并在平衡重栓好2根溜绳。启动</w:t>
      </w:r>
      <w:r>
        <w:rPr>
          <w:rFonts w:hint="eastAsia" w:cs="Times New Roman"/>
          <w:szCs w:val="21"/>
          <w:lang w:eastAsia="zh-CN"/>
        </w:rPr>
        <w:t>汽车吊</w:t>
      </w:r>
      <w:r>
        <w:rPr>
          <w:rFonts w:hint="eastAsia" w:ascii="Times New Roman" w:hAnsi="Times New Roman" w:eastAsia="宋体" w:cs="Times New Roman"/>
          <w:szCs w:val="21"/>
        </w:rPr>
        <w:t>，</w:t>
      </w:r>
      <w:r>
        <w:rPr>
          <w:rFonts w:hint="eastAsia" w:ascii="宋体" w:hAnsi="宋体" w:eastAsia="宋体" w:cs="宋体"/>
          <w:color w:val="000000"/>
          <w:kern w:val="0"/>
          <w:sz w:val="24"/>
          <w:szCs w:val="24"/>
          <w:lang w:val="en-US" w:eastAsia="zh-CN" w:bidi="ar"/>
        </w:rPr>
        <w:t>将一块</w:t>
      </w:r>
      <w:r>
        <w:rPr>
          <w:rFonts w:hint="eastAsia" w:ascii="宋体" w:hAnsi="宋体" w:cs="宋体"/>
          <w:color w:val="000000"/>
          <w:kern w:val="0"/>
          <w:sz w:val="24"/>
          <w:szCs w:val="24"/>
          <w:lang w:val="en-US" w:eastAsia="zh-CN" w:bidi="ar"/>
        </w:rPr>
        <w:t>3.25</w:t>
      </w:r>
      <w:r>
        <w:rPr>
          <w:rFonts w:hint="eastAsia" w:ascii="宋体" w:hAnsi="宋体" w:eastAsia="宋体" w:cs="宋体"/>
          <w:color w:val="000000"/>
          <w:kern w:val="0"/>
          <w:sz w:val="24"/>
          <w:szCs w:val="24"/>
          <w:lang w:val="en-US" w:eastAsia="zh-CN" w:bidi="ar"/>
        </w:rPr>
        <w:t>t配重块</w:t>
      </w:r>
      <w:r>
        <w:rPr>
          <w:rFonts w:hint="eastAsia" w:ascii="Times New Roman" w:hAnsi="Times New Roman" w:eastAsia="宋体" w:cs="Times New Roman"/>
          <w:szCs w:val="21"/>
        </w:rPr>
        <w:t>缓慢提升，用溜绳控制其摆动。</w:t>
      </w:r>
      <w:r>
        <w:rPr>
          <w:rFonts w:hint="eastAsia" w:ascii="宋体" w:hAnsi="宋体" w:eastAsia="宋体" w:cs="宋体"/>
          <w:color w:val="000000"/>
          <w:kern w:val="0"/>
          <w:sz w:val="24"/>
          <w:szCs w:val="24"/>
          <w:lang w:val="en-US" w:eastAsia="zh-CN" w:bidi="ar"/>
        </w:rPr>
        <w:t>从平衡臂端部开口处平稳起吊，装入平衡臂</w:t>
      </w:r>
      <w:r>
        <w:rPr>
          <w:rFonts w:hint="eastAsia" w:ascii="宋体" w:hAnsi="宋体" w:cs="宋体"/>
          <w:color w:val="000000"/>
          <w:kern w:val="0"/>
          <w:sz w:val="24"/>
          <w:szCs w:val="24"/>
          <w:lang w:val="en-US" w:eastAsia="zh-CN" w:bidi="ar"/>
        </w:rPr>
        <w:t>端部</w:t>
      </w:r>
      <w:r>
        <w:rPr>
          <w:rFonts w:hint="eastAsia" w:ascii="宋体" w:hAnsi="宋体" w:eastAsia="宋体" w:cs="宋体"/>
          <w:color w:val="000000"/>
          <w:kern w:val="0"/>
          <w:sz w:val="24"/>
          <w:szCs w:val="24"/>
          <w:lang w:val="en-US" w:eastAsia="zh-CN" w:bidi="ar"/>
        </w:rPr>
        <w:t>，位置靠近起升机构旁边，用配重销紧固在平衡臂上，即完成平衡</w:t>
      </w:r>
      <w:r>
        <w:rPr>
          <w:rFonts w:hint="eastAsia" w:ascii="宋体" w:hAnsi="宋体" w:cs="宋体"/>
          <w:color w:val="000000"/>
          <w:kern w:val="0"/>
          <w:sz w:val="24"/>
          <w:szCs w:val="24"/>
          <w:lang w:val="en-US" w:eastAsia="zh-CN" w:bidi="ar"/>
        </w:rPr>
        <w:t>重</w:t>
      </w:r>
      <w:r>
        <w:rPr>
          <w:rFonts w:hint="eastAsia" w:ascii="宋体" w:hAnsi="宋体" w:eastAsia="宋体" w:cs="宋体"/>
          <w:color w:val="000000"/>
          <w:kern w:val="0"/>
          <w:sz w:val="24"/>
          <w:szCs w:val="24"/>
          <w:lang w:val="en-US" w:eastAsia="zh-CN" w:bidi="ar"/>
        </w:rPr>
        <w:t>安装。</w:t>
      </w:r>
      <w:r>
        <w:rPr>
          <w:rFonts w:hint="eastAsia" w:ascii="Times New Roman" w:hAnsi="Times New Roman" w:eastAsia="宋体" w:cs="Times New Roman"/>
          <w:szCs w:val="21"/>
        </w:rPr>
        <w:t>平衡重安装后，作业人员解除卸扣与平衡重吊耳的连接。平衡重吊装示意如下图所示。</w:t>
      </w:r>
    </w:p>
    <w:p w14:paraId="0DEA8BB9">
      <w:pPr>
        <w:keepNext w:val="0"/>
        <w:keepLines w:val="0"/>
        <w:widowControl/>
        <w:suppressLineNumbers w:val="0"/>
        <w:ind w:left="0" w:leftChars="0" w:firstLine="0" w:firstLineChars="0"/>
        <w:jc w:val="center"/>
      </w:pPr>
      <w:r>
        <w:drawing>
          <wp:inline distT="0" distB="0" distL="114300" distR="114300">
            <wp:extent cx="3513455" cy="3162935"/>
            <wp:effectExtent l="0" t="0" r="10795" b="18415"/>
            <wp:docPr id="5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1"/>
                    <pic:cNvPicPr>
                      <a:picLocks noChangeAspect="1"/>
                    </pic:cNvPicPr>
                  </pic:nvPicPr>
                  <pic:blipFill>
                    <a:blip r:embed="rId52"/>
                    <a:stretch>
                      <a:fillRect/>
                    </a:stretch>
                  </pic:blipFill>
                  <pic:spPr>
                    <a:xfrm>
                      <a:off x="0" y="0"/>
                      <a:ext cx="3513455" cy="3162935"/>
                    </a:xfrm>
                    <a:prstGeom prst="rect">
                      <a:avLst/>
                    </a:prstGeom>
                    <a:noFill/>
                    <a:ln>
                      <a:noFill/>
                    </a:ln>
                  </pic:spPr>
                </pic:pic>
              </a:graphicData>
            </a:graphic>
          </wp:inline>
        </w:drawing>
      </w:r>
    </w:p>
    <w:p w14:paraId="7E1E241B">
      <w:pPr>
        <w:keepNext w:val="0"/>
        <w:keepLines w:val="0"/>
        <w:widowControl/>
        <w:suppressLineNumbers w:val="0"/>
        <w:jc w:val="center"/>
        <w:rPr>
          <w:rFonts w:hint="eastAsia"/>
        </w:rPr>
      </w:pPr>
      <w:r>
        <w:rPr>
          <w:rFonts w:hint="eastAsia" w:ascii="Times New Roman" w:hAnsi="Times New Roman" w:eastAsia="宋体" w:cstheme="majorBidi"/>
          <w:b/>
          <w:color w:val="auto"/>
          <w:kern w:val="2"/>
          <w:sz w:val="21"/>
          <w:szCs w:val="20"/>
          <w:lang w:val="en-US" w:eastAsia="zh-CN" w:bidi="ar-SA"/>
        </w:rPr>
        <w:t>图 4.4.</w:t>
      </w:r>
      <w:r>
        <w:rPr>
          <w:rFonts w:hint="eastAsia" w:cstheme="majorBidi"/>
          <w:b/>
          <w:color w:val="auto"/>
          <w:kern w:val="2"/>
          <w:sz w:val="21"/>
          <w:szCs w:val="20"/>
          <w:lang w:val="en-US" w:eastAsia="zh-CN" w:bidi="ar-SA"/>
        </w:rPr>
        <w:t>8</w:t>
      </w:r>
      <w:r>
        <w:rPr>
          <w:rFonts w:hint="eastAsia" w:ascii="Times New Roman" w:hAnsi="Times New Roman" w:eastAsia="宋体" w:cstheme="majorBidi"/>
          <w:b/>
          <w:color w:val="auto"/>
          <w:kern w:val="2"/>
          <w:sz w:val="21"/>
          <w:szCs w:val="20"/>
          <w:lang w:val="en-US" w:eastAsia="zh-CN" w:bidi="ar-SA"/>
        </w:rPr>
        <w:t>-</w:t>
      </w:r>
      <w:r>
        <w:rPr>
          <w:rFonts w:hint="eastAsia" w:cstheme="majorBidi"/>
          <w:b/>
          <w:color w:val="auto"/>
          <w:kern w:val="2"/>
          <w:sz w:val="21"/>
          <w:szCs w:val="20"/>
          <w:lang w:val="en-US" w:eastAsia="zh-CN" w:bidi="ar-SA"/>
        </w:rPr>
        <w:t>1</w:t>
      </w:r>
      <w:r>
        <w:rPr>
          <w:rFonts w:hint="eastAsia" w:ascii="Times New Roman" w:hAnsi="Times New Roman" w:eastAsia="宋体" w:cstheme="majorBidi"/>
          <w:b/>
          <w:color w:val="auto"/>
          <w:kern w:val="2"/>
          <w:sz w:val="21"/>
          <w:szCs w:val="20"/>
          <w:lang w:val="en-US" w:eastAsia="zh-CN" w:bidi="ar-SA"/>
        </w:rPr>
        <w:t>塔吊平衡重吊装</w:t>
      </w:r>
      <w:r>
        <w:rPr>
          <w:rFonts w:hint="eastAsia" w:cstheme="majorBidi"/>
          <w:b/>
          <w:color w:val="auto"/>
          <w:kern w:val="2"/>
          <w:sz w:val="21"/>
          <w:szCs w:val="20"/>
          <w:lang w:val="en-US" w:eastAsia="zh-CN" w:bidi="ar-SA"/>
        </w:rPr>
        <w:t>立</w:t>
      </w:r>
      <w:r>
        <w:rPr>
          <w:rFonts w:hint="eastAsia" w:ascii="Times New Roman" w:hAnsi="Times New Roman" w:eastAsia="宋体" w:cstheme="majorBidi"/>
          <w:b/>
          <w:color w:val="auto"/>
          <w:kern w:val="2"/>
          <w:sz w:val="21"/>
          <w:szCs w:val="20"/>
          <w:lang w:val="en-US" w:eastAsia="zh-CN" w:bidi="ar-SA"/>
        </w:rPr>
        <w:t>面示意图</w:t>
      </w:r>
    </w:p>
    <w:p w14:paraId="26F41CAD">
      <w:pPr>
        <w:keepNext w:val="0"/>
        <w:keepLines w:val="0"/>
        <w:widowControl/>
        <w:suppressLineNumbers w:val="0"/>
        <w:jc w:val="center"/>
      </w:pPr>
      <w:r>
        <w:drawing>
          <wp:inline distT="0" distB="0" distL="114300" distR="114300">
            <wp:extent cx="3081020" cy="3014345"/>
            <wp:effectExtent l="0" t="0" r="5080" b="14605"/>
            <wp:docPr id="5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0"/>
                    <pic:cNvPicPr>
                      <a:picLocks noChangeAspect="1"/>
                    </pic:cNvPicPr>
                  </pic:nvPicPr>
                  <pic:blipFill>
                    <a:blip r:embed="rId51"/>
                    <a:stretch>
                      <a:fillRect/>
                    </a:stretch>
                  </pic:blipFill>
                  <pic:spPr>
                    <a:xfrm>
                      <a:off x="0" y="0"/>
                      <a:ext cx="3081020" cy="3014345"/>
                    </a:xfrm>
                    <a:prstGeom prst="rect">
                      <a:avLst/>
                    </a:prstGeom>
                    <a:noFill/>
                    <a:ln>
                      <a:noFill/>
                    </a:ln>
                  </pic:spPr>
                </pic:pic>
              </a:graphicData>
            </a:graphic>
          </wp:inline>
        </w:drawing>
      </w:r>
    </w:p>
    <w:p w14:paraId="730002F1">
      <w:pPr>
        <w:keepNext w:val="0"/>
        <w:keepLines w:val="0"/>
        <w:widowControl/>
        <w:suppressLineNumbers w:val="0"/>
        <w:jc w:val="center"/>
        <w:rPr>
          <w:rFonts w:hint="eastAsia" w:ascii="Times New Roman" w:hAnsi="Times New Roman" w:eastAsia="宋体" w:cs="Times New Roman"/>
          <w:szCs w:val="21"/>
          <w:lang w:val="en-US" w:eastAsia="zh-CN"/>
        </w:rPr>
      </w:pPr>
      <w:r>
        <w:rPr>
          <w:rFonts w:hint="eastAsia" w:ascii="Times New Roman" w:hAnsi="Times New Roman" w:eastAsia="宋体" w:cstheme="majorBidi"/>
          <w:b/>
          <w:color w:val="auto"/>
          <w:kern w:val="2"/>
          <w:sz w:val="21"/>
          <w:szCs w:val="20"/>
          <w:lang w:val="en-US" w:eastAsia="zh-CN" w:bidi="ar-SA"/>
        </w:rPr>
        <w:t>图 4.4.</w:t>
      </w:r>
      <w:r>
        <w:rPr>
          <w:rFonts w:hint="eastAsia" w:cstheme="majorBidi"/>
          <w:b/>
          <w:color w:val="auto"/>
          <w:kern w:val="2"/>
          <w:sz w:val="21"/>
          <w:szCs w:val="20"/>
          <w:lang w:val="en-US" w:eastAsia="zh-CN" w:bidi="ar-SA"/>
        </w:rPr>
        <w:t>8</w:t>
      </w:r>
      <w:r>
        <w:rPr>
          <w:rFonts w:hint="eastAsia" w:ascii="Times New Roman" w:hAnsi="Times New Roman" w:eastAsia="宋体" w:cstheme="majorBidi"/>
          <w:b/>
          <w:color w:val="auto"/>
          <w:kern w:val="2"/>
          <w:sz w:val="21"/>
          <w:szCs w:val="20"/>
          <w:lang w:val="en-US" w:eastAsia="zh-CN" w:bidi="ar-SA"/>
        </w:rPr>
        <w:t>-2塔吊平衡重吊装平面示意图</w:t>
      </w:r>
    </w:p>
    <w:p w14:paraId="23863F65">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塔吊平衡重安装时设置警戒区，起吊安排专人负责指挥，专人操作，严禁无关人员进入起重作业范围内。</w:t>
      </w:r>
    </w:p>
    <w:p w14:paraId="5E005B81">
      <w:pPr>
        <w:pStyle w:val="4"/>
        <w:bidi w:val="0"/>
        <w:ind w:left="720" w:leftChars="0" w:hanging="720" w:firstLineChars="0"/>
        <w:rPr>
          <w:rFonts w:hint="eastAsia"/>
          <w:b/>
          <w:bCs w:val="0"/>
          <w:lang w:val="en-US" w:eastAsia="zh-CN"/>
        </w:rPr>
      </w:pPr>
      <w:r>
        <w:rPr>
          <w:rFonts w:hint="eastAsia"/>
          <w:b/>
          <w:bCs w:val="0"/>
          <w:lang w:val="en-US" w:eastAsia="zh-CN"/>
        </w:rPr>
        <w:t>安装起重臂</w:t>
      </w:r>
    </w:p>
    <w:p w14:paraId="4BC56A04">
      <w:pPr>
        <w:keepNext w:val="0"/>
        <w:keepLines w:val="0"/>
        <w:widowControl/>
        <w:suppressLineNumbers w:val="0"/>
        <w:ind w:firstLine="48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待起重臂的地面拼装完成后，检查起重臂上的变幅机构、电路走线等是否完善，使用回转机构的临时电源将塔机上部结构回转至便于安装起重臂的方位。</w:t>
      </w:r>
    </w:p>
    <w:p w14:paraId="53622707">
      <w:pPr>
        <w:keepNext w:val="0"/>
        <w:keepLines w:val="0"/>
        <w:widowControl/>
        <w:suppressLineNumbers w:val="0"/>
        <w:ind w:left="0" w:leftChars="0" w:firstLine="0" w:firstLineChars="0"/>
        <w:jc w:val="center"/>
      </w:pPr>
      <w:r>
        <w:drawing>
          <wp:inline distT="0" distB="0" distL="114300" distR="114300">
            <wp:extent cx="3675380" cy="2856865"/>
            <wp:effectExtent l="0" t="0" r="1270" b="635"/>
            <wp:docPr id="5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2"/>
                    <pic:cNvPicPr>
                      <a:picLocks noChangeAspect="1"/>
                    </pic:cNvPicPr>
                  </pic:nvPicPr>
                  <pic:blipFill>
                    <a:blip r:embed="rId53"/>
                    <a:stretch>
                      <a:fillRect/>
                    </a:stretch>
                  </pic:blipFill>
                  <pic:spPr>
                    <a:xfrm>
                      <a:off x="0" y="0"/>
                      <a:ext cx="3675380" cy="2856865"/>
                    </a:xfrm>
                    <a:prstGeom prst="rect">
                      <a:avLst/>
                    </a:prstGeom>
                    <a:noFill/>
                    <a:ln>
                      <a:noFill/>
                    </a:ln>
                  </pic:spPr>
                </pic:pic>
              </a:graphicData>
            </a:graphic>
          </wp:inline>
        </w:drawing>
      </w:r>
      <w:r>
        <w:drawing>
          <wp:inline distT="0" distB="0" distL="114300" distR="114300">
            <wp:extent cx="3364230" cy="2270125"/>
            <wp:effectExtent l="0" t="0" r="7620" b="15875"/>
            <wp:docPr id="5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3"/>
                    <pic:cNvPicPr>
                      <a:picLocks noChangeAspect="1"/>
                    </pic:cNvPicPr>
                  </pic:nvPicPr>
                  <pic:blipFill>
                    <a:blip r:embed="rId54"/>
                    <a:stretch>
                      <a:fillRect/>
                    </a:stretch>
                  </pic:blipFill>
                  <pic:spPr>
                    <a:xfrm>
                      <a:off x="0" y="0"/>
                      <a:ext cx="3364230" cy="2270125"/>
                    </a:xfrm>
                    <a:prstGeom prst="rect">
                      <a:avLst/>
                    </a:prstGeom>
                    <a:noFill/>
                    <a:ln>
                      <a:noFill/>
                    </a:ln>
                  </pic:spPr>
                </pic:pic>
              </a:graphicData>
            </a:graphic>
          </wp:inline>
        </w:drawing>
      </w:r>
    </w:p>
    <w:p w14:paraId="497E4E85">
      <w:pPr>
        <w:keepNext w:val="0"/>
        <w:keepLines w:val="0"/>
        <w:widowControl/>
        <w:suppressLineNumbers w:val="0"/>
        <w:ind w:left="0" w:leftChars="0" w:firstLine="0" w:firstLineChars="0"/>
        <w:jc w:val="center"/>
      </w:pPr>
      <w:r>
        <w:drawing>
          <wp:inline distT="0" distB="0" distL="114300" distR="114300">
            <wp:extent cx="3432175" cy="2694305"/>
            <wp:effectExtent l="0" t="0" r="15875" b="10795"/>
            <wp:docPr id="5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6"/>
                    <pic:cNvPicPr>
                      <a:picLocks noChangeAspect="1"/>
                    </pic:cNvPicPr>
                  </pic:nvPicPr>
                  <pic:blipFill>
                    <a:blip r:embed="rId55"/>
                    <a:stretch>
                      <a:fillRect/>
                    </a:stretch>
                  </pic:blipFill>
                  <pic:spPr>
                    <a:xfrm>
                      <a:off x="0" y="0"/>
                      <a:ext cx="3432175" cy="2694305"/>
                    </a:xfrm>
                    <a:prstGeom prst="rect">
                      <a:avLst/>
                    </a:prstGeom>
                    <a:noFill/>
                    <a:ln>
                      <a:noFill/>
                    </a:ln>
                  </pic:spPr>
                </pic:pic>
              </a:graphicData>
            </a:graphic>
          </wp:inline>
        </w:drawing>
      </w:r>
    </w:p>
    <w:p w14:paraId="32122B87">
      <w:pPr>
        <w:keepNext w:val="0"/>
        <w:keepLines w:val="0"/>
        <w:widowControl/>
        <w:suppressLineNumbers w:val="0"/>
        <w:jc w:val="center"/>
        <w:rPr>
          <w:rFonts w:hint="eastAsia"/>
          <w:lang w:val="en-US" w:eastAsia="zh-CN"/>
        </w:rPr>
      </w:pPr>
      <w:r>
        <w:rPr>
          <w:rFonts w:hint="eastAsia" w:ascii="Times New Roman" w:hAnsi="Times New Roman" w:eastAsia="宋体" w:cstheme="majorBidi"/>
          <w:b/>
          <w:color w:val="auto"/>
          <w:kern w:val="2"/>
          <w:sz w:val="21"/>
          <w:szCs w:val="20"/>
          <w:lang w:val="en-US" w:eastAsia="zh-CN" w:bidi="ar-SA"/>
        </w:rPr>
        <w:t>图 4.4.</w:t>
      </w:r>
      <w:r>
        <w:rPr>
          <w:rFonts w:hint="eastAsia" w:cstheme="majorBidi"/>
          <w:b/>
          <w:color w:val="auto"/>
          <w:kern w:val="2"/>
          <w:sz w:val="21"/>
          <w:szCs w:val="20"/>
          <w:lang w:val="en-US" w:eastAsia="zh-CN" w:bidi="ar-SA"/>
        </w:rPr>
        <w:t>9</w:t>
      </w:r>
      <w:r>
        <w:rPr>
          <w:rFonts w:hint="eastAsia" w:ascii="Times New Roman" w:hAnsi="Times New Roman" w:eastAsia="宋体" w:cstheme="majorBidi"/>
          <w:b/>
          <w:color w:val="auto"/>
          <w:kern w:val="2"/>
          <w:sz w:val="21"/>
          <w:szCs w:val="20"/>
          <w:lang w:val="en-US" w:eastAsia="zh-CN" w:bidi="ar-SA"/>
        </w:rPr>
        <w:noBreakHyphen/>
      </w:r>
      <w:r>
        <w:rPr>
          <w:rFonts w:hint="eastAsia" w:cstheme="majorBidi"/>
          <w:b/>
          <w:color w:val="auto"/>
          <w:kern w:val="2"/>
          <w:sz w:val="21"/>
          <w:szCs w:val="20"/>
          <w:lang w:val="en-US" w:eastAsia="zh-CN" w:bidi="ar-SA"/>
        </w:rPr>
        <w:t>1</w:t>
      </w:r>
      <w:r>
        <w:rPr>
          <w:rFonts w:hint="eastAsia" w:ascii="Times New Roman" w:hAnsi="Times New Roman" w:eastAsia="宋体" w:cstheme="majorBidi"/>
          <w:b/>
          <w:color w:val="auto"/>
          <w:kern w:val="2"/>
          <w:sz w:val="21"/>
          <w:szCs w:val="20"/>
          <w:lang w:val="en-US" w:eastAsia="zh-CN" w:bidi="ar-SA"/>
        </w:rPr>
        <w:t>起重臂</w:t>
      </w:r>
      <w:r>
        <w:rPr>
          <w:rFonts w:hint="eastAsia" w:cstheme="majorBidi"/>
          <w:b/>
          <w:color w:val="auto"/>
          <w:kern w:val="2"/>
          <w:sz w:val="21"/>
          <w:szCs w:val="20"/>
          <w:lang w:val="en-US" w:eastAsia="zh-CN" w:bidi="ar-SA"/>
        </w:rPr>
        <w:t>臂节二、三、四</w:t>
      </w:r>
      <w:r>
        <w:rPr>
          <w:rFonts w:hint="eastAsia" w:ascii="Times New Roman" w:hAnsi="Times New Roman" w:eastAsia="宋体" w:cstheme="majorBidi"/>
          <w:b/>
          <w:color w:val="auto"/>
          <w:kern w:val="2"/>
          <w:sz w:val="21"/>
          <w:szCs w:val="20"/>
          <w:lang w:val="en-US" w:eastAsia="zh-CN" w:bidi="ar-SA"/>
        </w:rPr>
        <w:t>吊装</w:t>
      </w:r>
      <w:r>
        <w:rPr>
          <w:rFonts w:hint="eastAsia" w:cstheme="majorBidi"/>
          <w:b/>
          <w:color w:val="auto"/>
          <w:kern w:val="2"/>
          <w:sz w:val="21"/>
          <w:szCs w:val="20"/>
          <w:lang w:val="en-US" w:eastAsia="zh-CN" w:bidi="ar-SA"/>
        </w:rPr>
        <w:t>立</w:t>
      </w:r>
      <w:r>
        <w:rPr>
          <w:rFonts w:hint="eastAsia" w:ascii="Times New Roman" w:hAnsi="Times New Roman" w:eastAsia="宋体" w:cstheme="majorBidi"/>
          <w:b/>
          <w:color w:val="auto"/>
          <w:kern w:val="2"/>
          <w:sz w:val="21"/>
          <w:szCs w:val="20"/>
          <w:lang w:val="en-US" w:eastAsia="zh-CN" w:bidi="ar-SA"/>
        </w:rPr>
        <w:t>面示意图</w:t>
      </w:r>
    </w:p>
    <w:p w14:paraId="31496520">
      <w:pPr>
        <w:keepNext w:val="0"/>
        <w:keepLines w:val="0"/>
        <w:widowControl/>
        <w:suppressLineNumbers w:val="0"/>
        <w:jc w:val="center"/>
      </w:pPr>
      <w:r>
        <w:drawing>
          <wp:inline distT="0" distB="0" distL="114300" distR="114300">
            <wp:extent cx="2552065" cy="3190240"/>
            <wp:effectExtent l="0" t="0" r="635" b="10160"/>
            <wp:docPr id="5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4"/>
                    <pic:cNvPicPr>
                      <a:picLocks noChangeAspect="1"/>
                    </pic:cNvPicPr>
                  </pic:nvPicPr>
                  <pic:blipFill>
                    <a:blip r:embed="rId56"/>
                    <a:stretch>
                      <a:fillRect/>
                    </a:stretch>
                  </pic:blipFill>
                  <pic:spPr>
                    <a:xfrm>
                      <a:off x="0" y="0"/>
                      <a:ext cx="2552065" cy="3190240"/>
                    </a:xfrm>
                    <a:prstGeom prst="rect">
                      <a:avLst/>
                    </a:prstGeom>
                    <a:noFill/>
                    <a:ln>
                      <a:noFill/>
                    </a:ln>
                  </pic:spPr>
                </pic:pic>
              </a:graphicData>
            </a:graphic>
          </wp:inline>
        </w:drawing>
      </w:r>
      <w:r>
        <w:drawing>
          <wp:inline distT="0" distB="0" distL="114300" distR="114300">
            <wp:extent cx="3926840" cy="2358390"/>
            <wp:effectExtent l="0" t="0" r="16510" b="3810"/>
            <wp:docPr id="5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5"/>
                    <pic:cNvPicPr>
                      <a:picLocks noChangeAspect="1"/>
                    </pic:cNvPicPr>
                  </pic:nvPicPr>
                  <pic:blipFill>
                    <a:blip r:embed="rId57"/>
                    <a:stretch>
                      <a:fillRect/>
                    </a:stretch>
                  </pic:blipFill>
                  <pic:spPr>
                    <a:xfrm>
                      <a:off x="0" y="0"/>
                      <a:ext cx="3926840" cy="2358390"/>
                    </a:xfrm>
                    <a:prstGeom prst="rect">
                      <a:avLst/>
                    </a:prstGeom>
                    <a:noFill/>
                    <a:ln>
                      <a:noFill/>
                    </a:ln>
                  </pic:spPr>
                </pic:pic>
              </a:graphicData>
            </a:graphic>
          </wp:inline>
        </w:drawing>
      </w:r>
      <w:r>
        <w:drawing>
          <wp:inline distT="0" distB="0" distL="114300" distR="114300">
            <wp:extent cx="3691890" cy="2140585"/>
            <wp:effectExtent l="0" t="0" r="3810" b="12065"/>
            <wp:docPr id="5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8"/>
                    <pic:cNvPicPr>
                      <a:picLocks noChangeAspect="1"/>
                    </pic:cNvPicPr>
                  </pic:nvPicPr>
                  <pic:blipFill>
                    <a:blip r:embed="rId58"/>
                    <a:stretch>
                      <a:fillRect/>
                    </a:stretch>
                  </pic:blipFill>
                  <pic:spPr>
                    <a:xfrm>
                      <a:off x="0" y="0"/>
                      <a:ext cx="3691890" cy="2140585"/>
                    </a:xfrm>
                    <a:prstGeom prst="rect">
                      <a:avLst/>
                    </a:prstGeom>
                    <a:noFill/>
                    <a:ln>
                      <a:noFill/>
                    </a:ln>
                  </pic:spPr>
                </pic:pic>
              </a:graphicData>
            </a:graphic>
          </wp:inline>
        </w:drawing>
      </w:r>
    </w:p>
    <w:p w14:paraId="53DB8C51">
      <w:pPr>
        <w:keepNext w:val="0"/>
        <w:keepLines w:val="0"/>
        <w:widowControl/>
        <w:suppressLineNumbers w:val="0"/>
        <w:jc w:val="center"/>
        <w:rPr>
          <w:rFonts w:hint="eastAsia" w:ascii="Times New Roman" w:hAnsi="Times New Roman" w:eastAsia="宋体" w:cstheme="majorBidi"/>
          <w:b/>
          <w:color w:val="auto"/>
          <w:kern w:val="2"/>
          <w:sz w:val="21"/>
          <w:szCs w:val="20"/>
          <w:lang w:val="en-US" w:eastAsia="zh-CN" w:bidi="ar-SA"/>
        </w:rPr>
      </w:pPr>
      <w:r>
        <w:rPr>
          <w:rFonts w:hint="eastAsia" w:ascii="Times New Roman" w:hAnsi="Times New Roman" w:eastAsia="宋体" w:cstheme="majorBidi"/>
          <w:b/>
          <w:color w:val="auto"/>
          <w:kern w:val="2"/>
          <w:sz w:val="21"/>
          <w:szCs w:val="20"/>
          <w:lang w:val="en-US" w:eastAsia="zh-CN" w:bidi="ar-SA"/>
        </w:rPr>
        <w:t>图 4.4.</w:t>
      </w:r>
      <w:r>
        <w:rPr>
          <w:rFonts w:hint="eastAsia" w:cstheme="majorBidi"/>
          <w:b/>
          <w:color w:val="auto"/>
          <w:kern w:val="2"/>
          <w:sz w:val="21"/>
          <w:szCs w:val="20"/>
          <w:lang w:val="en-US" w:eastAsia="zh-CN" w:bidi="ar-SA"/>
        </w:rPr>
        <w:t>9</w:t>
      </w:r>
      <w:r>
        <w:rPr>
          <w:rFonts w:hint="eastAsia" w:ascii="Times New Roman" w:hAnsi="Times New Roman" w:eastAsia="宋体" w:cstheme="majorBidi"/>
          <w:b/>
          <w:color w:val="auto"/>
          <w:kern w:val="2"/>
          <w:sz w:val="21"/>
          <w:szCs w:val="20"/>
          <w:lang w:val="en-US" w:eastAsia="zh-CN" w:bidi="ar-SA"/>
        </w:rPr>
        <w:noBreakHyphen/>
      </w:r>
      <w:r>
        <w:rPr>
          <w:rFonts w:hint="eastAsia" w:cstheme="majorBidi"/>
          <w:b/>
          <w:color w:val="auto"/>
          <w:kern w:val="2"/>
          <w:sz w:val="21"/>
          <w:szCs w:val="20"/>
          <w:lang w:val="en-US" w:eastAsia="zh-CN" w:bidi="ar-SA"/>
        </w:rPr>
        <w:t>2</w:t>
      </w:r>
      <w:r>
        <w:rPr>
          <w:rFonts w:hint="eastAsia" w:ascii="Times New Roman" w:hAnsi="Times New Roman" w:eastAsia="宋体" w:cstheme="majorBidi"/>
          <w:b/>
          <w:color w:val="auto"/>
          <w:kern w:val="2"/>
          <w:sz w:val="21"/>
          <w:szCs w:val="20"/>
          <w:lang w:val="en-US" w:eastAsia="zh-CN" w:bidi="ar-SA"/>
        </w:rPr>
        <w:t>起重臂</w:t>
      </w:r>
      <w:r>
        <w:rPr>
          <w:rFonts w:hint="eastAsia" w:cstheme="majorBidi"/>
          <w:b/>
          <w:color w:val="auto"/>
          <w:kern w:val="2"/>
          <w:sz w:val="21"/>
          <w:szCs w:val="20"/>
          <w:lang w:val="en-US" w:eastAsia="zh-CN" w:bidi="ar-SA"/>
        </w:rPr>
        <w:t>臂节二、三、四</w:t>
      </w:r>
      <w:r>
        <w:rPr>
          <w:rFonts w:hint="eastAsia" w:ascii="Times New Roman" w:hAnsi="Times New Roman" w:eastAsia="宋体" w:cstheme="majorBidi"/>
          <w:b/>
          <w:color w:val="auto"/>
          <w:kern w:val="2"/>
          <w:sz w:val="21"/>
          <w:szCs w:val="20"/>
          <w:lang w:val="en-US" w:eastAsia="zh-CN" w:bidi="ar-SA"/>
        </w:rPr>
        <w:t>吊装平面示意图</w:t>
      </w:r>
    </w:p>
    <w:p w14:paraId="2C9B4F7F">
      <w:pPr>
        <w:keepNext w:val="0"/>
        <w:keepLines w:val="0"/>
        <w:widowControl/>
        <w:suppressLineNumbers w:val="0"/>
        <w:ind w:left="0" w:leftChars="0" w:firstLine="0" w:firstLineChars="0"/>
        <w:jc w:val="center"/>
      </w:pPr>
      <w:r>
        <w:drawing>
          <wp:inline distT="0" distB="0" distL="114300" distR="114300">
            <wp:extent cx="3896360" cy="2735580"/>
            <wp:effectExtent l="0" t="0" r="8890" b="7620"/>
            <wp:docPr id="5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7"/>
                    <pic:cNvPicPr>
                      <a:picLocks noChangeAspect="1"/>
                    </pic:cNvPicPr>
                  </pic:nvPicPr>
                  <pic:blipFill>
                    <a:blip r:embed="rId59"/>
                    <a:stretch>
                      <a:fillRect/>
                    </a:stretch>
                  </pic:blipFill>
                  <pic:spPr>
                    <a:xfrm>
                      <a:off x="0" y="0"/>
                      <a:ext cx="3896360" cy="2735580"/>
                    </a:xfrm>
                    <a:prstGeom prst="rect">
                      <a:avLst/>
                    </a:prstGeom>
                    <a:noFill/>
                    <a:ln>
                      <a:noFill/>
                    </a:ln>
                  </pic:spPr>
                </pic:pic>
              </a:graphicData>
            </a:graphic>
          </wp:inline>
        </w:drawing>
      </w:r>
      <w:r>
        <w:drawing>
          <wp:inline distT="0" distB="0" distL="114300" distR="114300">
            <wp:extent cx="3921125" cy="2557780"/>
            <wp:effectExtent l="0" t="0" r="3175" b="13970"/>
            <wp:docPr id="6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9"/>
                    <pic:cNvPicPr>
                      <a:picLocks noChangeAspect="1"/>
                    </pic:cNvPicPr>
                  </pic:nvPicPr>
                  <pic:blipFill>
                    <a:blip r:embed="rId60"/>
                    <a:stretch>
                      <a:fillRect/>
                    </a:stretch>
                  </pic:blipFill>
                  <pic:spPr>
                    <a:xfrm>
                      <a:off x="0" y="0"/>
                      <a:ext cx="3921125" cy="2557780"/>
                    </a:xfrm>
                    <a:prstGeom prst="rect">
                      <a:avLst/>
                    </a:prstGeom>
                    <a:noFill/>
                    <a:ln>
                      <a:noFill/>
                    </a:ln>
                  </pic:spPr>
                </pic:pic>
              </a:graphicData>
            </a:graphic>
          </wp:inline>
        </w:drawing>
      </w:r>
    </w:p>
    <w:p w14:paraId="5491FC97">
      <w:pPr>
        <w:keepNext w:val="0"/>
        <w:keepLines w:val="0"/>
        <w:widowControl/>
        <w:suppressLineNumbers w:val="0"/>
        <w:ind w:left="0" w:leftChars="0" w:firstLine="0" w:firstLineChars="0"/>
        <w:jc w:val="center"/>
      </w:pPr>
      <w:r>
        <w:drawing>
          <wp:inline distT="0" distB="0" distL="114300" distR="114300">
            <wp:extent cx="4194810" cy="2575560"/>
            <wp:effectExtent l="0" t="0" r="15240" b="15240"/>
            <wp:docPr id="62"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0"/>
                    <pic:cNvPicPr>
                      <a:picLocks noChangeAspect="1"/>
                    </pic:cNvPicPr>
                  </pic:nvPicPr>
                  <pic:blipFill>
                    <a:blip r:embed="rId61"/>
                    <a:stretch>
                      <a:fillRect/>
                    </a:stretch>
                  </pic:blipFill>
                  <pic:spPr>
                    <a:xfrm>
                      <a:off x="0" y="0"/>
                      <a:ext cx="4194810" cy="2575560"/>
                    </a:xfrm>
                    <a:prstGeom prst="rect">
                      <a:avLst/>
                    </a:prstGeom>
                    <a:noFill/>
                    <a:ln>
                      <a:noFill/>
                    </a:ln>
                  </pic:spPr>
                </pic:pic>
              </a:graphicData>
            </a:graphic>
          </wp:inline>
        </w:drawing>
      </w:r>
    </w:p>
    <w:p w14:paraId="1C4C0A95">
      <w:pPr>
        <w:keepNext w:val="0"/>
        <w:keepLines w:val="0"/>
        <w:widowControl/>
        <w:suppressLineNumbers w:val="0"/>
        <w:ind w:left="0" w:leftChars="0" w:firstLine="0" w:firstLineChars="0"/>
        <w:jc w:val="center"/>
        <w:rPr>
          <w:rFonts w:hint="eastAsia" w:ascii="Times New Roman" w:hAnsi="Times New Roman" w:eastAsia="宋体" w:cstheme="majorBidi"/>
          <w:b/>
          <w:color w:val="auto"/>
          <w:kern w:val="2"/>
          <w:sz w:val="21"/>
          <w:szCs w:val="20"/>
          <w:lang w:val="en-US" w:eastAsia="zh-CN" w:bidi="ar-SA"/>
        </w:rPr>
      </w:pPr>
      <w:r>
        <w:rPr>
          <w:rFonts w:hint="eastAsia" w:ascii="Times New Roman" w:hAnsi="Times New Roman" w:eastAsia="宋体" w:cstheme="majorBidi"/>
          <w:b/>
          <w:color w:val="auto"/>
          <w:kern w:val="2"/>
          <w:sz w:val="21"/>
          <w:szCs w:val="20"/>
          <w:lang w:val="en-US" w:eastAsia="zh-CN" w:bidi="ar-SA"/>
        </w:rPr>
        <w:t>图 4.4.</w:t>
      </w:r>
      <w:r>
        <w:rPr>
          <w:rFonts w:hint="eastAsia" w:cstheme="majorBidi"/>
          <w:b/>
          <w:color w:val="auto"/>
          <w:kern w:val="2"/>
          <w:sz w:val="21"/>
          <w:szCs w:val="20"/>
          <w:lang w:val="en-US" w:eastAsia="zh-CN" w:bidi="ar-SA"/>
        </w:rPr>
        <w:t>9</w:t>
      </w:r>
      <w:r>
        <w:rPr>
          <w:rFonts w:hint="eastAsia" w:ascii="Times New Roman" w:hAnsi="Times New Roman" w:eastAsia="宋体" w:cstheme="majorBidi"/>
          <w:b/>
          <w:color w:val="auto"/>
          <w:kern w:val="2"/>
          <w:sz w:val="21"/>
          <w:szCs w:val="20"/>
          <w:lang w:val="en-US" w:eastAsia="zh-CN" w:bidi="ar-SA"/>
        </w:rPr>
        <w:noBreakHyphen/>
      </w:r>
      <w:r>
        <w:rPr>
          <w:rFonts w:hint="eastAsia" w:cstheme="majorBidi"/>
          <w:b/>
          <w:color w:val="auto"/>
          <w:kern w:val="2"/>
          <w:sz w:val="21"/>
          <w:szCs w:val="20"/>
          <w:lang w:val="en-US" w:eastAsia="zh-CN" w:bidi="ar-SA"/>
        </w:rPr>
        <w:t>3</w:t>
      </w:r>
      <w:r>
        <w:rPr>
          <w:rFonts w:hint="eastAsia" w:ascii="Times New Roman" w:hAnsi="Times New Roman" w:eastAsia="宋体" w:cstheme="majorBidi"/>
          <w:b/>
          <w:color w:val="auto"/>
          <w:kern w:val="2"/>
          <w:sz w:val="21"/>
          <w:szCs w:val="20"/>
          <w:lang w:val="en-US" w:eastAsia="zh-CN" w:bidi="ar-SA"/>
        </w:rPr>
        <w:t>起重臂</w:t>
      </w:r>
      <w:r>
        <w:rPr>
          <w:rFonts w:hint="eastAsia" w:cstheme="majorBidi"/>
          <w:b/>
          <w:color w:val="auto"/>
          <w:kern w:val="2"/>
          <w:sz w:val="21"/>
          <w:szCs w:val="20"/>
          <w:lang w:val="en-US" w:eastAsia="zh-CN" w:bidi="ar-SA"/>
        </w:rPr>
        <w:t>臂节五、六、七及臂头</w:t>
      </w:r>
      <w:r>
        <w:rPr>
          <w:rFonts w:hint="eastAsia" w:ascii="Times New Roman" w:hAnsi="Times New Roman" w:eastAsia="宋体" w:cstheme="majorBidi"/>
          <w:b/>
          <w:color w:val="auto"/>
          <w:kern w:val="2"/>
          <w:sz w:val="21"/>
          <w:szCs w:val="20"/>
          <w:lang w:val="en-US" w:eastAsia="zh-CN" w:bidi="ar-SA"/>
        </w:rPr>
        <w:t>吊装</w:t>
      </w:r>
      <w:r>
        <w:rPr>
          <w:rFonts w:hint="eastAsia" w:cstheme="majorBidi"/>
          <w:b/>
          <w:color w:val="auto"/>
          <w:kern w:val="2"/>
          <w:sz w:val="21"/>
          <w:szCs w:val="20"/>
          <w:lang w:val="en-US" w:eastAsia="zh-CN" w:bidi="ar-SA"/>
        </w:rPr>
        <w:t>立</w:t>
      </w:r>
      <w:r>
        <w:rPr>
          <w:rFonts w:hint="eastAsia" w:ascii="Times New Roman" w:hAnsi="Times New Roman" w:eastAsia="宋体" w:cstheme="majorBidi"/>
          <w:b/>
          <w:color w:val="auto"/>
          <w:kern w:val="2"/>
          <w:sz w:val="21"/>
          <w:szCs w:val="20"/>
          <w:lang w:val="en-US" w:eastAsia="zh-CN" w:bidi="ar-SA"/>
        </w:rPr>
        <w:t>面示意图</w:t>
      </w:r>
    </w:p>
    <w:p w14:paraId="1FE3BE0A">
      <w:pPr>
        <w:keepNext w:val="0"/>
        <w:keepLines w:val="0"/>
        <w:widowControl/>
        <w:suppressLineNumbers w:val="0"/>
        <w:ind w:left="0" w:leftChars="0" w:firstLine="0" w:firstLineChars="0"/>
        <w:jc w:val="center"/>
      </w:pPr>
      <w:r>
        <w:drawing>
          <wp:inline distT="0" distB="0" distL="114300" distR="114300">
            <wp:extent cx="3020695" cy="2560955"/>
            <wp:effectExtent l="0" t="0" r="8255" b="10795"/>
            <wp:docPr id="63"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51"/>
                    <pic:cNvPicPr>
                      <a:picLocks noChangeAspect="1"/>
                    </pic:cNvPicPr>
                  </pic:nvPicPr>
                  <pic:blipFill>
                    <a:blip r:embed="rId62"/>
                    <a:stretch>
                      <a:fillRect/>
                    </a:stretch>
                  </pic:blipFill>
                  <pic:spPr>
                    <a:xfrm>
                      <a:off x="0" y="0"/>
                      <a:ext cx="3020695" cy="2560955"/>
                    </a:xfrm>
                    <a:prstGeom prst="rect">
                      <a:avLst/>
                    </a:prstGeom>
                    <a:noFill/>
                    <a:ln>
                      <a:noFill/>
                    </a:ln>
                  </pic:spPr>
                </pic:pic>
              </a:graphicData>
            </a:graphic>
          </wp:inline>
        </w:drawing>
      </w:r>
    </w:p>
    <w:p w14:paraId="5569C28D">
      <w:pPr>
        <w:keepNext w:val="0"/>
        <w:keepLines w:val="0"/>
        <w:widowControl/>
        <w:suppressLineNumbers w:val="0"/>
        <w:ind w:left="0" w:leftChars="0" w:firstLine="0" w:firstLineChars="0"/>
        <w:jc w:val="center"/>
      </w:pPr>
      <w:r>
        <w:drawing>
          <wp:inline distT="0" distB="0" distL="114300" distR="114300">
            <wp:extent cx="3027680" cy="2492375"/>
            <wp:effectExtent l="0" t="0" r="1270" b="3175"/>
            <wp:docPr id="6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2"/>
                    <pic:cNvPicPr>
                      <a:picLocks noChangeAspect="1"/>
                    </pic:cNvPicPr>
                  </pic:nvPicPr>
                  <pic:blipFill>
                    <a:blip r:embed="rId63"/>
                    <a:stretch>
                      <a:fillRect/>
                    </a:stretch>
                  </pic:blipFill>
                  <pic:spPr>
                    <a:xfrm>
                      <a:off x="0" y="0"/>
                      <a:ext cx="3027680" cy="2492375"/>
                    </a:xfrm>
                    <a:prstGeom prst="rect">
                      <a:avLst/>
                    </a:prstGeom>
                    <a:noFill/>
                    <a:ln>
                      <a:noFill/>
                    </a:ln>
                  </pic:spPr>
                </pic:pic>
              </a:graphicData>
            </a:graphic>
          </wp:inline>
        </w:drawing>
      </w:r>
      <w:r>
        <w:drawing>
          <wp:inline distT="0" distB="0" distL="114300" distR="114300">
            <wp:extent cx="3081020" cy="2403475"/>
            <wp:effectExtent l="0" t="0" r="5080" b="15875"/>
            <wp:docPr id="67"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3"/>
                    <pic:cNvPicPr>
                      <a:picLocks noChangeAspect="1"/>
                    </pic:cNvPicPr>
                  </pic:nvPicPr>
                  <pic:blipFill>
                    <a:blip r:embed="rId64"/>
                    <a:stretch>
                      <a:fillRect/>
                    </a:stretch>
                  </pic:blipFill>
                  <pic:spPr>
                    <a:xfrm>
                      <a:off x="0" y="0"/>
                      <a:ext cx="3081020" cy="2403475"/>
                    </a:xfrm>
                    <a:prstGeom prst="rect">
                      <a:avLst/>
                    </a:prstGeom>
                    <a:noFill/>
                    <a:ln>
                      <a:noFill/>
                    </a:ln>
                  </pic:spPr>
                </pic:pic>
              </a:graphicData>
            </a:graphic>
          </wp:inline>
        </w:drawing>
      </w:r>
    </w:p>
    <w:p w14:paraId="08F19DE5">
      <w:pPr>
        <w:keepNext w:val="0"/>
        <w:keepLines w:val="0"/>
        <w:widowControl/>
        <w:suppressLineNumbers w:val="0"/>
        <w:ind w:left="0" w:leftChars="0" w:firstLine="0" w:firstLineChars="0"/>
        <w:jc w:val="center"/>
        <w:rPr>
          <w:rFonts w:hint="eastAsia" w:ascii="Times New Roman" w:hAnsi="Times New Roman" w:eastAsia="宋体" w:cstheme="majorBidi"/>
          <w:b/>
          <w:color w:val="auto"/>
          <w:kern w:val="2"/>
          <w:sz w:val="21"/>
          <w:szCs w:val="20"/>
          <w:lang w:val="en-US" w:eastAsia="zh-CN" w:bidi="ar-SA"/>
        </w:rPr>
      </w:pPr>
      <w:r>
        <w:rPr>
          <w:rFonts w:hint="eastAsia" w:ascii="Times New Roman" w:hAnsi="Times New Roman" w:eastAsia="宋体" w:cstheme="majorBidi"/>
          <w:b/>
          <w:color w:val="auto"/>
          <w:kern w:val="2"/>
          <w:sz w:val="21"/>
          <w:szCs w:val="20"/>
          <w:lang w:val="en-US" w:eastAsia="zh-CN" w:bidi="ar-SA"/>
        </w:rPr>
        <w:t>图 4.4.</w:t>
      </w:r>
      <w:r>
        <w:rPr>
          <w:rFonts w:hint="eastAsia" w:cstheme="majorBidi"/>
          <w:b/>
          <w:color w:val="auto"/>
          <w:kern w:val="2"/>
          <w:sz w:val="21"/>
          <w:szCs w:val="20"/>
          <w:lang w:val="en-US" w:eastAsia="zh-CN" w:bidi="ar-SA"/>
        </w:rPr>
        <w:t>9</w:t>
      </w:r>
      <w:r>
        <w:rPr>
          <w:rFonts w:hint="eastAsia" w:ascii="Times New Roman" w:hAnsi="Times New Roman" w:eastAsia="宋体" w:cstheme="majorBidi"/>
          <w:b/>
          <w:color w:val="auto"/>
          <w:kern w:val="2"/>
          <w:sz w:val="21"/>
          <w:szCs w:val="20"/>
          <w:lang w:val="en-US" w:eastAsia="zh-CN" w:bidi="ar-SA"/>
        </w:rPr>
        <w:noBreakHyphen/>
      </w:r>
      <w:r>
        <w:rPr>
          <w:rFonts w:hint="eastAsia" w:cstheme="majorBidi"/>
          <w:b/>
          <w:color w:val="auto"/>
          <w:kern w:val="2"/>
          <w:sz w:val="21"/>
          <w:szCs w:val="20"/>
          <w:lang w:val="en-US" w:eastAsia="zh-CN" w:bidi="ar-SA"/>
        </w:rPr>
        <w:t>4</w:t>
      </w:r>
      <w:r>
        <w:rPr>
          <w:rFonts w:hint="eastAsia" w:ascii="Times New Roman" w:hAnsi="Times New Roman" w:eastAsia="宋体" w:cstheme="majorBidi"/>
          <w:b/>
          <w:color w:val="auto"/>
          <w:kern w:val="2"/>
          <w:sz w:val="21"/>
          <w:szCs w:val="20"/>
          <w:lang w:val="en-US" w:eastAsia="zh-CN" w:bidi="ar-SA"/>
        </w:rPr>
        <w:t>起重臂</w:t>
      </w:r>
      <w:r>
        <w:rPr>
          <w:rFonts w:hint="eastAsia" w:cstheme="majorBidi"/>
          <w:b/>
          <w:color w:val="auto"/>
          <w:kern w:val="2"/>
          <w:sz w:val="21"/>
          <w:szCs w:val="20"/>
          <w:lang w:val="en-US" w:eastAsia="zh-CN" w:bidi="ar-SA"/>
        </w:rPr>
        <w:t>臂节五、六、七及臂头</w:t>
      </w:r>
      <w:r>
        <w:rPr>
          <w:rFonts w:hint="eastAsia" w:ascii="Times New Roman" w:hAnsi="Times New Roman" w:eastAsia="宋体" w:cstheme="majorBidi"/>
          <w:b/>
          <w:color w:val="auto"/>
          <w:kern w:val="2"/>
          <w:sz w:val="21"/>
          <w:szCs w:val="20"/>
          <w:lang w:val="en-US" w:eastAsia="zh-CN" w:bidi="ar-SA"/>
        </w:rPr>
        <w:t>吊装平面示意图</w:t>
      </w:r>
    </w:p>
    <w:p w14:paraId="5A45A8C8">
      <w:pPr>
        <w:widowControl w:val="0"/>
        <w:numPr>
          <w:ilvl w:val="0"/>
          <w:numId w:val="0"/>
        </w:numPr>
        <w:adjustRightInd/>
        <w:snapToGrid/>
        <w:ind w:firstLine="480" w:firstLineChars="200"/>
        <w:rPr>
          <w:rFonts w:hint="eastAsia" w:ascii="宋体" w:hAnsi="宋体" w:eastAsia="宋体" w:cs="宋体"/>
          <w:b/>
          <w:bCs/>
          <w:szCs w:val="24"/>
        </w:rPr>
      </w:pPr>
      <w:r>
        <w:rPr>
          <w:rFonts w:hint="eastAsia" w:ascii="Times New Roman" w:hAnsi="Times New Roman" w:eastAsia="宋体" w:cs="Times New Roman"/>
          <w:szCs w:val="21"/>
        </w:rPr>
        <w:t>塔吊起重臂总成安装时设置警戒区，起吊安排专人负责指挥，专人操作，严禁无关人员进入起重作业范围内。</w:t>
      </w:r>
    </w:p>
    <w:p w14:paraId="7038A545">
      <w:pPr>
        <w:pStyle w:val="4"/>
        <w:bidi w:val="0"/>
        <w:ind w:left="720" w:leftChars="0" w:hanging="720" w:firstLineChars="0"/>
        <w:rPr>
          <w:rFonts w:hint="eastAsia"/>
          <w:b/>
          <w:bCs w:val="0"/>
          <w:lang w:val="en-US" w:eastAsia="zh-CN"/>
        </w:rPr>
      </w:pPr>
      <w:r>
        <w:rPr>
          <w:rFonts w:hint="eastAsia"/>
          <w:b/>
          <w:bCs w:val="0"/>
          <w:lang w:val="en-US" w:eastAsia="zh-CN"/>
        </w:rPr>
        <w:t>安装剩余平衡重</w:t>
      </w:r>
    </w:p>
    <w:p w14:paraId="7219885D">
      <w:pPr>
        <w:widowControl w:val="0"/>
        <w:adjustRightInd/>
        <w:snapToGrid/>
        <w:ind w:firstLine="480"/>
        <w:rPr>
          <w:rFonts w:hint="eastAsia" w:ascii="Times New Roman" w:hAnsi="Times New Roman" w:eastAsia="宋体" w:cs="Times New Roman"/>
          <w:szCs w:val="21"/>
          <w:highlight w:val="none"/>
        </w:rPr>
      </w:pPr>
      <w:r>
        <w:rPr>
          <w:rFonts w:hint="eastAsia" w:ascii="Times New Roman" w:hAnsi="Times New Roman" w:eastAsia="宋体" w:cs="Times New Roman"/>
          <w:szCs w:val="21"/>
          <w:highlight w:val="none"/>
        </w:rPr>
        <w:t>剩余平衡重吊装方法同</w:t>
      </w:r>
      <w:r>
        <w:rPr>
          <w:rFonts w:hint="eastAsia" w:ascii="Times New Roman" w:hAnsi="Times New Roman" w:eastAsia="宋体" w:cs="Times New Roman"/>
          <w:b w:val="0"/>
          <w:bCs w:val="0"/>
          <w:szCs w:val="21"/>
          <w:highlight w:val="none"/>
        </w:rPr>
        <w:t>安装第1块平衡重</w:t>
      </w:r>
      <w:r>
        <w:rPr>
          <w:rFonts w:hint="eastAsia" w:ascii="Times New Roman" w:hAnsi="Times New Roman" w:eastAsia="宋体" w:cs="Times New Roman"/>
          <w:szCs w:val="21"/>
          <w:highlight w:val="none"/>
        </w:rPr>
        <w:t>。吊装完成后检查并确认相邻平衡重块的整个表面是否贴紧。</w:t>
      </w:r>
    </w:p>
    <w:p w14:paraId="5CC7CC1C">
      <w:pPr>
        <w:pStyle w:val="14"/>
        <w:jc w:val="center"/>
      </w:pPr>
      <w:r>
        <w:drawing>
          <wp:inline distT="0" distB="0" distL="114300" distR="114300">
            <wp:extent cx="3620770" cy="3107690"/>
            <wp:effectExtent l="0" t="0" r="17780" b="16510"/>
            <wp:docPr id="6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4"/>
                    <pic:cNvPicPr>
                      <a:picLocks noChangeAspect="1"/>
                    </pic:cNvPicPr>
                  </pic:nvPicPr>
                  <pic:blipFill>
                    <a:blip r:embed="rId65"/>
                    <a:stretch>
                      <a:fillRect/>
                    </a:stretch>
                  </pic:blipFill>
                  <pic:spPr>
                    <a:xfrm>
                      <a:off x="0" y="0"/>
                      <a:ext cx="3620770" cy="3107690"/>
                    </a:xfrm>
                    <a:prstGeom prst="rect">
                      <a:avLst/>
                    </a:prstGeom>
                    <a:noFill/>
                    <a:ln>
                      <a:noFill/>
                    </a:ln>
                  </pic:spPr>
                </pic:pic>
              </a:graphicData>
            </a:graphic>
          </wp:inline>
        </w:drawing>
      </w:r>
    </w:p>
    <w:p w14:paraId="1BC8BA5D">
      <w:pPr>
        <w:pStyle w:val="14"/>
        <w:jc w:val="center"/>
        <w:rPr>
          <w:rFonts w:hint="default"/>
          <w:lang w:val="en-US" w:eastAsia="zh-CN"/>
        </w:rPr>
      </w:pPr>
      <w:r>
        <w:rPr>
          <w:rFonts w:hint="eastAsia" w:ascii="Times New Roman" w:hAnsi="Times New Roman" w:eastAsia="宋体" w:cstheme="majorBidi"/>
          <w:b/>
          <w:color w:val="auto"/>
          <w:kern w:val="2"/>
          <w:sz w:val="21"/>
          <w:szCs w:val="20"/>
          <w:lang w:val="en-US" w:eastAsia="zh-CN" w:bidi="ar-SA"/>
        </w:rPr>
        <w:t>图4.4.10-1 55米臂长平衡重组合图</w:t>
      </w:r>
    </w:p>
    <w:p w14:paraId="5502B2E8">
      <w:pPr>
        <w:widowControl/>
        <w:adjustRightInd w:val="0"/>
        <w:snapToGrid w:val="0"/>
        <w:ind w:left="0" w:leftChars="0" w:firstLine="480" w:firstLineChars="200"/>
        <w:rPr>
          <w:rFonts w:hint="eastAsia" w:eastAsia="宋体" w:cs="Times New Roman"/>
          <w:color w:val="auto"/>
          <w:szCs w:val="21"/>
          <w:highlight w:val="none"/>
          <w:lang w:val="en-US" w:eastAsia="zh-CN"/>
        </w:rPr>
      </w:pPr>
      <w:r>
        <w:rPr>
          <w:rFonts w:hint="eastAsia" w:eastAsia="宋体" w:cs="Times New Roman"/>
          <w:color w:val="auto"/>
          <w:szCs w:val="21"/>
          <w:highlight w:val="none"/>
          <w:lang w:val="en-US" w:eastAsia="zh-CN"/>
        </w:rPr>
        <w:t>按从</w:t>
      </w:r>
      <w:r>
        <w:rPr>
          <w:rFonts w:hint="eastAsia" w:cs="Times New Roman"/>
          <w:color w:val="auto"/>
          <w:szCs w:val="21"/>
          <w:highlight w:val="none"/>
          <w:lang w:val="en-US" w:eastAsia="zh-CN"/>
        </w:rPr>
        <w:t>起升机构</w:t>
      </w:r>
      <w:r>
        <w:rPr>
          <w:rFonts w:hint="eastAsia" w:eastAsia="宋体" w:cs="Times New Roman"/>
          <w:color w:val="auto"/>
          <w:szCs w:val="21"/>
          <w:highlight w:val="none"/>
          <w:lang w:val="en-US" w:eastAsia="zh-CN"/>
        </w:rPr>
        <w:t>侧向</w:t>
      </w:r>
      <w:r>
        <w:rPr>
          <w:rFonts w:hint="eastAsia" w:cs="Times New Roman"/>
          <w:color w:val="auto"/>
          <w:szCs w:val="21"/>
          <w:highlight w:val="none"/>
          <w:lang w:val="en-US" w:eastAsia="zh-CN"/>
        </w:rPr>
        <w:t>塔身</w:t>
      </w:r>
      <w:r>
        <w:rPr>
          <w:rFonts w:hint="eastAsia" w:eastAsia="宋体" w:cs="Times New Roman"/>
          <w:color w:val="auto"/>
          <w:szCs w:val="21"/>
          <w:highlight w:val="none"/>
          <w:lang w:val="en-US" w:eastAsia="zh-CN"/>
        </w:rPr>
        <w:t>侧依次吊装平衡重。</w:t>
      </w:r>
    </w:p>
    <w:p w14:paraId="1489971C">
      <w:pPr>
        <w:widowControl w:val="0"/>
        <w:adjustRightInd/>
        <w:snapToGrid/>
        <w:ind w:firstLine="480"/>
        <w:rPr>
          <w:rFonts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作业人员在地面上先将钢丝绳一端挂在</w:t>
      </w:r>
      <w:r>
        <w:rPr>
          <w:rFonts w:hint="eastAsia" w:cs="Times New Roman"/>
          <w:color w:val="auto"/>
          <w:szCs w:val="21"/>
          <w:highlight w:val="none"/>
          <w:lang w:eastAsia="zh-CN"/>
        </w:rPr>
        <w:t>汽车吊</w:t>
      </w:r>
      <w:r>
        <w:rPr>
          <w:rFonts w:hint="eastAsia" w:ascii="Times New Roman" w:hAnsi="Times New Roman" w:eastAsia="宋体" w:cs="Times New Roman"/>
          <w:color w:val="auto"/>
          <w:szCs w:val="21"/>
          <w:highlight w:val="none"/>
        </w:rPr>
        <w:t>吊钩上，另一端与卸扣连接，启动</w:t>
      </w:r>
      <w:r>
        <w:rPr>
          <w:rFonts w:hint="eastAsia" w:cs="Times New Roman"/>
          <w:color w:val="auto"/>
          <w:szCs w:val="21"/>
          <w:highlight w:val="none"/>
          <w:lang w:eastAsia="zh-CN"/>
        </w:rPr>
        <w:t>汽车吊</w:t>
      </w:r>
      <w:r>
        <w:rPr>
          <w:rFonts w:hint="eastAsia" w:ascii="Times New Roman" w:hAnsi="Times New Roman" w:eastAsia="宋体" w:cs="Times New Roman"/>
          <w:color w:val="auto"/>
          <w:szCs w:val="21"/>
          <w:highlight w:val="none"/>
        </w:rPr>
        <w:t>，将卸扣缓慢提升至平衡重上方时，缓慢放松吊钩，作业人员通过平衡臂走道走行至平衡臂尾部，将安全带系挂在平衡臂横杆上，</w:t>
      </w:r>
      <w:r>
        <w:rPr>
          <w:rFonts w:hint="eastAsia" w:eastAsia="宋体" w:cs="Times New Roman"/>
          <w:color w:val="auto"/>
          <w:szCs w:val="21"/>
          <w:highlight w:val="none"/>
          <w:lang w:val="en-US" w:eastAsia="zh-CN"/>
        </w:rPr>
        <w:t>将配重吊起放置于平衡臂的配重槽上时，穿入平衡重销孔轴，然后平稳地将平衡重落于配重槽内。解除吊装钢丝绳</w:t>
      </w:r>
      <w:r>
        <w:rPr>
          <w:rFonts w:hint="eastAsia" w:ascii="Times New Roman" w:hAnsi="Times New Roman" w:eastAsia="宋体" w:cs="Times New Roman"/>
          <w:color w:val="auto"/>
          <w:szCs w:val="21"/>
          <w:highlight w:val="none"/>
        </w:rPr>
        <w:t>。</w:t>
      </w:r>
    </w:p>
    <w:p w14:paraId="5EA139DB">
      <w:pPr>
        <w:widowControl w:val="0"/>
        <w:adjustRightInd/>
        <w:snapToGrid/>
        <w:ind w:firstLine="480"/>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塔吊平衡重</w:t>
      </w:r>
      <w:r>
        <w:rPr>
          <w:rFonts w:hint="eastAsia" w:eastAsia="宋体" w:cs="Times New Roman"/>
          <w:color w:val="auto"/>
          <w:szCs w:val="21"/>
          <w:highlight w:val="none"/>
          <w:lang w:val="en-US" w:eastAsia="zh-CN"/>
        </w:rPr>
        <w:t>安装</w:t>
      </w:r>
      <w:r>
        <w:rPr>
          <w:rFonts w:hint="eastAsia" w:ascii="Times New Roman" w:hAnsi="Times New Roman" w:eastAsia="宋体" w:cs="Times New Roman"/>
          <w:color w:val="auto"/>
          <w:szCs w:val="21"/>
          <w:highlight w:val="none"/>
        </w:rPr>
        <w:t>时设置警戒区，起吊安排专人负责指挥，专人操作，严禁无关人员进入起重作业范围内。</w:t>
      </w:r>
    </w:p>
    <w:p w14:paraId="01EE29A8">
      <w:pPr>
        <w:widowControl w:val="0"/>
        <w:adjustRightInd/>
        <w:snapToGrid/>
        <w:ind w:left="0" w:leftChars="0" w:firstLine="0" w:firstLineChars="0"/>
        <w:jc w:val="center"/>
      </w:pPr>
      <w:r>
        <w:drawing>
          <wp:inline distT="0" distB="0" distL="114300" distR="114300">
            <wp:extent cx="5758815" cy="2797810"/>
            <wp:effectExtent l="0" t="0" r="13335" b="2540"/>
            <wp:docPr id="69"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5"/>
                    <pic:cNvPicPr>
                      <a:picLocks noChangeAspect="1"/>
                    </pic:cNvPicPr>
                  </pic:nvPicPr>
                  <pic:blipFill>
                    <a:blip r:embed="rId66"/>
                    <a:stretch>
                      <a:fillRect/>
                    </a:stretch>
                  </pic:blipFill>
                  <pic:spPr>
                    <a:xfrm>
                      <a:off x="0" y="0"/>
                      <a:ext cx="5758815" cy="2797810"/>
                    </a:xfrm>
                    <a:prstGeom prst="rect">
                      <a:avLst/>
                    </a:prstGeom>
                    <a:noFill/>
                    <a:ln>
                      <a:noFill/>
                    </a:ln>
                  </pic:spPr>
                </pic:pic>
              </a:graphicData>
            </a:graphic>
          </wp:inline>
        </w:drawing>
      </w:r>
    </w:p>
    <w:p w14:paraId="07AAB0FB">
      <w:pPr>
        <w:keepNext w:val="0"/>
        <w:keepLines w:val="0"/>
        <w:widowControl/>
        <w:suppressLineNumbers w:val="0"/>
        <w:jc w:val="center"/>
        <w:rPr>
          <w:rFonts w:hint="eastAsia"/>
        </w:rPr>
      </w:pPr>
      <w:r>
        <w:rPr>
          <w:rFonts w:hint="eastAsia" w:ascii="Times New Roman" w:hAnsi="Times New Roman" w:eastAsia="宋体" w:cstheme="majorBidi"/>
          <w:b/>
          <w:color w:val="auto"/>
          <w:kern w:val="2"/>
          <w:sz w:val="21"/>
          <w:szCs w:val="20"/>
          <w:lang w:val="en-US" w:eastAsia="zh-CN" w:bidi="ar-SA"/>
        </w:rPr>
        <w:t>图</w:t>
      </w:r>
      <w:r>
        <w:rPr>
          <w:rFonts w:hint="eastAsia" w:ascii="Times New Roman" w:hAnsi="Times New Roman" w:eastAsia="宋体" w:cs="Times New Roman"/>
          <w:szCs w:val="21"/>
          <w:lang w:val="en-US" w:eastAsia="zh-CN"/>
        </w:rPr>
        <w:t xml:space="preserve"> </w:t>
      </w:r>
      <w:r>
        <w:rPr>
          <w:rFonts w:hint="eastAsia" w:ascii="Times New Roman" w:hAnsi="Times New Roman" w:eastAsia="宋体" w:cstheme="majorBidi"/>
          <w:b/>
          <w:color w:val="auto"/>
          <w:kern w:val="2"/>
          <w:sz w:val="21"/>
          <w:szCs w:val="20"/>
          <w:lang w:val="en-US" w:eastAsia="zh-CN" w:bidi="ar-SA"/>
        </w:rPr>
        <w:t>4.4.</w:t>
      </w:r>
      <w:r>
        <w:rPr>
          <w:rFonts w:hint="eastAsia" w:cstheme="majorBidi"/>
          <w:b/>
          <w:color w:val="auto"/>
          <w:kern w:val="2"/>
          <w:sz w:val="21"/>
          <w:szCs w:val="20"/>
          <w:lang w:val="en-US" w:eastAsia="zh-CN" w:bidi="ar-SA"/>
        </w:rPr>
        <w:t>10</w:t>
      </w:r>
      <w:r>
        <w:rPr>
          <w:rFonts w:hint="eastAsia" w:ascii="Times New Roman" w:hAnsi="Times New Roman" w:eastAsia="宋体" w:cstheme="majorBidi"/>
          <w:b/>
          <w:color w:val="auto"/>
          <w:kern w:val="2"/>
          <w:sz w:val="21"/>
          <w:szCs w:val="20"/>
          <w:lang w:val="en-US" w:eastAsia="zh-CN" w:bidi="ar-SA"/>
        </w:rPr>
        <w:noBreakHyphen/>
      </w:r>
      <w:r>
        <w:rPr>
          <w:rFonts w:hint="eastAsia" w:cstheme="majorBidi"/>
          <w:b/>
          <w:color w:val="auto"/>
          <w:kern w:val="2"/>
          <w:sz w:val="21"/>
          <w:szCs w:val="20"/>
          <w:lang w:val="en-US" w:eastAsia="zh-CN" w:bidi="ar-SA"/>
        </w:rPr>
        <w:t>2</w:t>
      </w:r>
      <w:r>
        <w:rPr>
          <w:rFonts w:hint="eastAsia" w:ascii="Times New Roman" w:hAnsi="Times New Roman" w:eastAsia="宋体" w:cstheme="majorBidi"/>
          <w:b/>
          <w:color w:val="auto"/>
          <w:kern w:val="2"/>
          <w:sz w:val="21"/>
          <w:szCs w:val="20"/>
          <w:lang w:val="en-US" w:eastAsia="zh-CN" w:bidi="ar-SA"/>
        </w:rPr>
        <w:t xml:space="preserve"> 塔吊剩余平衡重吊装</w:t>
      </w:r>
      <w:r>
        <w:rPr>
          <w:rFonts w:hint="eastAsia" w:cstheme="majorBidi"/>
          <w:b/>
          <w:color w:val="auto"/>
          <w:kern w:val="2"/>
          <w:sz w:val="21"/>
          <w:szCs w:val="20"/>
          <w:lang w:val="en-US" w:eastAsia="zh-CN" w:bidi="ar-SA"/>
        </w:rPr>
        <w:t>立</w:t>
      </w:r>
      <w:r>
        <w:rPr>
          <w:rFonts w:hint="eastAsia" w:ascii="Times New Roman" w:hAnsi="Times New Roman" w:eastAsia="宋体" w:cstheme="majorBidi"/>
          <w:b/>
          <w:color w:val="auto"/>
          <w:kern w:val="2"/>
          <w:sz w:val="21"/>
          <w:szCs w:val="20"/>
          <w:lang w:val="en-US" w:eastAsia="zh-CN" w:bidi="ar-SA"/>
        </w:rPr>
        <w:t>面示意图</w:t>
      </w:r>
    </w:p>
    <w:p w14:paraId="4E8AB2F8">
      <w:pPr>
        <w:keepNext w:val="0"/>
        <w:keepLines w:val="0"/>
        <w:widowControl/>
        <w:suppressLineNumbers w:val="0"/>
        <w:ind w:left="0" w:leftChars="0" w:firstLine="0" w:firstLineChars="0"/>
        <w:jc w:val="center"/>
        <w:rPr>
          <w:rFonts w:hint="eastAsia" w:ascii="Times New Roman" w:hAnsi="Times New Roman" w:eastAsia="宋体" w:cs="Times New Roman"/>
          <w:szCs w:val="21"/>
          <w:lang w:val="en-US" w:eastAsia="zh-CN"/>
        </w:rPr>
      </w:pPr>
      <w:r>
        <w:drawing>
          <wp:inline distT="0" distB="0" distL="114300" distR="114300">
            <wp:extent cx="4215130" cy="3230245"/>
            <wp:effectExtent l="0" t="0" r="13970" b="8255"/>
            <wp:docPr id="7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6"/>
                    <pic:cNvPicPr>
                      <a:picLocks noChangeAspect="1"/>
                    </pic:cNvPicPr>
                  </pic:nvPicPr>
                  <pic:blipFill>
                    <a:blip r:embed="rId67"/>
                    <a:stretch>
                      <a:fillRect/>
                    </a:stretch>
                  </pic:blipFill>
                  <pic:spPr>
                    <a:xfrm>
                      <a:off x="0" y="0"/>
                      <a:ext cx="4215130" cy="3230245"/>
                    </a:xfrm>
                    <a:prstGeom prst="rect">
                      <a:avLst/>
                    </a:prstGeom>
                    <a:noFill/>
                    <a:ln>
                      <a:noFill/>
                    </a:ln>
                  </pic:spPr>
                </pic:pic>
              </a:graphicData>
            </a:graphic>
          </wp:inline>
        </w:drawing>
      </w:r>
      <w:r>
        <w:rPr>
          <w:rFonts w:hint="eastAsia" w:ascii="Times New Roman" w:hAnsi="Times New Roman" w:eastAsia="宋体" w:cs="Times New Roman"/>
          <w:szCs w:val="21"/>
          <w:lang w:val="en-US" w:eastAsia="zh-CN"/>
        </w:rPr>
        <w:t xml:space="preserve"> </w:t>
      </w:r>
    </w:p>
    <w:p w14:paraId="6A792E77">
      <w:pPr>
        <w:keepNext w:val="0"/>
        <w:keepLines w:val="0"/>
        <w:widowControl/>
        <w:suppressLineNumbers w:val="0"/>
        <w:ind w:left="0" w:leftChars="0" w:firstLine="0" w:firstLineChars="0"/>
        <w:jc w:val="center"/>
        <w:rPr>
          <w:rFonts w:hint="eastAsia" w:eastAsia="宋体"/>
          <w:lang w:eastAsia="zh-CN"/>
        </w:rPr>
      </w:pPr>
      <w:r>
        <w:rPr>
          <w:rFonts w:hint="eastAsia" w:ascii="Times New Roman" w:hAnsi="Times New Roman" w:eastAsia="宋体" w:cstheme="majorBidi"/>
          <w:b/>
          <w:color w:val="auto"/>
          <w:kern w:val="2"/>
          <w:sz w:val="21"/>
          <w:szCs w:val="20"/>
          <w:lang w:val="en-US" w:eastAsia="zh-CN" w:bidi="ar-SA"/>
        </w:rPr>
        <w:t>图4.4.</w:t>
      </w:r>
      <w:r>
        <w:rPr>
          <w:rFonts w:hint="eastAsia" w:cstheme="majorBidi"/>
          <w:b/>
          <w:color w:val="auto"/>
          <w:kern w:val="2"/>
          <w:sz w:val="21"/>
          <w:szCs w:val="20"/>
          <w:lang w:val="en-US" w:eastAsia="zh-CN" w:bidi="ar-SA"/>
        </w:rPr>
        <w:t>10</w:t>
      </w:r>
      <w:r>
        <w:rPr>
          <w:rFonts w:hint="eastAsia" w:ascii="Times New Roman" w:hAnsi="Times New Roman" w:eastAsia="宋体" w:cstheme="majorBidi"/>
          <w:b/>
          <w:color w:val="auto"/>
          <w:kern w:val="2"/>
          <w:sz w:val="21"/>
          <w:szCs w:val="20"/>
          <w:lang w:val="en-US" w:eastAsia="zh-CN" w:bidi="ar-SA"/>
        </w:rPr>
        <w:noBreakHyphen/>
      </w:r>
      <w:r>
        <w:rPr>
          <w:rFonts w:hint="eastAsia" w:ascii="Times New Roman" w:hAnsi="Times New Roman" w:eastAsia="宋体" w:cstheme="majorBidi"/>
          <w:b/>
          <w:color w:val="auto"/>
          <w:kern w:val="2"/>
          <w:sz w:val="21"/>
          <w:szCs w:val="20"/>
          <w:lang w:val="en-US" w:eastAsia="zh-CN" w:bidi="ar-SA"/>
        </w:rPr>
        <w:t>3 塔吊剩余平衡重吊装平面示意图</w:t>
      </w:r>
    </w:p>
    <w:p w14:paraId="5378DC40">
      <w:pPr>
        <w:pStyle w:val="4"/>
        <w:bidi w:val="0"/>
        <w:ind w:left="720" w:leftChars="0" w:hanging="720" w:firstLineChars="0"/>
        <w:rPr>
          <w:rFonts w:hint="eastAsia"/>
          <w:b/>
          <w:bCs w:val="0"/>
          <w:lang w:val="en-US" w:eastAsia="zh-CN"/>
        </w:rPr>
      </w:pPr>
      <w:r>
        <w:rPr>
          <w:rFonts w:hint="eastAsia"/>
          <w:b/>
          <w:bCs w:val="0"/>
          <w:lang w:val="en-US" w:eastAsia="zh-CN"/>
        </w:rPr>
        <w:t>穿绕钢丝绳</w:t>
      </w:r>
    </w:p>
    <w:p w14:paraId="55CB4564">
      <w:pPr>
        <w:pStyle w:val="5"/>
        <w:bidi w:val="0"/>
        <w:ind w:left="864" w:leftChars="0" w:hanging="864" w:firstLineChars="0"/>
        <w:rPr>
          <w:b/>
          <w:bCs w:val="0"/>
        </w:rPr>
      </w:pPr>
      <w:r>
        <w:rPr>
          <w:rFonts w:hint="eastAsia"/>
          <w:b/>
          <w:bCs w:val="0"/>
        </w:rPr>
        <w:t>穿绕变幅钢丝绳</w:t>
      </w:r>
    </w:p>
    <w:p w14:paraId="17A4658D">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1）将变幅小车临时锁定，作业人员通过爬梯爬至回转总成平台上，将安全带交替系挂在起重臂臂根节上弦杆，沿下弦杆走行至变幅卷筒处，启动变幅卷筒放出后变幅钢丝绳，人工牵引变幅钢丝绳穿过起重臂根部滑轮，使用销轴将后变幅钢丝绳上的楔形接头固定在小车上。</w:t>
      </w:r>
    </w:p>
    <w:p w14:paraId="0C1E7F74">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（2）启动变幅卷扬机收紧后变幅钢丝绳，并将后变幅钢丝绳缓慢卷绕至变幅卷筒上。</w:t>
      </w:r>
    </w:p>
    <w:p w14:paraId="769B978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3）从变幅卷筒内放出前变幅钢丝绳，作业人员安全带交替系挂在起重臂安全绳上，沿下弦杆牵引前变幅钢丝绳至起重臂臂端滑轮处，将变幅钢丝绳穿过起重臂臂端滑轮，再将前变幅钢丝绳牵引至小车处进行固定，并用小车上的张紧卷筒张紧钢丝绳。</w:t>
      </w:r>
    </w:p>
    <w:p w14:paraId="1DBB0DDD">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变幅钢丝绳绕绳总体示意如下图所示。</w:t>
      </w:r>
    </w:p>
    <w:p w14:paraId="2C2AD591">
      <w:pPr>
        <w:widowControl w:val="0"/>
        <w:adjustRightInd/>
        <w:snapToGrid/>
        <w:ind w:firstLine="480"/>
        <w:jc w:val="center"/>
        <w:rPr>
          <w:rFonts w:ascii="Times New Roman" w:hAnsi="Times New Roman" w:eastAsia="宋体" w:cs="Times New Roman"/>
          <w:szCs w:val="21"/>
        </w:rPr>
      </w:pPr>
      <w:r>
        <w:drawing>
          <wp:inline distT="0" distB="0" distL="114300" distR="114300">
            <wp:extent cx="5756275" cy="2272030"/>
            <wp:effectExtent l="0" t="0" r="15875" b="13970"/>
            <wp:docPr id="1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41"/>
                    <pic:cNvPicPr>
                      <a:picLocks noChangeAspect="1"/>
                    </pic:cNvPicPr>
                  </pic:nvPicPr>
                  <pic:blipFill>
                    <a:blip r:embed="rId68"/>
                    <a:stretch>
                      <a:fillRect/>
                    </a:stretch>
                  </pic:blipFill>
                  <pic:spPr>
                    <a:xfrm>
                      <a:off x="0" y="0"/>
                      <a:ext cx="5756275" cy="2272030"/>
                    </a:xfrm>
                    <a:prstGeom prst="rect">
                      <a:avLst/>
                    </a:prstGeom>
                    <a:noFill/>
                    <a:ln>
                      <a:noFill/>
                    </a:ln>
                  </pic:spPr>
                </pic:pic>
              </a:graphicData>
            </a:graphic>
          </wp:inline>
        </w:drawing>
      </w:r>
    </w:p>
    <w:p w14:paraId="582D8D23">
      <w:pPr>
        <w:widowControl w:val="0"/>
        <w:adjustRightInd/>
        <w:snapToGrid/>
        <w:ind w:firstLine="480"/>
        <w:jc w:val="center"/>
        <w:rPr>
          <w:rFonts w:hint="eastAsia" w:ascii="Times New Roman" w:hAnsi="Times New Roman" w:eastAsia="宋体" w:cs="Times New Roman"/>
          <w:szCs w:val="21"/>
          <w:lang w:val="en-US" w:eastAsia="zh-CN"/>
        </w:rPr>
      </w:pPr>
      <w:r>
        <w:rPr>
          <w:rFonts w:hint="eastAsia" w:ascii="Times New Roman" w:hAnsi="Times New Roman" w:eastAsia="宋体" w:cstheme="majorBidi"/>
          <w:b/>
          <w:color w:val="auto"/>
          <w:kern w:val="2"/>
          <w:sz w:val="21"/>
          <w:szCs w:val="20"/>
          <w:lang w:val="en-US" w:eastAsia="zh-CN" w:bidi="ar-SA"/>
        </w:rPr>
        <w:t>图 4.4.1</w:t>
      </w:r>
      <w:r>
        <w:rPr>
          <w:rFonts w:hint="eastAsia" w:cstheme="majorBidi"/>
          <w:b/>
          <w:color w:val="auto"/>
          <w:kern w:val="2"/>
          <w:sz w:val="21"/>
          <w:szCs w:val="20"/>
          <w:lang w:val="en-US" w:eastAsia="zh-CN" w:bidi="ar-SA"/>
        </w:rPr>
        <w:t>1</w:t>
      </w:r>
      <w:r>
        <w:rPr>
          <w:rFonts w:hint="eastAsia" w:ascii="Times New Roman" w:hAnsi="Times New Roman" w:eastAsia="宋体" w:cstheme="majorBidi"/>
          <w:b/>
          <w:color w:val="auto"/>
          <w:kern w:val="2"/>
          <w:sz w:val="21"/>
          <w:szCs w:val="20"/>
          <w:lang w:val="en-US" w:eastAsia="zh-CN" w:bidi="ar-SA"/>
        </w:rPr>
        <w:t>.1-1 变幅钢丝绳穿绕示意图</w:t>
      </w:r>
    </w:p>
    <w:p w14:paraId="26C76F1D">
      <w:pPr>
        <w:pStyle w:val="5"/>
        <w:bidi w:val="0"/>
        <w:ind w:left="864" w:leftChars="0" w:hanging="864" w:firstLineChars="0"/>
        <w:rPr>
          <w:b/>
          <w:bCs w:val="0"/>
        </w:rPr>
      </w:pPr>
      <w:r>
        <w:rPr>
          <w:rFonts w:hint="eastAsia"/>
          <w:b/>
          <w:bCs w:val="0"/>
        </w:rPr>
        <w:t>穿绕起升钢丝绳</w:t>
      </w:r>
    </w:p>
    <w:p w14:paraId="485C73AC">
      <w:pPr>
        <w:keepNext w:val="0"/>
        <w:keepLines w:val="0"/>
        <w:widowControl w:val="0"/>
        <w:suppressLineNumbers w:val="0"/>
        <w:tabs>
          <w:tab w:val="left" w:pos="404"/>
        </w:tabs>
        <w:ind w:firstLine="480"/>
        <w:jc w:val="left"/>
        <w:rPr>
          <w:rFonts w:hint="eastAsia"/>
        </w:rPr>
      </w:pPr>
      <w:r>
        <w:rPr>
          <w:rFonts w:hint="eastAsia" w:ascii="Times New Roman" w:hAnsi="Times New Roman" w:eastAsia="宋体" w:cs="Times New Roman"/>
          <w:color w:val="auto"/>
          <w:kern w:val="2"/>
          <w:sz w:val="24"/>
          <w:szCs w:val="21"/>
          <w:lang w:val="en-US" w:eastAsia="zh-CN" w:bidi="ar"/>
        </w:rPr>
        <w:t>钢丝绳从起升机构（1）卷筒上端出绳，穿过起重臂臂根节上托绳轮（2），再穿过起重臂臂根节上起重量限制器滑轮（3），再穿过起重臂臂根部滑轮（4），然后钢丝绳伸出连接小车。</w:t>
      </w:r>
    </w:p>
    <w:p w14:paraId="2799682D">
      <w:pPr>
        <w:widowControl w:val="0"/>
        <w:adjustRightInd/>
        <w:snapToGrid/>
        <w:ind w:firstLine="480"/>
        <w:rPr>
          <w:rFonts w:hint="eastAsia" w:ascii="Times New Roman" w:hAnsi="Times New Roman" w:eastAsia="宋体" w:cs="Times New Roman"/>
          <w:szCs w:val="21"/>
          <w:lang w:eastAsia="zh-CN"/>
        </w:rPr>
      </w:pPr>
      <w:r>
        <w:drawing>
          <wp:inline distT="0" distB="0" distL="114300" distR="114300">
            <wp:extent cx="5758180" cy="3295650"/>
            <wp:effectExtent l="0" t="0" r="13970" b="0"/>
            <wp:docPr id="14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2"/>
                    <pic:cNvPicPr>
                      <a:picLocks noChangeAspect="1"/>
                    </pic:cNvPicPr>
                  </pic:nvPicPr>
                  <pic:blipFill>
                    <a:blip r:embed="rId69"/>
                    <a:stretch>
                      <a:fillRect/>
                    </a:stretch>
                  </pic:blipFill>
                  <pic:spPr>
                    <a:xfrm>
                      <a:off x="0" y="0"/>
                      <a:ext cx="5758180" cy="3295650"/>
                    </a:xfrm>
                    <a:prstGeom prst="rect">
                      <a:avLst/>
                    </a:prstGeom>
                    <a:noFill/>
                    <a:ln>
                      <a:noFill/>
                    </a:ln>
                  </pic:spPr>
                </pic:pic>
              </a:graphicData>
            </a:graphic>
          </wp:inline>
        </w:drawing>
      </w:r>
    </w:p>
    <w:p w14:paraId="7DB8D777">
      <w:pPr>
        <w:keepNext w:val="0"/>
        <w:keepLines w:val="0"/>
        <w:widowControl w:val="0"/>
        <w:suppressLineNumbers w:val="0"/>
        <w:ind w:firstLine="480"/>
        <w:jc w:val="left"/>
        <w:rPr>
          <w:rFonts w:hint="eastAsia" w:ascii="Times New Roman" w:hAnsi="Times New Roman" w:eastAsia="宋体" w:cs="Times New Roman"/>
          <w:kern w:val="2"/>
          <w:sz w:val="24"/>
          <w:szCs w:val="21"/>
          <w:lang w:val="en-US" w:eastAsia="zh-CN" w:bidi="ar"/>
        </w:rPr>
      </w:pPr>
      <w:r>
        <w:rPr>
          <w:rFonts w:hint="eastAsia" w:ascii="Times New Roman" w:hAnsi="Times New Roman" w:eastAsia="宋体" w:cs="Times New Roman"/>
          <w:color w:val="auto"/>
          <w:kern w:val="2"/>
          <w:sz w:val="24"/>
          <w:szCs w:val="21"/>
          <w:lang w:val="en-US" w:eastAsia="zh-CN" w:bidi="ar"/>
        </w:rPr>
        <w:t>穿绕变幅小车上起升钢丝绳。由于本小车和吊钩为自动变倍率方式，变倍率时通过吊 钩上上下滑轮组自动断开方式实现，因此起升钢丝绳的绕绳方式不变。</w:t>
      </w:r>
    </w:p>
    <w:p w14:paraId="50F44EFA">
      <w:pPr>
        <w:keepNext w:val="0"/>
        <w:keepLines w:val="0"/>
        <w:widowControl w:val="0"/>
        <w:suppressLineNumbers w:val="0"/>
        <w:ind w:firstLine="0" w:firstLineChars="0"/>
        <w:jc w:val="center"/>
      </w:pPr>
      <w:r>
        <w:drawing>
          <wp:inline distT="0" distB="0" distL="114300" distR="114300">
            <wp:extent cx="3038475" cy="2628900"/>
            <wp:effectExtent l="0" t="0" r="9525" b="0"/>
            <wp:docPr id="14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3"/>
                    <pic:cNvPicPr>
                      <a:picLocks noChangeAspect="1"/>
                    </pic:cNvPicPr>
                  </pic:nvPicPr>
                  <pic:blipFill>
                    <a:blip r:embed="rId70"/>
                    <a:stretch>
                      <a:fillRect/>
                    </a:stretch>
                  </pic:blipFill>
                  <pic:spPr>
                    <a:xfrm>
                      <a:off x="0" y="0"/>
                      <a:ext cx="3038475" cy="2628900"/>
                    </a:xfrm>
                    <a:prstGeom prst="rect">
                      <a:avLst/>
                    </a:prstGeom>
                    <a:noFill/>
                    <a:ln>
                      <a:noFill/>
                    </a:ln>
                  </pic:spPr>
                </pic:pic>
              </a:graphicData>
            </a:graphic>
          </wp:inline>
        </w:drawing>
      </w:r>
    </w:p>
    <w:p w14:paraId="6B61EE40">
      <w:pPr>
        <w:keepNext w:val="0"/>
        <w:keepLines w:val="0"/>
        <w:widowControl/>
        <w:suppressLineNumbers w:val="0"/>
        <w:ind w:firstLine="480"/>
        <w:jc w:val="left"/>
        <w:rPr>
          <w:rFonts w:hint="default" w:ascii="Times New Roman" w:hAnsi="Times New Roman" w:eastAsia="宋体" w:cs="Times New Roman"/>
          <w:kern w:val="2"/>
          <w:sz w:val="24"/>
          <w:szCs w:val="21"/>
          <w:lang w:val="en-US" w:eastAsia="zh-CN" w:bidi="ar"/>
        </w:rPr>
      </w:pPr>
      <w:r>
        <w:rPr>
          <w:rFonts w:hint="default" w:ascii="Times New Roman" w:hAnsi="Times New Roman" w:eastAsia="宋体" w:cs="Times New Roman"/>
          <w:color w:val="auto"/>
          <w:kern w:val="2"/>
          <w:sz w:val="24"/>
          <w:szCs w:val="21"/>
          <w:lang w:val="en-US" w:eastAsia="zh-CN" w:bidi="ar"/>
        </w:rPr>
        <w:t>起升钢丝绳从小车绕出之后进入起重臂臂头防扭装置。用楔块（3）锁住钢丝绳（1） 至楔套（2），并在钢丝绳末端装上一个绳夹（4）。用销轴（6）和开口销（7）安装楔套（2） 至钢丝绳防扭器（5）。安装完毕后检查防扭器是否旋转自如。</w:t>
      </w:r>
    </w:p>
    <w:p w14:paraId="27C1700D">
      <w:pPr>
        <w:keepNext w:val="0"/>
        <w:keepLines w:val="0"/>
        <w:widowControl/>
        <w:suppressLineNumbers w:val="0"/>
        <w:ind w:firstLine="0" w:firstLineChars="0"/>
        <w:jc w:val="center"/>
        <w:rPr>
          <w:rFonts w:hint="eastAsia"/>
          <w:lang w:bidi="ar"/>
        </w:rPr>
      </w:pPr>
      <w:r>
        <w:drawing>
          <wp:inline distT="0" distB="0" distL="114300" distR="114300">
            <wp:extent cx="5758815" cy="2462530"/>
            <wp:effectExtent l="0" t="0" r="13335" b="13970"/>
            <wp:docPr id="147"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4"/>
                    <pic:cNvPicPr>
                      <a:picLocks noChangeAspect="1"/>
                    </pic:cNvPicPr>
                  </pic:nvPicPr>
                  <pic:blipFill>
                    <a:blip r:embed="rId71"/>
                    <a:stretch>
                      <a:fillRect/>
                    </a:stretch>
                  </pic:blipFill>
                  <pic:spPr>
                    <a:xfrm>
                      <a:off x="0" y="0"/>
                      <a:ext cx="5758815" cy="2462530"/>
                    </a:xfrm>
                    <a:prstGeom prst="rect">
                      <a:avLst/>
                    </a:prstGeom>
                    <a:noFill/>
                    <a:ln>
                      <a:noFill/>
                    </a:ln>
                  </pic:spPr>
                </pic:pic>
              </a:graphicData>
            </a:graphic>
          </wp:inline>
        </w:drawing>
      </w:r>
    </w:p>
    <w:p w14:paraId="0685FCE0">
      <w:pPr>
        <w:pStyle w:val="4"/>
        <w:bidi w:val="0"/>
        <w:ind w:left="720" w:leftChars="0" w:hanging="720" w:firstLineChars="0"/>
        <w:rPr>
          <w:rFonts w:hint="eastAsia"/>
          <w:b/>
          <w:bCs w:val="0"/>
          <w:lang w:val="en-US" w:eastAsia="zh-CN"/>
        </w:rPr>
      </w:pPr>
      <w:r>
        <w:rPr>
          <w:rFonts w:hint="eastAsia"/>
          <w:b/>
          <w:bCs w:val="0"/>
          <w:lang w:val="en-US" w:eastAsia="zh-CN"/>
        </w:rPr>
        <w:t>电气系统安装及试运转</w:t>
      </w:r>
    </w:p>
    <w:p w14:paraId="01D6AF25">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（1）起重臂安装完成后，按照说明书的要求，进行</w:t>
      </w:r>
      <w:r>
        <w:rPr>
          <w:rFonts w:ascii="Times New Roman" w:hAnsi="Times New Roman" w:eastAsia="宋体" w:cs="Times New Roman"/>
          <w:szCs w:val="21"/>
        </w:rPr>
        <w:t>驾配箱、主控柜</w:t>
      </w:r>
      <w:r>
        <w:rPr>
          <w:rFonts w:hint="eastAsia" w:ascii="Times New Roman" w:hAnsi="Times New Roman" w:eastAsia="宋体" w:cs="Times New Roman"/>
          <w:szCs w:val="21"/>
        </w:rPr>
        <w:t>、</w:t>
      </w:r>
      <w:r>
        <w:rPr>
          <w:rFonts w:ascii="Times New Roman" w:hAnsi="Times New Roman" w:eastAsia="宋体" w:cs="Times New Roman"/>
          <w:szCs w:val="21"/>
        </w:rPr>
        <w:t>重量限制器、力矩限制器、起升限位器、回转限位器、变幅限位器、行走限位器</w:t>
      </w:r>
      <w:r>
        <w:rPr>
          <w:rFonts w:hint="eastAsia" w:ascii="Times New Roman" w:hAnsi="Times New Roman" w:eastAsia="宋体" w:cs="Times New Roman"/>
          <w:szCs w:val="21"/>
        </w:rPr>
        <w:t>等的安装。</w:t>
      </w:r>
    </w:p>
    <w:p w14:paraId="29A753CB">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（2）在塔头顶部安装风速仪，平衡臂尾部以及起重臂前端部各安装一个警示灯。</w:t>
      </w:r>
    </w:p>
    <w:p w14:paraId="2540392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（3）在风速不大于3m/s且空载状态下，检查塔身轴线的垂直度，允许偏差为 4/1000。</w:t>
      </w:r>
    </w:p>
    <w:p w14:paraId="056CEEC1">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（4）侧向垂直度在使用高度、空载状态，臂架相当于塔身0°和90°时分别沿臂架方向测量，标尺贴靠在塔身结构中心的最低处和最高处，用全站仪读出两处的偏位值。</w:t>
      </w:r>
    </w:p>
    <w:p w14:paraId="6A2EA18F">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（5）塔吊接通电源，试运转各机构，检查各机构运转是否正常，同时检查各钢丝绳是否处于正常工作状态，是否与各机构有干扰。</w:t>
      </w:r>
    </w:p>
    <w:p w14:paraId="703DDC1C">
      <w:pPr>
        <w:pStyle w:val="5"/>
        <w:bidi w:val="0"/>
        <w:ind w:left="864" w:leftChars="0" w:hanging="864" w:firstLineChars="0"/>
        <w:rPr>
          <w:b/>
          <w:bCs w:val="0"/>
        </w:rPr>
      </w:pPr>
      <w:r>
        <w:rPr>
          <w:rFonts w:hint="eastAsia"/>
          <w:b/>
          <w:bCs w:val="0"/>
        </w:rPr>
        <w:t>操作系统的调试</w:t>
      </w:r>
    </w:p>
    <w:p w14:paraId="056B1EC5">
      <w:pPr>
        <w:widowControl w:val="0"/>
        <w:adjustRightInd/>
        <w:snapToGrid/>
        <w:ind w:firstLine="480"/>
        <w:rPr>
          <w:rFonts w:ascii="Times New Roman" w:hAnsi="Times New Roman" w:eastAsia="宋体" w:cs="Times New Roman"/>
          <w:szCs w:val="21"/>
        </w:rPr>
      </w:pPr>
      <w:r>
        <w:rPr>
          <w:rFonts w:ascii="宋体" w:hAnsi="宋体" w:eastAsia="宋体" w:cs="宋体"/>
          <w:szCs w:val="21"/>
        </w:rPr>
        <w:t>①</w:t>
      </w:r>
      <w:r>
        <w:rPr>
          <w:rFonts w:hint="eastAsia" w:ascii="Times New Roman" w:hAnsi="Times New Roman" w:eastAsia="宋体" w:cs="Times New Roman"/>
          <w:szCs w:val="21"/>
        </w:rPr>
        <w:t>电源检查：</w:t>
      </w:r>
    </w:p>
    <w:p w14:paraId="121E7B36">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连通电源，检查三相电源的相序是否正确，电压是否满足要求（380V±5%）。</w:t>
      </w:r>
    </w:p>
    <w:p w14:paraId="5C30AC99">
      <w:pPr>
        <w:widowControl w:val="0"/>
        <w:adjustRightInd/>
        <w:snapToGrid/>
        <w:ind w:firstLine="480"/>
        <w:rPr>
          <w:rFonts w:ascii="Times New Roman" w:hAnsi="Times New Roman" w:eastAsia="宋体" w:cs="Times New Roman"/>
          <w:szCs w:val="21"/>
        </w:rPr>
      </w:pPr>
      <w:r>
        <w:rPr>
          <w:rFonts w:hint="eastAsia" w:ascii="宋体" w:hAnsi="宋体" w:eastAsia="宋体" w:cs="宋体"/>
          <w:szCs w:val="21"/>
        </w:rPr>
        <w:t>②</w:t>
      </w:r>
      <w:r>
        <w:rPr>
          <w:rFonts w:hint="eastAsia" w:ascii="Times New Roman" w:hAnsi="Times New Roman" w:eastAsia="宋体" w:cs="Times New Roman"/>
          <w:szCs w:val="21"/>
        </w:rPr>
        <w:t>操作系统逻辑关系检查：</w:t>
      </w:r>
    </w:p>
    <w:p w14:paraId="384726DA">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操作起升手柄，观察吊钩起升运转情况，当起升手柄向内拉时，吊钩应向上运动；当起升手柄向外推时，吊钩应向下运动，否则应调整起升电机电源的相序。</w:t>
      </w:r>
    </w:p>
    <w:p w14:paraId="1F7686AB">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操作回转手柄，当回转手柄向左推时，起重臂应向左转；当回转手柄向右推时，起重臂应向右转，否则应调整回转电机电源的相序。</w:t>
      </w:r>
    </w:p>
    <w:p w14:paraId="338FE2B0">
      <w:pPr>
        <w:widowControl w:val="0"/>
        <w:adjustRightInd/>
        <w:snapToGrid/>
        <w:ind w:firstLine="480"/>
        <w:rPr>
          <w:rFonts w:ascii="Times New Roman" w:hAnsi="Times New Roman" w:eastAsia="宋体" w:cs="Times New Roman"/>
          <w:szCs w:val="21"/>
        </w:rPr>
      </w:pPr>
      <w:r>
        <w:rPr>
          <w:rFonts w:hint="eastAsia" w:ascii="Times New Roman" w:hAnsi="Times New Roman" w:eastAsia="宋体" w:cs="Times New Roman"/>
          <w:szCs w:val="21"/>
        </w:rPr>
        <w:t>操作变幅手柄，当变幅手柄向内拉时，变幅小车应该向内行走；当变幅手柄向外推时，变幅小车应该向外行走，否则应调整变幅小车电机电源的相序。</w:t>
      </w:r>
    </w:p>
    <w:p w14:paraId="39A034AD">
      <w:pPr>
        <w:pStyle w:val="4"/>
        <w:bidi w:val="0"/>
        <w:ind w:left="720" w:leftChars="0" w:hanging="720" w:firstLineChars="0"/>
        <w:rPr>
          <w:rFonts w:hint="eastAsia"/>
          <w:b/>
          <w:bCs w:val="0"/>
          <w:lang w:val="en-US" w:eastAsia="zh-CN"/>
        </w:rPr>
      </w:pPr>
      <w:r>
        <w:rPr>
          <w:rFonts w:hint="eastAsia"/>
          <w:b/>
          <w:bCs w:val="0"/>
          <w:lang w:val="en-US" w:eastAsia="zh-CN"/>
        </w:rPr>
        <w:t>塔吊顶升加节</w:t>
      </w:r>
    </w:p>
    <w:p w14:paraId="50DAA9ED">
      <w:pPr>
        <w:pStyle w:val="5"/>
        <w:bidi w:val="0"/>
        <w:ind w:left="864" w:leftChars="0" w:hanging="864" w:firstLineChars="0"/>
        <w:rPr>
          <w:b/>
          <w:bCs w:val="0"/>
        </w:rPr>
      </w:pPr>
      <w:r>
        <w:rPr>
          <w:rFonts w:hint="eastAsia"/>
          <w:b/>
          <w:bCs w:val="0"/>
        </w:rPr>
        <w:t>顶升前准备工作</w:t>
      </w:r>
    </w:p>
    <w:p w14:paraId="75E07A3F">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按液压泵站要求给其油箱加油，顶升横梁防脱装置的销轴退出踏步的圆孔； </w:t>
      </w:r>
    </w:p>
    <w:p w14:paraId="4C698BEB">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清理好各个塔身节，在塔身节连接套内涂上黄油，将待顶升加高用的标准节在顶升位 置时的起重臂下排成一排，这样能使塔机在整个顶升加节过程中不用回转机构，能使顶升加节过程所用时间最短； </w:t>
      </w:r>
    </w:p>
    <w:p w14:paraId="513D20B6">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放松电缆长度略大于总的顶升高度，并紧固好电缆； </w:t>
      </w:r>
    </w:p>
    <w:p w14:paraId="7BD3D8B7">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将起重臂旋转至爬升架前方，平衡臂处于爬升架的后方（顶升油缸必须位于平衡臂下方）； </w:t>
      </w:r>
    </w:p>
    <w:p w14:paraId="131662F2">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爬升架平台上准备好塔身高强度螺栓； </w:t>
      </w:r>
    </w:p>
    <w:p w14:paraId="02E16413">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检查、调试并确认顶升机构工作正确、可靠，保证爬升架能按塔机爬升规定的程序上 升、下降、可靠停止；运行过程中应平稳，无爬行、振动现象； </w:t>
      </w:r>
    </w:p>
    <w:p w14:paraId="3B018187">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检查爬升架支承系统，确保各部分运动灵活，承重可靠； </w:t>
      </w:r>
    </w:p>
    <w:p w14:paraId="73A95796">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液压顶升机构应保证安全，溢流阀的调整压力不得大于系统额定工作压力的 </w:t>
      </w:r>
      <w:r>
        <w:rPr>
          <w:rFonts w:hint="default" w:ascii="Times New Roman" w:hAnsi="Times New Roman" w:eastAsia="宋体" w:cs="Times New Roman"/>
          <w:color w:val="000000"/>
          <w:kern w:val="0"/>
          <w:sz w:val="24"/>
          <w:szCs w:val="24"/>
          <w:lang w:val="en-US" w:eastAsia="zh-CN" w:bidi="ar"/>
        </w:rPr>
        <w:t>110%</w:t>
      </w:r>
      <w:r>
        <w:rPr>
          <w:rFonts w:hint="eastAsia" w:ascii="宋体" w:hAnsi="宋体" w:eastAsia="宋体" w:cs="宋体"/>
          <w:color w:val="000000"/>
          <w:kern w:val="0"/>
          <w:sz w:val="24"/>
          <w:szCs w:val="24"/>
          <w:lang w:val="en-US" w:eastAsia="zh-CN" w:bidi="ar"/>
        </w:rPr>
        <w:t>。</w:t>
      </w:r>
    </w:p>
    <w:p w14:paraId="78796074">
      <w:pPr>
        <w:pStyle w:val="5"/>
        <w:bidi w:val="0"/>
        <w:ind w:left="864" w:leftChars="0" w:hanging="864" w:firstLineChars="0"/>
        <w:rPr>
          <w:rFonts w:hint="default"/>
          <w:b/>
          <w:bCs w:val="0"/>
          <w:lang w:val="en-US" w:eastAsia="zh-CN"/>
        </w:rPr>
      </w:pPr>
      <w:r>
        <w:rPr>
          <w:rFonts w:hint="eastAsia"/>
          <w:b/>
          <w:bCs w:val="0"/>
          <w:lang w:val="en-US" w:eastAsia="zh-CN"/>
        </w:rPr>
        <w:t>顶升作业注意事项</w:t>
      </w:r>
    </w:p>
    <w:p w14:paraId="7B36177A">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塔机最高处风速大于 </w:t>
      </w:r>
      <w:r>
        <w:rPr>
          <w:rFonts w:hint="default" w:ascii="Times New Roman" w:hAnsi="Times New Roman" w:eastAsia="宋体" w:cs="Times New Roman"/>
          <w:color w:val="000000"/>
          <w:kern w:val="0"/>
          <w:sz w:val="24"/>
          <w:szCs w:val="24"/>
          <w:lang w:val="en-US" w:eastAsia="zh-CN" w:bidi="ar"/>
        </w:rPr>
        <w:t xml:space="preserve">12m/s </w:t>
      </w:r>
      <w:r>
        <w:rPr>
          <w:rFonts w:hint="eastAsia" w:ascii="宋体" w:hAnsi="宋体" w:eastAsia="宋体" w:cs="宋体"/>
          <w:color w:val="000000"/>
          <w:kern w:val="0"/>
          <w:sz w:val="24"/>
          <w:szCs w:val="24"/>
          <w:lang w:val="en-US" w:eastAsia="zh-CN" w:bidi="ar"/>
        </w:rPr>
        <w:t xml:space="preserve">时，不得进行顶升作业； </w:t>
      </w:r>
    </w:p>
    <w:p w14:paraId="0080B10C">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塔机的爬升机构，其爬升作业时应确保爬升架上支承在塔身上的受力部位与塔身顶升 支承部位应可靠定位和结合。并应及时查看顶升支承部位焊缝情况，若有异常情况应排除后才能继续进行爬升作业； </w:t>
      </w:r>
    </w:p>
    <w:p w14:paraId="7ABCA8D5">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顶升过程中必须保证起重臂与引入标准节方向一致，并利用回转机构制动器将起重臂 制动住，载重小车必须停靠在顶升配平位置； </w:t>
      </w:r>
    </w:p>
    <w:p w14:paraId="2E4DB185">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若要连续加高几节标准节，则每加完一节后，用塔机自身起吊下一节标准节前，塔身 </w:t>
      </w:r>
      <w:r>
        <w:rPr>
          <w:rFonts w:hint="default" w:ascii="Times New Roman" w:hAnsi="Times New Roman" w:eastAsia="宋体" w:cs="Times New Roman"/>
          <w:color w:val="000000"/>
          <w:kern w:val="0"/>
          <w:sz w:val="24"/>
          <w:szCs w:val="24"/>
          <w:lang w:val="en-US" w:eastAsia="zh-CN" w:bidi="ar"/>
        </w:rPr>
        <w:t xml:space="preserve">4 </w:t>
      </w:r>
      <w:r>
        <w:rPr>
          <w:rFonts w:hint="eastAsia" w:ascii="宋体" w:hAnsi="宋体" w:eastAsia="宋体" w:cs="宋体"/>
          <w:color w:val="000000"/>
          <w:kern w:val="0"/>
          <w:sz w:val="24"/>
          <w:szCs w:val="24"/>
          <w:lang w:val="en-US" w:eastAsia="zh-CN" w:bidi="ar"/>
        </w:rPr>
        <w:t xml:space="preserve">个主弦杆和特殊节必须有 </w:t>
      </w:r>
      <w:r>
        <w:rPr>
          <w:rFonts w:hint="default" w:ascii="Times New Roman" w:hAnsi="Times New Roman" w:eastAsia="宋体" w:cs="Times New Roman"/>
          <w:color w:val="000000"/>
          <w:kern w:val="0"/>
          <w:sz w:val="24"/>
          <w:szCs w:val="24"/>
          <w:lang w:val="en-US" w:eastAsia="zh-CN" w:bidi="ar"/>
        </w:rPr>
        <w:t xml:space="preserve">8 </w:t>
      </w:r>
      <w:r>
        <w:rPr>
          <w:rFonts w:hint="eastAsia" w:ascii="宋体" w:hAnsi="宋体" w:eastAsia="宋体" w:cs="宋体"/>
          <w:color w:val="000000"/>
          <w:kern w:val="0"/>
          <w:sz w:val="24"/>
          <w:szCs w:val="24"/>
          <w:lang w:val="en-US" w:eastAsia="zh-CN" w:bidi="ar"/>
        </w:rPr>
        <w:t xml:space="preserve">个安全销轴连接； </w:t>
      </w:r>
    </w:p>
    <w:p w14:paraId="7AE7CFD9">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所加标准节上的踏步，必须与已有塔身节对正； </w:t>
      </w:r>
    </w:p>
    <w:p w14:paraId="79FA2AA9">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在特殊节与塔身没有用销轴连接好之前，严禁起重臂回转、载重小车变幅和吊装作业； </w:t>
      </w:r>
    </w:p>
    <w:p w14:paraId="0221706B">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 xml:space="preserve">在顶升过程中，若液压顶升系统出现异常，应立即停止顶升，收回油缸，将特殊节落在塔身顶部，并用 </w:t>
      </w:r>
      <w:r>
        <w:rPr>
          <w:rFonts w:hint="default" w:ascii="Times New Roman" w:hAnsi="Times New Roman" w:eastAsia="宋体" w:cs="Times New Roman"/>
          <w:color w:val="000000"/>
          <w:kern w:val="0"/>
          <w:sz w:val="24"/>
          <w:szCs w:val="24"/>
          <w:lang w:val="en-US" w:eastAsia="zh-CN" w:bidi="ar"/>
        </w:rPr>
        <w:t xml:space="preserve">8 </w:t>
      </w:r>
      <w:r>
        <w:rPr>
          <w:rFonts w:hint="eastAsia" w:ascii="宋体" w:hAnsi="宋体" w:eastAsia="宋体" w:cs="宋体"/>
          <w:color w:val="000000"/>
          <w:kern w:val="0"/>
          <w:sz w:val="24"/>
          <w:szCs w:val="24"/>
          <w:lang w:val="en-US" w:eastAsia="zh-CN" w:bidi="ar"/>
        </w:rPr>
        <w:t>根销轴将特殊节与塔身连接牢靠后，再排除液压系统的故障；</w:t>
      </w:r>
    </w:p>
    <w:p w14:paraId="20863306">
      <w:pPr>
        <w:keepNext w:val="0"/>
        <w:keepLines w:val="0"/>
        <w:widowControl/>
        <w:suppressLineNumbers w:val="0"/>
        <w:ind w:firstLine="480"/>
        <w:jc w:val="left"/>
      </w:pPr>
      <w:r>
        <w:rPr>
          <w:rFonts w:hint="eastAsia" w:ascii="宋体" w:hAnsi="宋体" w:eastAsia="宋体" w:cs="宋体"/>
          <w:color w:val="000000"/>
          <w:kern w:val="0"/>
          <w:sz w:val="24"/>
          <w:szCs w:val="24"/>
          <w:lang w:val="en-US" w:eastAsia="zh-CN" w:bidi="ar"/>
        </w:rPr>
        <w:t>塔机加节达到所需工作高度（但不超过独立高度）后，应旋转起重臂至不同的角度， 检查塔身各接头处销轴的装配、基础支脚处螺栓的拧紧问题。</w:t>
      </w:r>
    </w:p>
    <w:p w14:paraId="1AD1A417">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sectPr>
          <w:footerReference r:id="rId13" w:type="default"/>
          <w:pgSz w:w="11906" w:h="16839"/>
          <w:pgMar w:top="1235" w:right="1416" w:bottom="1156" w:left="1416" w:header="794" w:footer="996" w:gutter="0"/>
          <w:pgNumType w:fmt="decimal"/>
          <w:cols w:space="720" w:num="1"/>
        </w:sectPr>
      </w:pPr>
    </w:p>
    <w:p w14:paraId="2A87BE75">
      <w:pPr>
        <w:pStyle w:val="7"/>
        <w:bidi w:val="0"/>
        <w:ind w:left="1008" w:leftChars="0" w:hanging="1008" w:firstLineChars="0"/>
        <w:rPr>
          <w:rFonts w:hint="eastAsia"/>
          <w:b/>
          <w:bCs w:val="0"/>
        </w:rPr>
      </w:pPr>
      <w:r>
        <w:rPr>
          <w:rFonts w:hint="eastAsia"/>
          <w:b/>
          <w:bCs w:val="0"/>
          <w:lang w:val="en-US" w:eastAsia="zh-CN"/>
        </w:rPr>
        <w:t xml:space="preserve">钢丝绳防脱装置 </w:t>
      </w:r>
    </w:p>
    <w:p w14:paraId="4A0C8F9C">
      <w:pPr>
        <w:keepNext w:val="0"/>
        <w:keepLines w:val="0"/>
        <w:widowControl/>
        <w:suppressLineNumbers w:val="0"/>
        <w:jc w:val="left"/>
        <w:rPr>
          <w:rFonts w:hint="eastAsia"/>
          <w:b/>
          <w:bCs/>
          <w:color w:val="FF0000"/>
          <w:kern w:val="44"/>
          <w:sz w:val="28"/>
          <w:szCs w:val="44"/>
          <w:lang w:val="en-US" w:eastAsia="zh-CN"/>
        </w:rPr>
      </w:pPr>
      <w:r>
        <w:rPr>
          <w:rFonts w:hint="eastAsia" w:ascii="宋体" w:hAnsi="宋体" w:eastAsia="宋体" w:cs="宋体"/>
          <w:b w:val="0"/>
          <w:bCs w:val="0"/>
          <w:color w:val="000000"/>
          <w:kern w:val="0"/>
          <w:sz w:val="24"/>
          <w:szCs w:val="24"/>
          <w:lang w:val="en-US" w:eastAsia="zh-CN" w:bidi="ar"/>
        </w:rPr>
        <w:t>该塔机的滑轮、起升卷筒均设有钢丝绳防脱装置，该装置表面与滑轮或卷筒侧板外缘间的间隙不超过钢丝绳直径的 20% ,该装置可能与钢丝绳接触的表面没有棱角，目测检验防脱是否有效。</w:t>
      </w:r>
    </w:p>
    <w:p w14:paraId="3078A9E6">
      <w:pPr>
        <w:pStyle w:val="5"/>
        <w:bidi w:val="0"/>
        <w:ind w:left="864" w:leftChars="0" w:hanging="864" w:firstLineChars="0"/>
        <w:rPr>
          <w:b/>
          <w:bCs w:val="0"/>
        </w:rPr>
      </w:pPr>
      <w:r>
        <w:rPr>
          <w:rFonts w:hint="eastAsia"/>
          <w:b/>
          <w:bCs w:val="0"/>
        </w:rPr>
        <w:t>顶升时的配平</w:t>
      </w:r>
    </w:p>
    <w:p w14:paraId="7A841E28">
      <w:pPr>
        <w:spacing w:line="240" w:lineRule="auto"/>
        <w:jc w:val="left"/>
        <w:rPr>
          <w:rFonts w:hint="eastAsia" w:eastAsia="宋体"/>
          <w:b/>
          <w:sz w:val="21"/>
          <w:lang w:eastAsia="zh-CN"/>
        </w:rPr>
      </w:pPr>
      <w:r>
        <w:rPr>
          <w:rFonts w:hint="eastAsia" w:eastAsia="宋体"/>
          <w:b/>
          <w:sz w:val="21"/>
          <w:lang w:eastAsia="zh-CN"/>
        </w:rPr>
        <w:drawing>
          <wp:inline distT="0" distB="0" distL="114300" distR="114300">
            <wp:extent cx="2578100" cy="2991485"/>
            <wp:effectExtent l="0" t="0" r="12700" b="18415"/>
            <wp:docPr id="84" name="图片 84" descr="1720679320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720679320783"/>
                    <pic:cNvPicPr>
                      <a:picLocks noChangeAspect="1"/>
                    </pic:cNvPicPr>
                  </pic:nvPicPr>
                  <pic:blipFill>
                    <a:blip r:embed="rId72"/>
                    <a:stretch>
                      <a:fillRect/>
                    </a:stretch>
                  </pic:blipFill>
                  <pic:spPr>
                    <a:xfrm>
                      <a:off x="0" y="0"/>
                      <a:ext cx="2578100" cy="2991485"/>
                    </a:xfrm>
                    <a:prstGeom prst="rect">
                      <a:avLst/>
                    </a:prstGeom>
                  </pic:spPr>
                </pic:pic>
              </a:graphicData>
            </a:graphic>
          </wp:inline>
        </w:drawing>
      </w:r>
      <w:r>
        <w:rPr>
          <w:rFonts w:hint="eastAsia"/>
          <w:lang w:eastAsia="zh-CN"/>
        </w:rPr>
        <w:drawing>
          <wp:inline distT="0" distB="0" distL="114300" distR="114300">
            <wp:extent cx="1999615" cy="3013075"/>
            <wp:effectExtent l="0" t="0" r="635" b="15875"/>
            <wp:docPr id="85" name="图片 85" descr="172067941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720679417501"/>
                    <pic:cNvPicPr>
                      <a:picLocks noChangeAspect="1"/>
                    </pic:cNvPicPr>
                  </pic:nvPicPr>
                  <pic:blipFill>
                    <a:blip r:embed="rId73"/>
                    <a:stretch>
                      <a:fillRect/>
                    </a:stretch>
                  </pic:blipFill>
                  <pic:spPr>
                    <a:xfrm>
                      <a:off x="0" y="0"/>
                      <a:ext cx="1999615" cy="3013075"/>
                    </a:xfrm>
                    <a:prstGeom prst="rect">
                      <a:avLst/>
                    </a:prstGeom>
                  </pic:spPr>
                </pic:pic>
              </a:graphicData>
            </a:graphic>
          </wp:inline>
        </w:drawing>
      </w:r>
    </w:p>
    <w:p w14:paraId="7719812F">
      <w:pPr>
        <w:keepNext w:val="0"/>
        <w:keepLines w:val="0"/>
        <w:widowControl/>
        <w:suppressLineNumbers w:val="0"/>
        <w:jc w:val="center"/>
        <w:rPr>
          <w:rFonts w:hint="eastAsia" w:ascii="宋体" w:hAnsi="宋体" w:eastAsia="宋体" w:cs="宋体"/>
          <w:b w:val="0"/>
          <w:bCs w:val="0"/>
          <w:color w:val="000000"/>
          <w:kern w:val="0"/>
          <w:sz w:val="24"/>
          <w:szCs w:val="24"/>
          <w:lang w:val="en-US" w:eastAsia="zh-CN" w:bidi="ar"/>
        </w:rPr>
      </w:pPr>
      <w:r>
        <w:rPr>
          <w:rFonts w:hint="eastAsia" w:ascii="Times New Roman" w:hAnsi="Times New Roman" w:eastAsia="宋体" w:cstheme="majorBidi"/>
          <w:b/>
          <w:color w:val="auto"/>
          <w:kern w:val="2"/>
          <w:sz w:val="21"/>
          <w:szCs w:val="20"/>
          <w:lang w:val="en-US" w:eastAsia="zh-CN" w:bidi="ar-SA"/>
        </w:rPr>
        <w:t>图4.4.1</w:t>
      </w:r>
      <w:r>
        <w:rPr>
          <w:rFonts w:hint="eastAsia" w:cstheme="majorBidi"/>
          <w:b/>
          <w:color w:val="auto"/>
          <w:kern w:val="2"/>
          <w:sz w:val="21"/>
          <w:szCs w:val="20"/>
          <w:lang w:val="en-US" w:eastAsia="zh-CN" w:bidi="ar-SA"/>
        </w:rPr>
        <w:t>3</w:t>
      </w:r>
      <w:r>
        <w:rPr>
          <w:rFonts w:hint="eastAsia" w:ascii="Times New Roman" w:hAnsi="Times New Roman" w:eastAsia="宋体" w:cstheme="majorBidi"/>
          <w:b/>
          <w:color w:val="auto"/>
          <w:kern w:val="2"/>
          <w:sz w:val="21"/>
          <w:szCs w:val="20"/>
          <w:lang w:val="en-US" w:eastAsia="zh-CN" w:bidi="ar-SA"/>
        </w:rPr>
        <w:t>.3-1标准节引进示意图</w:t>
      </w:r>
    </w:p>
    <w:p w14:paraId="3F3524F0">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（1）塔机配平前，必须先吊一节标准节放在下支座的引进横梁上（标准节的平台、平台栏杆和爬梯要固定好），钢丝绳挂在标准节的对角吊耳上，再将载重小车吊一节标准节运行到配平参考位置见表4.4.14.3-</w:t>
      </w:r>
      <w:r>
        <w:rPr>
          <w:rFonts w:hint="eastAsia" w:ascii="宋体" w:hAnsi="宋体" w:cs="宋体"/>
          <w:b w:val="0"/>
          <w:bCs w:val="0"/>
          <w:color w:val="000000"/>
          <w:kern w:val="0"/>
          <w:sz w:val="24"/>
          <w:szCs w:val="24"/>
          <w:lang w:val="en-US" w:eastAsia="zh-CN" w:bidi="ar"/>
        </w:rPr>
        <w:t>3</w:t>
      </w:r>
      <w:r>
        <w:rPr>
          <w:rFonts w:hint="eastAsia" w:ascii="宋体" w:hAnsi="宋体" w:eastAsia="宋体" w:cs="宋体"/>
          <w:b w:val="0"/>
          <w:bCs w:val="0"/>
          <w:color w:val="000000"/>
          <w:kern w:val="0"/>
          <w:sz w:val="24"/>
          <w:szCs w:val="24"/>
          <w:lang w:val="en-US" w:eastAsia="zh-CN" w:bidi="ar"/>
        </w:rPr>
        <w:t>，然后拆除</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 xml:space="preserve"> 4 个支腿与标准节连接的 8 个销轴。</w:t>
      </w:r>
    </w:p>
    <w:p w14:paraId="218BD96F">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（2）将液压顶升系统操纵杆推至“顶升”方向，使套架顶升至</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支腿刚刚脱离塔身的主弦杆的位置。</w:t>
      </w:r>
    </w:p>
    <w:p w14:paraId="324FB0D4">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（3）通过检验</w:t>
      </w:r>
      <w:r>
        <w:rPr>
          <w:rFonts w:hint="eastAsia" w:ascii="宋体" w:hAnsi="宋体" w:cs="宋体"/>
          <w:b w:val="0"/>
          <w:bCs w:val="0"/>
          <w:color w:val="000000"/>
          <w:kern w:val="0"/>
          <w:sz w:val="24"/>
          <w:szCs w:val="24"/>
          <w:lang w:val="en-US" w:eastAsia="zh-CN" w:bidi="ar"/>
        </w:rPr>
        <w:t>特殊节</w:t>
      </w:r>
      <w:r>
        <w:rPr>
          <w:rFonts w:hint="eastAsia" w:ascii="宋体" w:hAnsi="宋体" w:eastAsia="宋体" w:cs="宋体"/>
          <w:b w:val="0"/>
          <w:bCs w:val="0"/>
          <w:color w:val="000000"/>
          <w:kern w:val="0"/>
          <w:sz w:val="24"/>
          <w:szCs w:val="24"/>
          <w:lang w:val="en-US" w:eastAsia="zh-CN" w:bidi="ar"/>
        </w:rPr>
        <w:t>支腿与塔身主弦杆是否在一条垂直线上，并观察套架 8 个导轮与塔身主弦杆间隙是否基本相同来检查塔机是否平衡。略微调整载重小车的配平位置，直至平衡。记录实际配平位置，以后顶升或降节时使用。 必须使得塔机上部重心落在顶升油缸梁的位置上。</w:t>
      </w:r>
    </w:p>
    <w:p w14:paraId="1F76FB7A">
      <w:pPr>
        <w:pStyle w:val="38"/>
        <w:keepNext/>
        <w:spacing w:line="240" w:lineRule="auto"/>
        <w:jc w:val="center"/>
        <w:rPr>
          <w:rFonts w:hint="default"/>
          <w:lang w:val="en-US" w:eastAsia="zh-CN"/>
        </w:rPr>
      </w:pPr>
      <w:r>
        <w:rPr>
          <w:rFonts w:hint="eastAsia" w:ascii="Times New Roman" w:hAnsi="Times New Roman" w:eastAsia="宋体" w:cstheme="majorBidi"/>
          <w:b/>
          <w:color w:val="auto"/>
          <w:kern w:val="2"/>
          <w:sz w:val="21"/>
          <w:szCs w:val="20"/>
          <w:lang w:val="en-US" w:eastAsia="zh-CN" w:bidi="ar-SA"/>
        </w:rPr>
        <w:t>表4.4.1</w:t>
      </w:r>
      <w:r>
        <w:rPr>
          <w:rFonts w:hint="eastAsia" w:cstheme="majorBidi"/>
          <w:b/>
          <w:color w:val="auto"/>
          <w:kern w:val="2"/>
          <w:sz w:val="21"/>
          <w:szCs w:val="20"/>
          <w:lang w:val="en-US" w:eastAsia="zh-CN" w:bidi="ar-SA"/>
        </w:rPr>
        <w:t>3</w:t>
      </w:r>
      <w:r>
        <w:rPr>
          <w:rFonts w:hint="eastAsia" w:ascii="Times New Roman" w:hAnsi="Times New Roman" w:eastAsia="宋体" w:cstheme="majorBidi"/>
          <w:b/>
          <w:color w:val="auto"/>
          <w:kern w:val="2"/>
          <w:sz w:val="21"/>
          <w:szCs w:val="20"/>
          <w:lang w:val="en-US" w:eastAsia="zh-CN" w:bidi="ar-SA"/>
        </w:rPr>
        <w:t>.3-2不同臂长理论顶升配平位置表</w:t>
      </w:r>
    </w:p>
    <w:p w14:paraId="5700CAD0">
      <w:pPr>
        <w:pStyle w:val="38"/>
        <w:jc w:val="center"/>
        <w:rPr>
          <w:b/>
          <w:sz w:val="21"/>
        </w:rPr>
      </w:pPr>
      <w:r>
        <w:drawing>
          <wp:inline distT="0" distB="0" distL="114300" distR="114300">
            <wp:extent cx="5268595" cy="3165475"/>
            <wp:effectExtent l="0" t="0" r="8255" b="15875"/>
            <wp:docPr id="7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7"/>
                    <pic:cNvPicPr>
                      <a:picLocks noChangeAspect="1"/>
                    </pic:cNvPicPr>
                  </pic:nvPicPr>
                  <pic:blipFill>
                    <a:blip r:embed="rId74"/>
                    <a:stretch>
                      <a:fillRect/>
                    </a:stretch>
                  </pic:blipFill>
                  <pic:spPr>
                    <a:xfrm>
                      <a:off x="0" y="0"/>
                      <a:ext cx="5268595" cy="3165475"/>
                    </a:xfrm>
                    <a:prstGeom prst="rect">
                      <a:avLst/>
                    </a:prstGeom>
                    <a:noFill/>
                    <a:ln>
                      <a:noFill/>
                    </a:ln>
                  </pic:spPr>
                </pic:pic>
              </a:graphicData>
            </a:graphic>
          </wp:inline>
        </w:drawing>
      </w:r>
      <w:r>
        <w:drawing>
          <wp:inline distT="0" distB="0" distL="114300" distR="114300">
            <wp:extent cx="4958715" cy="1228090"/>
            <wp:effectExtent l="0" t="0" r="13335" b="10160"/>
            <wp:docPr id="72"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8"/>
                    <pic:cNvPicPr>
                      <a:picLocks noChangeAspect="1"/>
                    </pic:cNvPicPr>
                  </pic:nvPicPr>
                  <pic:blipFill>
                    <a:blip r:embed="rId75"/>
                    <a:stretch>
                      <a:fillRect/>
                    </a:stretch>
                  </pic:blipFill>
                  <pic:spPr>
                    <a:xfrm>
                      <a:off x="0" y="0"/>
                      <a:ext cx="4958715" cy="1228090"/>
                    </a:xfrm>
                    <a:prstGeom prst="rect">
                      <a:avLst/>
                    </a:prstGeom>
                    <a:noFill/>
                    <a:ln>
                      <a:noFill/>
                    </a:ln>
                  </pic:spPr>
                </pic:pic>
              </a:graphicData>
            </a:graphic>
          </wp:inline>
        </w:drawing>
      </w:r>
    </w:p>
    <w:p w14:paraId="216F5BE0">
      <w:pPr>
        <w:keepNext w:val="0"/>
        <w:keepLines w:val="0"/>
        <w:widowControl/>
        <w:suppressLineNumbers w:val="0"/>
        <w:jc w:val="center"/>
        <w:rPr>
          <w:rFonts w:hint="default"/>
          <w:b/>
          <w:sz w:val="21"/>
          <w:lang w:val="en-US" w:eastAsia="zh-CN"/>
        </w:rPr>
      </w:pPr>
      <w:r>
        <w:rPr>
          <w:rFonts w:hint="eastAsia" w:ascii="Times New Roman" w:hAnsi="Times New Roman" w:eastAsia="宋体" w:cstheme="majorBidi"/>
          <w:b/>
          <w:color w:val="auto"/>
          <w:kern w:val="2"/>
          <w:sz w:val="21"/>
          <w:szCs w:val="20"/>
          <w:lang w:val="en-US" w:eastAsia="zh-CN" w:bidi="ar-SA"/>
        </w:rPr>
        <w:t>图4.4.1</w:t>
      </w:r>
      <w:r>
        <w:rPr>
          <w:rFonts w:hint="eastAsia" w:cstheme="majorBidi"/>
          <w:b/>
          <w:color w:val="auto"/>
          <w:kern w:val="2"/>
          <w:sz w:val="21"/>
          <w:szCs w:val="20"/>
          <w:lang w:val="en-US" w:eastAsia="zh-CN" w:bidi="ar-SA"/>
        </w:rPr>
        <w:t>3</w:t>
      </w:r>
      <w:r>
        <w:rPr>
          <w:rFonts w:hint="eastAsia" w:ascii="Times New Roman" w:hAnsi="Times New Roman" w:eastAsia="宋体" w:cstheme="majorBidi"/>
          <w:b/>
          <w:color w:val="auto"/>
          <w:kern w:val="2"/>
          <w:sz w:val="21"/>
          <w:szCs w:val="20"/>
          <w:lang w:val="en-US" w:eastAsia="zh-CN" w:bidi="ar-SA"/>
        </w:rPr>
        <w:t>.3-2顶升前配平示意图</w:t>
      </w:r>
    </w:p>
    <w:p w14:paraId="3D7961C4">
      <w:pPr>
        <w:pStyle w:val="5"/>
        <w:bidi w:val="0"/>
        <w:ind w:left="864" w:leftChars="0" w:hanging="864" w:firstLineChars="0"/>
        <w:rPr>
          <w:b/>
          <w:bCs w:val="0"/>
        </w:rPr>
      </w:pPr>
      <w:r>
        <w:rPr>
          <w:rFonts w:hint="eastAsia"/>
          <w:b/>
          <w:bCs w:val="0"/>
        </w:rPr>
        <w:t>顶升作业</w:t>
      </w:r>
    </w:p>
    <w:p w14:paraId="0D508CB5">
      <w:pPr>
        <w:keepNext w:val="0"/>
        <w:keepLines w:val="0"/>
        <w:widowControl/>
        <w:suppressLineNumbers w:val="0"/>
        <w:ind w:firstLine="720" w:firstLineChars="30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顶升作业为多人配合作业，专人负责操作泵站、其余人负责操作标准节及销轴。</w:t>
      </w:r>
    </w:p>
    <w:p w14:paraId="0CD142E7">
      <w:pPr>
        <w:keepNext w:val="0"/>
        <w:keepLines w:val="0"/>
        <w:widowControl/>
        <w:suppressLineNumbers w:val="0"/>
        <w:ind w:left="0" w:leftChars="0" w:firstLine="480" w:firstLineChars="20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（1）按在引进梁上吊挂标准节的方法将一节标准节吊挂在引进梁上，并保证标准节上端面与引进小车下端面的距离在 100～250mm 之间。</w:t>
      </w:r>
    </w:p>
    <w:p w14:paraId="2BA70BF6">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 再吊配平标准节，将载重小车开至顶升平衡位置，塔机处于配平状态。</w:t>
      </w:r>
    </w:p>
    <w:p w14:paraId="046C20BA">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 使用回转机构上的回转制动器，将塔机上部机构处于制动状态；</w:t>
      </w:r>
    </w:p>
    <w:p w14:paraId="608D9612">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（4）卸下塔身顶部与下支座连接的顶升用临时销轴。</w:t>
      </w:r>
    </w:p>
    <w:p w14:paraId="62C3F913">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（5） 开动液压顶升系统，使油缸活塞杆伸出，将顶升横梁两端的止动靴挂在距顶升横梁最近的塔身节踏步上（要设专人负责观察顶升横梁两端止动靴都必须落入踏步圆弧槽内）；</w:t>
      </w:r>
    </w:p>
    <w:p w14:paraId="4E5CAB2A">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（6）打开套架上止动靴操纵杆，使套架止动靴与塔身分开，继续顶升，将套架及以上部分顶起 0.1~0.5m 时停止。</w:t>
      </w:r>
    </w:p>
    <w:p w14:paraId="26CDBCC6">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（7） 当液压油缸活塞接近下止点位置时，推动套架止动靴操纵杆使上止动靴挂入踏步上的圆弧槽内，使塔机套架以上部分临时固定在顶升踏步上。</w:t>
      </w:r>
    </w:p>
    <w:p w14:paraId="5D660675">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（8）将顶升横梁上的止动靴从塔身节踏步上脱开。</w:t>
      </w:r>
    </w:p>
    <w:p w14:paraId="5F8FF206">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（9） 液压泵站操纵杆搬向“向下”位置，使顶升横梁收回。在收回的过程中，注意不要使顶升梁与塔身上螺栓或鱼尾板卡住，防止造成事故。</w:t>
      </w:r>
    </w:p>
    <w:p w14:paraId="6CFDB62F">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（10）当顶升横梁止动靴开口与上一级顶升踏步对齐时，搬动顶升横梁止动靴使其挂入顶升踏步上。</w:t>
      </w:r>
    </w:p>
    <w:p w14:paraId="0BA56732">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（11） 打开顶升套架上止动靴操纵杆，使套架止动靴与塔身分开，液压泵站操纵杆搬向“向上”位置，继续顶升。</w:t>
      </w:r>
    </w:p>
    <w:p w14:paraId="1B7D5881">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该过程要重复三次方能形成可将一节标准节放进顶升套架内的空间。</w:t>
      </w:r>
    </w:p>
    <w:p w14:paraId="4FBE2034">
      <w:pPr>
        <w:pStyle w:val="5"/>
        <w:bidi w:val="0"/>
        <w:ind w:left="864" w:leftChars="0" w:hanging="864" w:firstLineChars="0"/>
        <w:rPr>
          <w:b/>
          <w:bCs w:val="0"/>
        </w:rPr>
      </w:pPr>
      <w:r>
        <w:rPr>
          <w:rFonts w:hint="eastAsia"/>
          <w:b/>
          <w:bCs w:val="0"/>
        </w:rPr>
        <w:t>引进标准节作业</w:t>
      </w:r>
    </w:p>
    <w:p w14:paraId="407BF838">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（1） 当顶升第三循环接近完成、顶升套架内空间可以容纳标准节时，将挂在引进梁上的标准节轻轻推向塔身、引入套架内；</w:t>
      </w:r>
    </w:p>
    <w:p w14:paraId="2CE0158E">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（2） 液压泵站操纵杆搬向“向下”位置，引进的标准节下端与塔身原标准节上端鱼尾板对齐相联，打入 8 个标准节联接销轴，并用锁销固定。在联接标准节时注意使两标准节上爬梯对正，上下插接在一起。</w:t>
      </w:r>
    </w:p>
    <w:p w14:paraId="561964EF">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（3） 拆下引进小车上 4 根固定标准节的螺栓，将螺栓装在引进小车吊环内。向外推出引进小车至标准节以外位置；</w:t>
      </w:r>
    </w:p>
    <w:p w14:paraId="793ED7D4">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（4） 继续下降顶升套架使下支座 4 个支腿落在新安装好的标准节上端鱼尾板内。用顶升套架上附带的四个临时固定销轴将下支座与标准节联接起来；</w:t>
      </w:r>
    </w:p>
    <w:p w14:paraId="638B7E99">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（5） 重复上述顶升程序，直到塔机顶升作业完成为止。</w:t>
      </w:r>
    </w:p>
    <w:p w14:paraId="7C463D73">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注意： 在 4 个临时销轴没有安装以前， 塔机不能做任何动作 （包括小车、 起升和回转）。否则有可能造成塔机倾翻的事故。</w:t>
      </w:r>
    </w:p>
    <w:p w14:paraId="180732BD">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关于顶升用临时销轴的说明：</w:t>
      </w:r>
    </w:p>
    <w:p w14:paraId="5E9D1DDA">
      <w:pPr>
        <w:keepNext w:val="0"/>
        <w:keepLines w:val="0"/>
        <w:widowControl/>
        <w:suppressLineNumbers w:val="0"/>
        <w:jc w:val="left"/>
        <w:rPr>
          <w:rFonts w:hint="eastAsia" w:ascii="宋体" w:hAnsi="宋体" w:eastAsia="宋体" w:cs="宋体"/>
          <w:b w:val="0"/>
          <w:bCs w:val="0"/>
          <w:color w:val="000000"/>
          <w:kern w:val="0"/>
          <w:sz w:val="24"/>
          <w:szCs w:val="24"/>
          <w:lang w:val="en-US" w:eastAsia="zh-CN" w:bidi="ar"/>
        </w:rPr>
      </w:pPr>
      <w:r>
        <w:rPr>
          <w:rFonts w:hint="eastAsia" w:ascii="宋体" w:hAnsi="宋体" w:eastAsia="宋体" w:cs="宋体"/>
          <w:b w:val="0"/>
          <w:bCs w:val="0"/>
          <w:color w:val="000000"/>
          <w:kern w:val="0"/>
          <w:sz w:val="24"/>
          <w:szCs w:val="24"/>
          <w:lang w:val="en-US" w:eastAsia="zh-CN" w:bidi="ar"/>
        </w:rPr>
        <w:t>为方便顶升作业，配有 4 个临时销轴，此销轴直径比标准节销轴小 2mm 。此销轴只做顶升时联接下支座与塔身用， 塔机正式作业时不允许用此销轴替代标准节销轴。</w:t>
      </w:r>
    </w:p>
    <w:p w14:paraId="09392587">
      <w:pPr>
        <w:pStyle w:val="5"/>
        <w:bidi w:val="0"/>
        <w:ind w:left="864" w:leftChars="0" w:hanging="864" w:firstLineChars="0"/>
        <w:rPr>
          <w:rFonts w:hint="eastAsia"/>
          <w:b/>
          <w:bCs w:val="0"/>
          <w:lang w:val="en-US" w:eastAsia="zh-CN"/>
        </w:rPr>
      </w:pPr>
      <w:r>
        <w:rPr>
          <w:rFonts w:hint="eastAsia"/>
          <w:b/>
          <w:bCs w:val="0"/>
          <w:lang w:val="en-US" w:eastAsia="zh-CN"/>
        </w:rPr>
        <w:t>顶升过程的注意事项</w:t>
      </w:r>
    </w:p>
    <w:p w14:paraId="41B0DEC9">
      <w:pPr>
        <w:spacing w:after="120"/>
        <w:ind w:firstLine="480"/>
      </w:pPr>
      <w:r>
        <w:rPr>
          <w:rFonts w:hint="eastAsia"/>
          <w:lang w:eastAsia="zh-CN"/>
        </w:rPr>
        <w:t>（</w:t>
      </w:r>
      <w:r>
        <w:rPr>
          <w:rFonts w:hint="eastAsia"/>
          <w:lang w:val="en-US" w:eastAsia="zh-CN"/>
        </w:rPr>
        <w:t>1</w:t>
      </w:r>
      <w:r>
        <w:rPr>
          <w:rFonts w:hint="eastAsia"/>
          <w:lang w:eastAsia="zh-CN"/>
        </w:rPr>
        <w:t>）</w:t>
      </w:r>
      <w:r>
        <w:rPr>
          <w:rFonts w:hint="eastAsia"/>
        </w:rPr>
        <w:t xml:space="preserve"> 塔机最高处风速大于 12m/s 时，不得进行顶升作业；</w:t>
      </w:r>
    </w:p>
    <w:p w14:paraId="35351AEA">
      <w:pPr>
        <w:spacing w:after="120"/>
        <w:ind w:firstLine="480"/>
      </w:pPr>
      <w:r>
        <w:rPr>
          <w:rFonts w:hint="eastAsia"/>
          <w:lang w:eastAsia="zh-CN"/>
        </w:rPr>
        <w:t>（</w:t>
      </w:r>
      <w:r>
        <w:rPr>
          <w:rFonts w:hint="eastAsia"/>
          <w:lang w:val="en-US" w:eastAsia="zh-CN"/>
        </w:rPr>
        <w:t>2</w:t>
      </w:r>
      <w:r>
        <w:rPr>
          <w:rFonts w:hint="eastAsia"/>
          <w:lang w:eastAsia="zh-CN"/>
        </w:rPr>
        <w:t>）</w:t>
      </w:r>
      <w:r>
        <w:rPr>
          <w:rFonts w:hint="eastAsia"/>
        </w:rPr>
        <w:t>塔机的爬升机构，其爬升作业时应确保套架上支承在塔身上的受力部位与塔身顶升支承部位应可靠定位和结合。并应及时查看顶升支承部位焊缝情况，若有异常情况应排除后才能继续进行爬升作业。</w:t>
      </w:r>
    </w:p>
    <w:p w14:paraId="75371B6A">
      <w:pPr>
        <w:spacing w:after="120"/>
        <w:ind w:firstLine="480"/>
      </w:pPr>
      <w:r>
        <w:rPr>
          <w:rFonts w:hint="eastAsia"/>
          <w:lang w:eastAsia="zh-CN"/>
        </w:rPr>
        <w:t>（</w:t>
      </w:r>
      <w:r>
        <w:rPr>
          <w:rFonts w:hint="eastAsia"/>
          <w:lang w:val="en-US" w:eastAsia="zh-CN"/>
        </w:rPr>
        <w:t>3</w:t>
      </w:r>
      <w:r>
        <w:rPr>
          <w:rFonts w:hint="eastAsia"/>
          <w:lang w:eastAsia="zh-CN"/>
        </w:rPr>
        <w:t>）</w:t>
      </w:r>
      <w:r>
        <w:rPr>
          <w:rFonts w:hint="eastAsia"/>
        </w:rPr>
        <w:t xml:space="preserve"> 顶升过程中必须保证起重臂与引入标准节方向一致，并利用回转机构制动器将起重臂制动住，载重小车必须停靠在顶升配平位置；</w:t>
      </w:r>
    </w:p>
    <w:p w14:paraId="66DE1647">
      <w:pPr>
        <w:spacing w:after="120"/>
        <w:ind w:firstLine="480"/>
      </w:pPr>
      <w:r>
        <w:rPr>
          <w:rFonts w:hint="eastAsia"/>
          <w:lang w:eastAsia="zh-CN"/>
        </w:rPr>
        <w:t>（</w:t>
      </w:r>
      <w:r>
        <w:rPr>
          <w:rFonts w:hint="eastAsia"/>
          <w:lang w:val="en-US" w:eastAsia="zh-CN"/>
        </w:rPr>
        <w:t>4</w:t>
      </w:r>
      <w:r>
        <w:rPr>
          <w:rFonts w:hint="eastAsia"/>
          <w:lang w:eastAsia="zh-CN"/>
        </w:rPr>
        <w:t>）</w:t>
      </w:r>
      <w:r>
        <w:rPr>
          <w:rFonts w:hint="eastAsia"/>
        </w:rPr>
        <w:t>所加标准节上的踏步，必须与已有塔身节对正；</w:t>
      </w:r>
    </w:p>
    <w:p w14:paraId="120E0C34">
      <w:pPr>
        <w:spacing w:after="120"/>
        <w:ind w:firstLine="480"/>
      </w:pPr>
      <w:r>
        <w:rPr>
          <w:rFonts w:hint="eastAsia"/>
          <w:lang w:eastAsia="zh-CN"/>
        </w:rPr>
        <w:t>（</w:t>
      </w:r>
      <w:r>
        <w:rPr>
          <w:rFonts w:hint="eastAsia"/>
          <w:lang w:val="en-US" w:eastAsia="zh-CN"/>
        </w:rPr>
        <w:t>5</w:t>
      </w:r>
      <w:r>
        <w:rPr>
          <w:rFonts w:hint="eastAsia"/>
          <w:lang w:eastAsia="zh-CN"/>
        </w:rPr>
        <w:t>）</w:t>
      </w:r>
      <w:r>
        <w:rPr>
          <w:rFonts w:hint="eastAsia"/>
        </w:rPr>
        <w:t xml:space="preserve"> 在下支座与塔身没有用销轴连接好之前，严禁起重臂回转、载重小车变幅和吊装作业；</w:t>
      </w:r>
    </w:p>
    <w:p w14:paraId="1E769B32">
      <w:pPr>
        <w:spacing w:after="120"/>
        <w:ind w:firstLine="480"/>
      </w:pPr>
      <w:r>
        <w:rPr>
          <w:rFonts w:hint="eastAsia"/>
          <w:lang w:eastAsia="zh-CN"/>
        </w:rPr>
        <w:t>（</w:t>
      </w:r>
      <w:r>
        <w:rPr>
          <w:rFonts w:hint="eastAsia"/>
          <w:lang w:val="en-US" w:eastAsia="zh-CN"/>
        </w:rPr>
        <w:t>6</w:t>
      </w:r>
      <w:r>
        <w:rPr>
          <w:rFonts w:hint="eastAsia"/>
          <w:lang w:eastAsia="zh-CN"/>
        </w:rPr>
        <w:t>）</w:t>
      </w:r>
      <w:r>
        <w:rPr>
          <w:rFonts w:hint="eastAsia"/>
        </w:rPr>
        <w:t>在顶升过程中，若液压顶升系统出现异常，应立即停止顶升，收回油缸，将下支座落在塔身顶部，并用 8 个销轴将下支座与塔身连接牢靠后，再排除液压系统的故障；</w:t>
      </w:r>
    </w:p>
    <w:p w14:paraId="2C6DECAE">
      <w:pPr>
        <w:pStyle w:val="5"/>
        <w:bidi w:val="0"/>
        <w:ind w:left="864" w:leftChars="0" w:hanging="864" w:firstLineChars="0"/>
        <w:rPr>
          <w:rFonts w:hint="eastAsia"/>
          <w:b/>
          <w:bCs w:val="0"/>
          <w:lang w:val="en-US" w:eastAsia="zh-CN"/>
        </w:rPr>
      </w:pPr>
      <w:r>
        <w:rPr>
          <w:rFonts w:hint="eastAsia"/>
          <w:b/>
          <w:bCs w:val="0"/>
          <w:lang w:val="en-US" w:eastAsia="zh-CN"/>
        </w:rPr>
        <w:t>顶升作业完成后注意事项</w:t>
      </w:r>
    </w:p>
    <w:p w14:paraId="02CB1DE1">
      <w:pPr>
        <w:spacing w:after="120"/>
        <w:ind w:firstLine="480"/>
      </w:pPr>
      <w:r>
        <w:rPr>
          <w:rFonts w:hint="eastAsia"/>
          <w:lang w:eastAsia="zh-CN"/>
        </w:rPr>
        <w:t>（</w:t>
      </w:r>
      <w:r>
        <w:rPr>
          <w:rFonts w:hint="eastAsia"/>
          <w:lang w:val="en-US" w:eastAsia="zh-CN"/>
        </w:rPr>
        <w:t>1</w:t>
      </w:r>
      <w:r>
        <w:rPr>
          <w:rFonts w:hint="eastAsia"/>
          <w:lang w:eastAsia="zh-CN"/>
        </w:rPr>
        <w:t>）</w:t>
      </w:r>
      <w:r>
        <w:rPr>
          <w:rFonts w:hint="eastAsia"/>
        </w:rPr>
        <w:t>最后一节标准节要带有休息平台；</w:t>
      </w:r>
    </w:p>
    <w:p w14:paraId="6629786F">
      <w:pPr>
        <w:spacing w:after="120"/>
        <w:ind w:firstLine="480"/>
      </w:pPr>
      <w:r>
        <w:rPr>
          <w:rFonts w:hint="eastAsia"/>
          <w:lang w:eastAsia="zh-CN"/>
        </w:rPr>
        <w:t>（</w:t>
      </w:r>
      <w:r>
        <w:rPr>
          <w:rFonts w:hint="eastAsia"/>
          <w:lang w:val="en-US" w:eastAsia="zh-CN"/>
        </w:rPr>
        <w:t>2</w:t>
      </w:r>
      <w:r>
        <w:rPr>
          <w:rFonts w:hint="eastAsia"/>
          <w:lang w:eastAsia="zh-CN"/>
        </w:rPr>
        <w:t>）</w:t>
      </w:r>
      <w:r>
        <w:rPr>
          <w:rFonts w:hint="eastAsia"/>
        </w:rPr>
        <w:t xml:space="preserve"> 引进小车不要放在塔身内；</w:t>
      </w:r>
    </w:p>
    <w:p w14:paraId="22756E23">
      <w:pPr>
        <w:spacing w:after="120"/>
        <w:ind w:firstLine="480"/>
      </w:pPr>
      <w:r>
        <w:rPr>
          <w:rFonts w:hint="eastAsia"/>
          <w:lang w:eastAsia="zh-CN"/>
        </w:rPr>
        <w:t>（</w:t>
      </w:r>
      <w:r>
        <w:rPr>
          <w:rFonts w:hint="eastAsia"/>
          <w:lang w:val="en-US" w:eastAsia="zh-CN"/>
        </w:rPr>
        <w:t>3</w:t>
      </w:r>
      <w:r>
        <w:rPr>
          <w:rFonts w:hint="eastAsia"/>
          <w:lang w:eastAsia="zh-CN"/>
        </w:rPr>
        <w:t>）</w:t>
      </w:r>
      <w:r>
        <w:rPr>
          <w:rFonts w:hint="eastAsia"/>
        </w:rPr>
        <w:t>必要时可以放下引进梁；</w:t>
      </w:r>
    </w:p>
    <w:p w14:paraId="57FF5F85">
      <w:pPr>
        <w:spacing w:after="120"/>
        <w:ind w:firstLine="480"/>
      </w:pPr>
      <w:r>
        <w:rPr>
          <w:rFonts w:hint="eastAsia"/>
          <w:lang w:eastAsia="zh-CN"/>
        </w:rPr>
        <w:t>（</w:t>
      </w:r>
      <w:r>
        <w:rPr>
          <w:rFonts w:hint="eastAsia"/>
          <w:lang w:val="en-US" w:eastAsia="zh-CN"/>
        </w:rPr>
        <w:t>4</w:t>
      </w:r>
      <w:r>
        <w:rPr>
          <w:rFonts w:hint="eastAsia"/>
          <w:lang w:eastAsia="zh-CN"/>
        </w:rPr>
        <w:t>）</w:t>
      </w:r>
      <w:r>
        <w:rPr>
          <w:rFonts w:hint="eastAsia"/>
        </w:rPr>
        <w:t xml:space="preserve"> 下支座与塔身必须用 8 个标准节销轴联接好并用锁销固定；</w:t>
      </w:r>
    </w:p>
    <w:p w14:paraId="3585E0E1">
      <w:pPr>
        <w:spacing w:after="120"/>
        <w:ind w:firstLine="480"/>
      </w:pPr>
      <w:r>
        <w:rPr>
          <w:rFonts w:hint="eastAsia"/>
          <w:lang w:eastAsia="zh-CN"/>
        </w:rPr>
        <w:t>（</w:t>
      </w:r>
      <w:r>
        <w:rPr>
          <w:rFonts w:hint="eastAsia"/>
          <w:lang w:val="en-US" w:eastAsia="zh-CN"/>
        </w:rPr>
        <w:t>5</w:t>
      </w:r>
      <w:r>
        <w:rPr>
          <w:rFonts w:hint="eastAsia"/>
          <w:lang w:eastAsia="zh-CN"/>
        </w:rPr>
        <w:t>）</w:t>
      </w:r>
      <w:r>
        <w:rPr>
          <w:rFonts w:hint="eastAsia"/>
        </w:rPr>
        <w:t xml:space="preserve"> 顶升梁必须轻挂在最后一级顶升踏步上，注意要使液压油缸卸荷；</w:t>
      </w:r>
    </w:p>
    <w:p w14:paraId="64E56198">
      <w:pPr>
        <w:spacing w:after="120"/>
        <w:ind w:firstLine="480"/>
      </w:pPr>
      <w:r>
        <w:rPr>
          <w:rFonts w:hint="eastAsia"/>
          <w:lang w:eastAsia="zh-CN"/>
        </w:rPr>
        <w:t>（</w:t>
      </w:r>
      <w:r>
        <w:rPr>
          <w:rFonts w:hint="eastAsia"/>
          <w:lang w:val="en-US" w:eastAsia="zh-CN"/>
        </w:rPr>
        <w:t>6</w:t>
      </w:r>
      <w:r>
        <w:rPr>
          <w:rFonts w:hint="eastAsia"/>
          <w:lang w:eastAsia="zh-CN"/>
        </w:rPr>
        <w:t>）</w:t>
      </w:r>
      <w:r>
        <w:rPr>
          <w:rFonts w:hint="eastAsia"/>
        </w:rPr>
        <w:t>拆掉液压泵站的电源线，整理好塔机电源随线；</w:t>
      </w:r>
    </w:p>
    <w:p w14:paraId="43AC84BF">
      <w:pPr>
        <w:spacing w:after="120"/>
        <w:ind w:firstLine="480"/>
        <w:rPr>
          <w:rFonts w:hint="eastAsia" w:eastAsia="宋体"/>
          <w:lang w:eastAsia="zh-CN"/>
        </w:rPr>
      </w:pPr>
      <w:r>
        <w:rPr>
          <w:rFonts w:hint="eastAsia"/>
          <w:lang w:eastAsia="zh-CN"/>
        </w:rPr>
        <w:t>（</w:t>
      </w:r>
      <w:r>
        <w:rPr>
          <w:rFonts w:hint="eastAsia"/>
          <w:lang w:val="en-US" w:eastAsia="zh-CN"/>
        </w:rPr>
        <w:t>7</w:t>
      </w:r>
      <w:r>
        <w:rPr>
          <w:rFonts w:hint="eastAsia"/>
          <w:lang w:eastAsia="zh-CN"/>
        </w:rPr>
        <w:t>）</w:t>
      </w:r>
      <w:r>
        <w:rPr>
          <w:rFonts w:hint="eastAsia"/>
        </w:rPr>
        <w:t>整个塔机安装完毕后，将套架降到塔身最底部，固定牢固，以降低风载；</w:t>
      </w:r>
    </w:p>
    <w:p w14:paraId="1C5D53DE">
      <w:pPr>
        <w:pStyle w:val="3"/>
        <w:bidi w:val="0"/>
        <w:ind w:left="575" w:leftChars="0" w:hanging="575" w:firstLineChars="0"/>
        <w:rPr>
          <w:rFonts w:hint="eastAsia"/>
          <w:b/>
          <w:bCs w:val="0"/>
          <w:sz w:val="28"/>
          <w:szCs w:val="28"/>
          <w:lang w:val="en-US" w:eastAsia="zh-CN"/>
        </w:rPr>
      </w:pPr>
      <w:bookmarkStart w:id="86" w:name="_Toc3498"/>
      <w:bookmarkStart w:id="87" w:name="_Toc24551"/>
      <w:bookmarkStart w:id="88" w:name="_Toc24600"/>
      <w:bookmarkStart w:id="89" w:name="_Toc22280"/>
      <w:bookmarkStart w:id="90" w:name="_Toc22261"/>
      <w:bookmarkStart w:id="91" w:name="_Toc1572"/>
      <w:r>
        <w:rPr>
          <w:rFonts w:hint="eastAsia"/>
          <w:b/>
          <w:bCs w:val="0"/>
          <w:sz w:val="28"/>
          <w:szCs w:val="28"/>
          <w:lang w:val="en-US" w:eastAsia="zh-CN"/>
        </w:rPr>
        <w:t>试验</w:t>
      </w:r>
      <w:bookmarkEnd w:id="86"/>
      <w:bookmarkEnd w:id="87"/>
      <w:bookmarkEnd w:id="88"/>
      <w:bookmarkEnd w:id="89"/>
    </w:p>
    <w:p w14:paraId="54DA3593">
      <w:pPr>
        <w:bidi w:val="0"/>
        <w:spacing w:line="480" w:lineRule="exact"/>
        <w:rPr>
          <w:rFonts w:hint="eastAsia" w:ascii="宋体" w:hAnsi="宋体" w:cs="宋体"/>
          <w:color w:val="002DC7"/>
          <w:lang w:val="en-US" w:eastAsia="zh-CN"/>
        </w:rPr>
      </w:pPr>
      <w:r>
        <w:rPr>
          <w:rFonts w:hint="eastAsia" w:ascii="宋体" w:hAnsi="宋体" w:cs="宋体"/>
          <w:color w:val="auto"/>
          <w:lang w:val="en-US" w:eastAsia="zh-CN"/>
        </w:rPr>
        <w:t>试验的顺序按空载试验</w:t>
      </w:r>
      <w:r>
        <w:rPr>
          <w:rFonts w:hint="eastAsia" w:ascii="Times New Roman" w:hAnsi="Times New Roman" w:eastAsia="宋体" w:cs="Times New Roman"/>
          <w:color w:val="000000"/>
          <w:lang w:val="en-US" w:eastAsia="zh-CN"/>
        </w:rPr>
        <w:t>、额定载荷试验、静载试验与动载试验的顺序进行。试验的重物可考虑用</w:t>
      </w:r>
      <w:r>
        <w:rPr>
          <w:rFonts w:hint="eastAsia" w:cs="Times New Roman"/>
          <w:color w:val="000000"/>
          <w:lang w:val="en-US" w:eastAsia="zh-CN"/>
        </w:rPr>
        <w:t>汽车吊</w:t>
      </w:r>
      <w:r>
        <w:rPr>
          <w:rFonts w:hint="eastAsia" w:ascii="Times New Roman" w:hAnsi="Times New Roman" w:eastAsia="宋体" w:cs="Times New Roman"/>
          <w:color w:val="000000"/>
          <w:lang w:val="en-US" w:eastAsia="zh-CN"/>
        </w:rPr>
        <w:t>的配重、或者路基箱等已知重量的物件组成。负载试验的风速不大于4级（不大于8m/s)。在做负载试验前需提前办理安全</w:t>
      </w:r>
      <w:r>
        <w:rPr>
          <w:rFonts w:hint="eastAsia" w:ascii="宋体" w:hAnsi="宋体" w:cs="宋体"/>
          <w:color w:val="auto"/>
          <w:lang w:val="en-US" w:eastAsia="zh-CN"/>
        </w:rPr>
        <w:t>施工作业票。</w:t>
      </w:r>
    </w:p>
    <w:p w14:paraId="0092906E">
      <w:pPr>
        <w:pStyle w:val="4"/>
        <w:bidi w:val="0"/>
        <w:ind w:left="720" w:leftChars="0" w:hanging="720" w:firstLineChars="0"/>
        <w:rPr>
          <w:rFonts w:hint="eastAsia"/>
          <w:b/>
          <w:bCs w:val="0"/>
          <w:lang w:val="en-US" w:eastAsia="zh-CN"/>
        </w:rPr>
      </w:pPr>
      <w:r>
        <w:rPr>
          <w:rFonts w:hint="eastAsia"/>
          <w:b/>
          <w:bCs w:val="0"/>
          <w:lang w:val="en-US" w:eastAsia="zh-CN"/>
        </w:rPr>
        <w:t>空载试验</w:t>
      </w:r>
    </w:p>
    <w:p w14:paraId="12D865AB">
      <w:pPr>
        <w:keepNext w:val="0"/>
        <w:pageBreakBefore w:val="0"/>
        <w:widowControl w:val="0"/>
        <w:kinsoku/>
        <w:wordWrap/>
        <w:overflowPunct/>
        <w:topLinePunct w:val="0"/>
        <w:autoSpaceDE/>
        <w:autoSpaceDN/>
        <w:bidi w:val="0"/>
        <w:spacing w:line="48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各机构应分别进行数次运行，然后再做三次综合动作运行，运行过程中各机构不得发生任何异常现象，各机构制动器、操作系统、控制系统、联锁装置及各限位器、限制器应动作准确、可靠，否则应及时排除故障。</w:t>
      </w:r>
    </w:p>
    <w:p w14:paraId="4D6A2B7B">
      <w:pPr>
        <w:pStyle w:val="4"/>
        <w:bidi w:val="0"/>
        <w:ind w:left="720" w:leftChars="0" w:hanging="720" w:firstLineChars="0"/>
        <w:rPr>
          <w:rFonts w:hint="eastAsia"/>
          <w:b/>
          <w:bCs w:val="0"/>
          <w:lang w:val="en-US" w:eastAsia="zh-CN"/>
        </w:rPr>
      </w:pPr>
      <w:r>
        <w:rPr>
          <w:rFonts w:hint="eastAsia"/>
          <w:b/>
          <w:bCs w:val="0"/>
          <w:lang w:val="en-US" w:eastAsia="zh-CN"/>
        </w:rPr>
        <w:t>负荷试验</w:t>
      </w:r>
    </w:p>
    <w:p w14:paraId="609AE94C">
      <w:pPr>
        <w:bidi w:val="0"/>
        <w:spacing w:line="480" w:lineRule="exact"/>
        <w:rPr>
          <w:rFonts w:hint="eastAsia" w:ascii="宋体" w:hAnsi="宋体" w:cs="宋体"/>
        </w:rPr>
      </w:pPr>
      <w:r>
        <w:rPr>
          <w:rFonts w:hint="eastAsia" w:ascii="宋体" w:hAnsi="宋体" w:cs="宋体"/>
        </w:rPr>
        <w:t>在最大幅度处分别吊对应额定起重量的25%，50%，75%，100%，按空载试验要求进行实验。运行过程中不得发生任何异常现象，各机构制动器、操作系统、控制系统、联锁装置及各限位器、限制器应动作准确、可靠。</w:t>
      </w:r>
    </w:p>
    <w:p w14:paraId="59538442">
      <w:pPr>
        <w:pStyle w:val="4"/>
        <w:bidi w:val="0"/>
        <w:ind w:left="720" w:leftChars="0" w:hanging="720" w:firstLineChars="0"/>
        <w:rPr>
          <w:rFonts w:hint="eastAsia"/>
          <w:b/>
          <w:bCs w:val="0"/>
          <w:lang w:val="en-US" w:eastAsia="zh-CN"/>
        </w:rPr>
      </w:pPr>
      <w:r>
        <w:rPr>
          <w:rFonts w:hint="eastAsia"/>
          <w:b/>
          <w:bCs w:val="0"/>
          <w:lang w:val="en-US" w:eastAsia="zh-CN"/>
        </w:rPr>
        <w:t>额定载荷试验</w:t>
      </w:r>
    </w:p>
    <w:p w14:paraId="789F82B0">
      <w:pPr>
        <w:bidi w:val="0"/>
        <w:spacing w:line="480" w:lineRule="exact"/>
        <w:rPr>
          <w:rFonts w:hint="eastAsia" w:ascii="宋体" w:hAnsi="宋体" w:cs="宋体"/>
          <w:color w:val="auto"/>
          <w:lang w:val="en-US" w:eastAsia="zh-CN"/>
        </w:rPr>
      </w:pPr>
      <w:r>
        <w:rPr>
          <w:rFonts w:hint="eastAsia" w:ascii="宋体" w:hAnsi="宋体" w:cs="宋体"/>
          <w:color w:val="auto"/>
          <w:lang w:val="en-US" w:eastAsia="zh-CN"/>
        </w:rPr>
        <w:t>额定载荷试验按下表进行。每一工况试验不少于３次。各参数的测定值取为３次测量的算术平均值。</w:t>
      </w:r>
    </w:p>
    <w:p w14:paraId="4540D48B">
      <w:pPr>
        <w:bidi w:val="0"/>
        <w:spacing w:line="480" w:lineRule="exact"/>
        <w:jc w:val="center"/>
        <w:rPr>
          <w:rFonts w:hint="eastAsia" w:ascii="宋体" w:hAnsi="宋体" w:eastAsia="宋体" w:cs="宋体"/>
          <w:color w:val="auto"/>
          <w:lang w:val="en-US" w:eastAsia="zh-CN"/>
        </w:rPr>
      </w:pPr>
      <w:r>
        <w:rPr>
          <w:rFonts w:hint="eastAsia" w:ascii="Times New Roman" w:hAnsi="Times New Roman" w:eastAsia="宋体" w:cstheme="majorBidi"/>
          <w:b/>
          <w:color w:val="auto"/>
          <w:kern w:val="2"/>
          <w:sz w:val="21"/>
          <w:szCs w:val="20"/>
          <w:lang w:val="en-US" w:eastAsia="zh-CN" w:bidi="ar-SA"/>
        </w:rPr>
        <w:t>表4.</w:t>
      </w:r>
      <w:r>
        <w:rPr>
          <w:rFonts w:hint="eastAsia" w:cstheme="majorBidi"/>
          <w:b/>
          <w:color w:val="auto"/>
          <w:kern w:val="2"/>
          <w:sz w:val="21"/>
          <w:szCs w:val="20"/>
          <w:lang w:val="en-US" w:eastAsia="zh-CN" w:bidi="ar-SA"/>
        </w:rPr>
        <w:t>5</w:t>
      </w:r>
      <w:r>
        <w:rPr>
          <w:rFonts w:hint="eastAsia" w:ascii="Times New Roman" w:hAnsi="Times New Roman" w:eastAsia="宋体" w:cstheme="majorBidi"/>
          <w:b/>
          <w:color w:val="auto"/>
          <w:kern w:val="2"/>
          <w:sz w:val="21"/>
          <w:szCs w:val="20"/>
          <w:lang w:val="en-US" w:eastAsia="zh-CN" w:bidi="ar-SA"/>
        </w:rPr>
        <w:t>.3-1 额定载荷试验表</w:t>
      </w:r>
    </w:p>
    <w:p w14:paraId="7275825A">
      <w:pPr>
        <w:bidi w:val="0"/>
        <w:spacing w:line="240" w:lineRule="auto"/>
        <w:ind w:firstLine="0" w:firstLineChars="0"/>
        <w:rPr>
          <w:rFonts w:hint="eastAsia" w:ascii="宋体" w:hAnsi="宋体" w:eastAsia="宋体" w:cs="宋体"/>
          <w:color w:val="0000FF"/>
        </w:rPr>
      </w:pPr>
      <w:r>
        <w:rPr>
          <w:rFonts w:hint="eastAsia" w:ascii="宋体" w:hAnsi="宋体" w:eastAsia="宋体" w:cs="宋体"/>
          <w:color w:val="0000FF"/>
        </w:rPr>
        <w:drawing>
          <wp:inline distT="0" distB="0" distL="114300" distR="114300">
            <wp:extent cx="5298440" cy="3941445"/>
            <wp:effectExtent l="0" t="0" r="5080" b="5715"/>
            <wp:docPr id="6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
                    <pic:cNvPicPr>
                      <a:picLocks noChangeAspect="1"/>
                    </pic:cNvPicPr>
                  </pic:nvPicPr>
                  <pic:blipFill>
                    <a:blip r:embed="rId76"/>
                    <a:stretch>
                      <a:fillRect/>
                    </a:stretch>
                  </pic:blipFill>
                  <pic:spPr>
                    <a:xfrm>
                      <a:off x="0" y="0"/>
                      <a:ext cx="5298440" cy="3941445"/>
                    </a:xfrm>
                    <a:prstGeom prst="rect">
                      <a:avLst/>
                    </a:prstGeom>
                    <a:noFill/>
                    <a:ln>
                      <a:noFill/>
                    </a:ln>
                  </pic:spPr>
                </pic:pic>
              </a:graphicData>
            </a:graphic>
          </wp:inline>
        </w:drawing>
      </w:r>
    </w:p>
    <w:p w14:paraId="53DDF835">
      <w:pPr>
        <w:bidi w:val="0"/>
        <w:spacing w:line="480" w:lineRule="exact"/>
        <w:rPr>
          <w:rFonts w:hint="eastAsia" w:ascii="宋体" w:hAnsi="宋体" w:cs="宋体"/>
          <w:color w:val="auto"/>
          <w:lang w:val="en-US" w:eastAsia="zh-CN"/>
        </w:rPr>
      </w:pPr>
      <w:r>
        <w:rPr>
          <w:rFonts w:hint="eastAsia" w:ascii="宋体" w:hAnsi="宋体" w:cs="宋体"/>
          <w:color w:val="auto"/>
          <w:lang w:val="en-US" w:eastAsia="zh-CN"/>
        </w:rPr>
        <w:t>另外，在做吊起额定载荷之后，需要对塔机刚性进行测量。刚性测量方法为：在额定载荷作用下，塔机起重机根部连接处的水平静位移应不大于1.34H%(H为最大独立状态下起重臂根部连接处至塔机基准面的垂直距离)。</w:t>
      </w:r>
    </w:p>
    <w:p w14:paraId="6F215A96">
      <w:pPr>
        <w:pStyle w:val="4"/>
        <w:bidi w:val="0"/>
        <w:ind w:left="720" w:leftChars="0" w:hanging="720" w:firstLineChars="0"/>
        <w:rPr>
          <w:rFonts w:hint="eastAsia"/>
          <w:b/>
          <w:bCs w:val="0"/>
        </w:rPr>
      </w:pPr>
      <w:r>
        <w:rPr>
          <w:rFonts w:hint="eastAsia"/>
          <w:b/>
          <w:bCs w:val="0"/>
          <w:lang w:val="en-US" w:eastAsia="zh-CN"/>
        </w:rPr>
        <w:t>超载25%静载试验</w:t>
      </w:r>
    </w:p>
    <w:p w14:paraId="712AED72">
      <w:pPr>
        <w:bidi w:val="0"/>
        <w:rPr>
          <w:rFonts w:hint="eastAsia"/>
        </w:rPr>
      </w:pPr>
      <w:r>
        <w:rPr>
          <w:rFonts w:hint="eastAsia"/>
          <w:lang w:val="en-US" w:eastAsia="zh-CN"/>
        </w:rPr>
        <w:t>按下表</w:t>
      </w:r>
      <w:r>
        <w:rPr>
          <w:rFonts w:hint="eastAsia"/>
        </w:rPr>
        <w:t>，吊重额定起重量的1</w:t>
      </w:r>
      <w:r>
        <w:rPr>
          <w:rFonts w:hint="eastAsia"/>
          <w:lang w:val="en-US" w:eastAsia="zh-CN"/>
        </w:rPr>
        <w:t>25</w:t>
      </w:r>
      <w:r>
        <w:rPr>
          <w:rFonts w:hint="eastAsia"/>
        </w:rPr>
        <w:t>%，制动器动作可靠。机构及结构各部件无异常，连接无松动和破坏</w:t>
      </w:r>
      <w:r>
        <w:rPr>
          <w:rFonts w:hint="eastAsia"/>
          <w:lang w:val="en-US" w:eastAsia="zh-CN"/>
        </w:rPr>
        <w:t>并做好记录</w:t>
      </w:r>
      <w:r>
        <w:rPr>
          <w:rFonts w:hint="eastAsia"/>
        </w:rPr>
        <w:t>。</w:t>
      </w:r>
    </w:p>
    <w:p w14:paraId="43793030">
      <w:pPr>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表4.</w:t>
      </w:r>
      <w:r>
        <w:rPr>
          <w:rFonts w:hint="eastAsia" w:cs="Times New Roman"/>
          <w:lang w:val="en-US" w:eastAsia="zh-CN"/>
        </w:rPr>
        <w:t>5</w:t>
      </w:r>
      <w:r>
        <w:rPr>
          <w:rFonts w:hint="eastAsia" w:ascii="Times New Roman" w:hAnsi="Times New Roman" w:eastAsia="宋体" w:cs="Times New Roman"/>
          <w:lang w:val="en-US" w:eastAsia="zh-CN"/>
        </w:rPr>
        <w:t xml:space="preserve">.4-1 </w:t>
      </w:r>
      <w:r>
        <w:rPr>
          <w:rFonts w:hint="eastAsia" w:cs="Times New Roman"/>
          <w:lang w:val="en-US" w:eastAsia="zh-CN"/>
        </w:rPr>
        <w:t>XGT7022-12S</w:t>
      </w:r>
      <w:r>
        <w:rPr>
          <w:rFonts w:hint="eastAsia" w:ascii="Times New Roman" w:hAnsi="Times New Roman" w:eastAsia="宋体" w:cs="Times New Roman"/>
          <w:lang w:val="en-US" w:eastAsia="zh-CN"/>
        </w:rPr>
        <w:t>静载试验荷载表</w:t>
      </w:r>
    </w:p>
    <w:tbl>
      <w:tblPr>
        <w:tblStyle w:val="42"/>
        <w:tblW w:w="9320"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Layout w:type="fixed"/>
        <w:tblCellMar>
          <w:top w:w="0" w:type="dxa"/>
          <w:left w:w="108" w:type="dxa"/>
          <w:bottom w:w="0" w:type="dxa"/>
          <w:right w:w="108" w:type="dxa"/>
        </w:tblCellMar>
      </w:tblPr>
      <w:tblGrid>
        <w:gridCol w:w="2810"/>
        <w:gridCol w:w="1641"/>
        <w:gridCol w:w="1684"/>
        <w:gridCol w:w="1511"/>
        <w:gridCol w:w="1674"/>
      </w:tblGrid>
      <w:tr w14:paraId="58701BB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2810" w:type="dxa"/>
            <w:tcBorders>
              <w:top w:val="single" w:color="000000" w:sz="12" w:space="0"/>
              <w:left w:val="single" w:color="000000" w:sz="12" w:space="0"/>
              <w:bottom w:val="single" w:color="000000" w:sz="4" w:space="0"/>
              <w:right w:val="single" w:color="000000" w:sz="4" w:space="0"/>
              <w:tl2br w:val="nil"/>
              <w:tr2bl w:val="nil"/>
            </w:tcBorders>
            <w:shd w:val="clear" w:color="auto" w:fill="FFFFFF"/>
            <w:noWrap w:val="0"/>
            <w:vAlign w:val="top"/>
            <mc:AlternateContent>
              <mc:Choice Requires="wpsCustomData">
                <wpsCustomData:diagonals>
                  <wpsCustomData:diagonal from="30000" to="10000">
                    <wpsCustomData:border w:val="single" w:color="000000" w:sz="12" w:space="0"/>
                  </wpsCustomData:diagonal>
                </wpsCustomData:diagonals>
              </mc:Choice>
            </mc:AlternateContent>
          </w:tcPr>
          <w:p w14:paraId="621A4DF2">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eastAsia" w:ascii="宋体" w:hAnsi="宋体" w:eastAsia="宋体" w:cs="宋体"/>
                <w:b w:val="0"/>
                <w:bCs/>
                <w:color w:val="000000"/>
                <w:sz w:val="21"/>
                <w:szCs w:val="21"/>
                <w:highlight w:val="none"/>
                <w:lang w:val="en-US" w:eastAsia="zh-CN"/>
              </w:rPr>
            </w:pPr>
            <w:r>
              <w:rPr>
                <w:rFonts w:hint="eastAsia" w:ascii="宋体" w:hAnsi="宋体" w:eastAsia="宋体" w:cs="宋体"/>
                <w:b w:val="0"/>
                <w:bCs/>
                <w:color w:val="000000"/>
                <w:sz w:val="21"/>
                <w:szCs w:val="21"/>
                <w:highlight w:val="none"/>
                <w:lang w:val="en-US" w:eastAsia="zh-CN"/>
              </w:rPr>
              <w:t>项目</w:t>
            </w:r>
          </w:p>
          <w:p w14:paraId="43AAC4CC">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val="0"/>
                <w:bCs/>
                <w:color w:val="000000"/>
                <w:sz w:val="21"/>
                <w:szCs w:val="21"/>
                <w:highlight w:val="none"/>
                <w:lang w:val="en-US" w:eastAsia="zh-CN"/>
              </w:rPr>
            </w:pPr>
            <w:r>
              <w:rPr>
                <w:rFonts w:hint="eastAsia" w:ascii="宋体" w:hAnsi="宋体" w:eastAsia="宋体" w:cs="宋体"/>
                <w:b w:val="0"/>
                <w:bCs/>
                <w:color w:val="000000"/>
                <w:sz w:val="21"/>
                <w:szCs w:val="21"/>
                <w:highlight w:val="none"/>
                <w:lang w:val="en-US" w:eastAsia="zh-CN"/>
              </w:rPr>
              <w:t>臂长</w:t>
            </w:r>
          </w:p>
        </w:tc>
        <w:tc>
          <w:tcPr>
            <w:tcW w:w="1641" w:type="dxa"/>
            <w:tcBorders>
              <w:top w:val="single" w:color="000000" w:sz="12" w:space="0"/>
              <w:left w:val="single" w:color="000000" w:sz="4" w:space="0"/>
              <w:bottom w:val="single" w:color="000000" w:sz="4" w:space="0"/>
              <w:right w:val="single" w:color="000000" w:sz="4" w:space="0"/>
              <w:tl2br w:val="nil"/>
              <w:tr2bl w:val="nil"/>
            </w:tcBorders>
            <w:shd w:val="clear" w:color="auto" w:fill="FFFFFF"/>
            <w:noWrap w:val="0"/>
            <w:vAlign w:val="center"/>
          </w:tcPr>
          <w:p w14:paraId="3CCA00C6">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val="0"/>
                <w:color w:val="000000"/>
                <w:sz w:val="21"/>
                <w:szCs w:val="21"/>
                <w:highlight w:val="none"/>
              </w:rPr>
            </w:pPr>
            <w:r>
              <w:rPr>
                <w:rFonts w:hint="eastAsia" w:ascii="宋体" w:hAnsi="宋体" w:eastAsia="宋体" w:cs="宋体"/>
                <w:b/>
                <w:bCs w:val="0"/>
                <w:color w:val="000000"/>
                <w:sz w:val="21"/>
                <w:szCs w:val="21"/>
                <w:highlight w:val="none"/>
              </w:rPr>
              <w:t>幅度Ⅰ</w:t>
            </w:r>
          </w:p>
        </w:tc>
        <w:tc>
          <w:tcPr>
            <w:tcW w:w="1684" w:type="dxa"/>
            <w:tcBorders>
              <w:top w:val="single" w:color="000000" w:sz="12" w:space="0"/>
              <w:left w:val="single" w:color="000000" w:sz="4" w:space="0"/>
              <w:bottom w:val="single" w:color="000000" w:sz="4" w:space="0"/>
              <w:right w:val="single" w:color="000000" w:sz="4" w:space="0"/>
              <w:tl2br w:val="nil"/>
              <w:tr2bl w:val="nil"/>
            </w:tcBorders>
            <w:shd w:val="clear" w:color="auto" w:fill="FFFFFF"/>
            <w:noWrap w:val="0"/>
            <w:vAlign w:val="center"/>
          </w:tcPr>
          <w:p w14:paraId="17D3AC9D">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val="0"/>
                <w:color w:val="000000"/>
                <w:sz w:val="21"/>
                <w:szCs w:val="21"/>
                <w:highlight w:val="none"/>
              </w:rPr>
            </w:pPr>
            <w:r>
              <w:rPr>
                <w:rFonts w:hint="eastAsia" w:ascii="宋体" w:hAnsi="宋体" w:eastAsia="宋体" w:cs="宋体"/>
                <w:b/>
                <w:bCs w:val="0"/>
                <w:color w:val="000000"/>
                <w:sz w:val="21"/>
                <w:szCs w:val="21"/>
                <w:highlight w:val="none"/>
              </w:rPr>
              <w:t>吊重Ⅰ</w:t>
            </w:r>
          </w:p>
        </w:tc>
        <w:tc>
          <w:tcPr>
            <w:tcW w:w="1511" w:type="dxa"/>
            <w:tcBorders>
              <w:top w:val="single" w:color="000000" w:sz="12" w:space="0"/>
              <w:left w:val="single" w:color="000000" w:sz="4" w:space="0"/>
              <w:bottom w:val="single" w:color="000000" w:sz="4" w:space="0"/>
              <w:right w:val="single" w:color="000000" w:sz="4" w:space="0"/>
              <w:tl2br w:val="nil"/>
              <w:tr2bl w:val="nil"/>
            </w:tcBorders>
            <w:shd w:val="clear" w:color="auto" w:fill="FFFFFF"/>
            <w:noWrap w:val="0"/>
            <w:vAlign w:val="center"/>
          </w:tcPr>
          <w:p w14:paraId="2BBC67F0">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val="0"/>
                <w:color w:val="000000"/>
                <w:sz w:val="21"/>
                <w:szCs w:val="21"/>
                <w:highlight w:val="none"/>
              </w:rPr>
            </w:pPr>
            <w:r>
              <w:rPr>
                <w:rFonts w:hint="eastAsia" w:ascii="宋体" w:hAnsi="宋体" w:eastAsia="宋体" w:cs="宋体"/>
                <w:b/>
                <w:bCs w:val="0"/>
                <w:color w:val="000000"/>
                <w:sz w:val="21"/>
                <w:szCs w:val="21"/>
                <w:highlight w:val="none"/>
              </w:rPr>
              <w:t>幅度Ⅱ</w:t>
            </w:r>
          </w:p>
        </w:tc>
        <w:tc>
          <w:tcPr>
            <w:tcW w:w="1674" w:type="dxa"/>
            <w:tcBorders>
              <w:top w:val="single" w:color="000000" w:sz="12" w:space="0"/>
              <w:left w:val="single" w:color="000000" w:sz="4" w:space="0"/>
              <w:bottom w:val="single" w:color="000000" w:sz="4" w:space="0"/>
              <w:right w:val="single" w:color="000000" w:sz="12" w:space="0"/>
              <w:tl2br w:val="nil"/>
              <w:tr2bl w:val="nil"/>
            </w:tcBorders>
            <w:shd w:val="clear" w:color="auto" w:fill="FFFFFF"/>
            <w:noWrap w:val="0"/>
            <w:vAlign w:val="center"/>
          </w:tcPr>
          <w:p w14:paraId="401C697F">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val="0"/>
                <w:color w:val="000000"/>
                <w:sz w:val="21"/>
                <w:szCs w:val="21"/>
                <w:highlight w:val="none"/>
              </w:rPr>
            </w:pPr>
            <w:r>
              <w:rPr>
                <w:rFonts w:hint="eastAsia" w:ascii="宋体" w:hAnsi="宋体" w:eastAsia="宋体" w:cs="宋体"/>
                <w:b/>
                <w:bCs w:val="0"/>
                <w:color w:val="000000"/>
                <w:sz w:val="21"/>
                <w:szCs w:val="21"/>
                <w:highlight w:val="none"/>
              </w:rPr>
              <w:t>吊重Ⅱ</w:t>
            </w:r>
          </w:p>
        </w:tc>
      </w:tr>
      <w:tr w14:paraId="6E89C7F9">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2810" w:type="dxa"/>
            <w:tcBorders>
              <w:top w:val="single" w:color="000000" w:sz="4" w:space="0"/>
              <w:left w:val="single" w:color="000000" w:sz="12" w:space="0"/>
              <w:bottom w:val="single" w:color="000000" w:sz="12" w:space="0"/>
              <w:right w:val="single" w:color="000000" w:sz="4" w:space="0"/>
              <w:tl2br w:val="nil"/>
              <w:tr2bl w:val="nil"/>
            </w:tcBorders>
            <w:shd w:val="clear" w:color="auto" w:fill="FFFFFF"/>
            <w:noWrap w:val="0"/>
            <w:vAlign w:val="center"/>
          </w:tcPr>
          <w:p w14:paraId="2E00045A">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840" w:firstLineChars="400"/>
              <w:jc w:val="both"/>
              <w:textAlignment w:val="auto"/>
              <w:rPr>
                <w:rFonts w:hint="eastAsia" w:ascii="宋体" w:hAnsi="宋体" w:eastAsia="宋体" w:cs="宋体"/>
                <w:b w:val="0"/>
                <w:color w:val="000000"/>
                <w:sz w:val="21"/>
                <w:szCs w:val="21"/>
                <w:highlight w:val="none"/>
              </w:rPr>
            </w:pPr>
            <w:r>
              <w:rPr>
                <w:rFonts w:hint="eastAsia" w:ascii="宋体" w:hAnsi="宋体" w:cs="宋体"/>
                <w:b w:val="0"/>
                <w:color w:val="000000"/>
                <w:sz w:val="21"/>
                <w:szCs w:val="21"/>
                <w:highlight w:val="none"/>
                <w:lang w:val="en-US" w:eastAsia="zh-CN"/>
              </w:rPr>
              <w:t>55</w:t>
            </w:r>
            <w:r>
              <w:rPr>
                <w:rFonts w:hint="eastAsia" w:ascii="宋体" w:hAnsi="宋体" w:eastAsia="宋体" w:cs="宋体"/>
                <w:b w:val="0"/>
                <w:color w:val="000000"/>
                <w:sz w:val="21"/>
                <w:szCs w:val="21"/>
                <w:highlight w:val="none"/>
              </w:rPr>
              <w:t>m</w:t>
            </w:r>
          </w:p>
        </w:tc>
        <w:tc>
          <w:tcPr>
            <w:tcW w:w="1641" w:type="dxa"/>
            <w:tcBorders>
              <w:top w:val="single" w:color="000000" w:sz="4" w:space="0"/>
              <w:left w:val="single" w:color="000000" w:sz="4" w:space="0"/>
              <w:bottom w:val="single" w:color="000000" w:sz="12" w:space="0"/>
              <w:right w:val="single" w:color="000000" w:sz="4" w:space="0"/>
              <w:tl2br w:val="nil"/>
              <w:tr2bl w:val="nil"/>
            </w:tcBorders>
            <w:shd w:val="clear" w:color="auto" w:fill="FFFFFF"/>
            <w:noWrap w:val="0"/>
            <w:vAlign w:val="center"/>
          </w:tcPr>
          <w:p w14:paraId="0E2CE70D">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val="0"/>
                <w:color w:val="000000"/>
                <w:sz w:val="21"/>
                <w:szCs w:val="21"/>
                <w:highlight w:val="none"/>
              </w:rPr>
            </w:pPr>
            <w:r>
              <w:rPr>
                <w:rFonts w:hint="eastAsia" w:ascii="宋体" w:hAnsi="宋体" w:cs="宋体"/>
                <w:b w:val="0"/>
                <w:color w:val="000000"/>
                <w:sz w:val="21"/>
                <w:szCs w:val="21"/>
                <w:highlight w:val="none"/>
                <w:lang w:val="en-US" w:eastAsia="zh-CN"/>
              </w:rPr>
              <w:t>15</w:t>
            </w:r>
            <w:r>
              <w:rPr>
                <w:rFonts w:hint="eastAsia" w:ascii="宋体" w:hAnsi="宋体" w:eastAsia="宋体" w:cs="宋体"/>
                <w:b w:val="0"/>
                <w:color w:val="000000"/>
                <w:sz w:val="21"/>
                <w:szCs w:val="21"/>
                <w:highlight w:val="none"/>
              </w:rPr>
              <w:t>m</w:t>
            </w:r>
          </w:p>
        </w:tc>
        <w:tc>
          <w:tcPr>
            <w:tcW w:w="1684" w:type="dxa"/>
            <w:tcBorders>
              <w:top w:val="single" w:color="000000" w:sz="4" w:space="0"/>
              <w:left w:val="single" w:color="000000" w:sz="4" w:space="0"/>
              <w:bottom w:val="single" w:color="000000" w:sz="12" w:space="0"/>
              <w:right w:val="single" w:color="000000" w:sz="4" w:space="0"/>
              <w:tl2br w:val="nil"/>
              <w:tr2bl w:val="nil"/>
            </w:tcBorders>
            <w:shd w:val="clear" w:color="auto" w:fill="FFFFFF"/>
            <w:noWrap w:val="0"/>
            <w:vAlign w:val="center"/>
          </w:tcPr>
          <w:p w14:paraId="5A80E142">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val="0"/>
                <w:color w:val="000000"/>
                <w:sz w:val="21"/>
                <w:szCs w:val="21"/>
                <w:highlight w:val="none"/>
              </w:rPr>
            </w:pPr>
            <w:r>
              <w:rPr>
                <w:rFonts w:hint="eastAsia" w:ascii="宋体" w:hAnsi="宋体" w:cs="宋体"/>
                <w:b w:val="0"/>
                <w:color w:val="000000"/>
                <w:sz w:val="21"/>
                <w:szCs w:val="21"/>
                <w:highlight w:val="none"/>
                <w:lang w:val="en-US" w:eastAsia="zh-CN"/>
              </w:rPr>
              <w:t>15</w:t>
            </w:r>
            <w:r>
              <w:rPr>
                <w:rFonts w:hint="eastAsia" w:ascii="宋体" w:hAnsi="宋体" w:eastAsia="宋体" w:cs="宋体"/>
                <w:b w:val="0"/>
                <w:color w:val="000000"/>
                <w:sz w:val="21"/>
                <w:szCs w:val="21"/>
                <w:highlight w:val="none"/>
              </w:rPr>
              <w:t>t</w:t>
            </w:r>
          </w:p>
        </w:tc>
        <w:tc>
          <w:tcPr>
            <w:tcW w:w="1511" w:type="dxa"/>
            <w:tcBorders>
              <w:top w:val="single" w:color="000000" w:sz="4" w:space="0"/>
              <w:left w:val="single" w:color="000000" w:sz="4" w:space="0"/>
              <w:bottom w:val="single" w:color="000000" w:sz="12" w:space="0"/>
              <w:right w:val="single" w:color="000000" w:sz="4" w:space="0"/>
              <w:tl2br w:val="nil"/>
              <w:tr2bl w:val="nil"/>
            </w:tcBorders>
            <w:shd w:val="clear" w:color="auto" w:fill="FFFFFF"/>
            <w:noWrap w:val="0"/>
            <w:vAlign w:val="center"/>
          </w:tcPr>
          <w:p w14:paraId="7C6B467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val="0"/>
                <w:color w:val="000000"/>
                <w:sz w:val="21"/>
                <w:szCs w:val="21"/>
                <w:highlight w:val="none"/>
              </w:rPr>
            </w:pPr>
            <w:r>
              <w:rPr>
                <w:rFonts w:hint="eastAsia" w:ascii="宋体" w:hAnsi="宋体" w:cs="宋体"/>
                <w:b w:val="0"/>
                <w:color w:val="000000"/>
                <w:sz w:val="21"/>
                <w:szCs w:val="21"/>
                <w:highlight w:val="none"/>
                <w:lang w:val="en-US" w:eastAsia="zh-CN"/>
              </w:rPr>
              <w:t>55</w:t>
            </w:r>
            <w:r>
              <w:rPr>
                <w:rFonts w:hint="eastAsia" w:ascii="宋体" w:hAnsi="宋体" w:eastAsia="宋体" w:cs="宋体"/>
                <w:b w:val="0"/>
                <w:color w:val="000000"/>
                <w:sz w:val="21"/>
                <w:szCs w:val="21"/>
                <w:highlight w:val="none"/>
              </w:rPr>
              <w:t>m</w:t>
            </w:r>
          </w:p>
        </w:tc>
        <w:tc>
          <w:tcPr>
            <w:tcW w:w="1674" w:type="dxa"/>
            <w:tcBorders>
              <w:top w:val="single" w:color="000000" w:sz="4" w:space="0"/>
              <w:left w:val="single" w:color="000000" w:sz="4" w:space="0"/>
              <w:bottom w:val="single" w:color="000000" w:sz="12" w:space="0"/>
              <w:right w:val="single" w:color="000000" w:sz="12" w:space="0"/>
              <w:tl2br w:val="nil"/>
              <w:tr2bl w:val="nil"/>
            </w:tcBorders>
            <w:shd w:val="clear" w:color="auto" w:fill="FFFFFF"/>
            <w:noWrap w:val="0"/>
            <w:vAlign w:val="center"/>
          </w:tcPr>
          <w:p w14:paraId="70B1D2E0">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default" w:ascii="宋体" w:hAnsi="宋体" w:eastAsia="宋体" w:cs="宋体"/>
                <w:b w:val="0"/>
                <w:color w:val="000000"/>
                <w:sz w:val="21"/>
                <w:szCs w:val="21"/>
                <w:highlight w:val="none"/>
                <w:lang w:val="en-US"/>
              </w:rPr>
            </w:pPr>
            <w:r>
              <w:rPr>
                <w:rFonts w:hint="eastAsia" w:ascii="宋体" w:hAnsi="宋体" w:cs="宋体"/>
                <w:b w:val="0"/>
                <w:color w:val="000000"/>
                <w:sz w:val="21"/>
                <w:szCs w:val="21"/>
                <w:highlight w:val="none"/>
                <w:lang w:val="en-US" w:eastAsia="zh-CN"/>
              </w:rPr>
              <w:t>5.125t</w:t>
            </w:r>
          </w:p>
        </w:tc>
      </w:tr>
    </w:tbl>
    <w:p w14:paraId="457D4840">
      <w:pPr>
        <w:bidi w:val="0"/>
        <w:spacing w:line="480" w:lineRule="exact"/>
        <w:rPr>
          <w:rFonts w:hint="eastAsia" w:ascii="宋体" w:hAnsi="宋体" w:cs="宋体"/>
          <w:highlight w:val="none"/>
          <w:lang w:val="en-US" w:eastAsia="zh-CN"/>
        </w:rPr>
      </w:pPr>
      <w:r>
        <w:rPr>
          <w:rFonts w:hint="eastAsia" w:ascii="宋体" w:hAnsi="宋体" w:cs="宋体"/>
          <w:highlight w:val="none"/>
        </w:rPr>
        <w:t>在以上幅度Ⅰ、幅度Ⅱ处以最低安全速度将对应的吊重吊离地面100</w:t>
      </w:r>
      <w:r>
        <w:rPr>
          <w:rFonts w:hint="eastAsia" w:ascii="宋体" w:hAnsi="宋体" w:cs="宋体"/>
          <w:highlight w:val="none"/>
          <w:lang w:val="en-US" w:eastAsia="zh-CN"/>
        </w:rPr>
        <w:t>~</w:t>
      </w:r>
      <w:r>
        <w:rPr>
          <w:rFonts w:hint="eastAsia" w:ascii="宋体" w:hAnsi="宋体" w:cs="宋体"/>
          <w:highlight w:val="none"/>
        </w:rPr>
        <w:t>200mm处，并在吊钩上逐次增加重量至1.25倍，停留10min，卸载后检查金属结构及焊缝是否出现可见裂纹，永久变形、连接松动。（注意：静态超载实验不允许进行变幅及回转）</w:t>
      </w:r>
    </w:p>
    <w:p w14:paraId="50760BF6">
      <w:pPr>
        <w:pStyle w:val="4"/>
        <w:bidi w:val="0"/>
        <w:ind w:left="720" w:leftChars="0" w:hanging="720" w:firstLineChars="0"/>
        <w:rPr>
          <w:rFonts w:hint="eastAsia"/>
          <w:b/>
          <w:bCs w:val="0"/>
          <w:lang w:val="en-US" w:eastAsia="zh-CN"/>
        </w:rPr>
      </w:pPr>
      <w:r>
        <w:rPr>
          <w:rFonts w:hint="eastAsia"/>
          <w:b/>
          <w:bCs w:val="0"/>
          <w:lang w:val="en-US" w:eastAsia="zh-CN"/>
        </w:rPr>
        <w:t>超载10%动载试验</w:t>
      </w:r>
    </w:p>
    <w:p w14:paraId="5360240E">
      <w:pPr>
        <w:bidi w:val="0"/>
        <w:spacing w:line="480" w:lineRule="exact"/>
        <w:rPr>
          <w:rFonts w:hint="eastAsia" w:ascii="宋体" w:hAnsi="宋体" w:cs="宋体"/>
          <w:highlight w:val="none"/>
        </w:rPr>
      </w:pPr>
      <w:r>
        <w:rPr>
          <w:rFonts w:hint="eastAsia" w:ascii="宋体" w:hAnsi="宋体" w:cs="宋体"/>
          <w:highlight w:val="none"/>
          <w:lang w:val="en-US" w:eastAsia="zh-CN"/>
        </w:rPr>
        <w:t>按下表</w:t>
      </w:r>
      <w:r>
        <w:rPr>
          <w:rFonts w:hint="eastAsia" w:ascii="宋体" w:hAnsi="宋体" w:cs="宋体"/>
          <w:highlight w:val="none"/>
        </w:rPr>
        <w:t>，吊重额定起重量的110%，对各机构对应的全程范围内动作三次，各机构应动作灵活，制动器动作可靠。机构及结构各部件无异常，连接无松动和破坏</w:t>
      </w:r>
      <w:r>
        <w:rPr>
          <w:rFonts w:hint="eastAsia" w:ascii="宋体" w:hAnsi="宋体" w:cs="宋体"/>
          <w:highlight w:val="none"/>
          <w:lang w:val="en-US" w:eastAsia="zh-CN"/>
        </w:rPr>
        <w:t>并做好记录</w:t>
      </w:r>
      <w:r>
        <w:rPr>
          <w:rFonts w:hint="eastAsia" w:ascii="宋体" w:hAnsi="宋体" w:cs="宋体"/>
          <w:highlight w:val="none"/>
        </w:rPr>
        <w:t>。</w:t>
      </w:r>
    </w:p>
    <w:p w14:paraId="0863EEB3">
      <w:pPr>
        <w:bidi w:val="0"/>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表4.</w:t>
      </w:r>
      <w:r>
        <w:rPr>
          <w:rFonts w:hint="eastAsia" w:cs="Times New Roman"/>
          <w:lang w:val="en-US" w:eastAsia="zh-CN"/>
        </w:rPr>
        <w:t>5</w:t>
      </w:r>
      <w:r>
        <w:rPr>
          <w:rFonts w:hint="eastAsia" w:ascii="Times New Roman" w:hAnsi="Times New Roman" w:eastAsia="宋体" w:cs="Times New Roman"/>
          <w:lang w:val="en-US" w:eastAsia="zh-CN"/>
        </w:rPr>
        <w:t xml:space="preserve">.5-1 </w:t>
      </w:r>
      <w:r>
        <w:rPr>
          <w:rFonts w:hint="eastAsia" w:cs="Times New Roman"/>
          <w:lang w:val="en-US" w:eastAsia="zh-CN"/>
        </w:rPr>
        <w:t>XGT7022-12S</w:t>
      </w:r>
      <w:r>
        <w:rPr>
          <w:rFonts w:hint="eastAsia" w:ascii="Times New Roman" w:hAnsi="Times New Roman" w:eastAsia="宋体" w:cs="Times New Roman"/>
          <w:lang w:val="en-US" w:eastAsia="zh-CN"/>
        </w:rPr>
        <w:t>静载试验荷载表</w:t>
      </w:r>
    </w:p>
    <w:tbl>
      <w:tblPr>
        <w:tblStyle w:val="42"/>
        <w:tblW w:w="9320"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Layout w:type="fixed"/>
        <w:tblCellMar>
          <w:top w:w="0" w:type="dxa"/>
          <w:left w:w="108" w:type="dxa"/>
          <w:bottom w:w="0" w:type="dxa"/>
          <w:right w:w="108" w:type="dxa"/>
        </w:tblCellMar>
      </w:tblPr>
      <w:tblGrid>
        <w:gridCol w:w="2810"/>
        <w:gridCol w:w="1641"/>
        <w:gridCol w:w="1684"/>
        <w:gridCol w:w="1511"/>
        <w:gridCol w:w="1674"/>
      </w:tblGrid>
      <w:tr w14:paraId="1A330F67">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2810" w:type="dxa"/>
            <w:tcBorders>
              <w:tl2br w:val="nil"/>
              <w:tr2bl w:val="nil"/>
            </w:tcBorders>
            <w:shd w:val="clear" w:color="auto" w:fill="auto"/>
            <w:noWrap w:val="0"/>
            <w:vAlign w:val="top"/>
            <mc:AlternateContent>
              <mc:Choice Requires="wpsCustomData">
                <wpsCustomData:diagonals>
                  <wpsCustomData:diagonal from="30000" to="10000">
                    <wpsCustomData:border w:val="single" w:color="000000" w:themeColor="text1" w:sz="12" w:space="0"/>
                  </wpsCustomData:diagonal>
                </wpsCustomData:diagonals>
              </mc:Choice>
            </mc:AlternateContent>
          </w:tcPr>
          <w:p w14:paraId="15B78C84">
            <w:pPr>
              <w:keepNext w:val="0"/>
              <w:keepLines w:val="0"/>
              <w:pageBreakBefore w:val="0"/>
              <w:widowControl w:val="0"/>
              <w:tabs>
                <w:tab w:val="left" w:pos="360"/>
              </w:tabs>
              <w:kinsoku/>
              <w:wordWrap/>
              <w:overflowPunct/>
              <w:topLinePunct w:val="0"/>
              <w:autoSpaceDE/>
              <w:autoSpaceDN/>
              <w:bidi w:val="0"/>
              <w:adjustRightInd w:val="0"/>
              <w:snapToGrid w:val="0"/>
              <w:spacing w:line="240" w:lineRule="auto"/>
              <w:ind w:firstLine="0" w:firstLineChars="0"/>
              <w:jc w:val="center"/>
              <w:textAlignment w:val="auto"/>
              <mc:AlternateContent>
                <mc:Choice Requires="wpsCustomData">
                  <wpsCustomData:diagonalParaType/>
                </mc:Choice>
              </mc:AlternateContent>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项目</w:t>
            </w:r>
          </w:p>
          <w:p w14:paraId="468268CC">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臂长</w:t>
            </w:r>
          </w:p>
        </w:tc>
        <w:tc>
          <w:tcPr>
            <w:tcW w:w="1641" w:type="dxa"/>
            <w:tcBorders>
              <w:tl2br w:val="nil"/>
              <w:tr2bl w:val="nil"/>
            </w:tcBorders>
            <w:shd w:val="clear" w:color="auto" w:fill="auto"/>
            <w:noWrap w:val="0"/>
            <w:vAlign w:val="center"/>
          </w:tcPr>
          <w:p w14:paraId="4838ED9F">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幅度Ⅰ</w:t>
            </w:r>
          </w:p>
        </w:tc>
        <w:tc>
          <w:tcPr>
            <w:tcW w:w="1684" w:type="dxa"/>
            <w:tcBorders>
              <w:tl2br w:val="nil"/>
              <w:tr2bl w:val="nil"/>
            </w:tcBorders>
            <w:shd w:val="clear" w:color="auto" w:fill="auto"/>
            <w:noWrap w:val="0"/>
            <w:vAlign w:val="center"/>
          </w:tcPr>
          <w:p w14:paraId="784857B4">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吊重Ⅰ</w:t>
            </w:r>
          </w:p>
        </w:tc>
        <w:tc>
          <w:tcPr>
            <w:tcW w:w="1511" w:type="dxa"/>
            <w:tcBorders>
              <w:tl2br w:val="nil"/>
              <w:tr2bl w:val="nil"/>
            </w:tcBorders>
            <w:shd w:val="clear" w:color="auto" w:fill="auto"/>
            <w:noWrap w:val="0"/>
            <w:vAlign w:val="center"/>
          </w:tcPr>
          <w:p w14:paraId="6FC16AEB">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幅度Ⅱ</w:t>
            </w:r>
          </w:p>
        </w:tc>
        <w:tc>
          <w:tcPr>
            <w:tcW w:w="1674" w:type="dxa"/>
            <w:tcBorders>
              <w:tl2br w:val="nil"/>
              <w:tr2bl w:val="nil"/>
            </w:tcBorders>
            <w:shd w:val="clear" w:color="auto" w:fill="auto"/>
            <w:noWrap w:val="0"/>
            <w:vAlign w:val="center"/>
          </w:tcPr>
          <w:p w14:paraId="1148D286">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吊重Ⅱ</w:t>
            </w:r>
          </w:p>
        </w:tc>
      </w:tr>
      <w:tr w14:paraId="01363A6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shd w:val="clear" w:color="auto" w:fill="auto"/>
          <w:tblCellMar>
            <w:top w:w="0" w:type="dxa"/>
            <w:left w:w="108" w:type="dxa"/>
            <w:bottom w:w="0" w:type="dxa"/>
            <w:right w:w="108" w:type="dxa"/>
          </w:tblCellMar>
        </w:tblPrEx>
        <w:trPr>
          <w:trHeight w:val="23" w:hRule="atLeast"/>
          <w:jc w:val="center"/>
        </w:trPr>
        <w:tc>
          <w:tcPr>
            <w:tcW w:w="2810" w:type="dxa"/>
            <w:tcBorders>
              <w:tl2br w:val="nil"/>
              <w:tr2bl w:val="nil"/>
            </w:tcBorders>
            <w:shd w:val="clear" w:color="auto" w:fill="auto"/>
            <w:noWrap w:val="0"/>
            <w:vAlign w:val="center"/>
          </w:tcPr>
          <w:p w14:paraId="2BFCAEE5">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840" w:firstLineChars="400"/>
              <w:jc w:val="both"/>
              <w:textAlignment w:val="auto"/>
              <w:rPr>
                <w:rFonts w:hint="eastAsia" w:ascii="宋体" w:hAnsi="宋体" w:eastAsia="宋体" w:cs="宋体"/>
                <w:color w:val="auto"/>
                <w:sz w:val="21"/>
                <w:szCs w:val="21"/>
                <w:highlight w:val="none"/>
              </w:rPr>
            </w:pPr>
            <w:r>
              <w:rPr>
                <w:rFonts w:hint="eastAsia" w:ascii="宋体" w:hAnsi="宋体" w:cs="宋体"/>
                <w:b w:val="0"/>
                <w:color w:val="000000"/>
                <w:sz w:val="21"/>
                <w:szCs w:val="21"/>
                <w:highlight w:val="none"/>
                <w:lang w:val="en-US" w:eastAsia="zh-CN"/>
              </w:rPr>
              <w:t>55</w:t>
            </w:r>
            <w:r>
              <w:rPr>
                <w:rFonts w:hint="eastAsia" w:ascii="宋体" w:hAnsi="宋体" w:eastAsia="宋体" w:cs="宋体"/>
                <w:color w:val="auto"/>
                <w:sz w:val="21"/>
                <w:szCs w:val="21"/>
                <w:highlight w:val="none"/>
              </w:rPr>
              <w:t>m</w:t>
            </w:r>
          </w:p>
        </w:tc>
        <w:tc>
          <w:tcPr>
            <w:tcW w:w="1641" w:type="dxa"/>
            <w:tcBorders>
              <w:tl2br w:val="nil"/>
              <w:tr2bl w:val="nil"/>
            </w:tcBorders>
            <w:shd w:val="clear" w:color="auto" w:fill="auto"/>
            <w:noWrap w:val="0"/>
            <w:vAlign w:val="center"/>
          </w:tcPr>
          <w:p w14:paraId="0FC5A066">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cs="宋体"/>
                <w:b w:val="0"/>
                <w:color w:val="000000"/>
                <w:sz w:val="21"/>
                <w:szCs w:val="21"/>
                <w:highlight w:val="none"/>
                <w:lang w:val="en-US" w:eastAsia="zh-CN"/>
              </w:rPr>
              <w:t>15</w:t>
            </w:r>
            <w:r>
              <w:rPr>
                <w:rFonts w:hint="eastAsia" w:ascii="宋体" w:hAnsi="宋体" w:cs="宋体"/>
                <w:color w:val="auto"/>
                <w:sz w:val="21"/>
                <w:szCs w:val="21"/>
                <w:highlight w:val="none"/>
                <w:lang w:val="en-US" w:eastAsia="zh-CN"/>
              </w:rPr>
              <w:t>m</w:t>
            </w:r>
          </w:p>
        </w:tc>
        <w:tc>
          <w:tcPr>
            <w:tcW w:w="1684" w:type="dxa"/>
            <w:tcBorders>
              <w:tl2br w:val="nil"/>
              <w:tr2bl w:val="nil"/>
            </w:tcBorders>
            <w:shd w:val="clear" w:color="auto" w:fill="auto"/>
            <w:noWrap w:val="0"/>
            <w:vAlign w:val="center"/>
          </w:tcPr>
          <w:p w14:paraId="67883943">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13.2</w:t>
            </w:r>
            <w:r>
              <w:rPr>
                <w:rFonts w:hint="eastAsia" w:ascii="宋体" w:hAnsi="宋体" w:eastAsia="宋体" w:cs="宋体"/>
                <w:color w:val="auto"/>
                <w:sz w:val="21"/>
                <w:szCs w:val="21"/>
                <w:highlight w:val="none"/>
              </w:rPr>
              <w:t>t</w:t>
            </w:r>
          </w:p>
        </w:tc>
        <w:tc>
          <w:tcPr>
            <w:tcW w:w="1511" w:type="dxa"/>
            <w:tcBorders>
              <w:tl2br w:val="nil"/>
              <w:tr2bl w:val="nil"/>
            </w:tcBorders>
            <w:shd w:val="clear" w:color="auto" w:fill="auto"/>
            <w:noWrap w:val="0"/>
            <w:vAlign w:val="center"/>
          </w:tcPr>
          <w:p w14:paraId="41D9A760">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cs="宋体"/>
                <w:b w:val="0"/>
                <w:color w:val="000000"/>
                <w:sz w:val="21"/>
                <w:szCs w:val="21"/>
                <w:highlight w:val="none"/>
                <w:lang w:val="en-US" w:eastAsia="zh-CN"/>
              </w:rPr>
              <w:t>55</w:t>
            </w:r>
            <w:r>
              <w:rPr>
                <w:rFonts w:hint="eastAsia" w:ascii="宋体" w:hAnsi="宋体" w:eastAsia="宋体" w:cs="宋体"/>
                <w:color w:val="auto"/>
                <w:sz w:val="21"/>
                <w:szCs w:val="21"/>
                <w:highlight w:val="none"/>
              </w:rPr>
              <w:t>m</w:t>
            </w:r>
          </w:p>
        </w:tc>
        <w:tc>
          <w:tcPr>
            <w:tcW w:w="1674" w:type="dxa"/>
            <w:tcBorders>
              <w:tl2br w:val="nil"/>
              <w:tr2bl w:val="nil"/>
            </w:tcBorders>
            <w:shd w:val="clear" w:color="auto" w:fill="auto"/>
            <w:noWrap w:val="0"/>
            <w:vAlign w:val="center"/>
          </w:tcPr>
          <w:p w14:paraId="43B1B508">
            <w:pPr>
              <w:keepNext w:val="0"/>
              <w:keepLines w:val="0"/>
              <w:pageBreakBefore w:val="0"/>
              <w:widowControl w:val="0"/>
              <w:tabs>
                <w:tab w:val="left" w:pos="360"/>
              </w:tabs>
              <w:kinsoku/>
              <w:wordWrap/>
              <w:overflowPunct/>
              <w:topLinePunct w:val="0"/>
              <w:autoSpaceDE/>
              <w:autoSpaceDN/>
              <w:bidi w:val="0"/>
              <w:adjustRightInd w:val="0"/>
              <w:snapToGrid/>
              <w:spacing w:line="240" w:lineRule="auto"/>
              <w:ind w:firstLine="0" w:firstLineChars="0"/>
              <w:jc w:val="center"/>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4.51t</w:t>
            </w:r>
          </w:p>
        </w:tc>
      </w:tr>
      <w:bookmarkEnd w:id="90"/>
      <w:bookmarkEnd w:id="91"/>
    </w:tbl>
    <w:p w14:paraId="08715E64">
      <w:pPr>
        <w:pStyle w:val="3"/>
        <w:rPr>
          <w:b/>
          <w:bCs w:val="0"/>
        </w:rPr>
      </w:pPr>
      <w:bookmarkStart w:id="92" w:name="_Toc9824"/>
      <w:bookmarkStart w:id="93" w:name="_Toc1709"/>
      <w:bookmarkStart w:id="94" w:name="_Toc26793"/>
      <w:bookmarkStart w:id="95" w:name="_Toc29779"/>
      <w:r>
        <w:rPr>
          <w:rFonts w:hint="eastAsia"/>
          <w:b/>
          <w:bCs w:val="0"/>
        </w:rPr>
        <w:t>检查要求</w:t>
      </w:r>
      <w:bookmarkEnd w:id="92"/>
      <w:bookmarkEnd w:id="93"/>
      <w:bookmarkEnd w:id="94"/>
      <w:bookmarkEnd w:id="95"/>
    </w:p>
    <w:p w14:paraId="5690B09B">
      <w:pPr>
        <w:pStyle w:val="4"/>
        <w:rPr>
          <w:b/>
          <w:bCs w:val="0"/>
        </w:rPr>
      </w:pPr>
      <w:r>
        <w:rPr>
          <w:rFonts w:hint="eastAsia"/>
          <w:b/>
          <w:bCs w:val="0"/>
        </w:rPr>
        <w:t>验收标准</w:t>
      </w:r>
    </w:p>
    <w:p w14:paraId="07D3FF0E">
      <w:pPr>
        <w:ind w:firstLine="480"/>
      </w:pPr>
      <w:r>
        <w:rPr>
          <w:rFonts w:hint="eastAsia"/>
        </w:rPr>
        <w:t>设备安装验收标准依据详见</w:t>
      </w:r>
      <w:r>
        <w:fldChar w:fldCharType="begin"/>
      </w:r>
      <w:r>
        <w:instrText xml:space="preserve"> </w:instrText>
      </w:r>
      <w:r>
        <w:rPr>
          <w:rFonts w:hint="eastAsia"/>
        </w:rPr>
        <w:instrText xml:space="preserve">REF _Ref124236063 \h</w:instrText>
      </w:r>
      <w:r>
        <w:instrText xml:space="preserve"> </w:instrText>
      </w:r>
      <w:r>
        <w:fldChar w:fldCharType="separate"/>
      </w:r>
      <w:r>
        <w:rPr>
          <w:rFonts w:hint="eastAsia"/>
        </w:rPr>
        <w:t>表</w:t>
      </w:r>
      <w:r>
        <w:t>4.6.1-1</w:t>
      </w:r>
      <w:r>
        <w:fldChar w:fldCharType="end"/>
      </w:r>
      <w:r>
        <w:rPr>
          <w:rFonts w:hint="eastAsia"/>
        </w:rPr>
        <w:t>所示。</w:t>
      </w:r>
    </w:p>
    <w:p w14:paraId="6AEC8045">
      <w:pPr>
        <w:pStyle w:val="16"/>
      </w:pPr>
      <w:bookmarkStart w:id="96" w:name="_Ref124236063"/>
      <w:r>
        <w:rPr>
          <w:rFonts w:hint="eastAsia"/>
        </w:rPr>
        <w:t>表</w:t>
      </w:r>
      <w:r>
        <w:fldChar w:fldCharType="begin"/>
      </w:r>
      <w:r>
        <w:instrText xml:space="preserve"> STYLEREF 3 \s </w:instrText>
      </w:r>
      <w:r>
        <w:fldChar w:fldCharType="separate"/>
      </w:r>
      <w:r>
        <w:t>4.6.1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96"/>
      <w:r>
        <w:t xml:space="preserve"> </w:t>
      </w:r>
      <w:r>
        <w:rPr>
          <w:rFonts w:hint="eastAsia"/>
        </w:rPr>
        <w:t>验收标准</w:t>
      </w:r>
    </w:p>
    <w:tbl>
      <w:tblPr>
        <w:tblStyle w:val="397"/>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897"/>
        <w:gridCol w:w="5241"/>
        <w:gridCol w:w="692"/>
      </w:tblGrid>
      <w:tr w14:paraId="746D95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406" w:type="pct"/>
            <w:vAlign w:val="center"/>
          </w:tcPr>
          <w:p w14:paraId="0E01BC26">
            <w:pPr>
              <w:pStyle w:val="50"/>
              <w:rPr>
                <w:b/>
              </w:rPr>
            </w:pPr>
            <w:r>
              <w:rPr>
                <w:rFonts w:hint="eastAsia"/>
                <w:b/>
              </w:rPr>
              <w:t>序号</w:t>
            </w:r>
          </w:p>
        </w:tc>
        <w:tc>
          <w:tcPr>
            <w:tcW w:w="1113" w:type="pct"/>
            <w:vAlign w:val="center"/>
          </w:tcPr>
          <w:p w14:paraId="739BB2A0">
            <w:pPr>
              <w:pStyle w:val="50"/>
              <w:rPr>
                <w:b/>
              </w:rPr>
            </w:pPr>
            <w:r>
              <w:rPr>
                <w:rFonts w:hint="eastAsia"/>
                <w:b/>
              </w:rPr>
              <w:t>标准号</w:t>
            </w:r>
          </w:p>
        </w:tc>
        <w:tc>
          <w:tcPr>
            <w:tcW w:w="3075" w:type="pct"/>
            <w:vAlign w:val="center"/>
          </w:tcPr>
          <w:p w14:paraId="3720A680">
            <w:pPr>
              <w:pStyle w:val="50"/>
              <w:rPr>
                <w:b/>
              </w:rPr>
            </w:pPr>
            <w:r>
              <w:rPr>
                <w:rFonts w:hint="eastAsia"/>
                <w:b/>
              </w:rPr>
              <w:t>标准（文件）名称</w:t>
            </w:r>
          </w:p>
        </w:tc>
        <w:tc>
          <w:tcPr>
            <w:tcW w:w="406" w:type="pct"/>
            <w:vAlign w:val="center"/>
          </w:tcPr>
          <w:p w14:paraId="7AA0586F">
            <w:pPr>
              <w:pStyle w:val="50"/>
              <w:rPr>
                <w:b/>
              </w:rPr>
            </w:pPr>
            <w:r>
              <w:rPr>
                <w:rFonts w:hint="eastAsia"/>
                <w:b/>
              </w:rPr>
              <w:t>备注</w:t>
            </w:r>
          </w:p>
        </w:tc>
      </w:tr>
      <w:tr w14:paraId="21A82A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2B132746">
            <w:pPr>
              <w:pStyle w:val="50"/>
              <w:numPr>
                <w:ilvl w:val="0"/>
                <w:numId w:val="21"/>
              </w:numPr>
            </w:pPr>
          </w:p>
        </w:tc>
        <w:tc>
          <w:tcPr>
            <w:tcW w:w="1113" w:type="pct"/>
            <w:vAlign w:val="center"/>
          </w:tcPr>
          <w:p w14:paraId="18D668CC">
            <w:pPr>
              <w:pStyle w:val="50"/>
            </w:pPr>
            <w:r>
              <w:rPr>
                <w:rFonts w:hint="eastAsia"/>
              </w:rPr>
              <w:t>GB</w:t>
            </w:r>
            <w:r>
              <w:t xml:space="preserve"> </w:t>
            </w:r>
            <w:r>
              <w:rPr>
                <w:rFonts w:hint="eastAsia"/>
              </w:rPr>
              <w:t>50278-2010</w:t>
            </w:r>
          </w:p>
        </w:tc>
        <w:tc>
          <w:tcPr>
            <w:tcW w:w="3075" w:type="pct"/>
            <w:vAlign w:val="center"/>
          </w:tcPr>
          <w:p w14:paraId="747F0EB5">
            <w:pPr>
              <w:pStyle w:val="50"/>
            </w:pPr>
            <w:r>
              <w:rPr>
                <w:rFonts w:hint="eastAsia"/>
              </w:rPr>
              <w:t>起重设备安装工程施工及验收规范</w:t>
            </w:r>
          </w:p>
        </w:tc>
        <w:tc>
          <w:tcPr>
            <w:tcW w:w="406" w:type="pct"/>
            <w:vAlign w:val="center"/>
          </w:tcPr>
          <w:p w14:paraId="49642339">
            <w:pPr>
              <w:pStyle w:val="50"/>
            </w:pPr>
          </w:p>
        </w:tc>
      </w:tr>
      <w:tr w14:paraId="1CDEF9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4B634271">
            <w:pPr>
              <w:pStyle w:val="50"/>
              <w:numPr>
                <w:ilvl w:val="0"/>
                <w:numId w:val="21"/>
              </w:numPr>
            </w:pPr>
          </w:p>
        </w:tc>
        <w:tc>
          <w:tcPr>
            <w:tcW w:w="1113" w:type="pct"/>
            <w:vAlign w:val="center"/>
          </w:tcPr>
          <w:p w14:paraId="39F8C896">
            <w:pPr>
              <w:pStyle w:val="50"/>
            </w:pPr>
            <w:r>
              <w:rPr>
                <w:rFonts w:hint="eastAsia"/>
              </w:rPr>
              <w:t>GB 50231-2009</w:t>
            </w:r>
          </w:p>
        </w:tc>
        <w:tc>
          <w:tcPr>
            <w:tcW w:w="3075" w:type="pct"/>
            <w:vAlign w:val="center"/>
          </w:tcPr>
          <w:p w14:paraId="1833ECAD">
            <w:pPr>
              <w:pStyle w:val="50"/>
            </w:pPr>
            <w:r>
              <w:rPr>
                <w:rFonts w:hint="eastAsia"/>
              </w:rPr>
              <w:t>机械设备安装工程施工及验收通用规范</w:t>
            </w:r>
          </w:p>
        </w:tc>
        <w:tc>
          <w:tcPr>
            <w:tcW w:w="406" w:type="pct"/>
            <w:vAlign w:val="center"/>
          </w:tcPr>
          <w:p w14:paraId="1B0B5595">
            <w:pPr>
              <w:pStyle w:val="50"/>
            </w:pPr>
          </w:p>
        </w:tc>
      </w:tr>
      <w:tr w14:paraId="60C5EE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311516E2">
            <w:pPr>
              <w:pStyle w:val="50"/>
              <w:numPr>
                <w:ilvl w:val="0"/>
                <w:numId w:val="21"/>
              </w:numPr>
            </w:pPr>
          </w:p>
        </w:tc>
        <w:tc>
          <w:tcPr>
            <w:tcW w:w="1113" w:type="pct"/>
            <w:vAlign w:val="center"/>
          </w:tcPr>
          <w:p w14:paraId="111BAEFA">
            <w:pPr>
              <w:pStyle w:val="50"/>
            </w:pPr>
            <w:r>
              <w:rPr>
                <w:rFonts w:hint="eastAsia"/>
              </w:rPr>
              <w:t>GB 50256-2014</w:t>
            </w:r>
          </w:p>
        </w:tc>
        <w:tc>
          <w:tcPr>
            <w:tcW w:w="3075" w:type="pct"/>
            <w:vAlign w:val="center"/>
          </w:tcPr>
          <w:p w14:paraId="6E145C3F">
            <w:pPr>
              <w:pStyle w:val="50"/>
            </w:pPr>
            <w:r>
              <w:rPr>
                <w:rFonts w:hint="eastAsia"/>
              </w:rPr>
              <w:t>电气装置安装工程起重机电气装置施工及验收规范</w:t>
            </w:r>
          </w:p>
        </w:tc>
        <w:tc>
          <w:tcPr>
            <w:tcW w:w="406" w:type="pct"/>
            <w:vAlign w:val="center"/>
          </w:tcPr>
          <w:p w14:paraId="1E23DC44">
            <w:pPr>
              <w:pStyle w:val="50"/>
            </w:pPr>
          </w:p>
        </w:tc>
      </w:tr>
      <w:tr w14:paraId="28050D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24599223">
            <w:pPr>
              <w:pStyle w:val="50"/>
              <w:numPr>
                <w:ilvl w:val="0"/>
                <w:numId w:val="21"/>
              </w:numPr>
            </w:pPr>
          </w:p>
        </w:tc>
        <w:tc>
          <w:tcPr>
            <w:tcW w:w="1113" w:type="pct"/>
            <w:vAlign w:val="center"/>
          </w:tcPr>
          <w:p w14:paraId="1B4812D2">
            <w:pPr>
              <w:pStyle w:val="50"/>
            </w:pPr>
            <w:r>
              <w:t>GB/T 5031-20</w:t>
            </w:r>
            <w:r>
              <w:rPr>
                <w:rFonts w:hint="eastAsia"/>
              </w:rPr>
              <w:t>19</w:t>
            </w:r>
          </w:p>
        </w:tc>
        <w:tc>
          <w:tcPr>
            <w:tcW w:w="3075" w:type="pct"/>
            <w:vAlign w:val="center"/>
          </w:tcPr>
          <w:p w14:paraId="3706CE6B">
            <w:pPr>
              <w:pStyle w:val="50"/>
            </w:pPr>
            <w:r>
              <w:t>塔式起重机</w:t>
            </w:r>
          </w:p>
        </w:tc>
        <w:tc>
          <w:tcPr>
            <w:tcW w:w="406" w:type="pct"/>
            <w:vAlign w:val="center"/>
          </w:tcPr>
          <w:p w14:paraId="1B29A754">
            <w:pPr>
              <w:pStyle w:val="50"/>
            </w:pPr>
          </w:p>
        </w:tc>
      </w:tr>
    </w:tbl>
    <w:p w14:paraId="64EEFB23">
      <w:pPr>
        <w:pStyle w:val="4"/>
        <w:rPr>
          <w:b/>
          <w:bCs w:val="0"/>
        </w:rPr>
      </w:pPr>
      <w:r>
        <w:rPr>
          <w:rFonts w:hint="eastAsia"/>
          <w:b/>
          <w:bCs w:val="0"/>
        </w:rPr>
        <w:t>验收程序</w:t>
      </w:r>
    </w:p>
    <w:p w14:paraId="3F25581D">
      <w:pPr>
        <w:numPr>
          <w:ilvl w:val="0"/>
          <w:numId w:val="22"/>
        </w:numPr>
      </w:pPr>
      <w:r>
        <w:rPr>
          <w:rFonts w:hint="eastAsia"/>
        </w:rPr>
        <w:t>设备安装自检验收</w:t>
      </w:r>
    </w:p>
    <w:p w14:paraId="16B227AE">
      <w:pPr>
        <w:ind w:firstLine="480"/>
      </w:pPr>
      <w:r>
        <w:rPr>
          <w:rFonts w:hint="eastAsia"/>
        </w:rPr>
        <w:t>设备安装完成后，及时组织本单位施工负责人、质检人员、安全人员、安装人员对设备进行安装验收。</w:t>
      </w:r>
    </w:p>
    <w:p w14:paraId="4BA8FB34">
      <w:pPr>
        <w:numPr>
          <w:ilvl w:val="0"/>
          <w:numId w:val="22"/>
        </w:numPr>
      </w:pPr>
      <w:r>
        <w:rPr>
          <w:rFonts w:hint="eastAsia"/>
        </w:rPr>
        <w:t>委托第三方检验机构检验</w:t>
      </w:r>
    </w:p>
    <w:p w14:paraId="2CB9CE30">
      <w:pPr>
        <w:ind w:firstLine="480"/>
      </w:pPr>
      <w:r>
        <w:rPr>
          <w:rFonts w:hint="eastAsia"/>
        </w:rPr>
        <w:t>检测单位检测完成之后，出具的检测报告是应是整机合格，但可能存在部分项目不合格的情况，设备供应方与安装单位应对不合格项目进行整改，并出具整改报告。</w:t>
      </w:r>
    </w:p>
    <w:p w14:paraId="6F27C82C">
      <w:pPr>
        <w:numPr>
          <w:ilvl w:val="0"/>
          <w:numId w:val="22"/>
        </w:numPr>
      </w:pPr>
      <w:r>
        <w:rPr>
          <w:rFonts w:hint="eastAsia"/>
        </w:rPr>
        <w:t>安装资料送审</w:t>
      </w:r>
    </w:p>
    <w:p w14:paraId="64373DC9">
      <w:pPr>
        <w:ind w:firstLine="480"/>
      </w:pPr>
      <w:r>
        <w:rPr>
          <w:rFonts w:hint="eastAsia"/>
        </w:rPr>
        <w:t>将设备安装相关资料原件报送项目部审核，参与项目部组织的联合验收。</w:t>
      </w:r>
    </w:p>
    <w:p w14:paraId="364A4753">
      <w:pPr>
        <w:numPr>
          <w:ilvl w:val="0"/>
          <w:numId w:val="22"/>
        </w:numPr>
      </w:pPr>
      <w:r>
        <w:rPr>
          <w:rFonts w:hint="eastAsia"/>
        </w:rPr>
        <w:t>参与设备安装联合验收</w:t>
      </w:r>
    </w:p>
    <w:p w14:paraId="5A9F05EE">
      <w:pPr>
        <w:ind w:firstLine="480"/>
      </w:pPr>
      <w:r>
        <w:rPr>
          <w:rFonts w:hint="eastAsia"/>
        </w:rPr>
        <w:t>参与项目部组织的设备安装联合验收。</w:t>
      </w:r>
    </w:p>
    <w:p w14:paraId="21B35FF1">
      <w:pPr>
        <w:numPr>
          <w:ilvl w:val="0"/>
          <w:numId w:val="22"/>
        </w:numPr>
      </w:pPr>
      <w:r>
        <w:rPr>
          <w:rFonts w:hint="eastAsia"/>
        </w:rPr>
        <w:t>设备取证</w:t>
      </w:r>
    </w:p>
    <w:p w14:paraId="79746A47">
      <w:pPr>
        <w:ind w:firstLine="480"/>
      </w:pPr>
      <w:r>
        <w:rPr>
          <w:rFonts w:hint="eastAsia"/>
        </w:rPr>
        <w:t>设备安装联合验收通过后，根据合同约定进行设备取证。</w:t>
      </w:r>
    </w:p>
    <w:p w14:paraId="021E1BCF">
      <w:pPr>
        <w:pStyle w:val="4"/>
        <w:rPr>
          <w:b/>
          <w:bCs w:val="0"/>
        </w:rPr>
      </w:pPr>
      <w:r>
        <w:rPr>
          <w:rFonts w:hint="eastAsia"/>
          <w:b/>
          <w:bCs w:val="0"/>
        </w:rPr>
        <w:t>验收人员</w:t>
      </w:r>
    </w:p>
    <w:p w14:paraId="581D8AF8">
      <w:pPr>
        <w:ind w:firstLine="480"/>
      </w:pPr>
      <w:r>
        <w:rPr>
          <w:rFonts w:hint="eastAsia"/>
        </w:rPr>
        <w:t>参与设备安装自检验收主要人员包括：本单位施工负责人、质检人员、安全人员、安装人员等。</w:t>
      </w:r>
    </w:p>
    <w:p w14:paraId="006943D6">
      <w:pPr>
        <w:ind w:firstLine="480"/>
      </w:pPr>
      <w:r>
        <w:rPr>
          <w:rFonts w:hint="eastAsia"/>
        </w:rPr>
        <w:t>参与设备安装联合验收主要人员包括：本单位施工负责人。</w:t>
      </w:r>
    </w:p>
    <w:p w14:paraId="615C16E5">
      <w:pPr>
        <w:pStyle w:val="4"/>
        <w:rPr>
          <w:b/>
          <w:bCs w:val="0"/>
        </w:rPr>
      </w:pPr>
      <w:r>
        <w:rPr>
          <w:rFonts w:hint="eastAsia"/>
          <w:b/>
          <w:bCs w:val="0"/>
        </w:rPr>
        <w:t>验收内容</w:t>
      </w:r>
    </w:p>
    <w:p w14:paraId="4B23C1D3">
      <w:pPr>
        <w:ind w:firstLine="480"/>
        <w:rPr>
          <w:rFonts w:hint="default" w:eastAsia="宋体"/>
          <w:lang w:val="en-US" w:eastAsia="zh-CN"/>
        </w:rPr>
      </w:pPr>
      <w:r>
        <w:rPr>
          <w:rFonts w:hint="eastAsia"/>
        </w:rPr>
        <w:t>安装单位自检验收</w:t>
      </w:r>
      <w:r>
        <w:rPr>
          <w:rFonts w:hint="eastAsia"/>
          <w:lang w:val="en-US" w:eastAsia="zh-CN"/>
        </w:rPr>
        <w:t>表详见附件4。</w:t>
      </w:r>
    </w:p>
    <w:p w14:paraId="72EEBA28">
      <w:pPr>
        <w:pStyle w:val="2"/>
        <w:bidi w:val="0"/>
        <w:ind w:left="432" w:leftChars="0" w:hanging="432" w:firstLineChars="0"/>
        <w:rPr>
          <w:rFonts w:hint="eastAsia"/>
        </w:rPr>
      </w:pPr>
      <w:bookmarkStart w:id="97" w:name="_Toc16614"/>
      <w:bookmarkStart w:id="98" w:name="_Toc21918"/>
      <w:bookmarkStart w:id="99" w:name="_Toc10035"/>
      <w:r>
        <w:rPr>
          <w:rFonts w:hint="eastAsia"/>
        </w:rPr>
        <w:t>质量控制措施</w:t>
      </w:r>
      <w:bookmarkEnd w:id="97"/>
      <w:bookmarkEnd w:id="98"/>
      <w:bookmarkEnd w:id="99"/>
    </w:p>
    <w:p w14:paraId="6771BDBD">
      <w:pPr>
        <w:pStyle w:val="3"/>
        <w:bidi w:val="0"/>
        <w:ind w:left="575" w:leftChars="0" w:hanging="575" w:firstLineChars="0"/>
        <w:rPr>
          <w:b/>
          <w:bCs w:val="0"/>
          <w:sz w:val="28"/>
          <w:szCs w:val="28"/>
          <w:lang w:val="en-US" w:eastAsia="zh-CN"/>
        </w:rPr>
      </w:pPr>
      <w:bookmarkStart w:id="100" w:name="_Toc122514833"/>
      <w:bookmarkStart w:id="101" w:name="_Toc3450"/>
      <w:bookmarkStart w:id="102" w:name="_Toc25993"/>
      <w:bookmarkStart w:id="103" w:name="_Toc7345"/>
      <w:bookmarkStart w:id="104" w:name="_Toc29969"/>
      <w:bookmarkStart w:id="105" w:name="_Toc14100"/>
      <w:bookmarkStart w:id="106" w:name="_Toc4862"/>
      <w:r>
        <w:rPr>
          <w:b/>
          <w:bCs w:val="0"/>
          <w:sz w:val="28"/>
          <w:szCs w:val="28"/>
          <w:lang w:val="en-US" w:eastAsia="zh-CN"/>
        </w:rPr>
        <w:t>质量管理组织机构</w:t>
      </w:r>
      <w:bookmarkEnd w:id="100"/>
      <w:bookmarkEnd w:id="101"/>
      <w:bookmarkEnd w:id="102"/>
      <w:bookmarkEnd w:id="103"/>
      <w:bookmarkEnd w:id="104"/>
      <w:bookmarkEnd w:id="105"/>
      <w:bookmarkEnd w:id="106"/>
    </w:p>
    <w:p w14:paraId="42897D74">
      <w:pPr>
        <w:pStyle w:val="13"/>
        <w:ind w:firstLine="480"/>
        <w:rPr>
          <w:rFonts w:hint="eastAsia"/>
          <w:lang w:val="en-US" w:eastAsia="zh-CN"/>
        </w:rPr>
      </w:pPr>
      <w:bookmarkStart w:id="107" w:name="_Toc0"/>
      <w:bookmarkStart w:id="108" w:name="_Toc1444"/>
      <w:bookmarkStart w:id="109" w:name="_Toc33269587"/>
      <w:bookmarkStart w:id="110" w:name="_Toc17352"/>
      <w:r>
        <w:rPr>
          <w:rFonts w:hint="eastAsia"/>
          <w:lang w:val="en-US" w:eastAsia="zh-CN"/>
        </w:rPr>
        <w:t>根据本施工工程成立质量管理组织机构，其人员组成、工作职责详见表5.1-1。</w:t>
      </w:r>
    </w:p>
    <w:p w14:paraId="48872E75">
      <w:pPr>
        <w:ind w:firstLine="480"/>
        <w:jc w:val="center"/>
        <w:rPr>
          <w:rFonts w:hint="default" w:ascii="Times New Roman" w:hAnsi="Times New Roman" w:eastAsia="宋体" w:cs="Times New Roman"/>
          <w:lang w:val="en-US" w:eastAsia="zh-CN"/>
        </w:rPr>
      </w:pPr>
      <w:r>
        <w:rPr>
          <w:rFonts w:hint="eastAsia" w:cs="Times New Roman"/>
          <w:b/>
          <w:kern w:val="2"/>
          <w:sz w:val="21"/>
          <w:szCs w:val="22"/>
          <w:lang w:val="en-US" w:eastAsia="zh-CN" w:bidi="ar-SA"/>
        </w:rPr>
        <w:t>表</w:t>
      </w:r>
      <w:r>
        <w:rPr>
          <w:rFonts w:ascii="Times New Roman" w:hAnsi="Times New Roman" w:eastAsia="宋体" w:cs="Times New Roman"/>
          <w:b/>
          <w:kern w:val="2"/>
          <w:sz w:val="21"/>
          <w:szCs w:val="22"/>
          <w:lang w:val="en-US" w:eastAsia="zh-CN" w:bidi="ar-SA"/>
        </w:rPr>
        <w:fldChar w:fldCharType="begin"/>
      </w:r>
      <w:r>
        <w:rPr>
          <w:rFonts w:ascii="Times New Roman" w:hAnsi="Times New Roman" w:eastAsia="宋体" w:cs="Times New Roman"/>
          <w:b/>
          <w:kern w:val="2"/>
          <w:sz w:val="21"/>
          <w:szCs w:val="22"/>
          <w:lang w:val="en-US" w:eastAsia="zh-CN" w:bidi="ar-SA"/>
        </w:rPr>
        <w:instrText xml:space="preserve"> STYLEREF 2 \s </w:instrText>
      </w:r>
      <w:r>
        <w:rPr>
          <w:rFonts w:ascii="Times New Roman" w:hAnsi="Times New Roman" w:eastAsia="宋体" w:cs="Times New Roman"/>
          <w:b/>
          <w:kern w:val="2"/>
          <w:sz w:val="21"/>
          <w:szCs w:val="22"/>
          <w:lang w:val="en-US" w:eastAsia="zh-CN" w:bidi="ar-SA"/>
        </w:rPr>
        <w:fldChar w:fldCharType="separate"/>
      </w:r>
      <w:r>
        <w:rPr>
          <w:rFonts w:ascii="Times New Roman" w:hAnsi="Times New Roman" w:eastAsia="宋体" w:cs="Times New Roman"/>
          <w:b/>
          <w:kern w:val="2"/>
          <w:sz w:val="21"/>
          <w:szCs w:val="22"/>
          <w:lang w:val="en-US" w:eastAsia="zh-CN" w:bidi="ar-SA"/>
        </w:rPr>
        <w:t>5.1</w:t>
      </w:r>
      <w:r>
        <w:rPr>
          <w:rFonts w:ascii="Times New Roman" w:hAnsi="Times New Roman" w:eastAsia="宋体" w:cs="Times New Roman"/>
          <w:b/>
          <w:kern w:val="2"/>
          <w:sz w:val="21"/>
          <w:szCs w:val="22"/>
          <w:lang w:val="en-US" w:eastAsia="zh-CN" w:bidi="ar-SA"/>
        </w:rPr>
        <w:fldChar w:fldCharType="end"/>
      </w:r>
      <w:r>
        <w:rPr>
          <w:rFonts w:ascii="Times New Roman" w:hAnsi="Times New Roman" w:eastAsia="宋体" w:cs="Times New Roman"/>
          <w:b/>
          <w:kern w:val="2"/>
          <w:sz w:val="21"/>
          <w:szCs w:val="22"/>
          <w:lang w:val="en-US" w:eastAsia="zh-CN" w:bidi="ar-SA"/>
        </w:rPr>
        <w:noBreakHyphen/>
      </w:r>
      <w:r>
        <w:rPr>
          <w:rFonts w:ascii="Times New Roman" w:hAnsi="Times New Roman" w:eastAsia="宋体" w:cs="Times New Roman"/>
          <w:b/>
          <w:kern w:val="2"/>
          <w:sz w:val="21"/>
          <w:szCs w:val="22"/>
          <w:lang w:val="en-US" w:eastAsia="zh-CN" w:bidi="ar-SA"/>
        </w:rPr>
        <w:fldChar w:fldCharType="begin"/>
      </w:r>
      <w:r>
        <w:rPr>
          <w:rFonts w:ascii="Times New Roman" w:hAnsi="Times New Roman" w:eastAsia="宋体" w:cs="Times New Roman"/>
          <w:b/>
          <w:kern w:val="2"/>
          <w:sz w:val="21"/>
          <w:szCs w:val="22"/>
          <w:lang w:val="en-US" w:eastAsia="zh-CN" w:bidi="ar-SA"/>
        </w:rPr>
        <w:instrText xml:space="preserve"> SEQ 图 \* ARABIC \s 2 </w:instrText>
      </w:r>
      <w:r>
        <w:rPr>
          <w:rFonts w:ascii="Times New Roman" w:hAnsi="Times New Roman" w:eastAsia="宋体" w:cs="Times New Roman"/>
          <w:b/>
          <w:kern w:val="2"/>
          <w:sz w:val="21"/>
          <w:szCs w:val="22"/>
          <w:lang w:val="en-US" w:eastAsia="zh-CN" w:bidi="ar-SA"/>
        </w:rPr>
        <w:fldChar w:fldCharType="separate"/>
      </w:r>
      <w:r>
        <w:rPr>
          <w:rFonts w:ascii="Times New Roman" w:hAnsi="Times New Roman" w:eastAsia="宋体" w:cs="Times New Roman"/>
          <w:b/>
          <w:kern w:val="2"/>
          <w:sz w:val="21"/>
          <w:szCs w:val="22"/>
          <w:lang w:val="en-US" w:eastAsia="zh-CN" w:bidi="ar-SA"/>
        </w:rPr>
        <w:t>1</w:t>
      </w:r>
      <w:r>
        <w:rPr>
          <w:rFonts w:ascii="Times New Roman" w:hAnsi="Times New Roman" w:eastAsia="宋体" w:cs="Times New Roman"/>
          <w:b/>
          <w:kern w:val="2"/>
          <w:sz w:val="21"/>
          <w:szCs w:val="22"/>
          <w:lang w:val="en-US" w:eastAsia="zh-CN" w:bidi="ar-SA"/>
        </w:rPr>
        <w:fldChar w:fldCharType="end"/>
      </w:r>
      <w:r>
        <w:rPr>
          <w:rFonts w:ascii="Times New Roman" w:hAnsi="Times New Roman" w:eastAsia="宋体" w:cs="Times New Roman"/>
          <w:b/>
          <w:kern w:val="2"/>
          <w:sz w:val="21"/>
          <w:szCs w:val="22"/>
          <w:lang w:val="en-US" w:eastAsia="zh-CN" w:bidi="ar-SA"/>
        </w:rPr>
        <w:t xml:space="preserve">  质量管理组织机构</w:t>
      </w:r>
      <w:r>
        <w:rPr>
          <w:rFonts w:hint="eastAsia" w:cs="Times New Roman"/>
          <w:b/>
          <w:kern w:val="2"/>
          <w:sz w:val="21"/>
          <w:szCs w:val="22"/>
          <w:lang w:val="en-US" w:eastAsia="zh-CN" w:bidi="ar-SA"/>
        </w:rPr>
        <w:t>表</w:t>
      </w:r>
    </w:p>
    <w:tbl>
      <w:tblPr>
        <w:tblStyle w:val="388"/>
        <w:tblW w:w="544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2342"/>
        <w:gridCol w:w="970"/>
        <w:gridCol w:w="4876"/>
        <w:gridCol w:w="550"/>
      </w:tblGrid>
      <w:tr w14:paraId="5181F2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tblHeader/>
          <w:jc w:val="center"/>
        </w:trPr>
        <w:tc>
          <w:tcPr>
            <w:tcW w:w="295" w:type="pct"/>
            <w:shd w:val="clear" w:color="auto" w:fill="auto"/>
            <w:vAlign w:val="center"/>
          </w:tcPr>
          <w:p w14:paraId="1B8044C5">
            <w:pPr>
              <w:spacing w:line="240" w:lineRule="auto"/>
              <w:ind w:firstLine="0" w:firstLineChars="0"/>
              <w:jc w:val="center"/>
              <w:rPr>
                <w:b/>
                <w:sz w:val="21"/>
              </w:rPr>
            </w:pPr>
            <w:r>
              <w:rPr>
                <w:rFonts w:hint="eastAsia"/>
                <w:b/>
                <w:sz w:val="21"/>
              </w:rPr>
              <w:t>序号</w:t>
            </w:r>
          </w:p>
        </w:tc>
        <w:tc>
          <w:tcPr>
            <w:tcW w:w="1261" w:type="pct"/>
            <w:shd w:val="clear" w:color="auto" w:fill="auto"/>
            <w:vAlign w:val="center"/>
          </w:tcPr>
          <w:p w14:paraId="463C6379">
            <w:pPr>
              <w:spacing w:line="240" w:lineRule="auto"/>
              <w:ind w:firstLine="0" w:firstLineChars="0"/>
              <w:jc w:val="center"/>
              <w:rPr>
                <w:rFonts w:hint="eastAsia" w:eastAsia="宋体"/>
                <w:b/>
                <w:bCs/>
                <w:sz w:val="21"/>
                <w:lang w:eastAsia="zh-CN"/>
              </w:rPr>
            </w:pPr>
            <w:r>
              <w:rPr>
                <w:rFonts w:hint="eastAsia"/>
                <w:b/>
                <w:bCs/>
                <w:sz w:val="21"/>
                <w:lang w:val="en-US" w:eastAsia="zh-CN"/>
              </w:rPr>
              <w:t>岗位</w:t>
            </w:r>
          </w:p>
        </w:tc>
        <w:tc>
          <w:tcPr>
            <w:tcW w:w="522" w:type="pct"/>
            <w:shd w:val="clear" w:color="auto" w:fill="auto"/>
            <w:vAlign w:val="center"/>
          </w:tcPr>
          <w:p w14:paraId="34FFD826">
            <w:pPr>
              <w:spacing w:line="240" w:lineRule="auto"/>
              <w:ind w:firstLine="0" w:firstLineChars="0"/>
              <w:jc w:val="center"/>
              <w:rPr>
                <w:rFonts w:hint="eastAsia" w:eastAsia="宋体"/>
                <w:b/>
                <w:sz w:val="21"/>
                <w:lang w:eastAsia="zh-CN"/>
              </w:rPr>
            </w:pPr>
            <w:r>
              <w:rPr>
                <w:rFonts w:hint="eastAsia"/>
                <w:b/>
                <w:bCs/>
                <w:sz w:val="21"/>
                <w:lang w:val="en-US" w:eastAsia="zh-CN"/>
              </w:rPr>
              <w:t>姓名</w:t>
            </w:r>
          </w:p>
        </w:tc>
        <w:tc>
          <w:tcPr>
            <w:tcW w:w="2625" w:type="pct"/>
            <w:shd w:val="clear" w:color="auto" w:fill="auto"/>
            <w:vAlign w:val="center"/>
          </w:tcPr>
          <w:p w14:paraId="42317D46">
            <w:pPr>
              <w:spacing w:line="240" w:lineRule="auto"/>
              <w:ind w:firstLine="0" w:firstLineChars="0"/>
              <w:jc w:val="center"/>
              <w:rPr>
                <w:rFonts w:hint="eastAsia" w:eastAsia="宋体"/>
                <w:b/>
                <w:sz w:val="21"/>
                <w:lang w:eastAsia="zh-CN"/>
              </w:rPr>
            </w:pPr>
            <w:r>
              <w:rPr>
                <w:rFonts w:hint="eastAsia"/>
                <w:b/>
                <w:sz w:val="21"/>
                <w:lang w:val="en-US" w:eastAsia="zh-CN"/>
              </w:rPr>
              <w:t>工作职责</w:t>
            </w:r>
          </w:p>
        </w:tc>
        <w:tc>
          <w:tcPr>
            <w:tcW w:w="296" w:type="pct"/>
            <w:shd w:val="clear" w:color="auto" w:fill="auto"/>
            <w:vAlign w:val="center"/>
          </w:tcPr>
          <w:p w14:paraId="153F2078">
            <w:pPr>
              <w:spacing w:line="240" w:lineRule="auto"/>
              <w:ind w:firstLine="0" w:firstLineChars="0"/>
              <w:jc w:val="center"/>
              <w:rPr>
                <w:rFonts w:hint="eastAsia" w:eastAsia="宋体"/>
                <w:b/>
                <w:sz w:val="21"/>
                <w:lang w:val="en-US" w:eastAsia="zh-CN"/>
              </w:rPr>
            </w:pPr>
            <w:r>
              <w:rPr>
                <w:rFonts w:hint="eastAsia"/>
                <w:b/>
                <w:sz w:val="21"/>
                <w:lang w:val="en-US" w:eastAsia="zh-CN"/>
              </w:rPr>
              <w:t>备注</w:t>
            </w:r>
          </w:p>
        </w:tc>
      </w:tr>
      <w:tr w14:paraId="0FCAC0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1ACF9B27">
            <w:pPr>
              <w:numPr>
                <w:ilvl w:val="0"/>
                <w:numId w:val="23"/>
              </w:numPr>
              <w:spacing w:line="240" w:lineRule="auto"/>
              <w:ind w:left="240" w:leftChars="0" w:firstLineChars="0"/>
              <w:jc w:val="center"/>
              <w:rPr>
                <w:sz w:val="21"/>
              </w:rPr>
            </w:pPr>
          </w:p>
        </w:tc>
        <w:tc>
          <w:tcPr>
            <w:tcW w:w="1261" w:type="pct"/>
            <w:shd w:val="clear" w:color="auto" w:fill="auto"/>
            <w:vAlign w:val="center"/>
          </w:tcPr>
          <w:p w14:paraId="059C9833">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技术负责人</w:t>
            </w:r>
          </w:p>
        </w:tc>
        <w:tc>
          <w:tcPr>
            <w:tcW w:w="522" w:type="pct"/>
            <w:shd w:val="clear" w:color="auto" w:fill="auto"/>
            <w:vAlign w:val="center"/>
          </w:tcPr>
          <w:p w14:paraId="58DF04AF">
            <w:pPr>
              <w:pStyle w:val="50"/>
              <w:spacing w:line="240" w:lineRule="auto"/>
              <w:ind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温涛</w:t>
            </w:r>
          </w:p>
        </w:tc>
        <w:tc>
          <w:tcPr>
            <w:tcW w:w="2625" w:type="pct"/>
            <w:shd w:val="clear" w:color="auto" w:fill="auto"/>
            <w:vAlign w:val="center"/>
          </w:tcPr>
          <w:p w14:paraId="7A1502B4">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负责组织人员按安装工艺规程及塔吊使用说明书要求进行作业，负责每日的工作安排，安全交底、工作记录，制止任何违章作业。</w:t>
            </w:r>
          </w:p>
        </w:tc>
        <w:tc>
          <w:tcPr>
            <w:tcW w:w="296" w:type="pct"/>
            <w:shd w:val="clear" w:color="auto" w:fill="auto"/>
            <w:vAlign w:val="center"/>
          </w:tcPr>
          <w:p w14:paraId="6D2316F7">
            <w:pPr>
              <w:spacing w:line="240" w:lineRule="auto"/>
              <w:ind w:firstLine="0" w:firstLineChars="0"/>
              <w:jc w:val="center"/>
              <w:rPr>
                <w:sz w:val="21"/>
              </w:rPr>
            </w:pPr>
          </w:p>
        </w:tc>
      </w:tr>
      <w:tr w14:paraId="38250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16E57B83">
            <w:pPr>
              <w:numPr>
                <w:ilvl w:val="0"/>
                <w:numId w:val="23"/>
              </w:numPr>
              <w:spacing w:line="240" w:lineRule="auto"/>
              <w:ind w:left="240" w:leftChars="0" w:firstLineChars="0"/>
              <w:jc w:val="center"/>
              <w:rPr>
                <w:sz w:val="21"/>
              </w:rPr>
            </w:pPr>
          </w:p>
        </w:tc>
        <w:tc>
          <w:tcPr>
            <w:tcW w:w="1261" w:type="pct"/>
            <w:shd w:val="clear" w:color="auto" w:fill="auto"/>
            <w:vAlign w:val="center"/>
          </w:tcPr>
          <w:p w14:paraId="58E2C1C6">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项目负责人</w:t>
            </w:r>
          </w:p>
        </w:tc>
        <w:tc>
          <w:tcPr>
            <w:tcW w:w="522" w:type="pct"/>
            <w:shd w:val="clear" w:color="auto" w:fill="auto"/>
            <w:vAlign w:val="center"/>
          </w:tcPr>
          <w:p w14:paraId="15717A98">
            <w:pPr>
              <w:pStyle w:val="50"/>
              <w:spacing w:line="240" w:lineRule="auto"/>
              <w:ind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吕仕昌</w:t>
            </w:r>
          </w:p>
        </w:tc>
        <w:tc>
          <w:tcPr>
            <w:tcW w:w="2625" w:type="pct"/>
            <w:shd w:val="clear" w:color="auto" w:fill="auto"/>
            <w:vAlign w:val="center"/>
          </w:tcPr>
          <w:p w14:paraId="059D0A58">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296" w:type="pct"/>
            <w:shd w:val="clear" w:color="auto" w:fill="auto"/>
            <w:vAlign w:val="center"/>
          </w:tcPr>
          <w:p w14:paraId="1C5F0CDB">
            <w:pPr>
              <w:spacing w:line="240" w:lineRule="auto"/>
              <w:ind w:firstLine="0" w:firstLineChars="0"/>
              <w:jc w:val="center"/>
              <w:rPr>
                <w:sz w:val="21"/>
              </w:rPr>
            </w:pPr>
          </w:p>
        </w:tc>
      </w:tr>
      <w:tr w14:paraId="07593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360611B8">
            <w:pPr>
              <w:numPr>
                <w:ilvl w:val="0"/>
                <w:numId w:val="23"/>
              </w:numPr>
              <w:spacing w:line="240" w:lineRule="auto"/>
              <w:ind w:left="240" w:leftChars="0" w:firstLineChars="0"/>
              <w:jc w:val="center"/>
              <w:rPr>
                <w:sz w:val="21"/>
              </w:rPr>
            </w:pPr>
          </w:p>
        </w:tc>
        <w:tc>
          <w:tcPr>
            <w:tcW w:w="1261" w:type="pct"/>
            <w:shd w:val="clear" w:color="auto" w:fill="auto"/>
            <w:vAlign w:val="center"/>
          </w:tcPr>
          <w:p w14:paraId="4F86D5BF">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现场负责人</w:t>
            </w:r>
          </w:p>
        </w:tc>
        <w:tc>
          <w:tcPr>
            <w:tcW w:w="522" w:type="pct"/>
            <w:shd w:val="clear" w:color="auto" w:fill="auto"/>
            <w:vAlign w:val="center"/>
          </w:tcPr>
          <w:p w14:paraId="719C990C">
            <w:pPr>
              <w:pStyle w:val="50"/>
              <w:spacing w:line="240" w:lineRule="auto"/>
              <w:ind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罗乾龙</w:t>
            </w:r>
          </w:p>
        </w:tc>
        <w:tc>
          <w:tcPr>
            <w:tcW w:w="2625" w:type="pct"/>
            <w:shd w:val="clear" w:color="auto" w:fill="auto"/>
            <w:vAlign w:val="center"/>
          </w:tcPr>
          <w:p w14:paraId="522FCF39">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负责现场安拆指导及安全管理</w:t>
            </w:r>
          </w:p>
        </w:tc>
        <w:tc>
          <w:tcPr>
            <w:tcW w:w="296" w:type="pct"/>
            <w:shd w:val="clear" w:color="auto" w:fill="auto"/>
            <w:vAlign w:val="center"/>
          </w:tcPr>
          <w:p w14:paraId="09F8AB36">
            <w:pPr>
              <w:spacing w:line="240" w:lineRule="auto"/>
              <w:ind w:firstLine="0" w:firstLineChars="0"/>
              <w:jc w:val="center"/>
              <w:rPr>
                <w:sz w:val="21"/>
              </w:rPr>
            </w:pPr>
          </w:p>
        </w:tc>
      </w:tr>
      <w:tr w14:paraId="572770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561B5AE0">
            <w:pPr>
              <w:numPr>
                <w:ilvl w:val="0"/>
                <w:numId w:val="23"/>
              </w:numPr>
              <w:spacing w:line="240" w:lineRule="auto"/>
              <w:ind w:left="240" w:leftChars="0" w:firstLineChars="0"/>
              <w:jc w:val="center"/>
              <w:rPr>
                <w:sz w:val="21"/>
              </w:rPr>
            </w:pPr>
          </w:p>
        </w:tc>
        <w:tc>
          <w:tcPr>
            <w:tcW w:w="1261" w:type="pct"/>
            <w:shd w:val="clear" w:color="auto" w:fill="auto"/>
            <w:vAlign w:val="center"/>
          </w:tcPr>
          <w:p w14:paraId="2A611063">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2FBD792F">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胡杰</w:t>
            </w:r>
          </w:p>
        </w:tc>
        <w:tc>
          <w:tcPr>
            <w:tcW w:w="2625" w:type="pct"/>
            <w:shd w:val="clear" w:color="auto" w:fill="auto"/>
            <w:vAlign w:val="center"/>
          </w:tcPr>
          <w:p w14:paraId="0F2C8727">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w:t>
            </w:r>
          </w:p>
          <w:p w14:paraId="618617D2">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及维保</w:t>
            </w:r>
          </w:p>
        </w:tc>
        <w:tc>
          <w:tcPr>
            <w:tcW w:w="296" w:type="pct"/>
            <w:shd w:val="clear" w:color="auto" w:fill="auto"/>
            <w:vAlign w:val="center"/>
          </w:tcPr>
          <w:p w14:paraId="31FEAF55">
            <w:pPr>
              <w:spacing w:line="240" w:lineRule="auto"/>
              <w:ind w:firstLine="0" w:firstLineChars="0"/>
              <w:jc w:val="center"/>
              <w:rPr>
                <w:sz w:val="21"/>
              </w:rPr>
            </w:pPr>
          </w:p>
        </w:tc>
      </w:tr>
      <w:tr w14:paraId="004714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72636406">
            <w:pPr>
              <w:numPr>
                <w:ilvl w:val="0"/>
                <w:numId w:val="23"/>
              </w:numPr>
              <w:spacing w:line="240" w:lineRule="auto"/>
              <w:ind w:left="240" w:leftChars="0" w:firstLineChars="0"/>
              <w:jc w:val="center"/>
              <w:rPr>
                <w:sz w:val="21"/>
              </w:rPr>
            </w:pPr>
          </w:p>
        </w:tc>
        <w:tc>
          <w:tcPr>
            <w:tcW w:w="1261" w:type="pct"/>
            <w:shd w:val="clear" w:color="auto" w:fill="auto"/>
            <w:vAlign w:val="center"/>
          </w:tcPr>
          <w:p w14:paraId="33740969">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01D70C1F">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何小兵</w:t>
            </w:r>
          </w:p>
        </w:tc>
        <w:tc>
          <w:tcPr>
            <w:tcW w:w="2625" w:type="pct"/>
            <w:shd w:val="clear" w:color="auto" w:fill="auto"/>
            <w:vAlign w:val="center"/>
          </w:tcPr>
          <w:p w14:paraId="0A875575">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770AC1DC">
            <w:pPr>
              <w:spacing w:line="240" w:lineRule="auto"/>
              <w:ind w:firstLine="0" w:firstLineChars="0"/>
              <w:jc w:val="center"/>
              <w:rPr>
                <w:sz w:val="21"/>
              </w:rPr>
            </w:pPr>
          </w:p>
        </w:tc>
      </w:tr>
      <w:tr w14:paraId="2B7DD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295" w:type="pct"/>
            <w:shd w:val="clear" w:color="auto" w:fill="auto"/>
            <w:vAlign w:val="center"/>
          </w:tcPr>
          <w:p w14:paraId="1000DAB2">
            <w:pPr>
              <w:numPr>
                <w:ilvl w:val="0"/>
                <w:numId w:val="23"/>
              </w:numPr>
              <w:spacing w:line="240" w:lineRule="auto"/>
              <w:ind w:left="240" w:leftChars="0" w:firstLineChars="0"/>
              <w:jc w:val="center"/>
              <w:rPr>
                <w:sz w:val="21"/>
              </w:rPr>
            </w:pPr>
          </w:p>
        </w:tc>
        <w:tc>
          <w:tcPr>
            <w:tcW w:w="1261" w:type="pct"/>
            <w:shd w:val="clear" w:color="auto" w:fill="auto"/>
            <w:vAlign w:val="center"/>
          </w:tcPr>
          <w:p w14:paraId="5F7BEB6E">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0E3193EB">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匡彬</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 </w:t>
            </w:r>
          </w:p>
        </w:tc>
        <w:tc>
          <w:tcPr>
            <w:tcW w:w="2625" w:type="pct"/>
            <w:shd w:val="clear" w:color="auto" w:fill="auto"/>
            <w:vAlign w:val="center"/>
          </w:tcPr>
          <w:p w14:paraId="469148E7">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1736D467">
            <w:pPr>
              <w:spacing w:line="240" w:lineRule="auto"/>
              <w:ind w:firstLine="0" w:firstLineChars="0"/>
              <w:jc w:val="center"/>
              <w:rPr>
                <w:sz w:val="21"/>
              </w:rPr>
            </w:pPr>
          </w:p>
        </w:tc>
      </w:tr>
      <w:tr w14:paraId="7018DC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6E8CFEF4">
            <w:pPr>
              <w:numPr>
                <w:ilvl w:val="0"/>
                <w:numId w:val="23"/>
              </w:numPr>
              <w:spacing w:line="240" w:lineRule="auto"/>
              <w:ind w:left="240" w:leftChars="0" w:firstLineChars="0"/>
              <w:jc w:val="center"/>
              <w:rPr>
                <w:sz w:val="21"/>
              </w:rPr>
            </w:pPr>
          </w:p>
        </w:tc>
        <w:tc>
          <w:tcPr>
            <w:tcW w:w="1261" w:type="pct"/>
            <w:shd w:val="clear" w:color="auto" w:fill="auto"/>
            <w:vAlign w:val="center"/>
          </w:tcPr>
          <w:p w14:paraId="5798FC5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5564B39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方柳</w:t>
            </w:r>
          </w:p>
        </w:tc>
        <w:tc>
          <w:tcPr>
            <w:tcW w:w="2625" w:type="pct"/>
            <w:shd w:val="clear" w:color="auto" w:fill="auto"/>
            <w:vAlign w:val="center"/>
          </w:tcPr>
          <w:p w14:paraId="00F02FDF">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7F23162A">
            <w:pPr>
              <w:spacing w:line="240" w:lineRule="auto"/>
              <w:ind w:firstLine="0" w:firstLineChars="0"/>
              <w:jc w:val="center"/>
              <w:rPr>
                <w:sz w:val="21"/>
              </w:rPr>
            </w:pPr>
          </w:p>
        </w:tc>
      </w:tr>
      <w:tr w14:paraId="7218E6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2C2FB468">
            <w:pPr>
              <w:numPr>
                <w:ilvl w:val="0"/>
                <w:numId w:val="23"/>
              </w:numPr>
              <w:spacing w:line="240" w:lineRule="auto"/>
              <w:ind w:left="240" w:leftChars="0" w:firstLineChars="0"/>
              <w:jc w:val="center"/>
              <w:rPr>
                <w:sz w:val="21"/>
              </w:rPr>
            </w:pPr>
          </w:p>
        </w:tc>
        <w:tc>
          <w:tcPr>
            <w:tcW w:w="1261" w:type="pct"/>
            <w:shd w:val="clear" w:color="auto" w:fill="auto"/>
            <w:vAlign w:val="center"/>
          </w:tcPr>
          <w:p w14:paraId="451C2098">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建筑电工（维保人员）</w:t>
            </w:r>
          </w:p>
        </w:tc>
        <w:tc>
          <w:tcPr>
            <w:tcW w:w="522" w:type="pct"/>
            <w:shd w:val="clear" w:color="auto" w:fill="auto"/>
            <w:vAlign w:val="center"/>
          </w:tcPr>
          <w:p w14:paraId="7DA55206">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熊登</w:t>
            </w:r>
          </w:p>
        </w:tc>
        <w:tc>
          <w:tcPr>
            <w:tcW w:w="2625" w:type="pct"/>
            <w:shd w:val="clear" w:color="auto" w:fill="auto"/>
            <w:vAlign w:val="center"/>
          </w:tcPr>
          <w:p w14:paraId="5A436F11">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负责设备安拆电气调试及维保</w:t>
            </w:r>
          </w:p>
        </w:tc>
        <w:tc>
          <w:tcPr>
            <w:tcW w:w="296" w:type="pct"/>
            <w:shd w:val="clear" w:color="auto" w:fill="auto"/>
            <w:vAlign w:val="center"/>
          </w:tcPr>
          <w:p w14:paraId="349C4CCD">
            <w:pPr>
              <w:spacing w:line="240" w:lineRule="auto"/>
              <w:ind w:firstLine="0" w:firstLineChars="0"/>
              <w:jc w:val="center"/>
              <w:rPr>
                <w:sz w:val="21"/>
              </w:rPr>
            </w:pPr>
          </w:p>
        </w:tc>
      </w:tr>
      <w:tr w14:paraId="052A0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52B86A7B">
            <w:pPr>
              <w:numPr>
                <w:ilvl w:val="0"/>
                <w:numId w:val="23"/>
              </w:numPr>
              <w:spacing w:line="240" w:lineRule="auto"/>
              <w:ind w:left="240" w:leftChars="0" w:firstLineChars="0"/>
              <w:jc w:val="center"/>
              <w:rPr>
                <w:sz w:val="21"/>
              </w:rPr>
            </w:pPr>
          </w:p>
        </w:tc>
        <w:tc>
          <w:tcPr>
            <w:tcW w:w="1261" w:type="pct"/>
            <w:shd w:val="clear" w:color="auto" w:fill="auto"/>
            <w:vAlign w:val="center"/>
          </w:tcPr>
          <w:p w14:paraId="5436F12D">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司机</w:t>
            </w:r>
          </w:p>
        </w:tc>
        <w:tc>
          <w:tcPr>
            <w:tcW w:w="522" w:type="pct"/>
            <w:shd w:val="clear" w:color="auto" w:fill="auto"/>
            <w:vAlign w:val="center"/>
          </w:tcPr>
          <w:p w14:paraId="71E93E74">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张云桥</w:t>
            </w:r>
          </w:p>
        </w:tc>
        <w:tc>
          <w:tcPr>
            <w:tcW w:w="2625" w:type="pct"/>
            <w:shd w:val="clear" w:color="auto" w:fill="auto"/>
            <w:vAlign w:val="center"/>
          </w:tcPr>
          <w:p w14:paraId="42C90960">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在安装过程中对塔吊进行操作。严守操作规程，严格安照日常保养维护检查，确保塔吊处于良好状态。</w:t>
            </w:r>
          </w:p>
        </w:tc>
        <w:tc>
          <w:tcPr>
            <w:tcW w:w="296" w:type="pct"/>
            <w:shd w:val="clear" w:color="auto" w:fill="auto"/>
            <w:vAlign w:val="center"/>
          </w:tcPr>
          <w:p w14:paraId="7B27F993">
            <w:pPr>
              <w:spacing w:line="240" w:lineRule="auto"/>
              <w:ind w:firstLine="0" w:firstLineChars="0"/>
              <w:jc w:val="center"/>
              <w:rPr>
                <w:sz w:val="21"/>
              </w:rPr>
            </w:pPr>
          </w:p>
        </w:tc>
      </w:tr>
      <w:tr w14:paraId="43B6D8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0AD869CF">
            <w:pPr>
              <w:numPr>
                <w:ilvl w:val="0"/>
                <w:numId w:val="23"/>
              </w:numPr>
              <w:spacing w:line="240" w:lineRule="auto"/>
              <w:ind w:left="240" w:leftChars="0" w:firstLineChars="0"/>
              <w:jc w:val="center"/>
              <w:rPr>
                <w:sz w:val="21"/>
              </w:rPr>
            </w:pPr>
          </w:p>
        </w:tc>
        <w:tc>
          <w:tcPr>
            <w:tcW w:w="1261" w:type="pct"/>
            <w:shd w:val="clear" w:color="auto" w:fill="auto"/>
            <w:vAlign w:val="center"/>
          </w:tcPr>
          <w:p w14:paraId="06009CDF">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指挥</w:t>
            </w:r>
          </w:p>
        </w:tc>
        <w:tc>
          <w:tcPr>
            <w:tcW w:w="522" w:type="pct"/>
            <w:shd w:val="clear" w:color="auto" w:fill="auto"/>
            <w:vAlign w:val="center"/>
          </w:tcPr>
          <w:p w14:paraId="03ACF1C8">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刘云祥</w:t>
            </w:r>
          </w:p>
        </w:tc>
        <w:tc>
          <w:tcPr>
            <w:tcW w:w="2625" w:type="pct"/>
            <w:shd w:val="clear" w:color="auto" w:fill="auto"/>
            <w:vAlign w:val="center"/>
          </w:tcPr>
          <w:p w14:paraId="3CD61573">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负责安装过程中的指挥信号</w:t>
            </w:r>
          </w:p>
        </w:tc>
        <w:tc>
          <w:tcPr>
            <w:tcW w:w="296" w:type="pct"/>
            <w:shd w:val="clear" w:color="auto" w:fill="auto"/>
            <w:vAlign w:val="center"/>
          </w:tcPr>
          <w:p w14:paraId="59CF9205">
            <w:pPr>
              <w:spacing w:line="240" w:lineRule="auto"/>
              <w:ind w:firstLine="0" w:firstLineChars="0"/>
              <w:jc w:val="center"/>
              <w:rPr>
                <w:sz w:val="21"/>
              </w:rPr>
            </w:pPr>
          </w:p>
        </w:tc>
      </w:tr>
      <w:bookmarkEnd w:id="107"/>
      <w:bookmarkEnd w:id="108"/>
      <w:bookmarkEnd w:id="109"/>
      <w:bookmarkEnd w:id="110"/>
    </w:tbl>
    <w:p w14:paraId="7812DC8F">
      <w:pPr>
        <w:pStyle w:val="3"/>
        <w:bidi w:val="0"/>
        <w:ind w:left="575" w:leftChars="0" w:hanging="575" w:firstLineChars="0"/>
        <w:rPr>
          <w:b/>
          <w:bCs w:val="0"/>
          <w:sz w:val="28"/>
          <w:szCs w:val="28"/>
        </w:rPr>
      </w:pPr>
      <w:bookmarkStart w:id="111" w:name="_Toc5252"/>
      <w:bookmarkStart w:id="112" w:name="_Toc13535"/>
      <w:bookmarkStart w:id="113" w:name="_Toc5194"/>
      <w:r>
        <w:rPr>
          <w:rFonts w:hint="eastAsia"/>
          <w:b/>
          <w:bCs w:val="0"/>
          <w:sz w:val="28"/>
          <w:szCs w:val="28"/>
        </w:rPr>
        <w:t>质量通病及质量通病预防</w:t>
      </w:r>
      <w:bookmarkEnd w:id="111"/>
      <w:bookmarkEnd w:id="112"/>
      <w:bookmarkEnd w:id="113"/>
    </w:p>
    <w:p w14:paraId="14AA18C7">
      <w:pPr>
        <w:pStyle w:val="16"/>
        <w:rPr>
          <w:rFonts w:hint="eastAsia" w:ascii="Times New Roman" w:hAnsi="Times New Roman" w:eastAsia="宋体" w:cs="Times New Roman"/>
          <w:b w:val="0"/>
          <w:kern w:val="2"/>
          <w:sz w:val="24"/>
          <w:szCs w:val="21"/>
          <w:lang w:val="en-US" w:eastAsia="zh-CN" w:bidi="ar-SA"/>
        </w:rPr>
      </w:pPr>
      <w:r>
        <w:rPr>
          <w:rFonts w:hint="eastAsia" w:ascii="Times New Roman" w:hAnsi="Times New Roman" w:eastAsia="宋体" w:cs="Times New Roman"/>
          <w:b/>
          <w:kern w:val="2"/>
          <w:sz w:val="21"/>
          <w:szCs w:val="22"/>
          <w:lang w:val="en-US" w:eastAsia="zh-CN" w:bidi="ar-SA"/>
        </w:rPr>
        <w:t>表 5.</w:t>
      </w:r>
      <w:r>
        <w:rPr>
          <w:rFonts w:hint="eastAsia" w:cs="Times New Roman"/>
          <w:b/>
          <w:kern w:val="2"/>
          <w:sz w:val="21"/>
          <w:szCs w:val="22"/>
          <w:lang w:val="en-US" w:eastAsia="zh-CN" w:bidi="ar-SA"/>
        </w:rPr>
        <w:t>2</w:t>
      </w:r>
      <w:r>
        <w:rPr>
          <w:rFonts w:hint="eastAsia" w:ascii="Times New Roman" w:hAnsi="Times New Roman" w:eastAsia="宋体" w:cs="Times New Roman"/>
          <w:b/>
          <w:kern w:val="2"/>
          <w:sz w:val="21"/>
          <w:szCs w:val="22"/>
          <w:lang w:val="en-US" w:eastAsia="zh-CN" w:bidi="ar-SA"/>
        </w:rPr>
        <w:noBreakHyphen/>
      </w:r>
      <w:r>
        <w:rPr>
          <w:rFonts w:hint="eastAsia" w:ascii="Times New Roman" w:hAnsi="Times New Roman" w:eastAsia="宋体" w:cs="Times New Roman"/>
          <w:b/>
          <w:kern w:val="2"/>
          <w:sz w:val="21"/>
          <w:szCs w:val="22"/>
          <w:lang w:val="en-US" w:eastAsia="zh-CN" w:bidi="ar-SA"/>
        </w:rPr>
        <w:fldChar w:fldCharType="begin"/>
      </w:r>
      <w:r>
        <w:rPr>
          <w:rFonts w:hint="eastAsia" w:ascii="Times New Roman" w:hAnsi="Times New Roman" w:eastAsia="宋体" w:cs="Times New Roman"/>
          <w:b/>
          <w:kern w:val="2"/>
          <w:sz w:val="21"/>
          <w:szCs w:val="22"/>
          <w:lang w:val="en-US" w:eastAsia="zh-CN" w:bidi="ar-SA"/>
        </w:rPr>
        <w:instrText xml:space="preserve"> SEQ 表 \* ARABIC \s 3 </w:instrText>
      </w:r>
      <w:r>
        <w:rPr>
          <w:rFonts w:hint="eastAsia" w:ascii="Times New Roman" w:hAnsi="Times New Roman" w:eastAsia="宋体" w:cs="Times New Roman"/>
          <w:b/>
          <w:kern w:val="2"/>
          <w:sz w:val="21"/>
          <w:szCs w:val="22"/>
          <w:lang w:val="en-US" w:eastAsia="zh-CN" w:bidi="ar-SA"/>
        </w:rPr>
        <w:fldChar w:fldCharType="separate"/>
      </w:r>
      <w:r>
        <w:rPr>
          <w:rFonts w:hint="eastAsia" w:ascii="Times New Roman" w:hAnsi="Times New Roman" w:eastAsia="宋体" w:cs="Times New Roman"/>
          <w:b/>
          <w:kern w:val="2"/>
          <w:sz w:val="21"/>
          <w:szCs w:val="22"/>
          <w:lang w:val="en-US" w:eastAsia="zh-CN" w:bidi="ar-SA"/>
        </w:rPr>
        <w:t>1</w:t>
      </w:r>
      <w:r>
        <w:rPr>
          <w:rFonts w:hint="eastAsia" w:ascii="Times New Roman" w:hAnsi="Times New Roman" w:eastAsia="宋体" w:cs="Times New Roman"/>
          <w:b/>
          <w:kern w:val="2"/>
          <w:sz w:val="21"/>
          <w:szCs w:val="22"/>
          <w:lang w:val="en-US" w:eastAsia="zh-CN" w:bidi="ar-SA"/>
        </w:rPr>
        <w:fldChar w:fldCharType="end"/>
      </w:r>
      <w:r>
        <w:rPr>
          <w:rFonts w:hint="eastAsia" w:ascii="Times New Roman" w:hAnsi="Times New Roman" w:eastAsia="宋体" w:cs="Times New Roman"/>
          <w:b/>
          <w:kern w:val="2"/>
          <w:sz w:val="21"/>
          <w:szCs w:val="22"/>
          <w:lang w:val="en-US" w:eastAsia="zh-CN" w:bidi="ar-SA"/>
        </w:rPr>
        <w:t>塔吊安装质量通病预防措施</w:t>
      </w:r>
    </w:p>
    <w:tbl>
      <w:tblPr>
        <w:tblStyle w:val="42"/>
        <w:tblpPr w:leftFromText="180" w:rightFromText="180" w:vertAnchor="text" w:horzAnchor="page" w:tblpX="1664" w:tblpY="303"/>
        <w:tblOverlap w:val="never"/>
        <w:tblW w:w="8787" w:type="dxa"/>
        <w:tblInd w:w="0" w:type="dxa"/>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22"/>
        <w:gridCol w:w="1308"/>
        <w:gridCol w:w="6657"/>
      </w:tblGrid>
      <w:tr w14:paraId="77C304A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tblHeader/>
        </w:trPr>
        <w:tc>
          <w:tcPr>
            <w:tcW w:w="822" w:type="dxa"/>
            <w:tcBorders>
              <w:top w:val="single" w:color="000000" w:sz="12" w:space="0"/>
              <w:left w:val="single" w:color="000000" w:sz="12" w:space="0"/>
              <w:tl2br w:val="nil"/>
              <w:tr2bl w:val="nil"/>
            </w:tcBorders>
            <w:shd w:val="clear" w:color="auto" w:fill="FFFFFF"/>
            <w:vAlign w:val="center"/>
          </w:tcPr>
          <w:p w14:paraId="065BE32E">
            <w:pPr>
              <w:pStyle w:val="50"/>
              <w:rPr>
                <w:b/>
                <w:bCs w:val="0"/>
              </w:rPr>
            </w:pPr>
            <w:r>
              <w:rPr>
                <w:rFonts w:hint="eastAsia"/>
                <w:b/>
                <w:bCs w:val="0"/>
              </w:rPr>
              <w:t>项次</w:t>
            </w:r>
          </w:p>
        </w:tc>
        <w:tc>
          <w:tcPr>
            <w:tcW w:w="1308" w:type="dxa"/>
            <w:tcBorders>
              <w:top w:val="single" w:color="000000" w:sz="12" w:space="0"/>
              <w:tl2br w:val="nil"/>
              <w:tr2bl w:val="nil"/>
            </w:tcBorders>
            <w:shd w:val="clear" w:color="auto" w:fill="FFFFFF"/>
            <w:vAlign w:val="center"/>
          </w:tcPr>
          <w:p w14:paraId="72799CF7">
            <w:pPr>
              <w:pStyle w:val="50"/>
              <w:rPr>
                <w:b/>
                <w:bCs w:val="0"/>
              </w:rPr>
            </w:pPr>
            <w:r>
              <w:rPr>
                <w:rFonts w:hint="eastAsia"/>
                <w:b/>
                <w:bCs w:val="0"/>
              </w:rPr>
              <w:t>质量通病</w:t>
            </w:r>
          </w:p>
        </w:tc>
        <w:tc>
          <w:tcPr>
            <w:tcW w:w="6657" w:type="dxa"/>
            <w:tcBorders>
              <w:top w:val="single" w:color="000000" w:sz="12" w:space="0"/>
              <w:right w:val="single" w:color="000000" w:sz="12" w:space="0"/>
              <w:tl2br w:val="nil"/>
              <w:tr2bl w:val="nil"/>
            </w:tcBorders>
            <w:shd w:val="clear" w:color="auto" w:fill="FFFFFF"/>
            <w:vAlign w:val="center"/>
          </w:tcPr>
          <w:p w14:paraId="152AECD0">
            <w:pPr>
              <w:pStyle w:val="50"/>
              <w:rPr>
                <w:b/>
                <w:bCs w:val="0"/>
              </w:rPr>
            </w:pPr>
            <w:r>
              <w:rPr>
                <w:rFonts w:hint="eastAsia"/>
                <w:b/>
                <w:bCs w:val="0"/>
              </w:rPr>
              <w:t>预防措施</w:t>
            </w:r>
          </w:p>
        </w:tc>
      </w:tr>
      <w:tr w14:paraId="0718CB1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22" w:type="dxa"/>
            <w:tcBorders>
              <w:left w:val="single" w:color="000000" w:sz="12" w:space="0"/>
              <w:tl2br w:val="nil"/>
              <w:tr2bl w:val="nil"/>
            </w:tcBorders>
            <w:shd w:val="clear" w:color="auto" w:fill="FFFFFF"/>
            <w:vAlign w:val="center"/>
          </w:tcPr>
          <w:p w14:paraId="722C1B62">
            <w:pPr>
              <w:pStyle w:val="50"/>
              <w:rPr>
                <w:b w:val="0"/>
              </w:rPr>
            </w:pPr>
            <w:r>
              <w:rPr>
                <w:rFonts w:hint="eastAsia"/>
                <w:b w:val="0"/>
              </w:rPr>
              <w:t>1</w:t>
            </w:r>
          </w:p>
        </w:tc>
        <w:tc>
          <w:tcPr>
            <w:tcW w:w="1308" w:type="dxa"/>
            <w:tcBorders>
              <w:tl2br w:val="nil"/>
              <w:tr2bl w:val="nil"/>
            </w:tcBorders>
            <w:shd w:val="clear" w:color="auto" w:fill="FFFFFF"/>
            <w:vAlign w:val="center"/>
          </w:tcPr>
          <w:p w14:paraId="3B473E0F">
            <w:pPr>
              <w:pStyle w:val="50"/>
              <w:rPr>
                <w:b w:val="0"/>
              </w:rPr>
            </w:pPr>
            <w:r>
              <w:rPr>
                <w:rFonts w:hint="eastAsia"/>
                <w:b w:val="0"/>
              </w:rPr>
              <w:t>安装作业前未对设备进行全面检查</w:t>
            </w:r>
          </w:p>
        </w:tc>
        <w:tc>
          <w:tcPr>
            <w:tcW w:w="6657" w:type="dxa"/>
            <w:tcBorders>
              <w:right w:val="single" w:color="000000" w:sz="12" w:space="0"/>
              <w:tl2br w:val="nil"/>
              <w:tr2bl w:val="nil"/>
            </w:tcBorders>
            <w:shd w:val="clear" w:color="auto" w:fill="FFFFFF"/>
            <w:vAlign w:val="center"/>
          </w:tcPr>
          <w:p w14:paraId="2BDE6AC9">
            <w:pPr>
              <w:pStyle w:val="50"/>
              <w:rPr>
                <w:b w:val="0"/>
              </w:rPr>
            </w:pPr>
            <w:r>
              <w:rPr>
                <w:rFonts w:hint="eastAsia"/>
                <w:b w:val="0"/>
              </w:rPr>
              <w:t>在对整机进行安装作前，安装人员，尤其是安装队的负责人应对塔吊进行全面的检查，确保钢结构无裂纹及不可恢复的塑性变形，焊缝无开裂现象，各安全装置齐全、有效，如发现问题应及时的采取措施，以免在塔吊安装作过程中发生事故。</w:t>
            </w:r>
          </w:p>
        </w:tc>
      </w:tr>
      <w:tr w14:paraId="387C986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22" w:type="dxa"/>
            <w:tcBorders>
              <w:left w:val="single" w:color="000000" w:sz="12" w:space="0"/>
              <w:tl2br w:val="nil"/>
              <w:tr2bl w:val="nil"/>
            </w:tcBorders>
            <w:shd w:val="clear" w:color="auto" w:fill="FFFFFF"/>
            <w:vAlign w:val="center"/>
          </w:tcPr>
          <w:p w14:paraId="36473849">
            <w:pPr>
              <w:pStyle w:val="50"/>
              <w:rPr>
                <w:b w:val="0"/>
              </w:rPr>
            </w:pPr>
            <w:r>
              <w:rPr>
                <w:rFonts w:hint="eastAsia"/>
                <w:b w:val="0"/>
              </w:rPr>
              <w:t>2</w:t>
            </w:r>
          </w:p>
        </w:tc>
        <w:tc>
          <w:tcPr>
            <w:tcW w:w="1308" w:type="dxa"/>
            <w:tcBorders>
              <w:tl2br w:val="nil"/>
              <w:tr2bl w:val="nil"/>
            </w:tcBorders>
            <w:shd w:val="clear" w:color="auto" w:fill="FFFFFF"/>
            <w:vAlign w:val="center"/>
          </w:tcPr>
          <w:p w14:paraId="6E100ADC">
            <w:pPr>
              <w:pStyle w:val="50"/>
              <w:rPr>
                <w:b w:val="0"/>
              </w:rPr>
            </w:pPr>
            <w:r>
              <w:rPr>
                <w:rFonts w:hint="eastAsia"/>
                <w:b w:val="0"/>
              </w:rPr>
              <w:t>施工工艺</w:t>
            </w:r>
          </w:p>
          <w:p w14:paraId="7869A9CB">
            <w:pPr>
              <w:pStyle w:val="50"/>
              <w:rPr>
                <w:b w:val="0"/>
              </w:rPr>
            </w:pPr>
            <w:r>
              <w:rPr>
                <w:rFonts w:hint="eastAsia"/>
                <w:b w:val="0"/>
              </w:rPr>
              <w:t>粗糙</w:t>
            </w:r>
          </w:p>
        </w:tc>
        <w:tc>
          <w:tcPr>
            <w:tcW w:w="6657" w:type="dxa"/>
            <w:tcBorders>
              <w:right w:val="single" w:color="000000" w:sz="12" w:space="0"/>
              <w:tl2br w:val="nil"/>
              <w:tr2bl w:val="nil"/>
            </w:tcBorders>
            <w:shd w:val="clear" w:color="auto" w:fill="FFFFFF"/>
            <w:vAlign w:val="center"/>
          </w:tcPr>
          <w:p w14:paraId="431B8CE4">
            <w:pPr>
              <w:pStyle w:val="50"/>
              <w:rPr>
                <w:b w:val="0"/>
              </w:rPr>
            </w:pPr>
            <w:r>
              <w:rPr>
                <w:rFonts w:hint="eastAsia"/>
                <w:b w:val="0"/>
              </w:rPr>
              <w:t>要求在施工准备阶段，技术人员在熟悉图纸、规范、标准的基础上，根据具体的施工条件，制定周密可行的施工技术措施。施工</w:t>
            </w:r>
            <w:r>
              <w:rPr>
                <w:rFonts w:hint="eastAsia"/>
                <w:b w:val="0"/>
                <w:color w:val="000000" w:themeColor="text1"/>
                <w14:textFill>
                  <w14:solidFill>
                    <w14:schemeClr w14:val="tx1"/>
                  </w14:solidFill>
                </w14:textFill>
              </w:rPr>
              <w:t>前做好技术交底工作，使每个施工人员都清楚安装过程中需控制的质量标</w:t>
            </w:r>
            <w:r>
              <w:rPr>
                <w:rFonts w:hint="eastAsia"/>
                <w:b w:val="0"/>
              </w:rPr>
              <w:t>准。施工人员在熟悉各种构件的特点后，参考以往的施工经验，确定一套科学的施工方法，并在施工中不断总结经验，使施工方法日趋完善和合理。</w:t>
            </w:r>
          </w:p>
        </w:tc>
      </w:tr>
      <w:tr w14:paraId="5667EC4B">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822" w:type="dxa"/>
            <w:tcBorders>
              <w:left w:val="single" w:color="000000" w:sz="12" w:space="0"/>
              <w:bottom w:val="single" w:color="000000" w:sz="12" w:space="0"/>
              <w:tl2br w:val="nil"/>
              <w:tr2bl w:val="nil"/>
            </w:tcBorders>
            <w:shd w:val="clear" w:color="auto" w:fill="FFFFFF"/>
            <w:vAlign w:val="center"/>
          </w:tcPr>
          <w:p w14:paraId="7E2418F0">
            <w:pPr>
              <w:pStyle w:val="50"/>
              <w:rPr>
                <w:b w:val="0"/>
              </w:rPr>
            </w:pPr>
            <w:r>
              <w:rPr>
                <w:rFonts w:hint="eastAsia"/>
                <w:b w:val="0"/>
              </w:rPr>
              <w:t>3</w:t>
            </w:r>
          </w:p>
        </w:tc>
        <w:tc>
          <w:tcPr>
            <w:tcW w:w="1308" w:type="dxa"/>
            <w:tcBorders>
              <w:bottom w:val="single" w:color="000000" w:sz="12" w:space="0"/>
              <w:tl2br w:val="nil"/>
              <w:tr2bl w:val="nil"/>
            </w:tcBorders>
            <w:shd w:val="clear" w:color="auto" w:fill="FFFFFF"/>
            <w:vAlign w:val="center"/>
          </w:tcPr>
          <w:p w14:paraId="36B92290">
            <w:pPr>
              <w:pStyle w:val="50"/>
              <w:rPr>
                <w:b w:val="0"/>
              </w:rPr>
            </w:pPr>
            <w:r>
              <w:rPr>
                <w:rFonts w:hint="eastAsia"/>
                <w:b w:val="0"/>
              </w:rPr>
              <w:t>吊索具未进行检查和使用不当</w:t>
            </w:r>
          </w:p>
        </w:tc>
        <w:tc>
          <w:tcPr>
            <w:tcW w:w="6657" w:type="dxa"/>
            <w:tcBorders>
              <w:bottom w:val="single" w:color="000000" w:sz="12" w:space="0"/>
              <w:right w:val="single" w:color="000000" w:sz="12" w:space="0"/>
              <w:tl2br w:val="nil"/>
              <w:tr2bl w:val="nil"/>
            </w:tcBorders>
            <w:shd w:val="clear" w:color="auto" w:fill="FFFFFF"/>
            <w:vAlign w:val="center"/>
          </w:tcPr>
          <w:p w14:paraId="53CE3223">
            <w:pPr>
              <w:pStyle w:val="50"/>
              <w:rPr>
                <w:b w:val="0"/>
              </w:rPr>
            </w:pPr>
            <w:r>
              <w:rPr>
                <w:rFonts w:hint="eastAsia"/>
                <w:b w:val="0"/>
              </w:rPr>
              <w:t>塔吊的安装作业的吊装工具主要是钢丝绳和卡扣，在进行吊装作业前，应对各吊装的吊索具进行全面的检查，确保钢丝绳无断丝、断股现象，对已达到报废标准的应停止使用，卡具无严重变形和磨损。在进行部件吊装时，安装队负责人首先要对待安装部件的重量要非常清楚，尤其是重量较大的部件，严格按照施工的方案选用吊索具，保证6倍以上的安全系数。</w:t>
            </w:r>
          </w:p>
        </w:tc>
      </w:tr>
    </w:tbl>
    <w:p w14:paraId="6DFEBF5D">
      <w:pPr>
        <w:pStyle w:val="3"/>
        <w:bidi w:val="0"/>
        <w:ind w:left="575" w:leftChars="0" w:hanging="575" w:firstLineChars="0"/>
        <w:rPr>
          <w:b/>
          <w:bCs w:val="0"/>
          <w:sz w:val="28"/>
          <w:szCs w:val="28"/>
        </w:rPr>
      </w:pPr>
      <w:bookmarkStart w:id="114" w:name="_Toc22190"/>
      <w:bookmarkStart w:id="115" w:name="_Toc27120"/>
      <w:bookmarkStart w:id="116" w:name="_Toc17975"/>
      <w:bookmarkStart w:id="117" w:name="_Toc533345492"/>
      <w:bookmarkStart w:id="118" w:name="_Toc3215"/>
      <w:r>
        <w:rPr>
          <w:rFonts w:hint="eastAsia"/>
          <w:b/>
          <w:bCs w:val="0"/>
          <w:sz w:val="28"/>
          <w:szCs w:val="28"/>
        </w:rPr>
        <w:t>质量保证措施</w:t>
      </w:r>
      <w:bookmarkEnd w:id="114"/>
      <w:bookmarkEnd w:id="115"/>
      <w:bookmarkEnd w:id="116"/>
      <w:bookmarkEnd w:id="117"/>
      <w:bookmarkEnd w:id="118"/>
    </w:p>
    <w:p w14:paraId="1356122A">
      <w:pPr>
        <w:ind w:firstLine="480"/>
      </w:pPr>
      <w:r>
        <w:rPr>
          <w:rFonts w:hint="eastAsia"/>
        </w:rPr>
        <w:t>为了保证塔吊安装质量，树立良好的质量信誉，全面贯彻落实公司制定的质量管理作业文件，实现对施工过程的有效控制，特制定以下控制措施：</w:t>
      </w:r>
    </w:p>
    <w:p w14:paraId="15E93C97">
      <w:pPr>
        <w:ind w:firstLine="480"/>
      </w:pPr>
      <w:r>
        <w:rPr>
          <w:rFonts w:hint="eastAsia"/>
        </w:rPr>
        <w:t>（1）作业前由技术员及工长组织作业人员认真学习图纸、资料，了解作业技术要求，掌握作业方法和作业要领。同时宣传质量，提高意识，加强作业人员的工作责任心。</w:t>
      </w:r>
    </w:p>
    <w:p w14:paraId="24D13619">
      <w:pPr>
        <w:ind w:firstLine="480"/>
      </w:pPr>
      <w:r>
        <w:rPr>
          <w:rFonts w:hint="eastAsia"/>
        </w:rPr>
        <w:t>（</w:t>
      </w:r>
      <w:r>
        <w:t>2</w:t>
      </w:r>
      <w:r>
        <w:rPr>
          <w:rFonts w:hint="eastAsia"/>
        </w:rPr>
        <w:t>）对重要工序的作业方法、作业要领，应进行作业前的施工技术培训。</w:t>
      </w:r>
    </w:p>
    <w:p w14:paraId="224E1C29">
      <w:pPr>
        <w:ind w:firstLine="480"/>
      </w:pPr>
      <w:r>
        <w:rPr>
          <w:rFonts w:hint="eastAsia"/>
        </w:rPr>
        <w:t>（</w:t>
      </w:r>
      <w:r>
        <w:t>3</w:t>
      </w:r>
      <w:r>
        <w:rPr>
          <w:rFonts w:hint="eastAsia"/>
        </w:rPr>
        <w:t>）认真做好作业前的技术交底工作，使每个作业人员充分的理解施工工艺和技术要求，达到作业人员对工作心中有数，交底后必须双方签字。</w:t>
      </w:r>
    </w:p>
    <w:p w14:paraId="63B083EC">
      <w:pPr>
        <w:ind w:firstLine="480"/>
      </w:pPr>
      <w:r>
        <w:rPr>
          <w:rFonts w:hint="eastAsia"/>
        </w:rPr>
        <w:t>（</w:t>
      </w:r>
      <w:r>
        <w:t>4</w:t>
      </w:r>
      <w:r>
        <w:rPr>
          <w:rFonts w:hint="eastAsia"/>
        </w:rPr>
        <w:t>）班长和</w:t>
      </w:r>
      <w:r>
        <w:rPr>
          <w:rFonts w:hint="eastAsia"/>
          <w:color w:val="000000" w:themeColor="text1"/>
          <w14:textFill>
            <w14:solidFill>
              <w14:schemeClr w14:val="tx1"/>
            </w14:solidFill>
          </w14:textFill>
        </w:rPr>
        <w:t>安全员认真做好作业过程的质量监督控制，确保每一道工序的施工质量以及工序间合理衔接，不留缺陷，不留尾工，认真做好</w:t>
      </w:r>
      <w:r>
        <w:rPr>
          <w:rFonts w:hint="eastAsia"/>
        </w:rPr>
        <w:t>作业后的自检工作。</w:t>
      </w:r>
    </w:p>
    <w:p w14:paraId="21A08F26">
      <w:pPr>
        <w:ind w:firstLine="480"/>
      </w:pPr>
      <w:r>
        <w:rPr>
          <w:rFonts w:hint="eastAsia"/>
        </w:rPr>
        <w:t>（</w:t>
      </w:r>
      <w:r>
        <w:t>5</w:t>
      </w:r>
      <w:r>
        <w:rPr>
          <w:rFonts w:hint="eastAsia"/>
        </w:rPr>
        <w:t>）对作业中容易发生的质量问题，作业前做出预测，并采取有效的、可操作的预防措施，消除施工质量缺陷。</w:t>
      </w:r>
    </w:p>
    <w:p w14:paraId="676C6899">
      <w:pPr>
        <w:ind w:firstLine="480"/>
      </w:pPr>
      <w:r>
        <w:rPr>
          <w:rFonts w:hint="eastAsia"/>
        </w:rPr>
        <w:t>（</w:t>
      </w:r>
      <w:r>
        <w:t>6</w:t>
      </w:r>
      <w:r>
        <w:rPr>
          <w:rFonts w:hint="eastAsia"/>
        </w:rPr>
        <w:t>）作业中发现设备缺陷或施工质量问题，及时向技术员提出并采取措施后进行处理。重大质量问题必须停工，待提出处理意见或制定整改措施后方可进行整改。</w:t>
      </w:r>
    </w:p>
    <w:p w14:paraId="3B4AC708">
      <w:pPr>
        <w:ind w:firstLine="480"/>
      </w:pPr>
      <w:r>
        <w:rPr>
          <w:rFonts w:hint="eastAsia"/>
        </w:rPr>
        <w:t>（</w:t>
      </w:r>
      <w:r>
        <w:t>7</w:t>
      </w:r>
      <w:r>
        <w:rPr>
          <w:rFonts w:hint="eastAsia"/>
        </w:rPr>
        <w:t>）积极配合项目部工程管理部门和监理的质检工作，对查出的质量问题积极并及时的进行处理。</w:t>
      </w:r>
    </w:p>
    <w:p w14:paraId="53C43EA4">
      <w:pPr>
        <w:pStyle w:val="3"/>
        <w:bidi w:val="0"/>
        <w:ind w:left="575" w:leftChars="0" w:hanging="575" w:firstLineChars="0"/>
        <w:rPr>
          <w:b/>
          <w:bCs w:val="0"/>
          <w:sz w:val="28"/>
          <w:szCs w:val="28"/>
        </w:rPr>
      </w:pPr>
      <w:bookmarkStart w:id="119" w:name="_Toc16507"/>
      <w:bookmarkStart w:id="120" w:name="_Toc30023"/>
      <w:bookmarkStart w:id="121" w:name="_Toc4276"/>
      <w:r>
        <w:rPr>
          <w:rFonts w:hint="eastAsia"/>
          <w:b/>
          <w:bCs w:val="0"/>
          <w:sz w:val="28"/>
          <w:szCs w:val="28"/>
        </w:rPr>
        <w:t>作业过程中控制点的设置</w:t>
      </w:r>
      <w:bookmarkEnd w:id="119"/>
      <w:bookmarkEnd w:id="120"/>
      <w:bookmarkEnd w:id="121"/>
    </w:p>
    <w:p w14:paraId="2ECAB586">
      <w:pPr>
        <w:pStyle w:val="16"/>
        <w:rPr>
          <w:rFonts w:hint="eastAsia" w:ascii="Times New Roman" w:hAnsi="Times New Roman" w:eastAsia="宋体" w:cs="Times New Roman"/>
          <w:b w:val="0"/>
          <w:kern w:val="2"/>
          <w:sz w:val="24"/>
          <w:szCs w:val="21"/>
          <w:lang w:val="en-US" w:eastAsia="zh-CN" w:bidi="ar-SA"/>
        </w:rPr>
      </w:pPr>
      <w:r>
        <w:rPr>
          <w:rFonts w:hint="eastAsia" w:ascii="Times New Roman" w:hAnsi="Times New Roman" w:eastAsia="宋体" w:cs="Times New Roman"/>
          <w:b/>
          <w:kern w:val="2"/>
          <w:sz w:val="21"/>
          <w:szCs w:val="22"/>
          <w:lang w:val="en-US" w:eastAsia="zh-CN" w:bidi="ar-SA"/>
        </w:rPr>
        <w:t>表 5.</w:t>
      </w:r>
      <w:r>
        <w:rPr>
          <w:rFonts w:hint="eastAsia" w:cs="Times New Roman"/>
          <w:b/>
          <w:kern w:val="2"/>
          <w:sz w:val="21"/>
          <w:szCs w:val="22"/>
          <w:lang w:val="en-US" w:eastAsia="zh-CN" w:bidi="ar-SA"/>
        </w:rPr>
        <w:t>4</w:t>
      </w:r>
      <w:r>
        <w:rPr>
          <w:rFonts w:hint="eastAsia" w:ascii="Times New Roman" w:hAnsi="Times New Roman" w:eastAsia="宋体" w:cs="Times New Roman"/>
          <w:b/>
          <w:kern w:val="2"/>
          <w:sz w:val="21"/>
          <w:szCs w:val="22"/>
          <w:lang w:val="en-US" w:eastAsia="zh-CN" w:bidi="ar-SA"/>
        </w:rPr>
        <w:noBreakHyphen/>
      </w:r>
      <w:r>
        <w:rPr>
          <w:rFonts w:hint="eastAsia" w:ascii="Times New Roman" w:hAnsi="Times New Roman" w:eastAsia="宋体" w:cs="Times New Roman"/>
          <w:b/>
          <w:kern w:val="2"/>
          <w:sz w:val="21"/>
          <w:szCs w:val="22"/>
          <w:lang w:val="en-US" w:eastAsia="zh-CN" w:bidi="ar-SA"/>
        </w:rPr>
        <w:fldChar w:fldCharType="begin"/>
      </w:r>
      <w:r>
        <w:rPr>
          <w:rFonts w:hint="eastAsia" w:ascii="Times New Roman" w:hAnsi="Times New Roman" w:eastAsia="宋体" w:cs="Times New Roman"/>
          <w:b/>
          <w:kern w:val="2"/>
          <w:sz w:val="21"/>
          <w:szCs w:val="22"/>
          <w:lang w:val="en-US" w:eastAsia="zh-CN" w:bidi="ar-SA"/>
        </w:rPr>
        <w:instrText xml:space="preserve"> SEQ 表 \* ARABIC \s 3 </w:instrText>
      </w:r>
      <w:r>
        <w:rPr>
          <w:rFonts w:hint="eastAsia" w:ascii="Times New Roman" w:hAnsi="Times New Roman" w:eastAsia="宋体" w:cs="Times New Roman"/>
          <w:b/>
          <w:kern w:val="2"/>
          <w:sz w:val="21"/>
          <w:szCs w:val="22"/>
          <w:lang w:val="en-US" w:eastAsia="zh-CN" w:bidi="ar-SA"/>
        </w:rPr>
        <w:fldChar w:fldCharType="separate"/>
      </w:r>
      <w:r>
        <w:rPr>
          <w:rFonts w:hint="eastAsia" w:ascii="Times New Roman" w:hAnsi="Times New Roman" w:eastAsia="宋体" w:cs="Times New Roman"/>
          <w:b/>
          <w:kern w:val="2"/>
          <w:sz w:val="21"/>
          <w:szCs w:val="22"/>
          <w:lang w:val="en-US" w:eastAsia="zh-CN" w:bidi="ar-SA"/>
        </w:rPr>
        <w:t>1</w:t>
      </w:r>
      <w:r>
        <w:rPr>
          <w:rFonts w:hint="eastAsia" w:ascii="Times New Roman" w:hAnsi="Times New Roman" w:eastAsia="宋体" w:cs="Times New Roman"/>
          <w:b/>
          <w:kern w:val="2"/>
          <w:sz w:val="21"/>
          <w:szCs w:val="22"/>
          <w:lang w:val="en-US" w:eastAsia="zh-CN" w:bidi="ar-SA"/>
        </w:rPr>
        <w:fldChar w:fldCharType="end"/>
      </w:r>
      <w:r>
        <w:rPr>
          <w:rFonts w:hint="eastAsia" w:ascii="Times New Roman" w:hAnsi="Times New Roman" w:eastAsia="宋体" w:cs="Times New Roman"/>
          <w:b/>
          <w:kern w:val="2"/>
          <w:sz w:val="21"/>
          <w:szCs w:val="22"/>
          <w:lang w:val="en-US" w:eastAsia="zh-CN" w:bidi="ar-SA"/>
        </w:rPr>
        <w:t>关键控制点设置</w:t>
      </w:r>
    </w:p>
    <w:tbl>
      <w:tblPr>
        <w:tblStyle w:val="42"/>
        <w:tblW w:w="4999" w:type="pct"/>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33"/>
        <w:gridCol w:w="3668"/>
        <w:gridCol w:w="762"/>
        <w:gridCol w:w="892"/>
        <w:gridCol w:w="897"/>
        <w:gridCol w:w="665"/>
        <w:gridCol w:w="803"/>
      </w:tblGrid>
      <w:tr w14:paraId="7EEBA5B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vMerge w:val="restart"/>
            <w:tcBorders>
              <w:top w:val="single" w:color="000000" w:sz="12" w:space="0"/>
              <w:left w:val="single" w:color="000000" w:sz="12" w:space="0"/>
              <w:tl2br w:val="nil"/>
              <w:tr2bl w:val="nil"/>
            </w:tcBorders>
            <w:shd w:val="clear" w:color="auto" w:fill="FFFFFF"/>
            <w:vAlign w:val="center"/>
          </w:tcPr>
          <w:p w14:paraId="11535344">
            <w:pPr>
              <w:pStyle w:val="50"/>
              <w:rPr>
                <w:b w:val="0"/>
              </w:rPr>
            </w:pPr>
            <w:r>
              <w:rPr>
                <w:rFonts w:hint="eastAsia"/>
                <w:b w:val="0"/>
              </w:rPr>
              <w:t>序号</w:t>
            </w:r>
          </w:p>
        </w:tc>
        <w:tc>
          <w:tcPr>
            <w:tcW w:w="2152" w:type="pct"/>
            <w:vMerge w:val="restart"/>
            <w:tcBorders>
              <w:top w:val="single" w:color="000000" w:sz="12" w:space="0"/>
              <w:tl2br w:val="nil"/>
              <w:tr2bl w:val="nil"/>
            </w:tcBorders>
            <w:shd w:val="clear" w:color="auto" w:fill="FFFFFF"/>
            <w:vAlign w:val="center"/>
          </w:tcPr>
          <w:p w14:paraId="13083B23">
            <w:pPr>
              <w:pStyle w:val="50"/>
              <w:rPr>
                <w:b w:val="0"/>
              </w:rPr>
            </w:pPr>
            <w:r>
              <w:rPr>
                <w:rFonts w:hint="eastAsia"/>
                <w:b w:val="0"/>
              </w:rPr>
              <w:t>作业控制点</w:t>
            </w:r>
          </w:p>
        </w:tc>
        <w:tc>
          <w:tcPr>
            <w:tcW w:w="1886" w:type="pct"/>
            <w:gridSpan w:val="4"/>
            <w:tcBorders>
              <w:top w:val="single" w:color="000000" w:sz="12" w:space="0"/>
              <w:tl2br w:val="nil"/>
              <w:tr2bl w:val="nil"/>
            </w:tcBorders>
            <w:shd w:val="clear" w:color="auto" w:fill="FFFFFF"/>
            <w:vAlign w:val="center"/>
          </w:tcPr>
          <w:p w14:paraId="79727E89">
            <w:pPr>
              <w:pStyle w:val="50"/>
              <w:rPr>
                <w:b w:val="0"/>
              </w:rPr>
            </w:pPr>
            <w:r>
              <w:rPr>
                <w:rFonts w:hint="eastAsia"/>
                <w:b w:val="0"/>
              </w:rPr>
              <w:t>检验单位</w:t>
            </w:r>
          </w:p>
        </w:tc>
        <w:tc>
          <w:tcPr>
            <w:tcW w:w="471" w:type="pct"/>
            <w:vMerge w:val="restart"/>
            <w:tcBorders>
              <w:top w:val="single" w:color="000000" w:sz="12" w:space="0"/>
              <w:right w:val="single" w:color="000000" w:sz="4" w:space="0"/>
              <w:tl2br w:val="nil"/>
              <w:tr2bl w:val="nil"/>
            </w:tcBorders>
            <w:shd w:val="clear" w:color="auto" w:fill="FFFFFF"/>
            <w:vAlign w:val="center"/>
          </w:tcPr>
          <w:p w14:paraId="26F141A5">
            <w:pPr>
              <w:pStyle w:val="50"/>
              <w:rPr>
                <w:b w:val="0"/>
              </w:rPr>
            </w:pPr>
            <w:r>
              <w:rPr>
                <w:rFonts w:hint="eastAsia"/>
                <w:b w:val="0"/>
              </w:rPr>
              <w:t>见证</w:t>
            </w:r>
          </w:p>
          <w:p w14:paraId="6D7D834D">
            <w:pPr>
              <w:pStyle w:val="50"/>
              <w:rPr>
                <w:b w:val="0"/>
              </w:rPr>
            </w:pPr>
            <w:r>
              <w:rPr>
                <w:rFonts w:hint="eastAsia"/>
                <w:b w:val="0"/>
              </w:rPr>
              <w:t>方式</w:t>
            </w:r>
          </w:p>
        </w:tc>
      </w:tr>
      <w:tr w14:paraId="6F283365">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vMerge w:val="continue"/>
            <w:tcBorders>
              <w:left w:val="single" w:color="000000" w:sz="12" w:space="0"/>
              <w:tl2br w:val="nil"/>
              <w:tr2bl w:val="nil"/>
            </w:tcBorders>
            <w:shd w:val="clear" w:color="auto" w:fill="FFFFFF"/>
            <w:vAlign w:val="center"/>
          </w:tcPr>
          <w:p w14:paraId="2BCDFCCD">
            <w:pPr>
              <w:pStyle w:val="50"/>
              <w:rPr>
                <w:b w:val="0"/>
              </w:rPr>
            </w:pPr>
          </w:p>
        </w:tc>
        <w:tc>
          <w:tcPr>
            <w:tcW w:w="2152" w:type="pct"/>
            <w:vMerge w:val="continue"/>
            <w:tcBorders>
              <w:tl2br w:val="nil"/>
              <w:tr2bl w:val="nil"/>
            </w:tcBorders>
            <w:shd w:val="clear" w:color="auto" w:fill="FFFFFF"/>
            <w:vAlign w:val="center"/>
          </w:tcPr>
          <w:p w14:paraId="4DA289A6">
            <w:pPr>
              <w:pStyle w:val="50"/>
              <w:rPr>
                <w:b w:val="0"/>
              </w:rPr>
            </w:pPr>
          </w:p>
        </w:tc>
        <w:tc>
          <w:tcPr>
            <w:tcW w:w="447" w:type="pct"/>
            <w:tcBorders>
              <w:tl2br w:val="nil"/>
              <w:tr2bl w:val="nil"/>
            </w:tcBorders>
            <w:shd w:val="clear" w:color="auto" w:fill="FFFFFF"/>
            <w:vAlign w:val="center"/>
          </w:tcPr>
          <w:p w14:paraId="39200FC2">
            <w:pPr>
              <w:pStyle w:val="50"/>
              <w:rPr>
                <w:b w:val="0"/>
              </w:rPr>
            </w:pPr>
            <w:r>
              <w:rPr>
                <w:rFonts w:hint="eastAsia"/>
                <w:b w:val="0"/>
              </w:rPr>
              <w:t>班组</w:t>
            </w:r>
          </w:p>
        </w:tc>
        <w:tc>
          <w:tcPr>
            <w:tcW w:w="523" w:type="pct"/>
            <w:tcBorders>
              <w:tl2br w:val="nil"/>
              <w:tr2bl w:val="nil"/>
            </w:tcBorders>
            <w:shd w:val="clear" w:color="auto" w:fill="FFFFFF"/>
            <w:vAlign w:val="center"/>
          </w:tcPr>
          <w:p w14:paraId="4C51E6BE">
            <w:pPr>
              <w:pStyle w:val="50"/>
              <w:rPr>
                <w:b w:val="0"/>
              </w:rPr>
            </w:pPr>
            <w:r>
              <w:rPr>
                <w:rFonts w:hint="eastAsia"/>
                <w:b w:val="0"/>
              </w:rPr>
              <w:t>专业</w:t>
            </w:r>
          </w:p>
          <w:p w14:paraId="379EAF2E">
            <w:pPr>
              <w:pStyle w:val="50"/>
              <w:rPr>
                <w:b w:val="0"/>
              </w:rPr>
            </w:pPr>
            <w:r>
              <w:rPr>
                <w:rFonts w:hint="eastAsia"/>
                <w:b w:val="0"/>
              </w:rPr>
              <w:t>公司</w:t>
            </w:r>
          </w:p>
        </w:tc>
        <w:tc>
          <w:tcPr>
            <w:tcW w:w="526" w:type="pct"/>
            <w:tcBorders>
              <w:tl2br w:val="nil"/>
              <w:tr2bl w:val="nil"/>
            </w:tcBorders>
            <w:shd w:val="clear" w:color="auto" w:fill="FFFFFF"/>
            <w:vAlign w:val="center"/>
          </w:tcPr>
          <w:p w14:paraId="0D42B340">
            <w:pPr>
              <w:pStyle w:val="50"/>
              <w:rPr>
                <w:b w:val="0"/>
              </w:rPr>
            </w:pPr>
            <w:r>
              <w:rPr>
                <w:rFonts w:hint="eastAsia"/>
                <w:b w:val="0"/>
              </w:rPr>
              <w:t>项目质检部门</w:t>
            </w:r>
          </w:p>
        </w:tc>
        <w:tc>
          <w:tcPr>
            <w:tcW w:w="388" w:type="pct"/>
            <w:tcBorders>
              <w:tl2br w:val="nil"/>
              <w:tr2bl w:val="nil"/>
            </w:tcBorders>
            <w:shd w:val="clear" w:color="auto" w:fill="FFFFFF"/>
            <w:vAlign w:val="center"/>
          </w:tcPr>
          <w:p w14:paraId="3E86AA9F">
            <w:pPr>
              <w:pStyle w:val="50"/>
              <w:rPr>
                <w:b w:val="0"/>
              </w:rPr>
            </w:pPr>
            <w:r>
              <w:rPr>
                <w:rFonts w:hint="eastAsia"/>
                <w:b w:val="0"/>
              </w:rPr>
              <w:t>监理</w:t>
            </w:r>
          </w:p>
        </w:tc>
        <w:tc>
          <w:tcPr>
            <w:tcW w:w="471" w:type="pct"/>
            <w:vMerge w:val="continue"/>
            <w:tcBorders>
              <w:right w:val="single" w:color="000000" w:sz="12" w:space="0"/>
              <w:tl2br w:val="nil"/>
              <w:tr2bl w:val="nil"/>
            </w:tcBorders>
            <w:shd w:val="clear" w:color="auto" w:fill="FFFFFF"/>
            <w:vAlign w:val="center"/>
          </w:tcPr>
          <w:p w14:paraId="3C1766AF">
            <w:pPr>
              <w:pStyle w:val="50"/>
              <w:rPr>
                <w:b w:val="0"/>
              </w:rPr>
            </w:pPr>
          </w:p>
        </w:tc>
      </w:tr>
      <w:tr w14:paraId="4012A6F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tl2br w:val="nil"/>
              <w:tr2bl w:val="nil"/>
            </w:tcBorders>
            <w:shd w:val="clear" w:color="auto" w:fill="FFFFFF"/>
            <w:vAlign w:val="center"/>
          </w:tcPr>
          <w:p w14:paraId="7F168912">
            <w:pPr>
              <w:pStyle w:val="50"/>
              <w:rPr>
                <w:b w:val="0"/>
              </w:rPr>
            </w:pPr>
            <w:r>
              <w:rPr>
                <w:rFonts w:hint="eastAsia"/>
                <w:b w:val="0"/>
              </w:rPr>
              <w:t>1</w:t>
            </w:r>
          </w:p>
        </w:tc>
        <w:tc>
          <w:tcPr>
            <w:tcW w:w="2152" w:type="pct"/>
            <w:tcBorders>
              <w:tl2br w:val="nil"/>
              <w:tr2bl w:val="nil"/>
            </w:tcBorders>
            <w:shd w:val="clear" w:color="auto" w:fill="FFFFFF"/>
            <w:vAlign w:val="center"/>
          </w:tcPr>
          <w:p w14:paraId="3EA4CBFF">
            <w:pPr>
              <w:pStyle w:val="50"/>
              <w:rPr>
                <w:b w:val="0"/>
              </w:rPr>
            </w:pPr>
            <w:r>
              <w:rPr>
                <w:rFonts w:hint="eastAsia"/>
                <w:b w:val="0"/>
              </w:rPr>
              <w:t>施工中防止部件磕碰和交叉作业现象</w:t>
            </w:r>
          </w:p>
        </w:tc>
        <w:tc>
          <w:tcPr>
            <w:tcW w:w="447" w:type="pct"/>
            <w:tcBorders>
              <w:tl2br w:val="nil"/>
              <w:tr2bl w:val="nil"/>
            </w:tcBorders>
            <w:shd w:val="clear" w:color="auto" w:fill="FFFFFF"/>
            <w:vAlign w:val="center"/>
          </w:tcPr>
          <w:p w14:paraId="2409A612">
            <w:pPr>
              <w:pStyle w:val="50"/>
              <w:rPr>
                <w:b w:val="0"/>
              </w:rPr>
            </w:pPr>
            <w:r>
              <w:rPr>
                <w:rFonts w:hint="eastAsia"/>
                <w:b w:val="0"/>
              </w:rPr>
              <w:t>★</w:t>
            </w:r>
          </w:p>
        </w:tc>
        <w:tc>
          <w:tcPr>
            <w:tcW w:w="523" w:type="pct"/>
            <w:tcBorders>
              <w:tl2br w:val="nil"/>
              <w:tr2bl w:val="nil"/>
            </w:tcBorders>
            <w:shd w:val="clear" w:color="auto" w:fill="FFFFFF"/>
            <w:vAlign w:val="center"/>
          </w:tcPr>
          <w:p w14:paraId="210CD2F0">
            <w:pPr>
              <w:pStyle w:val="50"/>
              <w:rPr>
                <w:b w:val="0"/>
              </w:rPr>
            </w:pPr>
          </w:p>
        </w:tc>
        <w:tc>
          <w:tcPr>
            <w:tcW w:w="526" w:type="pct"/>
            <w:tcBorders>
              <w:tl2br w:val="nil"/>
              <w:tr2bl w:val="nil"/>
            </w:tcBorders>
            <w:shd w:val="clear" w:color="auto" w:fill="FFFFFF"/>
            <w:vAlign w:val="center"/>
          </w:tcPr>
          <w:p w14:paraId="1E54F435">
            <w:pPr>
              <w:pStyle w:val="50"/>
              <w:rPr>
                <w:b w:val="0"/>
              </w:rPr>
            </w:pPr>
            <w:r>
              <w:rPr>
                <w:rFonts w:hint="eastAsia"/>
                <w:b w:val="0"/>
              </w:rPr>
              <w:t>★</w:t>
            </w:r>
          </w:p>
        </w:tc>
        <w:tc>
          <w:tcPr>
            <w:tcW w:w="388" w:type="pct"/>
            <w:tcBorders>
              <w:tl2br w:val="nil"/>
              <w:tr2bl w:val="nil"/>
            </w:tcBorders>
            <w:shd w:val="clear" w:color="auto" w:fill="FFFFFF"/>
            <w:vAlign w:val="center"/>
          </w:tcPr>
          <w:p w14:paraId="38698545">
            <w:pPr>
              <w:pStyle w:val="50"/>
              <w:rPr>
                <w:b w:val="0"/>
              </w:rPr>
            </w:pPr>
          </w:p>
        </w:tc>
        <w:tc>
          <w:tcPr>
            <w:tcW w:w="471" w:type="pct"/>
            <w:tcBorders>
              <w:right w:val="single" w:color="000000" w:sz="12" w:space="0"/>
              <w:tl2br w:val="nil"/>
              <w:tr2bl w:val="nil"/>
            </w:tcBorders>
            <w:shd w:val="clear" w:color="auto" w:fill="FFFFFF"/>
            <w:vAlign w:val="center"/>
          </w:tcPr>
          <w:p w14:paraId="6474E4F0">
            <w:pPr>
              <w:pStyle w:val="50"/>
              <w:rPr>
                <w:b w:val="0"/>
              </w:rPr>
            </w:pPr>
            <w:r>
              <w:rPr>
                <w:rFonts w:hint="eastAsia"/>
                <w:b w:val="0"/>
              </w:rPr>
              <w:t>R</w:t>
            </w:r>
          </w:p>
        </w:tc>
      </w:tr>
      <w:tr w14:paraId="77AA45A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tl2br w:val="nil"/>
              <w:tr2bl w:val="nil"/>
            </w:tcBorders>
            <w:shd w:val="clear" w:color="auto" w:fill="FFFFFF"/>
            <w:vAlign w:val="center"/>
          </w:tcPr>
          <w:p w14:paraId="08F19489">
            <w:pPr>
              <w:pStyle w:val="50"/>
              <w:rPr>
                <w:b w:val="0"/>
              </w:rPr>
            </w:pPr>
            <w:r>
              <w:rPr>
                <w:rFonts w:hint="eastAsia"/>
                <w:b w:val="0"/>
              </w:rPr>
              <w:t>2</w:t>
            </w:r>
          </w:p>
        </w:tc>
        <w:tc>
          <w:tcPr>
            <w:tcW w:w="2152" w:type="pct"/>
            <w:tcBorders>
              <w:tl2br w:val="nil"/>
              <w:tr2bl w:val="nil"/>
            </w:tcBorders>
            <w:shd w:val="clear" w:color="auto" w:fill="FFFFFF"/>
            <w:vAlign w:val="center"/>
          </w:tcPr>
          <w:p w14:paraId="19295573">
            <w:pPr>
              <w:pStyle w:val="50"/>
              <w:rPr>
                <w:b w:val="0"/>
              </w:rPr>
            </w:pPr>
            <w:r>
              <w:rPr>
                <w:rFonts w:hint="eastAsia"/>
                <w:b w:val="0"/>
              </w:rPr>
              <w:t>作业工机具、卡索具完好无损，无人员、设备损伤</w:t>
            </w:r>
          </w:p>
        </w:tc>
        <w:tc>
          <w:tcPr>
            <w:tcW w:w="447" w:type="pct"/>
            <w:tcBorders>
              <w:tl2br w:val="nil"/>
              <w:tr2bl w:val="nil"/>
            </w:tcBorders>
            <w:shd w:val="clear" w:color="auto" w:fill="FFFFFF"/>
            <w:vAlign w:val="center"/>
          </w:tcPr>
          <w:p w14:paraId="59BD3CA3">
            <w:pPr>
              <w:pStyle w:val="50"/>
              <w:rPr>
                <w:b w:val="0"/>
              </w:rPr>
            </w:pPr>
            <w:r>
              <w:rPr>
                <w:rFonts w:hint="eastAsia"/>
                <w:b w:val="0"/>
              </w:rPr>
              <w:t>★</w:t>
            </w:r>
          </w:p>
        </w:tc>
        <w:tc>
          <w:tcPr>
            <w:tcW w:w="523" w:type="pct"/>
            <w:tcBorders>
              <w:tl2br w:val="nil"/>
              <w:tr2bl w:val="nil"/>
            </w:tcBorders>
            <w:shd w:val="clear" w:color="auto" w:fill="FFFFFF"/>
            <w:vAlign w:val="center"/>
          </w:tcPr>
          <w:p w14:paraId="7A0773EB">
            <w:pPr>
              <w:pStyle w:val="50"/>
              <w:rPr>
                <w:b w:val="0"/>
              </w:rPr>
            </w:pPr>
          </w:p>
        </w:tc>
        <w:tc>
          <w:tcPr>
            <w:tcW w:w="526" w:type="pct"/>
            <w:tcBorders>
              <w:tl2br w:val="nil"/>
              <w:tr2bl w:val="nil"/>
            </w:tcBorders>
            <w:shd w:val="clear" w:color="auto" w:fill="FFFFFF"/>
            <w:vAlign w:val="center"/>
          </w:tcPr>
          <w:p w14:paraId="6E50306B">
            <w:pPr>
              <w:pStyle w:val="50"/>
              <w:rPr>
                <w:b w:val="0"/>
              </w:rPr>
            </w:pPr>
            <w:r>
              <w:rPr>
                <w:rFonts w:hint="eastAsia"/>
                <w:b w:val="0"/>
              </w:rPr>
              <w:t>★</w:t>
            </w:r>
          </w:p>
        </w:tc>
        <w:tc>
          <w:tcPr>
            <w:tcW w:w="388" w:type="pct"/>
            <w:tcBorders>
              <w:tl2br w:val="nil"/>
              <w:tr2bl w:val="nil"/>
            </w:tcBorders>
            <w:shd w:val="clear" w:color="auto" w:fill="FFFFFF"/>
            <w:vAlign w:val="center"/>
          </w:tcPr>
          <w:p w14:paraId="273C8C7E">
            <w:pPr>
              <w:pStyle w:val="50"/>
              <w:rPr>
                <w:b w:val="0"/>
              </w:rPr>
            </w:pPr>
          </w:p>
        </w:tc>
        <w:tc>
          <w:tcPr>
            <w:tcW w:w="471" w:type="pct"/>
            <w:tcBorders>
              <w:right w:val="single" w:color="000000" w:sz="12" w:space="0"/>
              <w:tl2br w:val="nil"/>
              <w:tr2bl w:val="nil"/>
            </w:tcBorders>
            <w:shd w:val="clear" w:color="auto" w:fill="FFFFFF"/>
            <w:vAlign w:val="center"/>
          </w:tcPr>
          <w:p w14:paraId="63B1F8B3">
            <w:pPr>
              <w:pStyle w:val="50"/>
              <w:rPr>
                <w:b w:val="0"/>
              </w:rPr>
            </w:pPr>
            <w:r>
              <w:rPr>
                <w:rFonts w:hint="eastAsia"/>
                <w:b w:val="0"/>
              </w:rPr>
              <w:t>S</w:t>
            </w:r>
          </w:p>
        </w:tc>
      </w:tr>
      <w:tr w14:paraId="31078C93">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tl2br w:val="nil"/>
              <w:tr2bl w:val="nil"/>
            </w:tcBorders>
            <w:shd w:val="clear" w:color="auto" w:fill="FFFFFF"/>
            <w:vAlign w:val="center"/>
          </w:tcPr>
          <w:p w14:paraId="73CD5325">
            <w:pPr>
              <w:pStyle w:val="50"/>
              <w:rPr>
                <w:b w:val="0"/>
              </w:rPr>
            </w:pPr>
            <w:r>
              <w:rPr>
                <w:rFonts w:hint="eastAsia"/>
                <w:b w:val="0"/>
              </w:rPr>
              <w:t>3</w:t>
            </w:r>
          </w:p>
        </w:tc>
        <w:tc>
          <w:tcPr>
            <w:tcW w:w="2152" w:type="pct"/>
            <w:tcBorders>
              <w:tl2br w:val="nil"/>
              <w:tr2bl w:val="nil"/>
            </w:tcBorders>
            <w:shd w:val="clear" w:color="auto" w:fill="FFFFFF"/>
            <w:vAlign w:val="center"/>
          </w:tcPr>
          <w:p w14:paraId="23B57057">
            <w:pPr>
              <w:pStyle w:val="50"/>
              <w:rPr>
                <w:b w:val="0"/>
              </w:rPr>
            </w:pPr>
            <w:r>
              <w:rPr>
                <w:rFonts w:hint="eastAsia"/>
                <w:b w:val="0"/>
              </w:rPr>
              <w:t>各组件、零部件安全顺利安装、安装，无损坏或变形</w:t>
            </w:r>
          </w:p>
        </w:tc>
        <w:tc>
          <w:tcPr>
            <w:tcW w:w="447" w:type="pct"/>
            <w:tcBorders>
              <w:tl2br w:val="nil"/>
              <w:tr2bl w:val="nil"/>
            </w:tcBorders>
            <w:shd w:val="clear" w:color="auto" w:fill="FFFFFF"/>
            <w:vAlign w:val="center"/>
          </w:tcPr>
          <w:p w14:paraId="3706A5ED">
            <w:pPr>
              <w:pStyle w:val="50"/>
              <w:rPr>
                <w:b w:val="0"/>
              </w:rPr>
            </w:pPr>
            <w:r>
              <w:rPr>
                <w:rFonts w:hint="eastAsia"/>
                <w:b w:val="0"/>
              </w:rPr>
              <w:t>★</w:t>
            </w:r>
          </w:p>
        </w:tc>
        <w:tc>
          <w:tcPr>
            <w:tcW w:w="523" w:type="pct"/>
            <w:tcBorders>
              <w:tl2br w:val="nil"/>
              <w:tr2bl w:val="nil"/>
            </w:tcBorders>
            <w:shd w:val="clear" w:color="auto" w:fill="FFFFFF"/>
            <w:vAlign w:val="center"/>
          </w:tcPr>
          <w:p w14:paraId="3F440C79">
            <w:pPr>
              <w:pStyle w:val="50"/>
              <w:rPr>
                <w:b w:val="0"/>
              </w:rPr>
            </w:pPr>
          </w:p>
        </w:tc>
        <w:tc>
          <w:tcPr>
            <w:tcW w:w="526" w:type="pct"/>
            <w:tcBorders>
              <w:tl2br w:val="nil"/>
              <w:tr2bl w:val="nil"/>
            </w:tcBorders>
            <w:shd w:val="clear" w:color="auto" w:fill="FFFFFF"/>
            <w:vAlign w:val="center"/>
          </w:tcPr>
          <w:p w14:paraId="34FC65F3">
            <w:pPr>
              <w:pStyle w:val="50"/>
              <w:rPr>
                <w:b w:val="0"/>
              </w:rPr>
            </w:pPr>
            <w:r>
              <w:rPr>
                <w:rFonts w:hint="eastAsia"/>
                <w:b w:val="0"/>
              </w:rPr>
              <w:t>★</w:t>
            </w:r>
          </w:p>
        </w:tc>
        <w:tc>
          <w:tcPr>
            <w:tcW w:w="388" w:type="pct"/>
            <w:tcBorders>
              <w:tl2br w:val="nil"/>
              <w:tr2bl w:val="nil"/>
            </w:tcBorders>
            <w:shd w:val="clear" w:color="auto" w:fill="FFFFFF"/>
            <w:vAlign w:val="center"/>
          </w:tcPr>
          <w:p w14:paraId="64562633">
            <w:pPr>
              <w:pStyle w:val="50"/>
              <w:rPr>
                <w:b w:val="0"/>
              </w:rPr>
            </w:pPr>
          </w:p>
        </w:tc>
        <w:tc>
          <w:tcPr>
            <w:tcW w:w="471" w:type="pct"/>
            <w:tcBorders>
              <w:right w:val="single" w:color="000000" w:sz="12" w:space="0"/>
              <w:tl2br w:val="nil"/>
              <w:tr2bl w:val="nil"/>
            </w:tcBorders>
            <w:shd w:val="clear" w:color="auto" w:fill="FFFFFF"/>
            <w:vAlign w:val="center"/>
          </w:tcPr>
          <w:p w14:paraId="1CECB099">
            <w:pPr>
              <w:pStyle w:val="50"/>
              <w:rPr>
                <w:b w:val="0"/>
              </w:rPr>
            </w:pPr>
            <w:r>
              <w:rPr>
                <w:rFonts w:hint="eastAsia"/>
                <w:b w:val="0"/>
              </w:rPr>
              <w:t>W</w:t>
            </w:r>
          </w:p>
        </w:tc>
      </w:tr>
      <w:tr w14:paraId="685D9E9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tl2br w:val="nil"/>
              <w:tr2bl w:val="nil"/>
            </w:tcBorders>
            <w:shd w:val="clear" w:color="auto" w:fill="FFFFFF"/>
            <w:vAlign w:val="center"/>
          </w:tcPr>
          <w:p w14:paraId="4C581D63">
            <w:pPr>
              <w:pStyle w:val="50"/>
              <w:rPr>
                <w:b w:val="0"/>
              </w:rPr>
            </w:pPr>
            <w:r>
              <w:rPr>
                <w:rFonts w:hint="eastAsia"/>
                <w:b w:val="0"/>
              </w:rPr>
              <w:t>4</w:t>
            </w:r>
          </w:p>
        </w:tc>
        <w:tc>
          <w:tcPr>
            <w:tcW w:w="2152" w:type="pct"/>
            <w:tcBorders>
              <w:tl2br w:val="nil"/>
              <w:tr2bl w:val="nil"/>
            </w:tcBorders>
            <w:shd w:val="clear" w:color="auto" w:fill="FFFFFF"/>
            <w:vAlign w:val="center"/>
          </w:tcPr>
          <w:p w14:paraId="75B44466">
            <w:pPr>
              <w:pStyle w:val="50"/>
              <w:rPr>
                <w:b w:val="0"/>
              </w:rPr>
            </w:pPr>
            <w:r>
              <w:rPr>
                <w:rFonts w:hint="eastAsia"/>
                <w:b w:val="0"/>
              </w:rPr>
              <w:t>做好各组件、零部件安装后清点、整理和存放工作。</w:t>
            </w:r>
          </w:p>
        </w:tc>
        <w:tc>
          <w:tcPr>
            <w:tcW w:w="447" w:type="pct"/>
            <w:tcBorders>
              <w:tl2br w:val="nil"/>
              <w:tr2bl w:val="nil"/>
            </w:tcBorders>
            <w:shd w:val="clear" w:color="auto" w:fill="FFFFFF"/>
            <w:vAlign w:val="center"/>
          </w:tcPr>
          <w:p w14:paraId="59E14E2F">
            <w:pPr>
              <w:pStyle w:val="50"/>
              <w:rPr>
                <w:b w:val="0"/>
              </w:rPr>
            </w:pPr>
            <w:r>
              <w:rPr>
                <w:rFonts w:hint="eastAsia"/>
                <w:b w:val="0"/>
              </w:rPr>
              <w:t>★</w:t>
            </w:r>
          </w:p>
        </w:tc>
        <w:tc>
          <w:tcPr>
            <w:tcW w:w="523" w:type="pct"/>
            <w:tcBorders>
              <w:tl2br w:val="nil"/>
              <w:tr2bl w:val="nil"/>
            </w:tcBorders>
            <w:shd w:val="clear" w:color="auto" w:fill="FFFFFF"/>
            <w:vAlign w:val="center"/>
          </w:tcPr>
          <w:p w14:paraId="4B2C2BB0">
            <w:pPr>
              <w:pStyle w:val="50"/>
              <w:rPr>
                <w:b w:val="0"/>
              </w:rPr>
            </w:pPr>
          </w:p>
        </w:tc>
        <w:tc>
          <w:tcPr>
            <w:tcW w:w="526" w:type="pct"/>
            <w:tcBorders>
              <w:tl2br w:val="nil"/>
              <w:tr2bl w:val="nil"/>
            </w:tcBorders>
            <w:shd w:val="clear" w:color="auto" w:fill="FFFFFF"/>
            <w:vAlign w:val="center"/>
          </w:tcPr>
          <w:p w14:paraId="1D809F0C">
            <w:pPr>
              <w:pStyle w:val="50"/>
              <w:rPr>
                <w:b w:val="0"/>
              </w:rPr>
            </w:pPr>
            <w:r>
              <w:rPr>
                <w:rFonts w:hint="eastAsia"/>
                <w:b w:val="0"/>
              </w:rPr>
              <w:t>★</w:t>
            </w:r>
          </w:p>
        </w:tc>
        <w:tc>
          <w:tcPr>
            <w:tcW w:w="388" w:type="pct"/>
            <w:tcBorders>
              <w:tl2br w:val="nil"/>
              <w:tr2bl w:val="nil"/>
            </w:tcBorders>
            <w:shd w:val="clear" w:color="auto" w:fill="FFFFFF"/>
            <w:vAlign w:val="center"/>
          </w:tcPr>
          <w:p w14:paraId="259D56C0">
            <w:pPr>
              <w:pStyle w:val="50"/>
              <w:rPr>
                <w:b w:val="0"/>
              </w:rPr>
            </w:pPr>
          </w:p>
        </w:tc>
        <w:tc>
          <w:tcPr>
            <w:tcW w:w="471" w:type="pct"/>
            <w:tcBorders>
              <w:right w:val="single" w:color="000000" w:sz="12" w:space="0"/>
              <w:tl2br w:val="nil"/>
              <w:tr2bl w:val="nil"/>
            </w:tcBorders>
            <w:shd w:val="clear" w:color="auto" w:fill="FFFFFF"/>
            <w:vAlign w:val="center"/>
          </w:tcPr>
          <w:p w14:paraId="3778E56B">
            <w:pPr>
              <w:pStyle w:val="50"/>
              <w:rPr>
                <w:b w:val="0"/>
              </w:rPr>
            </w:pPr>
            <w:r>
              <w:rPr>
                <w:rFonts w:hint="eastAsia"/>
                <w:b w:val="0"/>
              </w:rPr>
              <w:t>W</w:t>
            </w:r>
          </w:p>
        </w:tc>
      </w:tr>
      <w:tr w14:paraId="19E251CF">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489" w:type="pct"/>
            <w:tcBorders>
              <w:left w:val="single" w:color="000000" w:sz="12" w:space="0"/>
              <w:bottom w:val="single" w:color="000000" w:sz="12" w:space="0"/>
              <w:tl2br w:val="nil"/>
              <w:tr2bl w:val="nil"/>
            </w:tcBorders>
            <w:shd w:val="clear" w:color="auto" w:fill="FFFFFF"/>
            <w:vAlign w:val="center"/>
          </w:tcPr>
          <w:p w14:paraId="3E4C79E7">
            <w:pPr>
              <w:pStyle w:val="50"/>
              <w:rPr>
                <w:b w:val="0"/>
              </w:rPr>
            </w:pPr>
            <w:r>
              <w:rPr>
                <w:rFonts w:hint="eastAsia"/>
                <w:b w:val="0"/>
              </w:rPr>
              <w:t>5</w:t>
            </w:r>
          </w:p>
        </w:tc>
        <w:tc>
          <w:tcPr>
            <w:tcW w:w="2152" w:type="pct"/>
            <w:tcBorders>
              <w:bottom w:val="single" w:color="000000" w:sz="12" w:space="0"/>
              <w:tl2br w:val="nil"/>
              <w:tr2bl w:val="nil"/>
            </w:tcBorders>
            <w:shd w:val="clear" w:color="auto" w:fill="FFFFFF"/>
            <w:vAlign w:val="center"/>
          </w:tcPr>
          <w:p w14:paraId="2F3E14DD">
            <w:pPr>
              <w:pStyle w:val="50"/>
              <w:rPr>
                <w:b w:val="0"/>
              </w:rPr>
            </w:pPr>
            <w:r>
              <w:rPr>
                <w:rFonts w:hint="eastAsia"/>
                <w:b w:val="0"/>
              </w:rPr>
              <w:t>作业方法应该按照说明书和本方案要求严格执行</w:t>
            </w:r>
          </w:p>
        </w:tc>
        <w:tc>
          <w:tcPr>
            <w:tcW w:w="447" w:type="pct"/>
            <w:tcBorders>
              <w:bottom w:val="single" w:color="000000" w:sz="12" w:space="0"/>
              <w:tl2br w:val="nil"/>
              <w:tr2bl w:val="nil"/>
            </w:tcBorders>
            <w:shd w:val="clear" w:color="auto" w:fill="FFFFFF"/>
            <w:vAlign w:val="center"/>
          </w:tcPr>
          <w:p w14:paraId="13389A76">
            <w:pPr>
              <w:pStyle w:val="50"/>
              <w:rPr>
                <w:b w:val="0"/>
              </w:rPr>
            </w:pPr>
            <w:r>
              <w:rPr>
                <w:rFonts w:hint="eastAsia"/>
                <w:b w:val="0"/>
              </w:rPr>
              <w:t>★</w:t>
            </w:r>
          </w:p>
        </w:tc>
        <w:tc>
          <w:tcPr>
            <w:tcW w:w="523" w:type="pct"/>
            <w:tcBorders>
              <w:bottom w:val="single" w:color="000000" w:sz="12" w:space="0"/>
              <w:tl2br w:val="nil"/>
              <w:tr2bl w:val="nil"/>
            </w:tcBorders>
            <w:shd w:val="clear" w:color="auto" w:fill="FFFFFF"/>
            <w:vAlign w:val="center"/>
          </w:tcPr>
          <w:p w14:paraId="7C38C406">
            <w:pPr>
              <w:pStyle w:val="50"/>
              <w:rPr>
                <w:b w:val="0"/>
              </w:rPr>
            </w:pPr>
          </w:p>
        </w:tc>
        <w:tc>
          <w:tcPr>
            <w:tcW w:w="526" w:type="pct"/>
            <w:tcBorders>
              <w:bottom w:val="single" w:color="000000" w:sz="12" w:space="0"/>
              <w:tl2br w:val="nil"/>
              <w:tr2bl w:val="nil"/>
            </w:tcBorders>
            <w:shd w:val="clear" w:color="auto" w:fill="FFFFFF"/>
            <w:vAlign w:val="center"/>
          </w:tcPr>
          <w:p w14:paraId="751C49A4">
            <w:pPr>
              <w:pStyle w:val="50"/>
              <w:rPr>
                <w:b w:val="0"/>
              </w:rPr>
            </w:pPr>
            <w:r>
              <w:rPr>
                <w:rFonts w:hint="eastAsia"/>
                <w:b w:val="0"/>
              </w:rPr>
              <w:t>★</w:t>
            </w:r>
          </w:p>
        </w:tc>
        <w:tc>
          <w:tcPr>
            <w:tcW w:w="388" w:type="pct"/>
            <w:tcBorders>
              <w:bottom w:val="single" w:color="000000" w:sz="12" w:space="0"/>
              <w:tl2br w:val="nil"/>
              <w:tr2bl w:val="nil"/>
            </w:tcBorders>
            <w:shd w:val="clear" w:color="auto" w:fill="FFFFFF"/>
            <w:vAlign w:val="center"/>
          </w:tcPr>
          <w:p w14:paraId="12640836">
            <w:pPr>
              <w:pStyle w:val="50"/>
              <w:rPr>
                <w:b w:val="0"/>
              </w:rPr>
            </w:pPr>
          </w:p>
        </w:tc>
        <w:tc>
          <w:tcPr>
            <w:tcW w:w="471" w:type="pct"/>
            <w:tcBorders>
              <w:bottom w:val="single" w:color="000000" w:sz="12" w:space="0"/>
              <w:right w:val="single" w:color="000000" w:sz="12" w:space="0"/>
              <w:tl2br w:val="nil"/>
              <w:tr2bl w:val="nil"/>
            </w:tcBorders>
            <w:shd w:val="clear" w:color="auto" w:fill="FFFFFF"/>
            <w:vAlign w:val="center"/>
          </w:tcPr>
          <w:p w14:paraId="300D2506">
            <w:pPr>
              <w:pStyle w:val="50"/>
              <w:rPr>
                <w:b w:val="0"/>
              </w:rPr>
            </w:pPr>
            <w:r>
              <w:rPr>
                <w:rFonts w:hint="eastAsia"/>
                <w:b w:val="0"/>
              </w:rPr>
              <w:t>R</w:t>
            </w:r>
          </w:p>
        </w:tc>
      </w:tr>
    </w:tbl>
    <w:p w14:paraId="6DD1846F">
      <w:pPr>
        <w:ind w:firstLine="440"/>
        <w:rPr>
          <w:sz w:val="22"/>
        </w:rPr>
      </w:pPr>
      <w:r>
        <w:rPr>
          <w:rFonts w:hint="eastAsia"/>
          <w:sz w:val="22"/>
        </w:rPr>
        <w:t>见证方式:R － 记录确认点；W － 见证点；H － 停工待检点；S － 连续监视监护</w:t>
      </w:r>
    </w:p>
    <w:p w14:paraId="11488B2E">
      <w:pPr>
        <w:pStyle w:val="2"/>
        <w:bidi w:val="0"/>
        <w:ind w:left="432" w:leftChars="0" w:hanging="432" w:firstLineChars="0"/>
        <w:rPr>
          <w:rFonts w:hint="eastAsia"/>
        </w:rPr>
      </w:pPr>
      <w:bookmarkStart w:id="122" w:name="_Toc29966"/>
      <w:bookmarkStart w:id="123" w:name="_Toc8718"/>
      <w:bookmarkStart w:id="124" w:name="_Toc22809"/>
      <w:r>
        <w:rPr>
          <w:rFonts w:hint="eastAsia"/>
        </w:rPr>
        <w:t>施工安全保障措施</w:t>
      </w:r>
      <w:bookmarkEnd w:id="122"/>
      <w:bookmarkEnd w:id="123"/>
      <w:bookmarkEnd w:id="124"/>
    </w:p>
    <w:p w14:paraId="23146923">
      <w:pPr>
        <w:pStyle w:val="3"/>
        <w:bidi w:val="0"/>
        <w:ind w:left="575" w:leftChars="0" w:hanging="575" w:firstLineChars="0"/>
        <w:rPr>
          <w:b/>
          <w:bCs w:val="0"/>
          <w:sz w:val="28"/>
          <w:szCs w:val="28"/>
        </w:rPr>
      </w:pPr>
      <w:bookmarkStart w:id="125" w:name="_Toc638"/>
      <w:bookmarkStart w:id="126" w:name="_Toc14956"/>
      <w:bookmarkStart w:id="127" w:name="_Toc28248"/>
      <w:bookmarkStart w:id="128" w:name="_Toc122514838"/>
      <w:r>
        <w:rPr>
          <w:rFonts w:hint="eastAsia"/>
          <w:b/>
          <w:bCs w:val="0"/>
          <w:sz w:val="28"/>
          <w:szCs w:val="28"/>
          <w:lang w:val="en-US" w:eastAsia="zh-CN"/>
        </w:rPr>
        <w:t>危险源辨识及方法</w:t>
      </w:r>
      <w:bookmarkEnd w:id="125"/>
      <w:bookmarkEnd w:id="126"/>
      <w:bookmarkEnd w:id="127"/>
    </w:p>
    <w:p w14:paraId="5260EC8D">
      <w:pPr>
        <w:pStyle w:val="4"/>
        <w:rPr>
          <w:b/>
          <w:bCs w:val="0"/>
        </w:rPr>
      </w:pPr>
      <w:r>
        <w:rPr>
          <w:rFonts w:hint="eastAsia"/>
          <w:b/>
          <w:bCs w:val="0"/>
        </w:rPr>
        <w:t>风险源辨识与评价</w:t>
      </w:r>
    </w:p>
    <w:p w14:paraId="45AC229B">
      <w:pPr>
        <w:ind w:firstLine="480"/>
      </w:pPr>
      <w:r>
        <w:rPr>
          <w:rFonts w:hint="eastAsia"/>
        </w:rPr>
        <w:t>风险因素分析、识别表见</w:t>
      </w:r>
      <w:r>
        <w:fldChar w:fldCharType="begin"/>
      </w:r>
      <w:r>
        <w:instrText xml:space="preserve"> </w:instrText>
      </w:r>
      <w:r>
        <w:rPr>
          <w:rFonts w:hint="eastAsia"/>
        </w:rPr>
        <w:instrText xml:space="preserve">REF _Ref130390235 \h</w:instrText>
      </w:r>
      <w:r>
        <w:instrText xml:space="preserve"> </w:instrText>
      </w:r>
      <w:r>
        <w:fldChar w:fldCharType="separate"/>
      </w:r>
      <w:r>
        <w:rPr>
          <w:rFonts w:hint="eastAsia"/>
        </w:rPr>
        <w:t>表</w:t>
      </w:r>
      <w:r>
        <w:t>6.1.1</w:t>
      </w:r>
      <w:r>
        <w:rPr>
          <w:rFonts w:hint="eastAsia"/>
        </w:rPr>
        <w:t>-</w:t>
      </w:r>
      <w:r>
        <w:t>1</w:t>
      </w:r>
      <w:r>
        <w:fldChar w:fldCharType="end"/>
      </w:r>
      <w:r>
        <w:rPr>
          <w:rFonts w:hint="eastAsia"/>
        </w:rPr>
        <w:t>所示。</w:t>
      </w:r>
    </w:p>
    <w:p w14:paraId="2CE7B2DE">
      <w:pPr>
        <w:pStyle w:val="16"/>
      </w:pPr>
      <w:bookmarkStart w:id="129" w:name="_Ref130390235"/>
      <w:r>
        <w:rPr>
          <w:rFonts w:hint="eastAsia"/>
        </w:rPr>
        <w:t>表</w:t>
      </w:r>
      <w:r>
        <w:fldChar w:fldCharType="begin"/>
      </w:r>
      <w:r>
        <w:instrText xml:space="preserve"> </w:instrText>
      </w:r>
      <w:r>
        <w:rPr>
          <w:rFonts w:hint="eastAsia"/>
        </w:rPr>
        <w:instrText xml:space="preserve">STYLEREF</w:instrText>
      </w:r>
      <w:r>
        <w:instrText xml:space="preserve"> 3</w:instrText>
      </w:r>
      <w:r>
        <w:rPr>
          <w:rFonts w:hint="eastAsia"/>
        </w:rPr>
        <w:instrText xml:space="preserve"> \s</w:instrText>
      </w:r>
      <w:r>
        <w:instrText xml:space="preserve"> </w:instrText>
      </w:r>
      <w:r>
        <w:fldChar w:fldCharType="separate"/>
      </w:r>
      <w:r>
        <w:t>6.1.1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3 </w:instrText>
      </w:r>
      <w:r>
        <w:fldChar w:fldCharType="separate"/>
      </w:r>
      <w:r>
        <w:t>1</w:t>
      </w:r>
      <w:r>
        <w:fldChar w:fldCharType="end"/>
      </w:r>
      <w:bookmarkEnd w:id="129"/>
      <w:r>
        <w:t xml:space="preserve"> </w:t>
      </w:r>
      <w:r>
        <w:rPr>
          <w:rFonts w:hint="eastAsia"/>
        </w:rPr>
        <w:t>风险因素分析、识别表</w:t>
      </w:r>
    </w:p>
    <w:tbl>
      <w:tblPr>
        <w:tblStyle w:val="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0"/>
        <w:gridCol w:w="859"/>
        <w:gridCol w:w="6131"/>
        <w:gridCol w:w="1092"/>
      </w:tblGrid>
      <w:tr w14:paraId="736EA0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258" w:type="pct"/>
            <w:tcBorders>
              <w:tl2br w:val="nil"/>
              <w:tr2bl w:val="nil"/>
            </w:tcBorders>
            <w:vAlign w:val="center"/>
          </w:tcPr>
          <w:p w14:paraId="58BDE4DB">
            <w:pPr>
              <w:pStyle w:val="50"/>
              <w:tabs>
                <w:tab w:val="left" w:pos="0"/>
              </w:tabs>
              <w:jc w:val="both"/>
              <w:rPr>
                <w:b/>
              </w:rPr>
            </w:pPr>
            <w:r>
              <w:rPr>
                <w:rFonts w:hint="eastAsia"/>
                <w:b/>
              </w:rPr>
              <w:t>序号</w:t>
            </w:r>
          </w:p>
        </w:tc>
        <w:tc>
          <w:tcPr>
            <w:tcW w:w="504" w:type="pct"/>
            <w:tcBorders>
              <w:tl2br w:val="nil"/>
              <w:tr2bl w:val="nil"/>
            </w:tcBorders>
            <w:vAlign w:val="center"/>
          </w:tcPr>
          <w:p w14:paraId="08018253">
            <w:pPr>
              <w:pStyle w:val="50"/>
              <w:rPr>
                <w:b/>
              </w:rPr>
            </w:pPr>
            <w:r>
              <w:rPr>
                <w:rFonts w:hint="eastAsia"/>
                <w:b/>
              </w:rPr>
              <w:t>环节</w:t>
            </w:r>
          </w:p>
        </w:tc>
        <w:tc>
          <w:tcPr>
            <w:tcW w:w="3596" w:type="pct"/>
            <w:tcBorders>
              <w:tl2br w:val="nil"/>
              <w:tr2bl w:val="nil"/>
            </w:tcBorders>
            <w:vAlign w:val="center"/>
          </w:tcPr>
          <w:p w14:paraId="3CF158AF">
            <w:pPr>
              <w:pStyle w:val="50"/>
              <w:rPr>
                <w:b/>
              </w:rPr>
            </w:pPr>
            <w:r>
              <w:rPr>
                <w:rFonts w:hint="eastAsia"/>
                <w:b/>
                <w:bCs/>
              </w:rPr>
              <w:t>危害因素</w:t>
            </w:r>
          </w:p>
        </w:tc>
        <w:tc>
          <w:tcPr>
            <w:tcW w:w="640" w:type="pct"/>
            <w:tcBorders>
              <w:tl2br w:val="nil"/>
              <w:tr2bl w:val="nil"/>
            </w:tcBorders>
            <w:vAlign w:val="center"/>
          </w:tcPr>
          <w:p w14:paraId="11E403B3">
            <w:pPr>
              <w:pStyle w:val="50"/>
              <w:rPr>
                <w:b/>
              </w:rPr>
            </w:pPr>
            <w:r>
              <w:rPr>
                <w:rFonts w:hint="eastAsia"/>
                <w:b/>
                <w:bCs/>
              </w:rPr>
              <w:t>潜在事故类型</w:t>
            </w:r>
          </w:p>
        </w:tc>
      </w:tr>
      <w:tr w14:paraId="2F99F9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EFEEC3D">
            <w:pPr>
              <w:pStyle w:val="50"/>
              <w:numPr>
                <w:ilvl w:val="0"/>
                <w:numId w:val="24"/>
              </w:numPr>
              <w:tabs>
                <w:tab w:val="clear" w:pos="0"/>
              </w:tabs>
            </w:pPr>
          </w:p>
        </w:tc>
        <w:tc>
          <w:tcPr>
            <w:tcW w:w="504" w:type="pct"/>
            <w:vMerge w:val="restart"/>
            <w:tcBorders>
              <w:tl2br w:val="nil"/>
              <w:tr2bl w:val="nil"/>
            </w:tcBorders>
            <w:vAlign w:val="center"/>
          </w:tcPr>
          <w:p w14:paraId="52B45418">
            <w:pPr>
              <w:pStyle w:val="50"/>
              <w:rPr>
                <w:b w:val="0"/>
                <w:bCs w:val="0"/>
              </w:rPr>
            </w:pPr>
            <w:r>
              <w:rPr>
                <w:rFonts w:hint="eastAsia"/>
                <w:b w:val="0"/>
                <w:bCs w:val="0"/>
              </w:rPr>
              <w:t>安装前准备</w:t>
            </w:r>
          </w:p>
        </w:tc>
        <w:tc>
          <w:tcPr>
            <w:tcW w:w="3596" w:type="pct"/>
            <w:tcBorders>
              <w:tl2br w:val="nil"/>
              <w:tr2bl w:val="nil"/>
            </w:tcBorders>
            <w:vAlign w:val="center"/>
          </w:tcPr>
          <w:p w14:paraId="6B0B0EC2">
            <w:pPr>
              <w:pStyle w:val="50"/>
              <w:rPr>
                <w:b w:val="0"/>
                <w:bCs w:val="0"/>
              </w:rPr>
            </w:pPr>
            <w:r>
              <w:rPr>
                <w:rFonts w:hint="eastAsia"/>
                <w:b w:val="0"/>
                <w:bCs w:val="0"/>
              </w:rPr>
              <w:t>设备安装前没有进行全面的检查，并确认合格。</w:t>
            </w:r>
          </w:p>
        </w:tc>
        <w:tc>
          <w:tcPr>
            <w:tcW w:w="640" w:type="pct"/>
            <w:tcBorders>
              <w:tl2br w:val="nil"/>
              <w:tr2bl w:val="nil"/>
            </w:tcBorders>
            <w:vAlign w:val="center"/>
          </w:tcPr>
          <w:p w14:paraId="224213DA">
            <w:pPr>
              <w:pStyle w:val="50"/>
              <w:rPr>
                <w:b w:val="0"/>
                <w:bCs w:val="0"/>
              </w:rPr>
            </w:pPr>
            <w:r>
              <w:rPr>
                <w:rFonts w:hint="eastAsia"/>
                <w:b w:val="0"/>
                <w:bCs w:val="0"/>
              </w:rPr>
              <w:t>起重伤害</w:t>
            </w:r>
          </w:p>
        </w:tc>
      </w:tr>
      <w:tr w14:paraId="2DD2BF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0FA2D36">
            <w:pPr>
              <w:pStyle w:val="50"/>
              <w:numPr>
                <w:ilvl w:val="0"/>
                <w:numId w:val="24"/>
              </w:numPr>
              <w:tabs>
                <w:tab w:val="clear" w:pos="0"/>
              </w:tabs>
            </w:pPr>
          </w:p>
        </w:tc>
        <w:tc>
          <w:tcPr>
            <w:tcW w:w="504" w:type="pct"/>
            <w:vMerge w:val="continue"/>
            <w:tcBorders>
              <w:tl2br w:val="nil"/>
              <w:tr2bl w:val="nil"/>
            </w:tcBorders>
            <w:vAlign w:val="center"/>
          </w:tcPr>
          <w:p w14:paraId="583A5B45">
            <w:pPr>
              <w:pStyle w:val="50"/>
              <w:rPr>
                <w:b w:val="0"/>
                <w:bCs w:val="0"/>
              </w:rPr>
            </w:pPr>
          </w:p>
        </w:tc>
        <w:tc>
          <w:tcPr>
            <w:tcW w:w="3596" w:type="pct"/>
            <w:tcBorders>
              <w:tl2br w:val="nil"/>
              <w:tr2bl w:val="nil"/>
            </w:tcBorders>
            <w:vAlign w:val="center"/>
          </w:tcPr>
          <w:p w14:paraId="51CC48F9">
            <w:pPr>
              <w:pStyle w:val="50"/>
              <w:rPr>
                <w:b w:val="0"/>
                <w:bCs w:val="0"/>
              </w:rPr>
            </w:pPr>
            <w:r>
              <w:rPr>
                <w:rFonts w:hint="eastAsia"/>
                <w:b w:val="0"/>
                <w:bCs w:val="0"/>
              </w:rPr>
              <w:t>安装前没有对基础进行验收。基础周围没有排水设施、积水未及时清理。影响施工的地下地面管线未改迁。</w:t>
            </w:r>
          </w:p>
        </w:tc>
        <w:tc>
          <w:tcPr>
            <w:tcW w:w="640" w:type="pct"/>
            <w:tcBorders>
              <w:tl2br w:val="nil"/>
              <w:tr2bl w:val="nil"/>
            </w:tcBorders>
            <w:vAlign w:val="center"/>
          </w:tcPr>
          <w:p w14:paraId="2518494E">
            <w:pPr>
              <w:pStyle w:val="50"/>
              <w:rPr>
                <w:b w:val="0"/>
                <w:bCs w:val="0"/>
              </w:rPr>
            </w:pPr>
            <w:r>
              <w:rPr>
                <w:rFonts w:hint="eastAsia"/>
                <w:b w:val="0"/>
                <w:bCs w:val="0"/>
              </w:rPr>
              <w:t>坍塌</w:t>
            </w:r>
          </w:p>
        </w:tc>
      </w:tr>
      <w:tr w14:paraId="7A7703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8FB52DF">
            <w:pPr>
              <w:pStyle w:val="50"/>
              <w:numPr>
                <w:ilvl w:val="0"/>
                <w:numId w:val="24"/>
              </w:numPr>
              <w:tabs>
                <w:tab w:val="clear" w:pos="0"/>
              </w:tabs>
            </w:pPr>
          </w:p>
        </w:tc>
        <w:tc>
          <w:tcPr>
            <w:tcW w:w="504" w:type="pct"/>
            <w:vMerge w:val="continue"/>
            <w:tcBorders>
              <w:tl2br w:val="nil"/>
              <w:tr2bl w:val="nil"/>
            </w:tcBorders>
            <w:vAlign w:val="center"/>
          </w:tcPr>
          <w:p w14:paraId="1B17CABD">
            <w:pPr>
              <w:pStyle w:val="50"/>
              <w:rPr>
                <w:b w:val="0"/>
                <w:bCs w:val="0"/>
              </w:rPr>
            </w:pPr>
          </w:p>
        </w:tc>
        <w:tc>
          <w:tcPr>
            <w:tcW w:w="3596" w:type="pct"/>
            <w:tcBorders>
              <w:tl2br w:val="nil"/>
              <w:tr2bl w:val="nil"/>
            </w:tcBorders>
            <w:vAlign w:val="center"/>
          </w:tcPr>
          <w:p w14:paraId="7AC97745">
            <w:pPr>
              <w:pStyle w:val="50"/>
              <w:rPr>
                <w:b w:val="0"/>
                <w:bCs w:val="0"/>
              </w:rPr>
            </w:pPr>
            <w:r>
              <w:rPr>
                <w:rFonts w:hint="eastAsia"/>
                <w:b w:val="0"/>
                <w:bCs w:val="0"/>
              </w:rPr>
              <w:t>没有对建筑承载结构进行验算。</w:t>
            </w:r>
          </w:p>
        </w:tc>
        <w:tc>
          <w:tcPr>
            <w:tcW w:w="640" w:type="pct"/>
            <w:tcBorders>
              <w:tl2br w:val="nil"/>
              <w:tr2bl w:val="nil"/>
            </w:tcBorders>
            <w:vAlign w:val="center"/>
          </w:tcPr>
          <w:p w14:paraId="1DF17E44">
            <w:pPr>
              <w:pStyle w:val="50"/>
              <w:rPr>
                <w:b w:val="0"/>
                <w:bCs w:val="0"/>
              </w:rPr>
            </w:pPr>
            <w:r>
              <w:rPr>
                <w:rFonts w:hint="eastAsia"/>
                <w:b w:val="0"/>
                <w:bCs w:val="0"/>
              </w:rPr>
              <w:t>起重伤害</w:t>
            </w:r>
          </w:p>
        </w:tc>
      </w:tr>
      <w:tr w14:paraId="2ECF37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2C2E9D0">
            <w:pPr>
              <w:pStyle w:val="50"/>
              <w:numPr>
                <w:ilvl w:val="0"/>
                <w:numId w:val="24"/>
              </w:numPr>
              <w:tabs>
                <w:tab w:val="clear" w:pos="0"/>
              </w:tabs>
            </w:pPr>
          </w:p>
        </w:tc>
        <w:tc>
          <w:tcPr>
            <w:tcW w:w="504" w:type="pct"/>
            <w:vMerge w:val="continue"/>
            <w:tcBorders>
              <w:tl2br w:val="nil"/>
              <w:tr2bl w:val="nil"/>
            </w:tcBorders>
            <w:vAlign w:val="center"/>
          </w:tcPr>
          <w:p w14:paraId="28062433">
            <w:pPr>
              <w:pStyle w:val="50"/>
              <w:rPr>
                <w:b w:val="0"/>
                <w:bCs w:val="0"/>
              </w:rPr>
            </w:pPr>
          </w:p>
        </w:tc>
        <w:tc>
          <w:tcPr>
            <w:tcW w:w="3596" w:type="pct"/>
            <w:tcBorders>
              <w:tl2br w:val="nil"/>
              <w:tr2bl w:val="nil"/>
            </w:tcBorders>
            <w:vAlign w:val="center"/>
          </w:tcPr>
          <w:p w14:paraId="0EA77EBD">
            <w:pPr>
              <w:pStyle w:val="50"/>
              <w:rPr>
                <w:b w:val="0"/>
                <w:bCs w:val="0"/>
              </w:rPr>
            </w:pPr>
            <w:r>
              <w:rPr>
                <w:rFonts w:hint="eastAsia"/>
                <w:b w:val="0"/>
                <w:bCs w:val="0"/>
              </w:rPr>
              <w:t>安装作业未按照专项方案要求实施。安装前未对安装作业人员进行安全技术交底。</w:t>
            </w:r>
          </w:p>
        </w:tc>
        <w:tc>
          <w:tcPr>
            <w:tcW w:w="640" w:type="pct"/>
            <w:tcBorders>
              <w:tl2br w:val="nil"/>
              <w:tr2bl w:val="nil"/>
            </w:tcBorders>
            <w:vAlign w:val="center"/>
          </w:tcPr>
          <w:p w14:paraId="4AB5D3B4">
            <w:pPr>
              <w:pStyle w:val="50"/>
              <w:rPr>
                <w:b w:val="0"/>
                <w:bCs w:val="0"/>
              </w:rPr>
            </w:pPr>
            <w:r>
              <w:rPr>
                <w:rFonts w:hint="eastAsia"/>
                <w:b w:val="0"/>
                <w:bCs w:val="0"/>
              </w:rPr>
              <w:t>起重伤害</w:t>
            </w:r>
          </w:p>
        </w:tc>
      </w:tr>
      <w:tr w14:paraId="73D8EC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5E87F282">
            <w:pPr>
              <w:pStyle w:val="50"/>
              <w:numPr>
                <w:ilvl w:val="0"/>
                <w:numId w:val="24"/>
              </w:numPr>
              <w:tabs>
                <w:tab w:val="clear" w:pos="0"/>
              </w:tabs>
            </w:pPr>
          </w:p>
        </w:tc>
        <w:tc>
          <w:tcPr>
            <w:tcW w:w="504" w:type="pct"/>
            <w:vMerge w:val="continue"/>
            <w:tcBorders>
              <w:tl2br w:val="nil"/>
              <w:tr2bl w:val="nil"/>
            </w:tcBorders>
            <w:vAlign w:val="center"/>
          </w:tcPr>
          <w:p w14:paraId="6A9075C8">
            <w:pPr>
              <w:pStyle w:val="50"/>
              <w:rPr>
                <w:b w:val="0"/>
                <w:bCs w:val="0"/>
              </w:rPr>
            </w:pPr>
          </w:p>
        </w:tc>
        <w:tc>
          <w:tcPr>
            <w:tcW w:w="3596" w:type="pct"/>
            <w:tcBorders>
              <w:tl2br w:val="nil"/>
              <w:tr2bl w:val="nil"/>
            </w:tcBorders>
            <w:vAlign w:val="center"/>
          </w:tcPr>
          <w:p w14:paraId="43035BD0">
            <w:pPr>
              <w:pStyle w:val="50"/>
              <w:rPr>
                <w:b w:val="0"/>
                <w:bCs w:val="0"/>
              </w:rPr>
            </w:pPr>
            <w:r>
              <w:rPr>
                <w:rFonts w:hint="eastAsia"/>
                <w:b w:val="0"/>
                <w:bCs w:val="0"/>
              </w:rPr>
              <w:t>雨雪、浓雾天气没有停止安装作业。</w:t>
            </w:r>
          </w:p>
        </w:tc>
        <w:tc>
          <w:tcPr>
            <w:tcW w:w="640" w:type="pct"/>
            <w:tcBorders>
              <w:tl2br w:val="nil"/>
              <w:tr2bl w:val="nil"/>
            </w:tcBorders>
            <w:vAlign w:val="center"/>
          </w:tcPr>
          <w:p w14:paraId="72E61273">
            <w:pPr>
              <w:pStyle w:val="50"/>
              <w:rPr>
                <w:b w:val="0"/>
                <w:bCs w:val="0"/>
              </w:rPr>
            </w:pPr>
            <w:r>
              <w:rPr>
                <w:rFonts w:hint="eastAsia"/>
                <w:b w:val="0"/>
                <w:bCs w:val="0"/>
              </w:rPr>
              <w:t>起重伤害</w:t>
            </w:r>
          </w:p>
        </w:tc>
      </w:tr>
      <w:tr w14:paraId="65BFC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3F13A6D">
            <w:pPr>
              <w:pStyle w:val="50"/>
              <w:numPr>
                <w:ilvl w:val="0"/>
                <w:numId w:val="24"/>
              </w:numPr>
              <w:tabs>
                <w:tab w:val="clear" w:pos="0"/>
              </w:tabs>
            </w:pPr>
          </w:p>
        </w:tc>
        <w:tc>
          <w:tcPr>
            <w:tcW w:w="504" w:type="pct"/>
            <w:vMerge w:val="continue"/>
            <w:tcBorders>
              <w:tl2br w:val="nil"/>
              <w:tr2bl w:val="nil"/>
            </w:tcBorders>
            <w:vAlign w:val="center"/>
          </w:tcPr>
          <w:p w14:paraId="2068B1AC">
            <w:pPr>
              <w:pStyle w:val="50"/>
              <w:rPr>
                <w:b w:val="0"/>
                <w:bCs w:val="0"/>
              </w:rPr>
            </w:pPr>
          </w:p>
        </w:tc>
        <w:tc>
          <w:tcPr>
            <w:tcW w:w="3596" w:type="pct"/>
            <w:tcBorders>
              <w:tl2br w:val="nil"/>
              <w:tr2bl w:val="nil"/>
            </w:tcBorders>
            <w:vAlign w:val="center"/>
          </w:tcPr>
          <w:p w14:paraId="6B74D100">
            <w:pPr>
              <w:pStyle w:val="50"/>
              <w:rPr>
                <w:b w:val="0"/>
                <w:bCs w:val="0"/>
              </w:rPr>
            </w:pPr>
            <w:r>
              <w:rPr>
                <w:rFonts w:hint="eastAsia"/>
                <w:b w:val="0"/>
                <w:bCs w:val="0"/>
              </w:rPr>
              <w:t>当需要在夜间进行安拆作业时，没有保证提供足够的照明。</w:t>
            </w:r>
          </w:p>
        </w:tc>
        <w:tc>
          <w:tcPr>
            <w:tcW w:w="640" w:type="pct"/>
            <w:tcBorders>
              <w:tl2br w:val="nil"/>
              <w:tr2bl w:val="nil"/>
            </w:tcBorders>
            <w:vAlign w:val="center"/>
          </w:tcPr>
          <w:p w14:paraId="7B82CBB5">
            <w:pPr>
              <w:pStyle w:val="50"/>
              <w:rPr>
                <w:b w:val="0"/>
                <w:bCs w:val="0"/>
              </w:rPr>
            </w:pPr>
            <w:r>
              <w:rPr>
                <w:rFonts w:hint="eastAsia"/>
                <w:b w:val="0"/>
                <w:bCs w:val="0"/>
              </w:rPr>
              <w:t>起重伤害</w:t>
            </w:r>
          </w:p>
        </w:tc>
      </w:tr>
      <w:tr w14:paraId="03EDE1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8E800F4">
            <w:pPr>
              <w:pStyle w:val="50"/>
              <w:numPr>
                <w:ilvl w:val="0"/>
                <w:numId w:val="24"/>
              </w:numPr>
              <w:tabs>
                <w:tab w:val="clear" w:pos="0"/>
              </w:tabs>
            </w:pPr>
          </w:p>
        </w:tc>
        <w:tc>
          <w:tcPr>
            <w:tcW w:w="504" w:type="pct"/>
            <w:vMerge w:val="continue"/>
            <w:tcBorders>
              <w:tl2br w:val="nil"/>
              <w:tr2bl w:val="nil"/>
            </w:tcBorders>
            <w:vAlign w:val="center"/>
          </w:tcPr>
          <w:p w14:paraId="1464AB7C">
            <w:pPr>
              <w:pStyle w:val="50"/>
              <w:rPr>
                <w:b w:val="0"/>
                <w:bCs w:val="0"/>
              </w:rPr>
            </w:pPr>
          </w:p>
        </w:tc>
        <w:tc>
          <w:tcPr>
            <w:tcW w:w="3596" w:type="pct"/>
            <w:tcBorders>
              <w:tl2br w:val="nil"/>
              <w:tr2bl w:val="nil"/>
            </w:tcBorders>
            <w:vAlign w:val="center"/>
          </w:tcPr>
          <w:p w14:paraId="75136D37">
            <w:pPr>
              <w:pStyle w:val="50"/>
              <w:rPr>
                <w:b w:val="0"/>
                <w:bCs w:val="0"/>
              </w:rPr>
            </w:pPr>
            <w:r>
              <w:rPr>
                <w:rFonts w:hint="eastAsia"/>
                <w:b w:val="0"/>
                <w:bCs w:val="0"/>
              </w:rPr>
              <w:t>起重吊装设备的进场验收</w:t>
            </w:r>
          </w:p>
        </w:tc>
        <w:tc>
          <w:tcPr>
            <w:tcW w:w="640" w:type="pct"/>
            <w:tcBorders>
              <w:tl2br w:val="nil"/>
              <w:tr2bl w:val="nil"/>
            </w:tcBorders>
            <w:vAlign w:val="center"/>
          </w:tcPr>
          <w:p w14:paraId="0551C787">
            <w:pPr>
              <w:pStyle w:val="50"/>
              <w:rPr>
                <w:b w:val="0"/>
                <w:bCs w:val="0"/>
              </w:rPr>
            </w:pPr>
            <w:r>
              <w:rPr>
                <w:rFonts w:hint="eastAsia"/>
                <w:b w:val="0"/>
                <w:bCs w:val="0"/>
              </w:rPr>
              <w:t>起重伤害</w:t>
            </w:r>
          </w:p>
        </w:tc>
      </w:tr>
      <w:tr w14:paraId="51173B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57EBA8A4">
            <w:pPr>
              <w:pStyle w:val="50"/>
              <w:numPr>
                <w:ilvl w:val="0"/>
                <w:numId w:val="24"/>
              </w:numPr>
              <w:tabs>
                <w:tab w:val="clear" w:pos="0"/>
              </w:tabs>
            </w:pPr>
          </w:p>
        </w:tc>
        <w:tc>
          <w:tcPr>
            <w:tcW w:w="504" w:type="pct"/>
            <w:vMerge w:val="continue"/>
            <w:tcBorders>
              <w:tl2br w:val="nil"/>
              <w:tr2bl w:val="nil"/>
            </w:tcBorders>
            <w:vAlign w:val="center"/>
          </w:tcPr>
          <w:p w14:paraId="62652ADC">
            <w:pPr>
              <w:pStyle w:val="50"/>
              <w:rPr>
                <w:b w:val="0"/>
                <w:bCs w:val="0"/>
              </w:rPr>
            </w:pPr>
          </w:p>
        </w:tc>
        <w:tc>
          <w:tcPr>
            <w:tcW w:w="3596" w:type="pct"/>
            <w:tcBorders>
              <w:tl2br w:val="nil"/>
              <w:tr2bl w:val="nil"/>
            </w:tcBorders>
            <w:vAlign w:val="center"/>
          </w:tcPr>
          <w:p w14:paraId="5E2A18C8">
            <w:pPr>
              <w:pStyle w:val="50"/>
              <w:rPr>
                <w:b w:val="0"/>
                <w:bCs w:val="0"/>
              </w:rPr>
            </w:pPr>
            <w:r>
              <w:rPr>
                <w:rFonts w:hint="eastAsia"/>
                <w:b w:val="0"/>
                <w:bCs w:val="0"/>
              </w:rPr>
              <w:t>与建筑物、高压线安全距离不足。</w:t>
            </w:r>
          </w:p>
        </w:tc>
        <w:tc>
          <w:tcPr>
            <w:tcW w:w="640" w:type="pct"/>
            <w:tcBorders>
              <w:tl2br w:val="nil"/>
              <w:tr2bl w:val="nil"/>
            </w:tcBorders>
            <w:vAlign w:val="center"/>
          </w:tcPr>
          <w:p w14:paraId="100588DA">
            <w:pPr>
              <w:pStyle w:val="50"/>
              <w:rPr>
                <w:b w:val="0"/>
                <w:bCs w:val="0"/>
              </w:rPr>
            </w:pPr>
            <w:r>
              <w:rPr>
                <w:rFonts w:hint="eastAsia"/>
                <w:b w:val="0"/>
                <w:bCs w:val="0"/>
              </w:rPr>
              <w:t>触电、起重伤害</w:t>
            </w:r>
          </w:p>
        </w:tc>
      </w:tr>
      <w:tr w14:paraId="54B434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348DE98">
            <w:pPr>
              <w:pStyle w:val="50"/>
              <w:numPr>
                <w:ilvl w:val="0"/>
                <w:numId w:val="24"/>
              </w:numPr>
              <w:tabs>
                <w:tab w:val="clear" w:pos="0"/>
              </w:tabs>
            </w:pPr>
          </w:p>
        </w:tc>
        <w:tc>
          <w:tcPr>
            <w:tcW w:w="504" w:type="pct"/>
            <w:vMerge w:val="continue"/>
            <w:tcBorders>
              <w:tl2br w:val="nil"/>
              <w:tr2bl w:val="nil"/>
            </w:tcBorders>
            <w:vAlign w:val="center"/>
          </w:tcPr>
          <w:p w14:paraId="3E26341F">
            <w:pPr>
              <w:pStyle w:val="50"/>
              <w:rPr>
                <w:b w:val="0"/>
                <w:bCs w:val="0"/>
              </w:rPr>
            </w:pPr>
          </w:p>
        </w:tc>
        <w:tc>
          <w:tcPr>
            <w:tcW w:w="3596" w:type="pct"/>
            <w:tcBorders>
              <w:tl2br w:val="nil"/>
              <w:tr2bl w:val="nil"/>
            </w:tcBorders>
            <w:vAlign w:val="center"/>
          </w:tcPr>
          <w:p w14:paraId="5AAA66FF">
            <w:pPr>
              <w:pStyle w:val="50"/>
              <w:rPr>
                <w:b w:val="0"/>
                <w:bCs w:val="0"/>
              </w:rPr>
            </w:pPr>
            <w:r>
              <w:rPr>
                <w:rFonts w:hint="eastAsia"/>
                <w:b w:val="0"/>
                <w:bCs w:val="0"/>
              </w:rPr>
              <w:t>作业场地未封闭、警戒区域未设置。</w:t>
            </w:r>
          </w:p>
        </w:tc>
        <w:tc>
          <w:tcPr>
            <w:tcW w:w="640" w:type="pct"/>
            <w:tcBorders>
              <w:tl2br w:val="nil"/>
              <w:tr2bl w:val="nil"/>
            </w:tcBorders>
            <w:vAlign w:val="center"/>
          </w:tcPr>
          <w:p w14:paraId="563E2764">
            <w:pPr>
              <w:pStyle w:val="50"/>
              <w:rPr>
                <w:b w:val="0"/>
                <w:bCs w:val="0"/>
              </w:rPr>
            </w:pPr>
            <w:r>
              <w:rPr>
                <w:rFonts w:hint="eastAsia"/>
                <w:b w:val="0"/>
                <w:bCs w:val="0"/>
              </w:rPr>
              <w:t>起重伤害</w:t>
            </w:r>
          </w:p>
        </w:tc>
      </w:tr>
      <w:tr w14:paraId="39DEFD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046890C">
            <w:pPr>
              <w:pStyle w:val="50"/>
              <w:numPr>
                <w:ilvl w:val="0"/>
                <w:numId w:val="24"/>
              </w:numPr>
              <w:tabs>
                <w:tab w:val="clear" w:pos="0"/>
              </w:tabs>
            </w:pPr>
          </w:p>
        </w:tc>
        <w:tc>
          <w:tcPr>
            <w:tcW w:w="504" w:type="pct"/>
            <w:vMerge w:val="continue"/>
            <w:tcBorders>
              <w:tl2br w:val="nil"/>
              <w:tr2bl w:val="nil"/>
            </w:tcBorders>
            <w:vAlign w:val="center"/>
          </w:tcPr>
          <w:p w14:paraId="39B7618F">
            <w:pPr>
              <w:pStyle w:val="50"/>
              <w:rPr>
                <w:b w:val="0"/>
                <w:bCs w:val="0"/>
              </w:rPr>
            </w:pPr>
          </w:p>
        </w:tc>
        <w:tc>
          <w:tcPr>
            <w:tcW w:w="3596" w:type="pct"/>
            <w:tcBorders>
              <w:tl2br w:val="nil"/>
              <w:tr2bl w:val="nil"/>
            </w:tcBorders>
            <w:vAlign w:val="center"/>
          </w:tcPr>
          <w:p w14:paraId="4B267E6B">
            <w:pPr>
              <w:pStyle w:val="50"/>
              <w:rPr>
                <w:b w:val="0"/>
                <w:bCs w:val="0"/>
              </w:rPr>
            </w:pPr>
            <w:r>
              <w:rPr>
                <w:rFonts w:hint="eastAsia"/>
                <w:b w:val="0"/>
                <w:bCs w:val="0"/>
              </w:rPr>
              <w:t>当遇特殊情况安装作业不能连续进行时，没有将已安装的部位固定牢靠并达到安全状态。</w:t>
            </w:r>
          </w:p>
        </w:tc>
        <w:tc>
          <w:tcPr>
            <w:tcW w:w="640" w:type="pct"/>
            <w:tcBorders>
              <w:tl2br w:val="nil"/>
              <w:tr2bl w:val="nil"/>
            </w:tcBorders>
            <w:vAlign w:val="center"/>
          </w:tcPr>
          <w:p w14:paraId="1ECCB60D">
            <w:pPr>
              <w:pStyle w:val="50"/>
              <w:rPr>
                <w:b w:val="0"/>
                <w:bCs w:val="0"/>
              </w:rPr>
            </w:pPr>
            <w:r>
              <w:rPr>
                <w:rFonts w:hint="eastAsia"/>
                <w:b w:val="0"/>
                <w:bCs w:val="0"/>
              </w:rPr>
              <w:t>物体打击</w:t>
            </w:r>
          </w:p>
        </w:tc>
      </w:tr>
      <w:tr w14:paraId="525B81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3AB06AA6">
            <w:pPr>
              <w:pStyle w:val="50"/>
              <w:numPr>
                <w:ilvl w:val="0"/>
                <w:numId w:val="24"/>
              </w:numPr>
              <w:tabs>
                <w:tab w:val="clear" w:pos="0"/>
              </w:tabs>
            </w:pPr>
          </w:p>
        </w:tc>
        <w:tc>
          <w:tcPr>
            <w:tcW w:w="504" w:type="pct"/>
            <w:vMerge w:val="continue"/>
            <w:tcBorders>
              <w:tl2br w:val="nil"/>
              <w:tr2bl w:val="nil"/>
            </w:tcBorders>
            <w:vAlign w:val="center"/>
          </w:tcPr>
          <w:p w14:paraId="795EF22A">
            <w:pPr>
              <w:pStyle w:val="50"/>
              <w:rPr>
                <w:b w:val="0"/>
                <w:bCs w:val="0"/>
              </w:rPr>
            </w:pPr>
          </w:p>
        </w:tc>
        <w:tc>
          <w:tcPr>
            <w:tcW w:w="3596" w:type="pct"/>
            <w:tcBorders>
              <w:tl2br w:val="nil"/>
              <w:tr2bl w:val="nil"/>
            </w:tcBorders>
            <w:vAlign w:val="center"/>
          </w:tcPr>
          <w:p w14:paraId="4A7D2294">
            <w:pPr>
              <w:pStyle w:val="50"/>
              <w:rPr>
                <w:b w:val="0"/>
                <w:bCs w:val="0"/>
              </w:rPr>
            </w:pPr>
            <w:r>
              <w:rPr>
                <w:rFonts w:hint="eastAsia"/>
                <w:b w:val="0"/>
                <w:bCs w:val="0"/>
              </w:rPr>
              <w:t>安全装置不齐全，未进行防雷接地没有按程序进行调试合格。</w:t>
            </w:r>
          </w:p>
        </w:tc>
        <w:tc>
          <w:tcPr>
            <w:tcW w:w="640" w:type="pct"/>
            <w:tcBorders>
              <w:tl2br w:val="nil"/>
              <w:tr2bl w:val="nil"/>
            </w:tcBorders>
            <w:vAlign w:val="center"/>
          </w:tcPr>
          <w:p w14:paraId="3DA46234">
            <w:pPr>
              <w:pStyle w:val="50"/>
              <w:rPr>
                <w:b w:val="0"/>
                <w:bCs w:val="0"/>
              </w:rPr>
            </w:pPr>
            <w:r>
              <w:rPr>
                <w:rFonts w:hint="eastAsia"/>
                <w:b w:val="0"/>
                <w:bCs w:val="0"/>
              </w:rPr>
              <w:t>起重伤害</w:t>
            </w:r>
          </w:p>
        </w:tc>
      </w:tr>
      <w:tr w14:paraId="1A8E9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B886B82">
            <w:pPr>
              <w:pStyle w:val="50"/>
              <w:numPr>
                <w:ilvl w:val="0"/>
                <w:numId w:val="24"/>
              </w:numPr>
              <w:tabs>
                <w:tab w:val="clear" w:pos="0"/>
              </w:tabs>
            </w:pPr>
          </w:p>
        </w:tc>
        <w:tc>
          <w:tcPr>
            <w:tcW w:w="504" w:type="pct"/>
            <w:tcBorders>
              <w:tl2br w:val="nil"/>
              <w:tr2bl w:val="nil"/>
            </w:tcBorders>
            <w:vAlign w:val="center"/>
          </w:tcPr>
          <w:p w14:paraId="691D6929">
            <w:pPr>
              <w:pStyle w:val="50"/>
              <w:rPr>
                <w:b w:val="0"/>
                <w:bCs w:val="0"/>
              </w:rPr>
            </w:pPr>
            <w:r>
              <w:rPr>
                <w:rFonts w:hint="eastAsia"/>
                <w:b w:val="0"/>
                <w:bCs w:val="0"/>
              </w:rPr>
              <w:t>风速要求</w:t>
            </w:r>
          </w:p>
        </w:tc>
        <w:tc>
          <w:tcPr>
            <w:tcW w:w="3596" w:type="pct"/>
            <w:tcBorders>
              <w:tl2br w:val="nil"/>
              <w:tr2bl w:val="nil"/>
            </w:tcBorders>
            <w:vAlign w:val="center"/>
          </w:tcPr>
          <w:p w14:paraId="28583C76">
            <w:pPr>
              <w:pStyle w:val="50"/>
              <w:rPr>
                <w:b w:val="0"/>
                <w:bCs w:val="0"/>
              </w:rPr>
            </w:pPr>
            <w:r>
              <w:rPr>
                <w:rFonts w:hint="eastAsia"/>
                <w:b w:val="0"/>
                <w:bCs w:val="0"/>
              </w:rPr>
              <w:t>安装时塔机最高处的风速不符合使用说明书的要求，或者大于12m/s。顶升作业时风速超过四级风。</w:t>
            </w:r>
          </w:p>
        </w:tc>
        <w:tc>
          <w:tcPr>
            <w:tcW w:w="640" w:type="pct"/>
            <w:tcBorders>
              <w:tl2br w:val="nil"/>
              <w:tr2bl w:val="nil"/>
            </w:tcBorders>
            <w:vAlign w:val="center"/>
          </w:tcPr>
          <w:p w14:paraId="5C144A4A">
            <w:pPr>
              <w:pStyle w:val="50"/>
              <w:rPr>
                <w:b w:val="0"/>
                <w:bCs w:val="0"/>
              </w:rPr>
            </w:pPr>
            <w:r>
              <w:rPr>
                <w:rFonts w:hint="eastAsia"/>
                <w:b w:val="0"/>
                <w:bCs w:val="0"/>
              </w:rPr>
              <w:t>起重伤害</w:t>
            </w:r>
          </w:p>
        </w:tc>
      </w:tr>
      <w:tr w14:paraId="752468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AC1A0C2">
            <w:pPr>
              <w:pStyle w:val="50"/>
              <w:numPr>
                <w:ilvl w:val="0"/>
                <w:numId w:val="24"/>
              </w:numPr>
              <w:tabs>
                <w:tab w:val="clear" w:pos="0"/>
              </w:tabs>
            </w:pPr>
          </w:p>
        </w:tc>
        <w:tc>
          <w:tcPr>
            <w:tcW w:w="504" w:type="pct"/>
            <w:tcBorders>
              <w:tl2br w:val="nil"/>
              <w:tr2bl w:val="nil"/>
            </w:tcBorders>
            <w:vAlign w:val="center"/>
          </w:tcPr>
          <w:p w14:paraId="5D16F0D2">
            <w:pPr>
              <w:pStyle w:val="50"/>
              <w:rPr>
                <w:b w:val="0"/>
                <w:bCs w:val="0"/>
              </w:rPr>
            </w:pPr>
            <w:r>
              <w:rPr>
                <w:rFonts w:hint="eastAsia"/>
                <w:b w:val="0"/>
                <w:bCs w:val="0"/>
              </w:rPr>
              <w:t>连接要求</w:t>
            </w:r>
          </w:p>
        </w:tc>
        <w:tc>
          <w:tcPr>
            <w:tcW w:w="3596" w:type="pct"/>
            <w:tcBorders>
              <w:tl2br w:val="nil"/>
              <w:tr2bl w:val="nil"/>
            </w:tcBorders>
            <w:vAlign w:val="center"/>
          </w:tcPr>
          <w:p w14:paraId="54219921">
            <w:pPr>
              <w:pStyle w:val="50"/>
              <w:rPr>
                <w:b w:val="0"/>
                <w:bCs w:val="0"/>
              </w:rPr>
            </w:pPr>
            <w:r>
              <w:rPr>
                <w:rFonts w:hint="eastAsia"/>
                <w:b w:val="0"/>
                <w:bCs w:val="0"/>
              </w:rPr>
              <w:t>开口销未两边张开，夹角未达到90°以上，螺栓与螺母未连接牢固</w:t>
            </w:r>
          </w:p>
        </w:tc>
        <w:tc>
          <w:tcPr>
            <w:tcW w:w="640" w:type="pct"/>
            <w:tcBorders>
              <w:tl2br w:val="nil"/>
              <w:tr2bl w:val="nil"/>
            </w:tcBorders>
            <w:vAlign w:val="center"/>
          </w:tcPr>
          <w:p w14:paraId="27FC75F5">
            <w:pPr>
              <w:pStyle w:val="50"/>
              <w:rPr>
                <w:b w:val="0"/>
                <w:bCs w:val="0"/>
              </w:rPr>
            </w:pPr>
            <w:r>
              <w:rPr>
                <w:rFonts w:hint="eastAsia"/>
                <w:b w:val="0"/>
                <w:bCs w:val="0"/>
              </w:rPr>
              <w:t>起重伤害</w:t>
            </w:r>
          </w:p>
        </w:tc>
      </w:tr>
      <w:tr w14:paraId="5BAF8A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0CA1E1E">
            <w:pPr>
              <w:pStyle w:val="50"/>
              <w:numPr>
                <w:ilvl w:val="0"/>
                <w:numId w:val="24"/>
              </w:numPr>
              <w:tabs>
                <w:tab w:val="clear" w:pos="0"/>
              </w:tabs>
            </w:pPr>
          </w:p>
        </w:tc>
        <w:tc>
          <w:tcPr>
            <w:tcW w:w="504" w:type="pct"/>
            <w:vMerge w:val="restart"/>
            <w:tcBorders>
              <w:tl2br w:val="nil"/>
              <w:tr2bl w:val="nil"/>
            </w:tcBorders>
            <w:vAlign w:val="center"/>
          </w:tcPr>
          <w:p w14:paraId="48869690">
            <w:pPr>
              <w:pStyle w:val="50"/>
              <w:rPr>
                <w:b w:val="0"/>
                <w:bCs w:val="0"/>
              </w:rPr>
            </w:pPr>
            <w:r>
              <w:rPr>
                <w:rFonts w:hint="eastAsia"/>
                <w:b w:val="0"/>
                <w:bCs w:val="0"/>
              </w:rPr>
              <w:t>安装塔身基础节</w:t>
            </w:r>
          </w:p>
        </w:tc>
        <w:tc>
          <w:tcPr>
            <w:tcW w:w="3596" w:type="pct"/>
            <w:tcBorders>
              <w:tl2br w:val="nil"/>
              <w:tr2bl w:val="nil"/>
            </w:tcBorders>
            <w:vAlign w:val="center"/>
          </w:tcPr>
          <w:p w14:paraId="6E4AE1A9">
            <w:pPr>
              <w:pStyle w:val="50"/>
              <w:rPr>
                <w:b w:val="0"/>
                <w:bCs w:val="0"/>
              </w:rPr>
            </w:pPr>
            <w:r>
              <w:rPr>
                <w:rFonts w:hint="eastAsia"/>
                <w:b w:val="0"/>
                <w:bCs w:val="0"/>
              </w:rPr>
              <w:t>塔身基础节吊至预埋塔架上方，未对好方向。塔身基础节连接底板与地脚螺栓未正确就位</w:t>
            </w:r>
          </w:p>
        </w:tc>
        <w:tc>
          <w:tcPr>
            <w:tcW w:w="640" w:type="pct"/>
            <w:tcBorders>
              <w:tl2br w:val="nil"/>
              <w:tr2bl w:val="nil"/>
            </w:tcBorders>
            <w:vAlign w:val="center"/>
          </w:tcPr>
          <w:p w14:paraId="49BFF7F2">
            <w:pPr>
              <w:pStyle w:val="50"/>
              <w:rPr>
                <w:b w:val="0"/>
                <w:bCs w:val="0"/>
              </w:rPr>
            </w:pPr>
            <w:r>
              <w:rPr>
                <w:rFonts w:hint="eastAsia"/>
                <w:b w:val="0"/>
                <w:bCs w:val="0"/>
              </w:rPr>
              <w:t>起重伤害</w:t>
            </w:r>
          </w:p>
        </w:tc>
      </w:tr>
      <w:tr w14:paraId="45BD13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78550590">
            <w:pPr>
              <w:pStyle w:val="50"/>
              <w:numPr>
                <w:ilvl w:val="0"/>
                <w:numId w:val="24"/>
              </w:numPr>
              <w:tabs>
                <w:tab w:val="clear" w:pos="0"/>
              </w:tabs>
            </w:pPr>
          </w:p>
        </w:tc>
        <w:tc>
          <w:tcPr>
            <w:tcW w:w="504" w:type="pct"/>
            <w:vMerge w:val="continue"/>
            <w:tcBorders>
              <w:tl2br w:val="nil"/>
              <w:tr2bl w:val="nil"/>
            </w:tcBorders>
            <w:vAlign w:val="center"/>
          </w:tcPr>
          <w:p w14:paraId="10544A92">
            <w:pPr>
              <w:pStyle w:val="50"/>
              <w:rPr>
                <w:b w:val="0"/>
                <w:bCs w:val="0"/>
              </w:rPr>
            </w:pPr>
          </w:p>
        </w:tc>
        <w:tc>
          <w:tcPr>
            <w:tcW w:w="3596" w:type="pct"/>
            <w:tcBorders>
              <w:tl2br w:val="nil"/>
              <w:tr2bl w:val="nil"/>
            </w:tcBorders>
            <w:vAlign w:val="center"/>
          </w:tcPr>
          <w:p w14:paraId="0CBD8A99">
            <w:pPr>
              <w:pStyle w:val="50"/>
              <w:rPr>
                <w:b w:val="0"/>
                <w:bCs w:val="0"/>
              </w:rPr>
            </w:pPr>
            <w:r>
              <w:rPr>
                <w:rFonts w:hint="eastAsia"/>
                <w:b w:val="0"/>
                <w:bCs w:val="0"/>
              </w:rPr>
              <w:t>基础节四块连接底板未在同一水平面上，误差大于1/1000</w:t>
            </w:r>
          </w:p>
        </w:tc>
        <w:tc>
          <w:tcPr>
            <w:tcW w:w="640" w:type="pct"/>
            <w:tcBorders>
              <w:tl2br w:val="nil"/>
              <w:tr2bl w:val="nil"/>
            </w:tcBorders>
            <w:vAlign w:val="center"/>
          </w:tcPr>
          <w:p w14:paraId="5E7AD4F7">
            <w:pPr>
              <w:pStyle w:val="50"/>
              <w:rPr>
                <w:b w:val="0"/>
                <w:bCs w:val="0"/>
              </w:rPr>
            </w:pPr>
            <w:r>
              <w:rPr>
                <w:rFonts w:hint="eastAsia"/>
                <w:b w:val="0"/>
                <w:bCs w:val="0"/>
              </w:rPr>
              <w:t>起重伤害</w:t>
            </w:r>
          </w:p>
        </w:tc>
      </w:tr>
      <w:tr w14:paraId="386024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1A28F8A">
            <w:pPr>
              <w:pStyle w:val="50"/>
              <w:numPr>
                <w:ilvl w:val="0"/>
                <w:numId w:val="24"/>
              </w:numPr>
              <w:tabs>
                <w:tab w:val="clear" w:pos="0"/>
              </w:tabs>
            </w:pPr>
          </w:p>
        </w:tc>
        <w:tc>
          <w:tcPr>
            <w:tcW w:w="504" w:type="pct"/>
            <w:vMerge w:val="continue"/>
            <w:tcBorders>
              <w:tl2br w:val="nil"/>
              <w:tr2bl w:val="nil"/>
            </w:tcBorders>
            <w:vAlign w:val="center"/>
          </w:tcPr>
          <w:p w14:paraId="68A60D6B">
            <w:pPr>
              <w:pStyle w:val="50"/>
              <w:rPr>
                <w:b w:val="0"/>
                <w:bCs w:val="0"/>
              </w:rPr>
            </w:pPr>
          </w:p>
        </w:tc>
        <w:tc>
          <w:tcPr>
            <w:tcW w:w="3596" w:type="pct"/>
            <w:tcBorders>
              <w:tl2br w:val="nil"/>
              <w:tr2bl w:val="nil"/>
            </w:tcBorders>
            <w:vAlign w:val="center"/>
          </w:tcPr>
          <w:p w14:paraId="455DBD47">
            <w:pPr>
              <w:pStyle w:val="50"/>
              <w:rPr>
                <w:b w:val="0"/>
                <w:bCs w:val="0"/>
              </w:rPr>
            </w:pPr>
            <w:r>
              <w:rPr>
                <w:rFonts w:hint="eastAsia"/>
                <w:b w:val="0"/>
                <w:bCs w:val="0"/>
              </w:rPr>
              <w:t>塔身基础节未使用双螺母与地脚螺栓相连</w:t>
            </w:r>
          </w:p>
        </w:tc>
        <w:tc>
          <w:tcPr>
            <w:tcW w:w="640" w:type="pct"/>
            <w:tcBorders>
              <w:tl2br w:val="nil"/>
              <w:tr2bl w:val="nil"/>
            </w:tcBorders>
            <w:vAlign w:val="center"/>
          </w:tcPr>
          <w:p w14:paraId="38332CDA">
            <w:pPr>
              <w:pStyle w:val="50"/>
              <w:rPr>
                <w:b w:val="0"/>
                <w:bCs w:val="0"/>
              </w:rPr>
            </w:pPr>
            <w:r>
              <w:rPr>
                <w:rFonts w:hint="eastAsia"/>
                <w:b w:val="0"/>
                <w:bCs w:val="0"/>
              </w:rPr>
              <w:t>起重伤害</w:t>
            </w:r>
          </w:p>
        </w:tc>
      </w:tr>
      <w:tr w14:paraId="36F863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5B6FB784">
            <w:pPr>
              <w:pStyle w:val="50"/>
              <w:numPr>
                <w:ilvl w:val="0"/>
                <w:numId w:val="24"/>
              </w:numPr>
              <w:tabs>
                <w:tab w:val="clear" w:pos="0"/>
              </w:tabs>
            </w:pPr>
          </w:p>
        </w:tc>
        <w:tc>
          <w:tcPr>
            <w:tcW w:w="504" w:type="pct"/>
            <w:vMerge w:val="restart"/>
            <w:tcBorders>
              <w:tl2br w:val="nil"/>
              <w:tr2bl w:val="nil"/>
            </w:tcBorders>
            <w:vAlign w:val="center"/>
          </w:tcPr>
          <w:p w14:paraId="1B27F025">
            <w:pPr>
              <w:pStyle w:val="50"/>
              <w:rPr>
                <w:b w:val="0"/>
                <w:bCs w:val="0"/>
              </w:rPr>
            </w:pPr>
            <w:r>
              <w:rPr>
                <w:rFonts w:hint="eastAsia"/>
                <w:b w:val="0"/>
                <w:bCs w:val="0"/>
              </w:rPr>
              <w:t>安装塔身</w:t>
            </w:r>
          </w:p>
        </w:tc>
        <w:tc>
          <w:tcPr>
            <w:tcW w:w="3596" w:type="pct"/>
            <w:tcBorders>
              <w:tl2br w:val="nil"/>
              <w:tr2bl w:val="nil"/>
            </w:tcBorders>
            <w:vAlign w:val="center"/>
          </w:tcPr>
          <w:p w14:paraId="663484F2">
            <w:pPr>
              <w:pStyle w:val="50"/>
              <w:rPr>
                <w:b w:val="0"/>
                <w:bCs w:val="0"/>
              </w:rPr>
            </w:pPr>
            <w:r>
              <w:rPr>
                <w:rFonts w:hint="eastAsia"/>
                <w:b w:val="0"/>
                <w:bCs w:val="0"/>
              </w:rPr>
              <w:t>安装下塔身加强节未使用特制的高强度螺栓、未拧紧双螺母</w:t>
            </w:r>
          </w:p>
        </w:tc>
        <w:tc>
          <w:tcPr>
            <w:tcW w:w="640" w:type="pct"/>
            <w:tcBorders>
              <w:tl2br w:val="nil"/>
              <w:tr2bl w:val="nil"/>
            </w:tcBorders>
            <w:vAlign w:val="center"/>
          </w:tcPr>
          <w:p w14:paraId="07DD1906">
            <w:pPr>
              <w:pStyle w:val="50"/>
              <w:rPr>
                <w:b w:val="0"/>
                <w:bCs w:val="0"/>
              </w:rPr>
            </w:pPr>
            <w:r>
              <w:rPr>
                <w:rFonts w:hint="eastAsia"/>
                <w:b w:val="0"/>
                <w:bCs w:val="0"/>
              </w:rPr>
              <w:t>起重伤害</w:t>
            </w:r>
          </w:p>
        </w:tc>
      </w:tr>
      <w:tr w14:paraId="24A720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71FDB6ED">
            <w:pPr>
              <w:pStyle w:val="50"/>
              <w:numPr>
                <w:ilvl w:val="0"/>
                <w:numId w:val="24"/>
              </w:numPr>
              <w:tabs>
                <w:tab w:val="clear" w:pos="0"/>
              </w:tabs>
            </w:pPr>
          </w:p>
        </w:tc>
        <w:tc>
          <w:tcPr>
            <w:tcW w:w="504" w:type="pct"/>
            <w:vMerge w:val="continue"/>
            <w:tcBorders>
              <w:tl2br w:val="nil"/>
              <w:tr2bl w:val="nil"/>
            </w:tcBorders>
            <w:vAlign w:val="center"/>
          </w:tcPr>
          <w:p w14:paraId="477AE5F6">
            <w:pPr>
              <w:pStyle w:val="50"/>
              <w:rPr>
                <w:b w:val="0"/>
                <w:bCs w:val="0"/>
              </w:rPr>
            </w:pPr>
          </w:p>
        </w:tc>
        <w:tc>
          <w:tcPr>
            <w:tcW w:w="3596" w:type="pct"/>
            <w:tcBorders>
              <w:tl2br w:val="nil"/>
              <w:tr2bl w:val="nil"/>
            </w:tcBorders>
            <w:vAlign w:val="center"/>
          </w:tcPr>
          <w:p w14:paraId="50D4DFBD">
            <w:pPr>
              <w:pStyle w:val="50"/>
              <w:rPr>
                <w:b w:val="0"/>
                <w:bCs w:val="0"/>
              </w:rPr>
            </w:pPr>
            <w:r>
              <w:rPr>
                <w:rFonts w:hint="eastAsia"/>
                <w:b w:val="0"/>
                <w:bCs w:val="0"/>
              </w:rPr>
              <w:t>套架上未安装操作平台</w:t>
            </w:r>
          </w:p>
        </w:tc>
        <w:tc>
          <w:tcPr>
            <w:tcW w:w="640" w:type="pct"/>
            <w:tcBorders>
              <w:tl2br w:val="nil"/>
              <w:tr2bl w:val="nil"/>
            </w:tcBorders>
            <w:vAlign w:val="center"/>
          </w:tcPr>
          <w:p w14:paraId="1198398B">
            <w:pPr>
              <w:pStyle w:val="50"/>
              <w:rPr>
                <w:b w:val="0"/>
                <w:bCs w:val="0"/>
              </w:rPr>
            </w:pPr>
            <w:r>
              <w:rPr>
                <w:rFonts w:hint="eastAsia"/>
                <w:b w:val="0"/>
                <w:bCs w:val="0"/>
              </w:rPr>
              <w:t>起重伤害</w:t>
            </w:r>
          </w:p>
        </w:tc>
      </w:tr>
      <w:tr w14:paraId="706E8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3A8F807E">
            <w:pPr>
              <w:pStyle w:val="50"/>
              <w:numPr>
                <w:ilvl w:val="0"/>
                <w:numId w:val="24"/>
              </w:numPr>
              <w:tabs>
                <w:tab w:val="clear" w:pos="0"/>
              </w:tabs>
            </w:pPr>
          </w:p>
        </w:tc>
        <w:tc>
          <w:tcPr>
            <w:tcW w:w="504" w:type="pct"/>
            <w:vMerge w:val="continue"/>
            <w:tcBorders>
              <w:tl2br w:val="nil"/>
              <w:tr2bl w:val="nil"/>
            </w:tcBorders>
            <w:vAlign w:val="center"/>
          </w:tcPr>
          <w:p w14:paraId="17CF6541">
            <w:pPr>
              <w:pStyle w:val="50"/>
              <w:rPr>
                <w:b w:val="0"/>
                <w:bCs w:val="0"/>
              </w:rPr>
            </w:pPr>
          </w:p>
        </w:tc>
        <w:tc>
          <w:tcPr>
            <w:tcW w:w="3596" w:type="pct"/>
            <w:tcBorders>
              <w:tl2br w:val="nil"/>
              <w:tr2bl w:val="nil"/>
            </w:tcBorders>
            <w:vAlign w:val="center"/>
          </w:tcPr>
          <w:p w14:paraId="0A6C2012">
            <w:pPr>
              <w:pStyle w:val="50"/>
              <w:rPr>
                <w:b w:val="0"/>
                <w:bCs w:val="0"/>
              </w:rPr>
            </w:pPr>
            <w:r>
              <w:rPr>
                <w:rFonts w:hint="eastAsia"/>
                <w:b w:val="0"/>
                <w:bCs w:val="0"/>
              </w:rPr>
              <w:t>下支座下端主弦杆与标准节主弦杆未使用高强度螺栓将其相连，未紧固好双螺母</w:t>
            </w:r>
          </w:p>
        </w:tc>
        <w:tc>
          <w:tcPr>
            <w:tcW w:w="640" w:type="pct"/>
            <w:tcBorders>
              <w:tl2br w:val="nil"/>
              <w:tr2bl w:val="nil"/>
            </w:tcBorders>
            <w:vAlign w:val="center"/>
          </w:tcPr>
          <w:p w14:paraId="71170184">
            <w:pPr>
              <w:pStyle w:val="50"/>
              <w:rPr>
                <w:b w:val="0"/>
                <w:bCs w:val="0"/>
              </w:rPr>
            </w:pPr>
            <w:r>
              <w:rPr>
                <w:rFonts w:hint="eastAsia"/>
                <w:b w:val="0"/>
                <w:bCs w:val="0"/>
              </w:rPr>
              <w:t>起重伤害</w:t>
            </w:r>
          </w:p>
        </w:tc>
      </w:tr>
      <w:tr w14:paraId="397D8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5ACEE629">
            <w:pPr>
              <w:pStyle w:val="50"/>
              <w:numPr>
                <w:ilvl w:val="0"/>
                <w:numId w:val="24"/>
              </w:numPr>
              <w:tabs>
                <w:tab w:val="clear" w:pos="0"/>
              </w:tabs>
            </w:pPr>
          </w:p>
        </w:tc>
        <w:tc>
          <w:tcPr>
            <w:tcW w:w="504" w:type="pct"/>
            <w:vMerge w:val="continue"/>
            <w:tcBorders>
              <w:tl2br w:val="nil"/>
              <w:tr2bl w:val="nil"/>
            </w:tcBorders>
            <w:vAlign w:val="center"/>
          </w:tcPr>
          <w:p w14:paraId="69BBD1B1">
            <w:pPr>
              <w:pStyle w:val="50"/>
              <w:rPr>
                <w:b w:val="0"/>
                <w:bCs w:val="0"/>
              </w:rPr>
            </w:pPr>
          </w:p>
        </w:tc>
        <w:tc>
          <w:tcPr>
            <w:tcW w:w="3596" w:type="pct"/>
            <w:tcBorders>
              <w:tl2br w:val="nil"/>
              <w:tr2bl w:val="nil"/>
            </w:tcBorders>
            <w:vAlign w:val="center"/>
          </w:tcPr>
          <w:p w14:paraId="6568517C">
            <w:pPr>
              <w:pStyle w:val="50"/>
              <w:rPr>
                <w:b w:val="0"/>
                <w:bCs w:val="0"/>
              </w:rPr>
            </w:pPr>
            <w:r>
              <w:rPr>
                <w:rFonts w:hint="eastAsia"/>
                <w:b w:val="0"/>
                <w:bCs w:val="0"/>
              </w:rPr>
              <w:t>标准节的爬梯、背圈、爬梯平台未同步安装</w:t>
            </w:r>
          </w:p>
        </w:tc>
        <w:tc>
          <w:tcPr>
            <w:tcW w:w="640" w:type="pct"/>
            <w:tcBorders>
              <w:tl2br w:val="nil"/>
              <w:tr2bl w:val="nil"/>
            </w:tcBorders>
            <w:vAlign w:val="center"/>
          </w:tcPr>
          <w:p w14:paraId="6E0AE83F">
            <w:pPr>
              <w:pStyle w:val="50"/>
              <w:rPr>
                <w:b w:val="0"/>
                <w:bCs w:val="0"/>
              </w:rPr>
            </w:pPr>
            <w:r>
              <w:rPr>
                <w:rFonts w:hint="eastAsia"/>
                <w:b w:val="0"/>
                <w:bCs w:val="0"/>
              </w:rPr>
              <w:t>起重伤害</w:t>
            </w:r>
          </w:p>
        </w:tc>
      </w:tr>
      <w:tr w14:paraId="2B25D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EF66523">
            <w:pPr>
              <w:pStyle w:val="50"/>
              <w:numPr>
                <w:ilvl w:val="0"/>
                <w:numId w:val="24"/>
              </w:numPr>
              <w:tabs>
                <w:tab w:val="clear" w:pos="0"/>
              </w:tabs>
            </w:pPr>
          </w:p>
        </w:tc>
        <w:tc>
          <w:tcPr>
            <w:tcW w:w="504" w:type="pct"/>
            <w:vMerge w:val="continue"/>
            <w:tcBorders>
              <w:tl2br w:val="nil"/>
              <w:tr2bl w:val="nil"/>
            </w:tcBorders>
            <w:vAlign w:val="center"/>
          </w:tcPr>
          <w:p w14:paraId="3256C940">
            <w:pPr>
              <w:pStyle w:val="50"/>
              <w:rPr>
                <w:b w:val="0"/>
                <w:bCs w:val="0"/>
              </w:rPr>
            </w:pPr>
          </w:p>
        </w:tc>
        <w:tc>
          <w:tcPr>
            <w:tcW w:w="3596" w:type="pct"/>
            <w:tcBorders>
              <w:tl2br w:val="nil"/>
              <w:tr2bl w:val="nil"/>
            </w:tcBorders>
            <w:vAlign w:val="center"/>
          </w:tcPr>
          <w:p w14:paraId="46737ABC">
            <w:pPr>
              <w:pStyle w:val="50"/>
              <w:rPr>
                <w:b w:val="0"/>
                <w:bCs w:val="0"/>
              </w:rPr>
            </w:pPr>
            <w:r>
              <w:rPr>
                <w:rFonts w:hint="eastAsia"/>
                <w:b w:val="0"/>
                <w:bCs w:val="0"/>
              </w:rPr>
              <w:t>未安装塔顶平台、栏杆、滑轮、过度拉板</w:t>
            </w:r>
          </w:p>
        </w:tc>
        <w:tc>
          <w:tcPr>
            <w:tcW w:w="640" w:type="pct"/>
            <w:tcBorders>
              <w:tl2br w:val="nil"/>
              <w:tr2bl w:val="nil"/>
            </w:tcBorders>
            <w:vAlign w:val="center"/>
          </w:tcPr>
          <w:p w14:paraId="57385A02">
            <w:pPr>
              <w:pStyle w:val="50"/>
              <w:rPr>
                <w:b w:val="0"/>
                <w:bCs w:val="0"/>
              </w:rPr>
            </w:pPr>
            <w:r>
              <w:rPr>
                <w:rFonts w:hint="eastAsia"/>
                <w:b w:val="0"/>
                <w:bCs w:val="0"/>
              </w:rPr>
              <w:t>起重伤害</w:t>
            </w:r>
          </w:p>
        </w:tc>
      </w:tr>
      <w:tr w14:paraId="6F3948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5CA185A">
            <w:pPr>
              <w:pStyle w:val="50"/>
              <w:numPr>
                <w:ilvl w:val="0"/>
                <w:numId w:val="24"/>
              </w:numPr>
              <w:tabs>
                <w:tab w:val="clear" w:pos="0"/>
              </w:tabs>
            </w:pPr>
          </w:p>
        </w:tc>
        <w:tc>
          <w:tcPr>
            <w:tcW w:w="504" w:type="pct"/>
            <w:vMerge w:val="restart"/>
            <w:tcBorders>
              <w:tl2br w:val="nil"/>
              <w:tr2bl w:val="nil"/>
            </w:tcBorders>
            <w:vAlign w:val="center"/>
          </w:tcPr>
          <w:p w14:paraId="682E1DA6">
            <w:pPr>
              <w:pStyle w:val="50"/>
              <w:rPr>
                <w:b w:val="0"/>
                <w:bCs w:val="0"/>
              </w:rPr>
            </w:pPr>
            <w:r>
              <w:rPr>
                <w:rFonts w:hint="eastAsia"/>
                <w:b w:val="0"/>
                <w:bCs w:val="0"/>
              </w:rPr>
              <w:t>安装起重臂、平衡臂</w:t>
            </w:r>
          </w:p>
        </w:tc>
        <w:tc>
          <w:tcPr>
            <w:tcW w:w="3596" w:type="pct"/>
            <w:tcBorders>
              <w:tl2br w:val="nil"/>
              <w:tr2bl w:val="nil"/>
            </w:tcBorders>
            <w:vAlign w:val="center"/>
          </w:tcPr>
          <w:p w14:paraId="4C345B58">
            <w:pPr>
              <w:pStyle w:val="50"/>
              <w:rPr>
                <w:b w:val="0"/>
                <w:bCs w:val="0"/>
              </w:rPr>
            </w:pPr>
            <w:r>
              <w:rPr>
                <w:rFonts w:hint="eastAsia"/>
                <w:b w:val="0"/>
                <w:bCs w:val="0"/>
              </w:rPr>
              <w:t>平衡臂未安装平台、栏杆</w:t>
            </w:r>
          </w:p>
        </w:tc>
        <w:tc>
          <w:tcPr>
            <w:tcW w:w="640" w:type="pct"/>
            <w:tcBorders>
              <w:tl2br w:val="nil"/>
              <w:tr2bl w:val="nil"/>
            </w:tcBorders>
            <w:vAlign w:val="center"/>
          </w:tcPr>
          <w:p w14:paraId="0FA12A58">
            <w:pPr>
              <w:pStyle w:val="50"/>
              <w:rPr>
                <w:b w:val="0"/>
                <w:bCs w:val="0"/>
              </w:rPr>
            </w:pPr>
            <w:r>
              <w:rPr>
                <w:rFonts w:hint="eastAsia"/>
                <w:b w:val="0"/>
                <w:bCs w:val="0"/>
              </w:rPr>
              <w:t>起重伤害</w:t>
            </w:r>
          </w:p>
        </w:tc>
      </w:tr>
      <w:tr w14:paraId="7708DC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3A32766">
            <w:pPr>
              <w:pStyle w:val="50"/>
              <w:numPr>
                <w:ilvl w:val="0"/>
                <w:numId w:val="24"/>
              </w:numPr>
              <w:tabs>
                <w:tab w:val="clear" w:pos="0"/>
              </w:tabs>
            </w:pPr>
          </w:p>
        </w:tc>
        <w:tc>
          <w:tcPr>
            <w:tcW w:w="504" w:type="pct"/>
            <w:vMerge w:val="continue"/>
            <w:tcBorders>
              <w:tl2br w:val="nil"/>
              <w:tr2bl w:val="nil"/>
            </w:tcBorders>
            <w:vAlign w:val="center"/>
          </w:tcPr>
          <w:p w14:paraId="009600BE">
            <w:pPr>
              <w:pStyle w:val="50"/>
              <w:rPr>
                <w:b w:val="0"/>
                <w:bCs w:val="0"/>
              </w:rPr>
            </w:pPr>
          </w:p>
        </w:tc>
        <w:tc>
          <w:tcPr>
            <w:tcW w:w="3596" w:type="pct"/>
            <w:tcBorders>
              <w:tl2br w:val="nil"/>
              <w:tr2bl w:val="nil"/>
            </w:tcBorders>
            <w:vAlign w:val="center"/>
          </w:tcPr>
          <w:p w14:paraId="15A723F6">
            <w:pPr>
              <w:pStyle w:val="50"/>
              <w:rPr>
                <w:b w:val="0"/>
                <w:bCs w:val="0"/>
              </w:rPr>
            </w:pPr>
            <w:r>
              <w:rPr>
                <w:rFonts w:hint="eastAsia"/>
                <w:b w:val="0"/>
                <w:bCs w:val="0"/>
              </w:rPr>
              <w:t>平衡重未安装在后部规定位置，未使用专用钢销将平衡重支持在平衡臂上</w:t>
            </w:r>
          </w:p>
        </w:tc>
        <w:tc>
          <w:tcPr>
            <w:tcW w:w="640" w:type="pct"/>
            <w:tcBorders>
              <w:tl2br w:val="nil"/>
              <w:tr2bl w:val="nil"/>
            </w:tcBorders>
            <w:vAlign w:val="center"/>
          </w:tcPr>
          <w:p w14:paraId="481B4AEA">
            <w:pPr>
              <w:pStyle w:val="50"/>
              <w:rPr>
                <w:b w:val="0"/>
                <w:bCs w:val="0"/>
              </w:rPr>
            </w:pPr>
            <w:r>
              <w:rPr>
                <w:rFonts w:hint="eastAsia"/>
                <w:b w:val="0"/>
                <w:bCs w:val="0"/>
              </w:rPr>
              <w:t>起重伤害</w:t>
            </w:r>
          </w:p>
        </w:tc>
      </w:tr>
      <w:tr w14:paraId="0254B1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9FFC523">
            <w:pPr>
              <w:pStyle w:val="50"/>
              <w:numPr>
                <w:ilvl w:val="0"/>
                <w:numId w:val="24"/>
              </w:numPr>
              <w:tabs>
                <w:tab w:val="clear" w:pos="0"/>
              </w:tabs>
            </w:pPr>
          </w:p>
        </w:tc>
        <w:tc>
          <w:tcPr>
            <w:tcW w:w="504" w:type="pct"/>
            <w:vMerge w:val="continue"/>
            <w:tcBorders>
              <w:tl2br w:val="nil"/>
              <w:tr2bl w:val="nil"/>
            </w:tcBorders>
            <w:vAlign w:val="center"/>
          </w:tcPr>
          <w:p w14:paraId="65D2E8EF">
            <w:pPr>
              <w:pStyle w:val="50"/>
              <w:rPr>
                <w:b w:val="0"/>
                <w:bCs w:val="0"/>
              </w:rPr>
            </w:pPr>
          </w:p>
        </w:tc>
        <w:tc>
          <w:tcPr>
            <w:tcW w:w="3596" w:type="pct"/>
            <w:tcBorders>
              <w:tl2br w:val="nil"/>
              <w:tr2bl w:val="nil"/>
            </w:tcBorders>
            <w:vAlign w:val="center"/>
          </w:tcPr>
          <w:p w14:paraId="673F0372">
            <w:pPr>
              <w:pStyle w:val="50"/>
              <w:rPr>
                <w:b w:val="0"/>
                <w:bCs w:val="0"/>
              </w:rPr>
            </w:pPr>
            <w:r>
              <w:rPr>
                <w:rFonts w:hint="eastAsia"/>
                <w:b w:val="0"/>
                <w:bCs w:val="0"/>
              </w:rPr>
              <w:t>未在变幅小车上安装检修平台</w:t>
            </w:r>
          </w:p>
        </w:tc>
        <w:tc>
          <w:tcPr>
            <w:tcW w:w="640" w:type="pct"/>
            <w:tcBorders>
              <w:tl2br w:val="nil"/>
              <w:tr2bl w:val="nil"/>
            </w:tcBorders>
            <w:vAlign w:val="center"/>
          </w:tcPr>
          <w:p w14:paraId="77741875">
            <w:pPr>
              <w:pStyle w:val="50"/>
              <w:rPr>
                <w:b w:val="0"/>
                <w:bCs w:val="0"/>
              </w:rPr>
            </w:pPr>
            <w:r>
              <w:rPr>
                <w:rFonts w:hint="eastAsia"/>
                <w:b w:val="0"/>
                <w:bCs w:val="0"/>
              </w:rPr>
              <w:t>起重伤害</w:t>
            </w:r>
          </w:p>
        </w:tc>
      </w:tr>
      <w:tr w14:paraId="5872B7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62A26F6">
            <w:pPr>
              <w:pStyle w:val="50"/>
              <w:numPr>
                <w:ilvl w:val="0"/>
                <w:numId w:val="24"/>
              </w:numPr>
              <w:tabs>
                <w:tab w:val="clear" w:pos="0"/>
              </w:tabs>
            </w:pPr>
          </w:p>
        </w:tc>
        <w:tc>
          <w:tcPr>
            <w:tcW w:w="504" w:type="pct"/>
            <w:vMerge w:val="continue"/>
            <w:tcBorders>
              <w:tl2br w:val="nil"/>
              <w:tr2bl w:val="nil"/>
            </w:tcBorders>
            <w:vAlign w:val="center"/>
          </w:tcPr>
          <w:p w14:paraId="28B9D5DB">
            <w:pPr>
              <w:pStyle w:val="50"/>
              <w:rPr>
                <w:b w:val="0"/>
                <w:bCs w:val="0"/>
              </w:rPr>
            </w:pPr>
          </w:p>
        </w:tc>
        <w:tc>
          <w:tcPr>
            <w:tcW w:w="3596" w:type="pct"/>
            <w:tcBorders>
              <w:tl2br w:val="nil"/>
              <w:tr2bl w:val="nil"/>
            </w:tcBorders>
            <w:vAlign w:val="center"/>
          </w:tcPr>
          <w:p w14:paraId="7C4E0D1B">
            <w:pPr>
              <w:pStyle w:val="50"/>
              <w:rPr>
                <w:b w:val="0"/>
                <w:bCs w:val="0"/>
              </w:rPr>
            </w:pPr>
            <w:r>
              <w:rPr>
                <w:rFonts w:hint="eastAsia"/>
                <w:b w:val="0"/>
                <w:bCs w:val="0"/>
              </w:rPr>
              <w:t>未用特制销轴将起重臂与回转塔身耳板铰接好、并未穿好开口销</w:t>
            </w:r>
          </w:p>
        </w:tc>
        <w:tc>
          <w:tcPr>
            <w:tcW w:w="640" w:type="pct"/>
            <w:tcBorders>
              <w:tl2br w:val="nil"/>
              <w:tr2bl w:val="nil"/>
            </w:tcBorders>
            <w:vAlign w:val="center"/>
          </w:tcPr>
          <w:p w14:paraId="5959C57F">
            <w:pPr>
              <w:pStyle w:val="50"/>
              <w:rPr>
                <w:b w:val="0"/>
                <w:bCs w:val="0"/>
              </w:rPr>
            </w:pPr>
            <w:r>
              <w:rPr>
                <w:rFonts w:hint="eastAsia"/>
                <w:b w:val="0"/>
                <w:bCs w:val="0"/>
              </w:rPr>
              <w:t>起重伤害</w:t>
            </w:r>
          </w:p>
        </w:tc>
      </w:tr>
      <w:tr w14:paraId="35ACFB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40987BB">
            <w:pPr>
              <w:pStyle w:val="50"/>
              <w:numPr>
                <w:ilvl w:val="0"/>
                <w:numId w:val="24"/>
              </w:numPr>
              <w:tabs>
                <w:tab w:val="clear" w:pos="0"/>
              </w:tabs>
            </w:pPr>
          </w:p>
        </w:tc>
        <w:tc>
          <w:tcPr>
            <w:tcW w:w="504" w:type="pct"/>
            <w:vMerge w:val="continue"/>
            <w:tcBorders>
              <w:tl2br w:val="nil"/>
              <w:tr2bl w:val="nil"/>
            </w:tcBorders>
            <w:vAlign w:val="center"/>
          </w:tcPr>
          <w:p w14:paraId="35917321">
            <w:pPr>
              <w:pStyle w:val="50"/>
              <w:rPr>
                <w:b w:val="0"/>
                <w:bCs w:val="0"/>
              </w:rPr>
            </w:pPr>
          </w:p>
        </w:tc>
        <w:tc>
          <w:tcPr>
            <w:tcW w:w="3596" w:type="pct"/>
            <w:tcBorders>
              <w:tl2br w:val="nil"/>
              <w:tr2bl w:val="nil"/>
            </w:tcBorders>
            <w:vAlign w:val="center"/>
          </w:tcPr>
          <w:p w14:paraId="27FA9AD9">
            <w:pPr>
              <w:pStyle w:val="50"/>
              <w:rPr>
                <w:b w:val="0"/>
                <w:bCs w:val="0"/>
              </w:rPr>
            </w:pPr>
            <w:r>
              <w:rPr>
                <w:rFonts w:hint="eastAsia"/>
                <w:b w:val="0"/>
                <w:bCs w:val="0"/>
              </w:rPr>
              <w:t>配重重量与大臂长度不匹配</w:t>
            </w:r>
          </w:p>
        </w:tc>
        <w:tc>
          <w:tcPr>
            <w:tcW w:w="640" w:type="pct"/>
            <w:tcBorders>
              <w:tl2br w:val="nil"/>
              <w:tr2bl w:val="nil"/>
            </w:tcBorders>
            <w:vAlign w:val="center"/>
          </w:tcPr>
          <w:p w14:paraId="541332D9">
            <w:pPr>
              <w:pStyle w:val="50"/>
              <w:rPr>
                <w:b w:val="0"/>
                <w:bCs w:val="0"/>
              </w:rPr>
            </w:pPr>
            <w:r>
              <w:rPr>
                <w:rFonts w:hint="eastAsia"/>
                <w:b w:val="0"/>
                <w:bCs w:val="0"/>
              </w:rPr>
              <w:t>起重伤害</w:t>
            </w:r>
          </w:p>
        </w:tc>
      </w:tr>
      <w:tr w14:paraId="69E73D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839B345">
            <w:pPr>
              <w:pStyle w:val="50"/>
              <w:numPr>
                <w:ilvl w:val="0"/>
                <w:numId w:val="24"/>
              </w:numPr>
              <w:tabs>
                <w:tab w:val="clear" w:pos="0"/>
              </w:tabs>
            </w:pPr>
          </w:p>
        </w:tc>
        <w:tc>
          <w:tcPr>
            <w:tcW w:w="504" w:type="pct"/>
            <w:vMerge w:val="continue"/>
            <w:tcBorders>
              <w:tl2br w:val="nil"/>
              <w:tr2bl w:val="nil"/>
            </w:tcBorders>
            <w:vAlign w:val="center"/>
          </w:tcPr>
          <w:p w14:paraId="40756257">
            <w:pPr>
              <w:pStyle w:val="50"/>
              <w:rPr>
                <w:b w:val="0"/>
                <w:bCs w:val="0"/>
              </w:rPr>
            </w:pPr>
          </w:p>
        </w:tc>
        <w:tc>
          <w:tcPr>
            <w:tcW w:w="3596" w:type="pct"/>
            <w:tcBorders>
              <w:tl2br w:val="nil"/>
              <w:tr2bl w:val="nil"/>
            </w:tcBorders>
            <w:vAlign w:val="center"/>
          </w:tcPr>
          <w:p w14:paraId="724A77AC">
            <w:pPr>
              <w:pStyle w:val="50"/>
              <w:rPr>
                <w:b w:val="0"/>
                <w:bCs w:val="0"/>
              </w:rPr>
            </w:pPr>
            <w:r>
              <w:rPr>
                <w:rFonts w:hint="eastAsia"/>
                <w:b w:val="0"/>
                <w:bCs w:val="0"/>
              </w:rPr>
              <w:t>未使用链条葫芦或未利用起升钢丝绳提升起重臂拉杆</w:t>
            </w:r>
          </w:p>
        </w:tc>
        <w:tc>
          <w:tcPr>
            <w:tcW w:w="640" w:type="pct"/>
            <w:tcBorders>
              <w:tl2br w:val="nil"/>
              <w:tr2bl w:val="nil"/>
            </w:tcBorders>
            <w:vAlign w:val="center"/>
          </w:tcPr>
          <w:p w14:paraId="2DDDFA0C">
            <w:pPr>
              <w:pStyle w:val="50"/>
              <w:rPr>
                <w:b w:val="0"/>
                <w:bCs w:val="0"/>
              </w:rPr>
            </w:pPr>
            <w:r>
              <w:rPr>
                <w:rFonts w:hint="eastAsia"/>
                <w:b w:val="0"/>
                <w:bCs w:val="0"/>
              </w:rPr>
              <w:t>起重伤害</w:t>
            </w:r>
          </w:p>
        </w:tc>
      </w:tr>
      <w:tr w14:paraId="253C81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157EA5A">
            <w:pPr>
              <w:pStyle w:val="50"/>
              <w:numPr>
                <w:ilvl w:val="0"/>
                <w:numId w:val="24"/>
              </w:numPr>
              <w:tabs>
                <w:tab w:val="clear" w:pos="0"/>
              </w:tabs>
            </w:pPr>
          </w:p>
        </w:tc>
        <w:tc>
          <w:tcPr>
            <w:tcW w:w="504" w:type="pct"/>
            <w:vMerge w:val="restart"/>
            <w:tcBorders>
              <w:tl2br w:val="nil"/>
              <w:tr2bl w:val="nil"/>
            </w:tcBorders>
            <w:vAlign w:val="center"/>
          </w:tcPr>
          <w:p w14:paraId="75A74F50">
            <w:pPr>
              <w:pStyle w:val="50"/>
              <w:rPr>
                <w:b w:val="0"/>
                <w:bCs w:val="0"/>
              </w:rPr>
            </w:pPr>
            <w:r>
              <w:rPr>
                <w:rFonts w:hint="eastAsia"/>
                <w:b w:val="0"/>
                <w:bCs w:val="0"/>
              </w:rPr>
              <w:t>安装后检验</w:t>
            </w:r>
          </w:p>
        </w:tc>
        <w:tc>
          <w:tcPr>
            <w:tcW w:w="3596" w:type="pct"/>
            <w:tcBorders>
              <w:tl2br w:val="nil"/>
              <w:tr2bl w:val="nil"/>
            </w:tcBorders>
            <w:vAlign w:val="center"/>
          </w:tcPr>
          <w:p w14:paraId="2E9AA8C6">
            <w:pPr>
              <w:pStyle w:val="50"/>
              <w:rPr>
                <w:b w:val="0"/>
                <w:bCs w:val="0"/>
              </w:rPr>
            </w:pPr>
            <w:r>
              <w:rPr>
                <w:rFonts w:hint="eastAsia"/>
                <w:b w:val="0"/>
                <w:bCs w:val="0"/>
              </w:rPr>
              <w:t>安装完成未组织人员验收与试吊</w:t>
            </w:r>
          </w:p>
        </w:tc>
        <w:tc>
          <w:tcPr>
            <w:tcW w:w="640" w:type="pct"/>
            <w:tcBorders>
              <w:tl2br w:val="nil"/>
              <w:tr2bl w:val="nil"/>
            </w:tcBorders>
            <w:vAlign w:val="center"/>
          </w:tcPr>
          <w:p w14:paraId="7E497F61">
            <w:pPr>
              <w:pStyle w:val="50"/>
              <w:rPr>
                <w:b w:val="0"/>
                <w:bCs w:val="0"/>
              </w:rPr>
            </w:pPr>
            <w:r>
              <w:rPr>
                <w:rFonts w:hint="eastAsia"/>
                <w:b w:val="0"/>
                <w:bCs w:val="0"/>
              </w:rPr>
              <w:t>起重伤害</w:t>
            </w:r>
          </w:p>
        </w:tc>
      </w:tr>
      <w:tr w14:paraId="3EC791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D436E25">
            <w:pPr>
              <w:pStyle w:val="50"/>
              <w:numPr>
                <w:ilvl w:val="0"/>
                <w:numId w:val="24"/>
              </w:numPr>
              <w:tabs>
                <w:tab w:val="clear" w:pos="0"/>
              </w:tabs>
            </w:pPr>
          </w:p>
        </w:tc>
        <w:tc>
          <w:tcPr>
            <w:tcW w:w="504" w:type="pct"/>
            <w:vMerge w:val="continue"/>
            <w:tcBorders>
              <w:tl2br w:val="nil"/>
              <w:tr2bl w:val="nil"/>
            </w:tcBorders>
            <w:vAlign w:val="center"/>
          </w:tcPr>
          <w:p w14:paraId="7DB2846E">
            <w:pPr>
              <w:pStyle w:val="50"/>
              <w:rPr>
                <w:b w:val="0"/>
                <w:bCs w:val="0"/>
              </w:rPr>
            </w:pPr>
          </w:p>
        </w:tc>
        <w:tc>
          <w:tcPr>
            <w:tcW w:w="3596" w:type="pct"/>
            <w:tcBorders>
              <w:tl2br w:val="nil"/>
              <w:tr2bl w:val="nil"/>
            </w:tcBorders>
            <w:vAlign w:val="center"/>
          </w:tcPr>
          <w:p w14:paraId="448F7A0E">
            <w:pPr>
              <w:pStyle w:val="50"/>
              <w:rPr>
                <w:b w:val="0"/>
                <w:bCs w:val="0"/>
              </w:rPr>
            </w:pPr>
            <w:r>
              <w:rPr>
                <w:rFonts w:hint="eastAsia"/>
                <w:b w:val="0"/>
                <w:bCs w:val="0"/>
              </w:rPr>
              <w:t>安装单位自检合格后，没有上报有关部门检测合格。</w:t>
            </w:r>
          </w:p>
        </w:tc>
        <w:tc>
          <w:tcPr>
            <w:tcW w:w="640" w:type="pct"/>
            <w:tcBorders>
              <w:tl2br w:val="nil"/>
              <w:tr2bl w:val="nil"/>
            </w:tcBorders>
            <w:vAlign w:val="center"/>
          </w:tcPr>
          <w:p w14:paraId="4F4A3BEF">
            <w:pPr>
              <w:pStyle w:val="50"/>
              <w:rPr>
                <w:b w:val="0"/>
                <w:bCs w:val="0"/>
              </w:rPr>
            </w:pPr>
            <w:r>
              <w:rPr>
                <w:rFonts w:hint="eastAsia"/>
                <w:b w:val="0"/>
                <w:bCs w:val="0"/>
              </w:rPr>
              <w:t>起重伤害</w:t>
            </w:r>
          </w:p>
        </w:tc>
      </w:tr>
      <w:tr w14:paraId="5B8950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917A051">
            <w:pPr>
              <w:pStyle w:val="50"/>
              <w:numPr>
                <w:ilvl w:val="0"/>
                <w:numId w:val="24"/>
              </w:numPr>
              <w:tabs>
                <w:tab w:val="clear" w:pos="0"/>
              </w:tabs>
            </w:pPr>
          </w:p>
        </w:tc>
        <w:tc>
          <w:tcPr>
            <w:tcW w:w="504" w:type="pct"/>
            <w:vMerge w:val="restart"/>
            <w:tcBorders>
              <w:tl2br w:val="nil"/>
              <w:tr2bl w:val="nil"/>
            </w:tcBorders>
            <w:vAlign w:val="center"/>
          </w:tcPr>
          <w:p w14:paraId="1A96EBB6">
            <w:pPr>
              <w:pStyle w:val="50"/>
              <w:rPr>
                <w:b w:val="0"/>
                <w:bCs w:val="0"/>
              </w:rPr>
            </w:pPr>
            <w:r>
              <w:rPr>
                <w:rFonts w:hint="eastAsia"/>
                <w:b w:val="0"/>
                <w:bCs w:val="0"/>
              </w:rPr>
              <w:t>拆除</w:t>
            </w:r>
          </w:p>
        </w:tc>
        <w:tc>
          <w:tcPr>
            <w:tcW w:w="3596" w:type="pct"/>
            <w:tcBorders>
              <w:tl2br w:val="nil"/>
              <w:tr2bl w:val="nil"/>
            </w:tcBorders>
            <w:vAlign w:val="center"/>
          </w:tcPr>
          <w:p w14:paraId="2ADD529A">
            <w:pPr>
              <w:pStyle w:val="50"/>
              <w:rPr>
                <w:b w:val="0"/>
                <w:bCs w:val="0"/>
              </w:rPr>
            </w:pPr>
            <w:r>
              <w:rPr>
                <w:rFonts w:hint="eastAsia"/>
                <w:b w:val="0"/>
                <w:bCs w:val="0"/>
              </w:rPr>
              <w:t>附着式塔机没有明确附着装置的拆卸顺序和方法。</w:t>
            </w:r>
          </w:p>
        </w:tc>
        <w:tc>
          <w:tcPr>
            <w:tcW w:w="640" w:type="pct"/>
            <w:tcBorders>
              <w:tl2br w:val="nil"/>
              <w:tr2bl w:val="nil"/>
            </w:tcBorders>
            <w:vAlign w:val="center"/>
          </w:tcPr>
          <w:p w14:paraId="07B69B3E">
            <w:pPr>
              <w:pStyle w:val="50"/>
              <w:rPr>
                <w:b w:val="0"/>
                <w:bCs w:val="0"/>
              </w:rPr>
            </w:pPr>
            <w:r>
              <w:rPr>
                <w:rFonts w:hint="eastAsia"/>
                <w:b w:val="0"/>
                <w:bCs w:val="0"/>
              </w:rPr>
              <w:t>起重伤害</w:t>
            </w:r>
          </w:p>
        </w:tc>
      </w:tr>
      <w:tr w14:paraId="74679A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3DCFEC31">
            <w:pPr>
              <w:pStyle w:val="50"/>
              <w:numPr>
                <w:ilvl w:val="0"/>
                <w:numId w:val="24"/>
              </w:numPr>
              <w:tabs>
                <w:tab w:val="clear" w:pos="0"/>
              </w:tabs>
            </w:pPr>
          </w:p>
        </w:tc>
        <w:tc>
          <w:tcPr>
            <w:tcW w:w="504" w:type="pct"/>
            <w:vMerge w:val="continue"/>
            <w:tcBorders>
              <w:tl2br w:val="nil"/>
              <w:tr2bl w:val="nil"/>
            </w:tcBorders>
            <w:vAlign w:val="center"/>
          </w:tcPr>
          <w:p w14:paraId="0EB918B1">
            <w:pPr>
              <w:pStyle w:val="50"/>
              <w:rPr>
                <w:b w:val="0"/>
                <w:bCs w:val="0"/>
              </w:rPr>
            </w:pPr>
          </w:p>
        </w:tc>
        <w:tc>
          <w:tcPr>
            <w:tcW w:w="3596" w:type="pct"/>
            <w:tcBorders>
              <w:tl2br w:val="nil"/>
              <w:tr2bl w:val="nil"/>
            </w:tcBorders>
            <w:vAlign w:val="center"/>
          </w:tcPr>
          <w:p w14:paraId="6DF50003">
            <w:pPr>
              <w:pStyle w:val="50"/>
              <w:rPr>
                <w:b w:val="0"/>
                <w:bCs w:val="0"/>
              </w:rPr>
            </w:pPr>
            <w:r>
              <w:rPr>
                <w:rFonts w:hint="eastAsia"/>
                <w:b w:val="0"/>
                <w:bCs w:val="0"/>
              </w:rPr>
              <w:t>当遇特殊情况拆卸作业不能继续时，没有采取措施保证塔机处于安全状态。</w:t>
            </w:r>
          </w:p>
        </w:tc>
        <w:tc>
          <w:tcPr>
            <w:tcW w:w="640" w:type="pct"/>
            <w:tcBorders>
              <w:tl2br w:val="nil"/>
              <w:tr2bl w:val="nil"/>
            </w:tcBorders>
            <w:vAlign w:val="center"/>
          </w:tcPr>
          <w:p w14:paraId="6B0E5864">
            <w:pPr>
              <w:pStyle w:val="50"/>
              <w:rPr>
                <w:b w:val="0"/>
                <w:bCs w:val="0"/>
              </w:rPr>
            </w:pPr>
            <w:r>
              <w:rPr>
                <w:rFonts w:hint="eastAsia"/>
                <w:b w:val="0"/>
                <w:bCs w:val="0"/>
              </w:rPr>
              <w:t>起重伤害</w:t>
            </w:r>
          </w:p>
        </w:tc>
      </w:tr>
      <w:tr w14:paraId="61E4BB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59E8B25">
            <w:pPr>
              <w:pStyle w:val="50"/>
              <w:numPr>
                <w:ilvl w:val="0"/>
                <w:numId w:val="24"/>
              </w:numPr>
              <w:tabs>
                <w:tab w:val="clear" w:pos="0"/>
              </w:tabs>
            </w:pPr>
          </w:p>
        </w:tc>
        <w:tc>
          <w:tcPr>
            <w:tcW w:w="504" w:type="pct"/>
            <w:vMerge w:val="continue"/>
            <w:tcBorders>
              <w:tl2br w:val="nil"/>
              <w:tr2bl w:val="nil"/>
            </w:tcBorders>
            <w:vAlign w:val="center"/>
          </w:tcPr>
          <w:p w14:paraId="18376050">
            <w:pPr>
              <w:pStyle w:val="50"/>
              <w:rPr>
                <w:b w:val="0"/>
                <w:bCs w:val="0"/>
              </w:rPr>
            </w:pPr>
          </w:p>
        </w:tc>
        <w:tc>
          <w:tcPr>
            <w:tcW w:w="3596" w:type="pct"/>
            <w:tcBorders>
              <w:tl2br w:val="nil"/>
              <w:tr2bl w:val="nil"/>
            </w:tcBorders>
            <w:vAlign w:val="center"/>
          </w:tcPr>
          <w:p w14:paraId="1F769470">
            <w:pPr>
              <w:pStyle w:val="50"/>
              <w:rPr>
                <w:b w:val="0"/>
                <w:bCs w:val="0"/>
              </w:rPr>
            </w:pPr>
            <w:r>
              <w:rPr>
                <w:rFonts w:hint="eastAsia"/>
                <w:b w:val="0"/>
                <w:bCs w:val="0"/>
              </w:rPr>
              <w:t>塔式起重机每次降节前，没有检查顶升系统和附着装置的连接等。</w:t>
            </w:r>
          </w:p>
        </w:tc>
        <w:tc>
          <w:tcPr>
            <w:tcW w:w="640" w:type="pct"/>
            <w:tcBorders>
              <w:tl2br w:val="nil"/>
              <w:tr2bl w:val="nil"/>
            </w:tcBorders>
            <w:vAlign w:val="center"/>
          </w:tcPr>
          <w:p w14:paraId="23294915">
            <w:pPr>
              <w:pStyle w:val="50"/>
              <w:rPr>
                <w:b w:val="0"/>
                <w:bCs w:val="0"/>
              </w:rPr>
            </w:pPr>
            <w:r>
              <w:rPr>
                <w:rFonts w:hint="eastAsia"/>
                <w:b w:val="0"/>
                <w:bCs w:val="0"/>
              </w:rPr>
              <w:t>起重伤害</w:t>
            </w:r>
          </w:p>
        </w:tc>
      </w:tr>
      <w:tr w14:paraId="52C604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EECF6F4">
            <w:pPr>
              <w:pStyle w:val="50"/>
              <w:numPr>
                <w:ilvl w:val="0"/>
                <w:numId w:val="24"/>
              </w:numPr>
              <w:tabs>
                <w:tab w:val="clear" w:pos="0"/>
              </w:tabs>
            </w:pPr>
          </w:p>
        </w:tc>
        <w:tc>
          <w:tcPr>
            <w:tcW w:w="504" w:type="pct"/>
            <w:vMerge w:val="continue"/>
            <w:tcBorders>
              <w:tl2br w:val="nil"/>
              <w:tr2bl w:val="nil"/>
            </w:tcBorders>
            <w:vAlign w:val="center"/>
          </w:tcPr>
          <w:p w14:paraId="1077E20A">
            <w:pPr>
              <w:pStyle w:val="50"/>
              <w:rPr>
                <w:b w:val="0"/>
                <w:bCs w:val="0"/>
              </w:rPr>
            </w:pPr>
          </w:p>
        </w:tc>
        <w:tc>
          <w:tcPr>
            <w:tcW w:w="3596" w:type="pct"/>
            <w:tcBorders>
              <w:tl2br w:val="nil"/>
              <w:tr2bl w:val="nil"/>
            </w:tcBorders>
            <w:vAlign w:val="center"/>
          </w:tcPr>
          <w:p w14:paraId="62274936">
            <w:pPr>
              <w:pStyle w:val="50"/>
              <w:rPr>
                <w:b w:val="0"/>
                <w:bCs w:val="0"/>
              </w:rPr>
            </w:pPr>
            <w:r>
              <w:rPr>
                <w:rFonts w:hint="eastAsia"/>
                <w:b w:val="0"/>
                <w:bCs w:val="0"/>
              </w:rPr>
              <w:t>拆卸时没有按照先降节，后拆除附着装置的顺序施工。</w:t>
            </w:r>
          </w:p>
        </w:tc>
        <w:tc>
          <w:tcPr>
            <w:tcW w:w="640" w:type="pct"/>
            <w:tcBorders>
              <w:tl2br w:val="nil"/>
              <w:tr2bl w:val="nil"/>
            </w:tcBorders>
            <w:vAlign w:val="center"/>
          </w:tcPr>
          <w:p w14:paraId="18308392">
            <w:pPr>
              <w:pStyle w:val="50"/>
              <w:rPr>
                <w:b w:val="0"/>
                <w:bCs w:val="0"/>
              </w:rPr>
            </w:pPr>
            <w:r>
              <w:rPr>
                <w:rFonts w:hint="eastAsia"/>
                <w:b w:val="0"/>
                <w:bCs w:val="0"/>
              </w:rPr>
              <w:t>起重伤害</w:t>
            </w:r>
          </w:p>
        </w:tc>
      </w:tr>
      <w:tr w14:paraId="52D67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1AF358D">
            <w:pPr>
              <w:pStyle w:val="50"/>
              <w:numPr>
                <w:ilvl w:val="0"/>
                <w:numId w:val="24"/>
              </w:numPr>
              <w:tabs>
                <w:tab w:val="clear" w:pos="0"/>
              </w:tabs>
            </w:pPr>
          </w:p>
        </w:tc>
        <w:tc>
          <w:tcPr>
            <w:tcW w:w="504" w:type="pct"/>
            <w:vMerge w:val="continue"/>
            <w:tcBorders>
              <w:tl2br w:val="nil"/>
              <w:tr2bl w:val="nil"/>
            </w:tcBorders>
            <w:vAlign w:val="center"/>
          </w:tcPr>
          <w:p w14:paraId="43256B00">
            <w:pPr>
              <w:pStyle w:val="50"/>
              <w:rPr>
                <w:b w:val="0"/>
                <w:bCs w:val="0"/>
              </w:rPr>
            </w:pPr>
          </w:p>
        </w:tc>
        <w:tc>
          <w:tcPr>
            <w:tcW w:w="3596" w:type="pct"/>
            <w:tcBorders>
              <w:tl2br w:val="nil"/>
              <w:tr2bl w:val="nil"/>
            </w:tcBorders>
            <w:vAlign w:val="center"/>
          </w:tcPr>
          <w:p w14:paraId="0D86C7E7">
            <w:pPr>
              <w:pStyle w:val="50"/>
              <w:rPr>
                <w:b w:val="0"/>
                <w:bCs w:val="0"/>
              </w:rPr>
            </w:pPr>
            <w:r>
              <w:rPr>
                <w:rFonts w:hint="eastAsia"/>
                <w:b w:val="0"/>
                <w:bCs w:val="0"/>
              </w:rPr>
              <w:t>当用于拆卸作业的辅助设备设置在建筑物上时，没有对辅助起重设备的安全性及建筑物的承载能力等进行验算</w:t>
            </w:r>
          </w:p>
        </w:tc>
        <w:tc>
          <w:tcPr>
            <w:tcW w:w="640" w:type="pct"/>
            <w:tcBorders>
              <w:tl2br w:val="nil"/>
              <w:tr2bl w:val="nil"/>
            </w:tcBorders>
            <w:vAlign w:val="center"/>
          </w:tcPr>
          <w:p w14:paraId="06AFA7C9">
            <w:pPr>
              <w:pStyle w:val="50"/>
              <w:rPr>
                <w:b w:val="0"/>
                <w:bCs w:val="0"/>
              </w:rPr>
            </w:pPr>
            <w:r>
              <w:rPr>
                <w:rFonts w:hint="eastAsia"/>
                <w:b w:val="0"/>
                <w:bCs w:val="0"/>
              </w:rPr>
              <w:t>物体打击</w:t>
            </w:r>
          </w:p>
        </w:tc>
      </w:tr>
      <w:tr w14:paraId="51345C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869D915">
            <w:pPr>
              <w:pStyle w:val="50"/>
              <w:numPr>
                <w:ilvl w:val="0"/>
                <w:numId w:val="24"/>
              </w:numPr>
              <w:tabs>
                <w:tab w:val="clear" w:pos="0"/>
              </w:tabs>
            </w:pPr>
          </w:p>
        </w:tc>
        <w:tc>
          <w:tcPr>
            <w:tcW w:w="504" w:type="pct"/>
            <w:vMerge w:val="continue"/>
            <w:tcBorders>
              <w:tl2br w:val="nil"/>
              <w:tr2bl w:val="nil"/>
            </w:tcBorders>
            <w:vAlign w:val="center"/>
          </w:tcPr>
          <w:p w14:paraId="70987C25">
            <w:pPr>
              <w:pStyle w:val="50"/>
              <w:rPr>
                <w:b w:val="0"/>
                <w:bCs w:val="0"/>
              </w:rPr>
            </w:pPr>
          </w:p>
        </w:tc>
        <w:tc>
          <w:tcPr>
            <w:tcW w:w="3596" w:type="pct"/>
            <w:tcBorders>
              <w:tl2br w:val="nil"/>
              <w:tr2bl w:val="nil"/>
            </w:tcBorders>
            <w:vAlign w:val="center"/>
          </w:tcPr>
          <w:p w14:paraId="24DF7867">
            <w:pPr>
              <w:pStyle w:val="50"/>
              <w:rPr>
                <w:b w:val="0"/>
                <w:bCs w:val="0"/>
              </w:rPr>
            </w:pPr>
            <w:r>
              <w:rPr>
                <w:rFonts w:hint="eastAsia"/>
                <w:b w:val="0"/>
                <w:bCs w:val="0"/>
              </w:rPr>
              <w:t>拆除作业未按照专项方案要求实施。拆除前未对安装作业人员进行安全技术交底。</w:t>
            </w:r>
          </w:p>
        </w:tc>
        <w:tc>
          <w:tcPr>
            <w:tcW w:w="640" w:type="pct"/>
            <w:tcBorders>
              <w:tl2br w:val="nil"/>
              <w:tr2bl w:val="nil"/>
            </w:tcBorders>
            <w:vAlign w:val="center"/>
          </w:tcPr>
          <w:p w14:paraId="2C1ABCB2">
            <w:pPr>
              <w:pStyle w:val="50"/>
              <w:rPr>
                <w:b w:val="0"/>
                <w:bCs w:val="0"/>
              </w:rPr>
            </w:pPr>
            <w:r>
              <w:rPr>
                <w:rFonts w:hint="eastAsia"/>
                <w:b w:val="0"/>
                <w:bCs w:val="0"/>
              </w:rPr>
              <w:t>机械伤害</w:t>
            </w:r>
          </w:p>
        </w:tc>
      </w:tr>
      <w:tr w14:paraId="67778C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0C66358">
            <w:pPr>
              <w:pStyle w:val="50"/>
              <w:numPr>
                <w:ilvl w:val="0"/>
                <w:numId w:val="24"/>
              </w:numPr>
              <w:tabs>
                <w:tab w:val="clear" w:pos="0"/>
              </w:tabs>
            </w:pPr>
          </w:p>
        </w:tc>
        <w:tc>
          <w:tcPr>
            <w:tcW w:w="504" w:type="pct"/>
            <w:vMerge w:val="continue"/>
            <w:tcBorders>
              <w:tl2br w:val="nil"/>
              <w:tr2bl w:val="nil"/>
            </w:tcBorders>
            <w:vAlign w:val="center"/>
          </w:tcPr>
          <w:p w14:paraId="2355B9E7">
            <w:pPr>
              <w:pStyle w:val="50"/>
              <w:rPr>
                <w:b w:val="0"/>
                <w:bCs w:val="0"/>
              </w:rPr>
            </w:pPr>
          </w:p>
        </w:tc>
        <w:tc>
          <w:tcPr>
            <w:tcW w:w="3596" w:type="pct"/>
            <w:tcBorders>
              <w:tl2br w:val="nil"/>
              <w:tr2bl w:val="nil"/>
            </w:tcBorders>
            <w:vAlign w:val="center"/>
          </w:tcPr>
          <w:p w14:paraId="2AC9A9E9">
            <w:pPr>
              <w:pStyle w:val="50"/>
              <w:rPr>
                <w:b w:val="0"/>
                <w:bCs w:val="0"/>
              </w:rPr>
            </w:pPr>
            <w:r>
              <w:rPr>
                <w:rFonts w:hint="eastAsia"/>
                <w:b w:val="0"/>
                <w:bCs w:val="0"/>
              </w:rPr>
              <w:t>拆除辅助设备就位后，没有对其机械和安全性能进行检验。</w:t>
            </w:r>
          </w:p>
        </w:tc>
        <w:tc>
          <w:tcPr>
            <w:tcW w:w="640" w:type="pct"/>
            <w:tcBorders>
              <w:tl2br w:val="nil"/>
              <w:tr2bl w:val="nil"/>
            </w:tcBorders>
            <w:vAlign w:val="center"/>
          </w:tcPr>
          <w:p w14:paraId="15882511">
            <w:pPr>
              <w:pStyle w:val="50"/>
              <w:rPr>
                <w:b w:val="0"/>
                <w:bCs w:val="0"/>
              </w:rPr>
            </w:pPr>
            <w:r>
              <w:rPr>
                <w:rFonts w:hint="eastAsia"/>
                <w:b w:val="0"/>
                <w:bCs w:val="0"/>
              </w:rPr>
              <w:t>机械伤害</w:t>
            </w:r>
          </w:p>
        </w:tc>
      </w:tr>
      <w:tr w14:paraId="2A5B49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704BFE1D">
            <w:pPr>
              <w:pStyle w:val="50"/>
              <w:numPr>
                <w:ilvl w:val="0"/>
                <w:numId w:val="24"/>
              </w:numPr>
              <w:tabs>
                <w:tab w:val="clear" w:pos="0"/>
              </w:tabs>
            </w:pPr>
          </w:p>
        </w:tc>
        <w:tc>
          <w:tcPr>
            <w:tcW w:w="504" w:type="pct"/>
            <w:vMerge w:val="continue"/>
            <w:tcBorders>
              <w:tl2br w:val="nil"/>
              <w:tr2bl w:val="nil"/>
            </w:tcBorders>
            <w:vAlign w:val="center"/>
          </w:tcPr>
          <w:p w14:paraId="47E8162C">
            <w:pPr>
              <w:pStyle w:val="50"/>
              <w:rPr>
                <w:b w:val="0"/>
                <w:bCs w:val="0"/>
              </w:rPr>
            </w:pPr>
          </w:p>
        </w:tc>
        <w:tc>
          <w:tcPr>
            <w:tcW w:w="3596" w:type="pct"/>
            <w:tcBorders>
              <w:tl2br w:val="nil"/>
              <w:tr2bl w:val="nil"/>
            </w:tcBorders>
            <w:vAlign w:val="center"/>
          </w:tcPr>
          <w:p w14:paraId="2DA77F56">
            <w:pPr>
              <w:pStyle w:val="50"/>
              <w:rPr>
                <w:b w:val="0"/>
                <w:bCs w:val="0"/>
              </w:rPr>
            </w:pPr>
            <w:r>
              <w:rPr>
                <w:rFonts w:hint="eastAsia"/>
                <w:b w:val="0"/>
                <w:bCs w:val="0"/>
              </w:rPr>
              <w:t>雨雪、浓雾天气没有停止拆除作业。</w:t>
            </w:r>
          </w:p>
        </w:tc>
        <w:tc>
          <w:tcPr>
            <w:tcW w:w="640" w:type="pct"/>
            <w:tcBorders>
              <w:tl2br w:val="nil"/>
              <w:tr2bl w:val="nil"/>
            </w:tcBorders>
            <w:vAlign w:val="center"/>
          </w:tcPr>
          <w:p w14:paraId="0DCCC88F">
            <w:pPr>
              <w:pStyle w:val="50"/>
              <w:rPr>
                <w:b w:val="0"/>
                <w:bCs w:val="0"/>
              </w:rPr>
            </w:pPr>
            <w:r>
              <w:rPr>
                <w:rFonts w:hint="eastAsia"/>
                <w:b w:val="0"/>
                <w:bCs w:val="0"/>
              </w:rPr>
              <w:t>起重伤害</w:t>
            </w:r>
          </w:p>
        </w:tc>
      </w:tr>
      <w:tr w14:paraId="0EA8A2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B2AF05A">
            <w:pPr>
              <w:pStyle w:val="50"/>
              <w:numPr>
                <w:ilvl w:val="0"/>
                <w:numId w:val="24"/>
              </w:numPr>
              <w:tabs>
                <w:tab w:val="clear" w:pos="0"/>
              </w:tabs>
            </w:pPr>
          </w:p>
        </w:tc>
        <w:tc>
          <w:tcPr>
            <w:tcW w:w="504" w:type="pct"/>
            <w:vMerge w:val="continue"/>
            <w:tcBorders>
              <w:tl2br w:val="nil"/>
              <w:tr2bl w:val="nil"/>
            </w:tcBorders>
            <w:vAlign w:val="center"/>
          </w:tcPr>
          <w:p w14:paraId="6088D38A">
            <w:pPr>
              <w:pStyle w:val="50"/>
              <w:rPr>
                <w:b w:val="0"/>
                <w:bCs w:val="0"/>
              </w:rPr>
            </w:pPr>
          </w:p>
        </w:tc>
        <w:tc>
          <w:tcPr>
            <w:tcW w:w="3596" w:type="pct"/>
            <w:tcBorders>
              <w:tl2br w:val="nil"/>
              <w:tr2bl w:val="nil"/>
            </w:tcBorders>
            <w:vAlign w:val="center"/>
          </w:tcPr>
          <w:p w14:paraId="7C2846B9">
            <w:pPr>
              <w:pStyle w:val="50"/>
              <w:rPr>
                <w:b w:val="0"/>
                <w:bCs w:val="0"/>
              </w:rPr>
            </w:pPr>
            <w:r>
              <w:rPr>
                <w:rFonts w:hint="eastAsia"/>
                <w:b w:val="0"/>
                <w:bCs w:val="0"/>
              </w:rPr>
              <w:t>当遇特殊情况拆除作业不能连续进行时，没有将已安装的部位固定牢靠并达到安全状态。</w:t>
            </w:r>
          </w:p>
        </w:tc>
        <w:tc>
          <w:tcPr>
            <w:tcW w:w="640" w:type="pct"/>
            <w:tcBorders>
              <w:tl2br w:val="nil"/>
              <w:tr2bl w:val="nil"/>
            </w:tcBorders>
            <w:vAlign w:val="center"/>
          </w:tcPr>
          <w:p w14:paraId="302E0F22">
            <w:pPr>
              <w:pStyle w:val="50"/>
              <w:rPr>
                <w:b w:val="0"/>
                <w:bCs w:val="0"/>
              </w:rPr>
            </w:pPr>
            <w:r>
              <w:rPr>
                <w:rFonts w:hint="eastAsia"/>
                <w:b w:val="0"/>
                <w:bCs w:val="0"/>
              </w:rPr>
              <w:t>物体打击</w:t>
            </w:r>
          </w:p>
        </w:tc>
      </w:tr>
      <w:tr w14:paraId="728E0D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766F379B">
            <w:pPr>
              <w:pStyle w:val="50"/>
              <w:numPr>
                <w:ilvl w:val="0"/>
                <w:numId w:val="24"/>
              </w:numPr>
              <w:tabs>
                <w:tab w:val="clear" w:pos="0"/>
              </w:tabs>
            </w:pPr>
          </w:p>
        </w:tc>
        <w:tc>
          <w:tcPr>
            <w:tcW w:w="504" w:type="pct"/>
            <w:tcBorders>
              <w:tl2br w:val="nil"/>
              <w:tr2bl w:val="nil"/>
            </w:tcBorders>
            <w:vAlign w:val="center"/>
          </w:tcPr>
          <w:p w14:paraId="76EA35C1">
            <w:pPr>
              <w:pStyle w:val="50"/>
              <w:rPr>
                <w:b w:val="0"/>
                <w:bCs w:val="0"/>
              </w:rPr>
            </w:pPr>
            <w:r>
              <w:rPr>
                <w:rFonts w:hint="eastAsia"/>
                <w:b w:val="0"/>
                <w:bCs w:val="0"/>
              </w:rPr>
              <w:t>设备部件及构配件</w:t>
            </w:r>
          </w:p>
        </w:tc>
        <w:tc>
          <w:tcPr>
            <w:tcW w:w="3596" w:type="pct"/>
            <w:tcBorders>
              <w:tl2br w:val="nil"/>
              <w:tr2bl w:val="nil"/>
            </w:tcBorders>
            <w:vAlign w:val="center"/>
          </w:tcPr>
          <w:p w14:paraId="121D260D">
            <w:pPr>
              <w:pStyle w:val="50"/>
              <w:rPr>
                <w:b w:val="0"/>
                <w:bCs w:val="0"/>
              </w:rPr>
            </w:pPr>
            <w:r>
              <w:rPr>
                <w:rFonts w:hint="eastAsia"/>
                <w:b w:val="0"/>
                <w:bCs w:val="0"/>
              </w:rPr>
              <w:t>施工所用设备部件及构配件使用前，未进行质量检查验收及安全评估，材料混用</w:t>
            </w:r>
          </w:p>
        </w:tc>
        <w:tc>
          <w:tcPr>
            <w:tcW w:w="640" w:type="pct"/>
            <w:tcBorders>
              <w:tl2br w:val="nil"/>
              <w:tr2bl w:val="nil"/>
            </w:tcBorders>
            <w:vAlign w:val="center"/>
          </w:tcPr>
          <w:p w14:paraId="03497ACC">
            <w:pPr>
              <w:pStyle w:val="50"/>
              <w:rPr>
                <w:b w:val="0"/>
                <w:bCs w:val="0"/>
              </w:rPr>
            </w:pPr>
            <w:r>
              <w:rPr>
                <w:rFonts w:hint="eastAsia"/>
                <w:b w:val="0"/>
                <w:bCs w:val="0"/>
              </w:rPr>
              <w:t>坍塌</w:t>
            </w:r>
          </w:p>
        </w:tc>
      </w:tr>
      <w:tr w14:paraId="126410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E982A1B">
            <w:pPr>
              <w:pStyle w:val="50"/>
              <w:numPr>
                <w:ilvl w:val="0"/>
                <w:numId w:val="24"/>
              </w:numPr>
              <w:tabs>
                <w:tab w:val="clear" w:pos="0"/>
              </w:tabs>
            </w:pPr>
          </w:p>
        </w:tc>
        <w:tc>
          <w:tcPr>
            <w:tcW w:w="504" w:type="pct"/>
            <w:vMerge w:val="restart"/>
            <w:tcBorders>
              <w:tl2br w:val="nil"/>
              <w:tr2bl w:val="nil"/>
            </w:tcBorders>
            <w:vAlign w:val="center"/>
          </w:tcPr>
          <w:p w14:paraId="52DEF2B4">
            <w:pPr>
              <w:pStyle w:val="50"/>
              <w:rPr>
                <w:b w:val="0"/>
                <w:bCs w:val="0"/>
              </w:rPr>
            </w:pPr>
            <w:r>
              <w:rPr>
                <w:rFonts w:hint="eastAsia"/>
                <w:b w:val="0"/>
                <w:bCs w:val="0"/>
              </w:rPr>
              <w:t>吊索具</w:t>
            </w:r>
          </w:p>
        </w:tc>
        <w:tc>
          <w:tcPr>
            <w:tcW w:w="3596" w:type="pct"/>
            <w:tcBorders>
              <w:tl2br w:val="nil"/>
              <w:tr2bl w:val="nil"/>
            </w:tcBorders>
            <w:vAlign w:val="center"/>
          </w:tcPr>
          <w:p w14:paraId="4E11BE94">
            <w:pPr>
              <w:pStyle w:val="50"/>
              <w:rPr>
                <w:b w:val="0"/>
                <w:bCs w:val="0"/>
              </w:rPr>
            </w:pPr>
            <w:r>
              <w:rPr>
                <w:rFonts w:hint="eastAsia"/>
                <w:b w:val="0"/>
                <w:bCs w:val="0"/>
              </w:rPr>
              <w:t>吊具与索具系结物品，及其连接在起重机械上的方法不可靠</w:t>
            </w:r>
          </w:p>
        </w:tc>
        <w:tc>
          <w:tcPr>
            <w:tcW w:w="640" w:type="pct"/>
            <w:tcBorders>
              <w:tl2br w:val="nil"/>
              <w:tr2bl w:val="nil"/>
            </w:tcBorders>
            <w:vAlign w:val="center"/>
          </w:tcPr>
          <w:p w14:paraId="19C90FC8">
            <w:pPr>
              <w:pStyle w:val="50"/>
              <w:rPr>
                <w:b w:val="0"/>
                <w:bCs w:val="0"/>
              </w:rPr>
            </w:pPr>
            <w:r>
              <w:rPr>
                <w:rFonts w:hint="eastAsia"/>
                <w:b w:val="0"/>
                <w:bCs w:val="0"/>
              </w:rPr>
              <w:t>起重伤害</w:t>
            </w:r>
          </w:p>
        </w:tc>
      </w:tr>
      <w:tr w14:paraId="6DC3A5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3E7B6E5">
            <w:pPr>
              <w:pStyle w:val="50"/>
              <w:numPr>
                <w:ilvl w:val="0"/>
                <w:numId w:val="24"/>
              </w:numPr>
              <w:tabs>
                <w:tab w:val="clear" w:pos="0"/>
              </w:tabs>
            </w:pPr>
          </w:p>
        </w:tc>
        <w:tc>
          <w:tcPr>
            <w:tcW w:w="504" w:type="pct"/>
            <w:vMerge w:val="continue"/>
            <w:tcBorders>
              <w:tl2br w:val="nil"/>
              <w:tr2bl w:val="nil"/>
            </w:tcBorders>
            <w:vAlign w:val="center"/>
          </w:tcPr>
          <w:p w14:paraId="022D2B27">
            <w:pPr>
              <w:pStyle w:val="50"/>
              <w:rPr>
                <w:b w:val="0"/>
                <w:bCs w:val="0"/>
              </w:rPr>
            </w:pPr>
          </w:p>
        </w:tc>
        <w:tc>
          <w:tcPr>
            <w:tcW w:w="3596" w:type="pct"/>
            <w:tcBorders>
              <w:tl2br w:val="nil"/>
              <w:tr2bl w:val="nil"/>
            </w:tcBorders>
            <w:vAlign w:val="center"/>
          </w:tcPr>
          <w:p w14:paraId="19DD1597">
            <w:pPr>
              <w:pStyle w:val="50"/>
              <w:rPr>
                <w:b w:val="0"/>
                <w:bCs w:val="0"/>
              </w:rPr>
            </w:pPr>
            <w:r>
              <w:rPr>
                <w:rFonts w:hint="eastAsia"/>
                <w:b w:val="0"/>
                <w:bCs w:val="0"/>
              </w:rPr>
              <w:t>未按照规定设置防脱钩装置，或者防脱钩装置失效。</w:t>
            </w:r>
          </w:p>
        </w:tc>
        <w:tc>
          <w:tcPr>
            <w:tcW w:w="640" w:type="pct"/>
            <w:tcBorders>
              <w:tl2br w:val="nil"/>
              <w:tr2bl w:val="nil"/>
            </w:tcBorders>
            <w:vAlign w:val="center"/>
          </w:tcPr>
          <w:p w14:paraId="519211F5">
            <w:pPr>
              <w:pStyle w:val="50"/>
              <w:rPr>
                <w:b w:val="0"/>
                <w:bCs w:val="0"/>
              </w:rPr>
            </w:pPr>
            <w:r>
              <w:rPr>
                <w:rFonts w:hint="eastAsia"/>
                <w:b w:val="0"/>
                <w:bCs w:val="0"/>
              </w:rPr>
              <w:t>起重伤害</w:t>
            </w:r>
          </w:p>
        </w:tc>
      </w:tr>
      <w:tr w14:paraId="37EFE5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5A6AF2A">
            <w:pPr>
              <w:pStyle w:val="50"/>
              <w:numPr>
                <w:ilvl w:val="0"/>
                <w:numId w:val="24"/>
              </w:numPr>
              <w:tabs>
                <w:tab w:val="clear" w:pos="0"/>
              </w:tabs>
            </w:pPr>
          </w:p>
        </w:tc>
        <w:tc>
          <w:tcPr>
            <w:tcW w:w="504" w:type="pct"/>
            <w:vMerge w:val="continue"/>
            <w:tcBorders>
              <w:tl2br w:val="nil"/>
              <w:tr2bl w:val="nil"/>
            </w:tcBorders>
            <w:vAlign w:val="center"/>
          </w:tcPr>
          <w:p w14:paraId="5303A8E6">
            <w:pPr>
              <w:pStyle w:val="50"/>
              <w:rPr>
                <w:b w:val="0"/>
                <w:bCs w:val="0"/>
              </w:rPr>
            </w:pPr>
          </w:p>
        </w:tc>
        <w:tc>
          <w:tcPr>
            <w:tcW w:w="3596" w:type="pct"/>
            <w:tcBorders>
              <w:tl2br w:val="nil"/>
              <w:tr2bl w:val="nil"/>
            </w:tcBorders>
            <w:vAlign w:val="center"/>
          </w:tcPr>
          <w:p w14:paraId="4E7363BC">
            <w:pPr>
              <w:pStyle w:val="50"/>
              <w:rPr>
                <w:b w:val="0"/>
                <w:bCs w:val="0"/>
              </w:rPr>
            </w:pPr>
            <w:r>
              <w:rPr>
                <w:rFonts w:hint="eastAsia"/>
                <w:b w:val="0"/>
                <w:bCs w:val="0"/>
              </w:rPr>
              <w:t>吊具悬挂不牢固可靠。</w:t>
            </w:r>
          </w:p>
        </w:tc>
        <w:tc>
          <w:tcPr>
            <w:tcW w:w="640" w:type="pct"/>
            <w:tcBorders>
              <w:tl2br w:val="nil"/>
              <w:tr2bl w:val="nil"/>
            </w:tcBorders>
            <w:vAlign w:val="center"/>
          </w:tcPr>
          <w:p w14:paraId="3BC5F784">
            <w:pPr>
              <w:pStyle w:val="50"/>
              <w:rPr>
                <w:b w:val="0"/>
                <w:bCs w:val="0"/>
              </w:rPr>
            </w:pPr>
            <w:r>
              <w:rPr>
                <w:rFonts w:hint="eastAsia"/>
                <w:b w:val="0"/>
                <w:bCs w:val="0"/>
              </w:rPr>
              <w:t>起重伤害</w:t>
            </w:r>
          </w:p>
        </w:tc>
      </w:tr>
      <w:tr w14:paraId="270D54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934150C">
            <w:pPr>
              <w:pStyle w:val="50"/>
              <w:numPr>
                <w:ilvl w:val="0"/>
                <w:numId w:val="24"/>
              </w:numPr>
              <w:tabs>
                <w:tab w:val="clear" w:pos="0"/>
              </w:tabs>
            </w:pPr>
          </w:p>
        </w:tc>
        <w:tc>
          <w:tcPr>
            <w:tcW w:w="504" w:type="pct"/>
            <w:vMerge w:val="continue"/>
            <w:tcBorders>
              <w:tl2br w:val="nil"/>
              <w:tr2bl w:val="nil"/>
            </w:tcBorders>
            <w:vAlign w:val="center"/>
          </w:tcPr>
          <w:p w14:paraId="7073CF1B">
            <w:pPr>
              <w:pStyle w:val="50"/>
              <w:rPr>
                <w:b w:val="0"/>
                <w:bCs w:val="0"/>
              </w:rPr>
            </w:pPr>
          </w:p>
        </w:tc>
        <w:tc>
          <w:tcPr>
            <w:tcW w:w="3596" w:type="pct"/>
            <w:tcBorders>
              <w:tl2br w:val="nil"/>
              <w:tr2bl w:val="nil"/>
            </w:tcBorders>
            <w:vAlign w:val="center"/>
          </w:tcPr>
          <w:p w14:paraId="25DD43BC">
            <w:pPr>
              <w:pStyle w:val="50"/>
              <w:rPr>
                <w:b w:val="0"/>
                <w:bCs w:val="0"/>
              </w:rPr>
            </w:pPr>
            <w:r>
              <w:rPr>
                <w:rFonts w:hint="eastAsia"/>
                <w:b w:val="0"/>
                <w:bCs w:val="0"/>
              </w:rPr>
              <w:t>吊耳、耳轴或耳轴套，磨损减少原尺寸5％。</w:t>
            </w:r>
          </w:p>
        </w:tc>
        <w:tc>
          <w:tcPr>
            <w:tcW w:w="640" w:type="pct"/>
            <w:tcBorders>
              <w:tl2br w:val="nil"/>
              <w:tr2bl w:val="nil"/>
            </w:tcBorders>
            <w:vAlign w:val="center"/>
          </w:tcPr>
          <w:p w14:paraId="347C3FC4">
            <w:pPr>
              <w:pStyle w:val="50"/>
              <w:rPr>
                <w:b w:val="0"/>
                <w:bCs w:val="0"/>
              </w:rPr>
            </w:pPr>
            <w:r>
              <w:rPr>
                <w:rFonts w:hint="eastAsia"/>
                <w:b w:val="0"/>
                <w:bCs w:val="0"/>
              </w:rPr>
              <w:t>起重伤害</w:t>
            </w:r>
          </w:p>
        </w:tc>
      </w:tr>
      <w:tr w14:paraId="2E68EF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560D46C">
            <w:pPr>
              <w:pStyle w:val="50"/>
              <w:numPr>
                <w:ilvl w:val="0"/>
                <w:numId w:val="24"/>
              </w:numPr>
              <w:tabs>
                <w:tab w:val="clear" w:pos="0"/>
              </w:tabs>
            </w:pPr>
          </w:p>
        </w:tc>
        <w:tc>
          <w:tcPr>
            <w:tcW w:w="504" w:type="pct"/>
            <w:vMerge w:val="restart"/>
            <w:tcBorders>
              <w:tl2br w:val="nil"/>
              <w:tr2bl w:val="nil"/>
            </w:tcBorders>
            <w:vAlign w:val="center"/>
          </w:tcPr>
          <w:p w14:paraId="3B356CC9">
            <w:pPr>
              <w:pStyle w:val="50"/>
              <w:rPr>
                <w:b w:val="0"/>
                <w:bCs w:val="0"/>
              </w:rPr>
            </w:pPr>
            <w:r>
              <w:rPr>
                <w:rFonts w:hint="eastAsia"/>
                <w:b w:val="0"/>
                <w:bCs w:val="0"/>
              </w:rPr>
              <w:t>操作错误，忽视安全，忽视警告</w:t>
            </w:r>
          </w:p>
        </w:tc>
        <w:tc>
          <w:tcPr>
            <w:tcW w:w="3596" w:type="pct"/>
            <w:tcBorders>
              <w:tl2br w:val="nil"/>
              <w:tr2bl w:val="nil"/>
            </w:tcBorders>
            <w:vAlign w:val="center"/>
          </w:tcPr>
          <w:p w14:paraId="0B9B2E0B">
            <w:pPr>
              <w:pStyle w:val="50"/>
              <w:rPr>
                <w:b w:val="0"/>
                <w:bCs w:val="0"/>
              </w:rPr>
            </w:pPr>
            <w:r>
              <w:rPr>
                <w:rFonts w:hint="eastAsia"/>
                <w:b w:val="0"/>
                <w:bCs w:val="0"/>
              </w:rPr>
              <w:t>未经许可开动、关停、移动机器</w:t>
            </w:r>
          </w:p>
        </w:tc>
        <w:tc>
          <w:tcPr>
            <w:tcW w:w="640" w:type="pct"/>
            <w:tcBorders>
              <w:tl2br w:val="nil"/>
              <w:tr2bl w:val="nil"/>
            </w:tcBorders>
            <w:vAlign w:val="center"/>
          </w:tcPr>
          <w:p w14:paraId="5B42195C">
            <w:pPr>
              <w:pStyle w:val="50"/>
              <w:rPr>
                <w:b w:val="0"/>
                <w:bCs w:val="0"/>
              </w:rPr>
            </w:pPr>
            <w:r>
              <w:rPr>
                <w:rFonts w:hint="eastAsia"/>
                <w:b w:val="0"/>
                <w:bCs w:val="0"/>
              </w:rPr>
              <w:t>机械伤害</w:t>
            </w:r>
          </w:p>
        </w:tc>
      </w:tr>
      <w:tr w14:paraId="32141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AB6F342">
            <w:pPr>
              <w:pStyle w:val="50"/>
              <w:numPr>
                <w:ilvl w:val="0"/>
                <w:numId w:val="24"/>
              </w:numPr>
              <w:tabs>
                <w:tab w:val="clear" w:pos="0"/>
              </w:tabs>
            </w:pPr>
          </w:p>
        </w:tc>
        <w:tc>
          <w:tcPr>
            <w:tcW w:w="504" w:type="pct"/>
            <w:vMerge w:val="continue"/>
            <w:tcBorders>
              <w:tl2br w:val="nil"/>
              <w:tr2bl w:val="nil"/>
            </w:tcBorders>
            <w:vAlign w:val="center"/>
          </w:tcPr>
          <w:p w14:paraId="181E9368">
            <w:pPr>
              <w:pStyle w:val="50"/>
              <w:rPr>
                <w:b w:val="0"/>
                <w:bCs w:val="0"/>
              </w:rPr>
            </w:pPr>
          </w:p>
        </w:tc>
        <w:tc>
          <w:tcPr>
            <w:tcW w:w="3596" w:type="pct"/>
            <w:tcBorders>
              <w:tl2br w:val="nil"/>
              <w:tr2bl w:val="nil"/>
            </w:tcBorders>
            <w:vAlign w:val="center"/>
          </w:tcPr>
          <w:p w14:paraId="6809B37A">
            <w:pPr>
              <w:pStyle w:val="50"/>
              <w:rPr>
                <w:b w:val="0"/>
                <w:bCs w:val="0"/>
              </w:rPr>
            </w:pPr>
            <w:r>
              <w:rPr>
                <w:rFonts w:hint="eastAsia"/>
                <w:b w:val="0"/>
                <w:bCs w:val="0"/>
              </w:rPr>
              <w:t>开动、关停机器时未给信号</w:t>
            </w:r>
          </w:p>
        </w:tc>
        <w:tc>
          <w:tcPr>
            <w:tcW w:w="640" w:type="pct"/>
            <w:tcBorders>
              <w:tl2br w:val="nil"/>
              <w:tr2bl w:val="nil"/>
            </w:tcBorders>
            <w:vAlign w:val="center"/>
          </w:tcPr>
          <w:p w14:paraId="57374016">
            <w:pPr>
              <w:pStyle w:val="50"/>
              <w:rPr>
                <w:b w:val="0"/>
                <w:bCs w:val="0"/>
              </w:rPr>
            </w:pPr>
            <w:r>
              <w:rPr>
                <w:rFonts w:hint="eastAsia"/>
                <w:b w:val="0"/>
                <w:bCs w:val="0"/>
              </w:rPr>
              <w:t>机械伤害</w:t>
            </w:r>
          </w:p>
        </w:tc>
      </w:tr>
      <w:tr w14:paraId="5AD75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894928A">
            <w:pPr>
              <w:pStyle w:val="50"/>
              <w:numPr>
                <w:ilvl w:val="0"/>
                <w:numId w:val="24"/>
              </w:numPr>
              <w:tabs>
                <w:tab w:val="clear" w:pos="0"/>
              </w:tabs>
            </w:pPr>
          </w:p>
        </w:tc>
        <w:tc>
          <w:tcPr>
            <w:tcW w:w="504" w:type="pct"/>
            <w:vMerge w:val="continue"/>
            <w:tcBorders>
              <w:tl2br w:val="nil"/>
              <w:tr2bl w:val="nil"/>
            </w:tcBorders>
            <w:vAlign w:val="center"/>
          </w:tcPr>
          <w:p w14:paraId="0A9E71D9">
            <w:pPr>
              <w:pStyle w:val="50"/>
              <w:rPr>
                <w:b w:val="0"/>
                <w:bCs w:val="0"/>
              </w:rPr>
            </w:pPr>
          </w:p>
        </w:tc>
        <w:tc>
          <w:tcPr>
            <w:tcW w:w="3596" w:type="pct"/>
            <w:tcBorders>
              <w:tl2br w:val="nil"/>
              <w:tr2bl w:val="nil"/>
            </w:tcBorders>
            <w:vAlign w:val="center"/>
          </w:tcPr>
          <w:p w14:paraId="7B824EAC">
            <w:pPr>
              <w:pStyle w:val="50"/>
              <w:rPr>
                <w:b w:val="0"/>
                <w:bCs w:val="0"/>
              </w:rPr>
            </w:pPr>
            <w:r>
              <w:rPr>
                <w:rFonts w:hint="eastAsia"/>
                <w:b w:val="0"/>
                <w:bCs w:val="0"/>
              </w:rPr>
              <w:t>操作错误（指按钮、阀门、搬手、把柄等的操作）</w:t>
            </w:r>
          </w:p>
        </w:tc>
        <w:tc>
          <w:tcPr>
            <w:tcW w:w="640" w:type="pct"/>
            <w:tcBorders>
              <w:tl2br w:val="nil"/>
              <w:tr2bl w:val="nil"/>
            </w:tcBorders>
            <w:vAlign w:val="center"/>
          </w:tcPr>
          <w:p w14:paraId="51110934">
            <w:pPr>
              <w:pStyle w:val="50"/>
              <w:rPr>
                <w:b w:val="0"/>
                <w:bCs w:val="0"/>
              </w:rPr>
            </w:pPr>
            <w:r>
              <w:rPr>
                <w:rFonts w:hint="eastAsia"/>
                <w:b w:val="0"/>
                <w:bCs w:val="0"/>
              </w:rPr>
              <w:t>机械伤害</w:t>
            </w:r>
          </w:p>
        </w:tc>
      </w:tr>
      <w:tr w14:paraId="04D793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2A74832">
            <w:pPr>
              <w:pStyle w:val="50"/>
              <w:numPr>
                <w:ilvl w:val="0"/>
                <w:numId w:val="24"/>
              </w:numPr>
              <w:tabs>
                <w:tab w:val="clear" w:pos="0"/>
              </w:tabs>
            </w:pPr>
          </w:p>
        </w:tc>
        <w:tc>
          <w:tcPr>
            <w:tcW w:w="504" w:type="pct"/>
            <w:vMerge w:val="restart"/>
            <w:tcBorders>
              <w:tl2br w:val="nil"/>
              <w:tr2bl w:val="nil"/>
            </w:tcBorders>
            <w:vAlign w:val="center"/>
          </w:tcPr>
          <w:p w14:paraId="022D4610">
            <w:pPr>
              <w:pStyle w:val="50"/>
              <w:rPr>
                <w:b w:val="0"/>
                <w:bCs w:val="0"/>
              </w:rPr>
            </w:pPr>
            <w:r>
              <w:rPr>
                <w:rFonts w:hint="eastAsia"/>
                <w:b w:val="0"/>
                <w:bCs w:val="0"/>
              </w:rPr>
              <w:t>作业现场环境</w:t>
            </w:r>
          </w:p>
        </w:tc>
        <w:tc>
          <w:tcPr>
            <w:tcW w:w="3596" w:type="pct"/>
            <w:tcBorders>
              <w:tl2br w:val="nil"/>
              <w:tr2bl w:val="nil"/>
            </w:tcBorders>
            <w:vAlign w:val="center"/>
          </w:tcPr>
          <w:p w14:paraId="1DE5783B">
            <w:pPr>
              <w:pStyle w:val="50"/>
              <w:rPr>
                <w:b w:val="0"/>
                <w:bCs w:val="0"/>
              </w:rPr>
            </w:pPr>
            <w:r>
              <w:rPr>
                <w:rFonts w:hint="eastAsia"/>
                <w:b w:val="0"/>
                <w:bCs w:val="0"/>
              </w:rPr>
              <w:t>起重机械运动部分与建筑物、设施、输电线的安全距离不够。</w:t>
            </w:r>
          </w:p>
        </w:tc>
        <w:tc>
          <w:tcPr>
            <w:tcW w:w="640" w:type="pct"/>
            <w:tcBorders>
              <w:tl2br w:val="nil"/>
              <w:tr2bl w:val="nil"/>
            </w:tcBorders>
            <w:vAlign w:val="center"/>
          </w:tcPr>
          <w:p w14:paraId="07422D8E">
            <w:pPr>
              <w:pStyle w:val="50"/>
              <w:rPr>
                <w:b w:val="0"/>
                <w:bCs w:val="0"/>
              </w:rPr>
            </w:pPr>
            <w:r>
              <w:rPr>
                <w:rFonts w:hint="eastAsia"/>
                <w:b w:val="0"/>
                <w:bCs w:val="0"/>
              </w:rPr>
              <w:t>起重伤害</w:t>
            </w:r>
          </w:p>
        </w:tc>
      </w:tr>
      <w:tr w14:paraId="3B5D3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5D3A2BE3">
            <w:pPr>
              <w:pStyle w:val="50"/>
              <w:numPr>
                <w:ilvl w:val="0"/>
                <w:numId w:val="24"/>
              </w:numPr>
              <w:tabs>
                <w:tab w:val="clear" w:pos="0"/>
              </w:tabs>
            </w:pPr>
          </w:p>
        </w:tc>
        <w:tc>
          <w:tcPr>
            <w:tcW w:w="504" w:type="pct"/>
            <w:vMerge w:val="continue"/>
            <w:tcBorders>
              <w:tl2br w:val="nil"/>
              <w:tr2bl w:val="nil"/>
            </w:tcBorders>
            <w:vAlign w:val="center"/>
          </w:tcPr>
          <w:p w14:paraId="2C860817">
            <w:pPr>
              <w:pStyle w:val="50"/>
              <w:rPr>
                <w:b w:val="0"/>
                <w:bCs w:val="0"/>
              </w:rPr>
            </w:pPr>
          </w:p>
        </w:tc>
        <w:tc>
          <w:tcPr>
            <w:tcW w:w="3596" w:type="pct"/>
            <w:tcBorders>
              <w:tl2br w:val="nil"/>
              <w:tr2bl w:val="nil"/>
            </w:tcBorders>
            <w:vAlign w:val="center"/>
          </w:tcPr>
          <w:p w14:paraId="2CF13399">
            <w:pPr>
              <w:pStyle w:val="50"/>
              <w:rPr>
                <w:b w:val="0"/>
                <w:bCs w:val="0"/>
              </w:rPr>
            </w:pPr>
            <w:r>
              <w:rPr>
                <w:rFonts w:hint="eastAsia"/>
                <w:b w:val="0"/>
                <w:bCs w:val="0"/>
              </w:rPr>
              <w:t>作业前，未检查起重吊装所使用的起重机滑轮、吊索、卡环和地锚等。</w:t>
            </w:r>
          </w:p>
        </w:tc>
        <w:tc>
          <w:tcPr>
            <w:tcW w:w="640" w:type="pct"/>
            <w:tcBorders>
              <w:tl2br w:val="nil"/>
              <w:tr2bl w:val="nil"/>
            </w:tcBorders>
            <w:vAlign w:val="center"/>
          </w:tcPr>
          <w:p w14:paraId="3C5534DF">
            <w:pPr>
              <w:pStyle w:val="50"/>
              <w:rPr>
                <w:b w:val="0"/>
                <w:bCs w:val="0"/>
              </w:rPr>
            </w:pPr>
            <w:r>
              <w:rPr>
                <w:rFonts w:hint="eastAsia"/>
                <w:b w:val="0"/>
                <w:bCs w:val="0"/>
              </w:rPr>
              <w:t>起重伤害</w:t>
            </w:r>
          </w:p>
        </w:tc>
      </w:tr>
      <w:tr w14:paraId="1C6DD8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2CE6D46">
            <w:pPr>
              <w:pStyle w:val="50"/>
              <w:numPr>
                <w:ilvl w:val="0"/>
                <w:numId w:val="24"/>
              </w:numPr>
              <w:tabs>
                <w:tab w:val="clear" w:pos="0"/>
              </w:tabs>
            </w:pPr>
          </w:p>
        </w:tc>
        <w:tc>
          <w:tcPr>
            <w:tcW w:w="504" w:type="pct"/>
            <w:vMerge w:val="continue"/>
            <w:tcBorders>
              <w:tl2br w:val="nil"/>
              <w:tr2bl w:val="nil"/>
            </w:tcBorders>
            <w:vAlign w:val="center"/>
          </w:tcPr>
          <w:p w14:paraId="4F741009">
            <w:pPr>
              <w:pStyle w:val="50"/>
              <w:rPr>
                <w:b w:val="0"/>
                <w:bCs w:val="0"/>
              </w:rPr>
            </w:pPr>
          </w:p>
        </w:tc>
        <w:tc>
          <w:tcPr>
            <w:tcW w:w="3596" w:type="pct"/>
            <w:tcBorders>
              <w:tl2br w:val="nil"/>
              <w:tr2bl w:val="nil"/>
            </w:tcBorders>
            <w:vAlign w:val="center"/>
          </w:tcPr>
          <w:p w14:paraId="329806DB">
            <w:pPr>
              <w:pStyle w:val="50"/>
              <w:rPr>
                <w:b w:val="0"/>
                <w:bCs w:val="0"/>
              </w:rPr>
            </w:pPr>
            <w:r>
              <w:rPr>
                <w:rFonts w:hint="eastAsia"/>
                <w:b w:val="0"/>
                <w:bCs w:val="0"/>
              </w:rPr>
              <w:t>吊装业作区四周未设置明显标志或警戒区；夜间施工没有足够的照明。</w:t>
            </w:r>
          </w:p>
        </w:tc>
        <w:tc>
          <w:tcPr>
            <w:tcW w:w="640" w:type="pct"/>
            <w:tcBorders>
              <w:tl2br w:val="nil"/>
              <w:tr2bl w:val="nil"/>
            </w:tcBorders>
            <w:vAlign w:val="center"/>
          </w:tcPr>
          <w:p w14:paraId="0D4BD461">
            <w:pPr>
              <w:pStyle w:val="50"/>
              <w:rPr>
                <w:b w:val="0"/>
                <w:bCs w:val="0"/>
              </w:rPr>
            </w:pPr>
            <w:r>
              <w:rPr>
                <w:rFonts w:hint="eastAsia"/>
                <w:b w:val="0"/>
                <w:bCs w:val="0"/>
              </w:rPr>
              <w:t>起重伤害</w:t>
            </w:r>
          </w:p>
        </w:tc>
      </w:tr>
      <w:tr w14:paraId="134297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3D253AED">
            <w:pPr>
              <w:pStyle w:val="50"/>
              <w:numPr>
                <w:ilvl w:val="0"/>
                <w:numId w:val="24"/>
              </w:numPr>
              <w:tabs>
                <w:tab w:val="clear" w:pos="0"/>
              </w:tabs>
            </w:pPr>
          </w:p>
        </w:tc>
        <w:tc>
          <w:tcPr>
            <w:tcW w:w="504" w:type="pct"/>
            <w:vMerge w:val="continue"/>
            <w:tcBorders>
              <w:tl2br w:val="nil"/>
              <w:tr2bl w:val="nil"/>
            </w:tcBorders>
            <w:vAlign w:val="center"/>
          </w:tcPr>
          <w:p w14:paraId="6C9787A0">
            <w:pPr>
              <w:pStyle w:val="50"/>
              <w:rPr>
                <w:b w:val="0"/>
                <w:bCs w:val="0"/>
              </w:rPr>
            </w:pPr>
          </w:p>
        </w:tc>
        <w:tc>
          <w:tcPr>
            <w:tcW w:w="3596" w:type="pct"/>
            <w:tcBorders>
              <w:tl2br w:val="nil"/>
              <w:tr2bl w:val="nil"/>
            </w:tcBorders>
            <w:vAlign w:val="center"/>
          </w:tcPr>
          <w:p w14:paraId="0C3AFC44">
            <w:pPr>
              <w:pStyle w:val="50"/>
              <w:rPr>
                <w:b w:val="0"/>
                <w:bCs w:val="0"/>
              </w:rPr>
            </w:pPr>
            <w:r>
              <w:rPr>
                <w:rFonts w:hint="eastAsia"/>
                <w:b w:val="0"/>
                <w:bCs w:val="0"/>
              </w:rPr>
              <w:t>起重设备通行道路不平整、坚实</w:t>
            </w:r>
          </w:p>
        </w:tc>
        <w:tc>
          <w:tcPr>
            <w:tcW w:w="640" w:type="pct"/>
            <w:tcBorders>
              <w:tl2br w:val="nil"/>
              <w:tr2bl w:val="nil"/>
            </w:tcBorders>
            <w:vAlign w:val="center"/>
          </w:tcPr>
          <w:p w14:paraId="4DEC68FC">
            <w:pPr>
              <w:pStyle w:val="50"/>
              <w:rPr>
                <w:b w:val="0"/>
                <w:bCs w:val="0"/>
              </w:rPr>
            </w:pPr>
            <w:r>
              <w:rPr>
                <w:rFonts w:hint="eastAsia"/>
                <w:b w:val="0"/>
                <w:bCs w:val="0"/>
              </w:rPr>
              <w:t>机械伤害</w:t>
            </w:r>
          </w:p>
        </w:tc>
      </w:tr>
      <w:tr w14:paraId="1C8174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7CAEA9BB">
            <w:pPr>
              <w:pStyle w:val="50"/>
              <w:numPr>
                <w:ilvl w:val="0"/>
                <w:numId w:val="24"/>
              </w:numPr>
              <w:tabs>
                <w:tab w:val="clear" w:pos="0"/>
              </w:tabs>
            </w:pPr>
          </w:p>
        </w:tc>
        <w:tc>
          <w:tcPr>
            <w:tcW w:w="504" w:type="pct"/>
            <w:vMerge w:val="restart"/>
            <w:tcBorders>
              <w:tl2br w:val="nil"/>
              <w:tr2bl w:val="nil"/>
            </w:tcBorders>
            <w:vAlign w:val="center"/>
          </w:tcPr>
          <w:p w14:paraId="212CCEE5">
            <w:pPr>
              <w:pStyle w:val="50"/>
              <w:rPr>
                <w:b w:val="0"/>
                <w:bCs w:val="0"/>
              </w:rPr>
            </w:pPr>
            <w:r>
              <w:rPr>
                <w:rFonts w:hint="eastAsia"/>
                <w:b w:val="0"/>
                <w:bCs w:val="0"/>
              </w:rPr>
              <w:t>起重</w:t>
            </w:r>
          </w:p>
          <w:p w14:paraId="4F09F172">
            <w:pPr>
              <w:pStyle w:val="50"/>
              <w:rPr>
                <w:b w:val="0"/>
                <w:bCs w:val="0"/>
              </w:rPr>
            </w:pPr>
            <w:r>
              <w:rPr>
                <w:rFonts w:hint="eastAsia"/>
                <w:b w:val="0"/>
                <w:bCs w:val="0"/>
              </w:rPr>
              <w:t>作业</w:t>
            </w:r>
          </w:p>
        </w:tc>
        <w:tc>
          <w:tcPr>
            <w:tcW w:w="3596" w:type="pct"/>
            <w:tcBorders>
              <w:tl2br w:val="nil"/>
              <w:tr2bl w:val="nil"/>
            </w:tcBorders>
            <w:vAlign w:val="center"/>
          </w:tcPr>
          <w:p w14:paraId="4B807C7A">
            <w:pPr>
              <w:pStyle w:val="50"/>
              <w:rPr>
                <w:b w:val="0"/>
                <w:bCs w:val="0"/>
              </w:rPr>
            </w:pPr>
            <w:r>
              <w:rPr>
                <w:rFonts w:hint="eastAsia"/>
                <w:b w:val="0"/>
                <w:bCs w:val="0"/>
              </w:rPr>
              <w:t>吊装长大物件时，没有于物件两端绑扎溜绳，并且由操作人员控制物件的平衡和稳定</w:t>
            </w:r>
          </w:p>
        </w:tc>
        <w:tc>
          <w:tcPr>
            <w:tcW w:w="640" w:type="pct"/>
            <w:tcBorders>
              <w:tl2br w:val="nil"/>
              <w:tr2bl w:val="nil"/>
            </w:tcBorders>
            <w:vAlign w:val="center"/>
          </w:tcPr>
          <w:p w14:paraId="1B343AE6">
            <w:pPr>
              <w:pStyle w:val="50"/>
              <w:rPr>
                <w:b w:val="0"/>
                <w:bCs w:val="0"/>
              </w:rPr>
            </w:pPr>
            <w:r>
              <w:rPr>
                <w:rFonts w:hint="eastAsia"/>
                <w:b w:val="0"/>
                <w:bCs w:val="0"/>
              </w:rPr>
              <w:t>起重伤害</w:t>
            </w:r>
          </w:p>
        </w:tc>
      </w:tr>
      <w:tr w14:paraId="18D748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D5F72B3">
            <w:pPr>
              <w:pStyle w:val="50"/>
              <w:numPr>
                <w:ilvl w:val="0"/>
                <w:numId w:val="24"/>
              </w:numPr>
              <w:tabs>
                <w:tab w:val="clear" w:pos="0"/>
              </w:tabs>
            </w:pPr>
          </w:p>
        </w:tc>
        <w:tc>
          <w:tcPr>
            <w:tcW w:w="504" w:type="pct"/>
            <w:vMerge w:val="continue"/>
            <w:tcBorders>
              <w:tl2br w:val="nil"/>
              <w:tr2bl w:val="nil"/>
            </w:tcBorders>
            <w:vAlign w:val="center"/>
          </w:tcPr>
          <w:p w14:paraId="7D79FF83">
            <w:pPr>
              <w:pStyle w:val="50"/>
              <w:rPr>
                <w:b w:val="0"/>
                <w:bCs w:val="0"/>
              </w:rPr>
            </w:pPr>
          </w:p>
        </w:tc>
        <w:tc>
          <w:tcPr>
            <w:tcW w:w="3596" w:type="pct"/>
            <w:tcBorders>
              <w:tl2br w:val="nil"/>
              <w:tr2bl w:val="nil"/>
            </w:tcBorders>
            <w:vAlign w:val="center"/>
          </w:tcPr>
          <w:p w14:paraId="4C4C3FB2">
            <w:pPr>
              <w:pStyle w:val="50"/>
              <w:rPr>
                <w:b w:val="0"/>
                <w:bCs w:val="0"/>
              </w:rPr>
            </w:pPr>
            <w:r>
              <w:rPr>
                <w:rFonts w:hint="eastAsia"/>
                <w:b w:val="0"/>
                <w:bCs w:val="0"/>
              </w:rPr>
              <w:t>构件吊装和翻身扶直时的吊点不符合设计规定，构件起吊不平稳。</w:t>
            </w:r>
          </w:p>
        </w:tc>
        <w:tc>
          <w:tcPr>
            <w:tcW w:w="640" w:type="pct"/>
            <w:tcBorders>
              <w:tl2br w:val="nil"/>
              <w:tr2bl w:val="nil"/>
            </w:tcBorders>
            <w:vAlign w:val="center"/>
          </w:tcPr>
          <w:p w14:paraId="24347A4A">
            <w:pPr>
              <w:pStyle w:val="50"/>
              <w:rPr>
                <w:b w:val="0"/>
                <w:bCs w:val="0"/>
              </w:rPr>
            </w:pPr>
            <w:r>
              <w:rPr>
                <w:rFonts w:hint="eastAsia"/>
                <w:b w:val="0"/>
                <w:bCs w:val="0"/>
              </w:rPr>
              <w:t>起重伤害</w:t>
            </w:r>
          </w:p>
        </w:tc>
      </w:tr>
      <w:tr w14:paraId="05E435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602F2C4">
            <w:pPr>
              <w:pStyle w:val="50"/>
              <w:numPr>
                <w:ilvl w:val="0"/>
                <w:numId w:val="24"/>
              </w:numPr>
              <w:tabs>
                <w:tab w:val="clear" w:pos="0"/>
              </w:tabs>
            </w:pPr>
          </w:p>
        </w:tc>
        <w:tc>
          <w:tcPr>
            <w:tcW w:w="504" w:type="pct"/>
            <w:vMerge w:val="continue"/>
            <w:tcBorders>
              <w:tl2br w:val="nil"/>
              <w:tr2bl w:val="nil"/>
            </w:tcBorders>
            <w:vAlign w:val="center"/>
          </w:tcPr>
          <w:p w14:paraId="3CF85B28">
            <w:pPr>
              <w:pStyle w:val="50"/>
              <w:rPr>
                <w:b w:val="0"/>
                <w:bCs w:val="0"/>
              </w:rPr>
            </w:pPr>
          </w:p>
        </w:tc>
        <w:tc>
          <w:tcPr>
            <w:tcW w:w="3596" w:type="pct"/>
            <w:tcBorders>
              <w:tl2br w:val="nil"/>
              <w:tr2bl w:val="nil"/>
            </w:tcBorders>
            <w:vAlign w:val="center"/>
          </w:tcPr>
          <w:p w14:paraId="1ECDE520">
            <w:pPr>
              <w:pStyle w:val="50"/>
              <w:rPr>
                <w:b w:val="0"/>
                <w:bCs w:val="0"/>
              </w:rPr>
            </w:pPr>
            <w:r>
              <w:rPr>
                <w:rFonts w:hint="eastAsia"/>
                <w:b w:val="0"/>
                <w:bCs w:val="0"/>
              </w:rPr>
              <w:t>吊装大、重构件和采用新的吊装工艺时，未进行试吊。</w:t>
            </w:r>
          </w:p>
        </w:tc>
        <w:tc>
          <w:tcPr>
            <w:tcW w:w="640" w:type="pct"/>
            <w:tcBorders>
              <w:tl2br w:val="nil"/>
              <w:tr2bl w:val="nil"/>
            </w:tcBorders>
            <w:vAlign w:val="center"/>
          </w:tcPr>
          <w:p w14:paraId="5BDBBD10">
            <w:pPr>
              <w:pStyle w:val="50"/>
              <w:rPr>
                <w:b w:val="0"/>
                <w:bCs w:val="0"/>
              </w:rPr>
            </w:pPr>
            <w:r>
              <w:rPr>
                <w:rFonts w:hint="eastAsia"/>
                <w:b w:val="0"/>
                <w:bCs w:val="0"/>
              </w:rPr>
              <w:t>起重伤害</w:t>
            </w:r>
          </w:p>
        </w:tc>
      </w:tr>
      <w:tr w14:paraId="29A63D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EE8612F">
            <w:pPr>
              <w:pStyle w:val="50"/>
              <w:numPr>
                <w:ilvl w:val="0"/>
                <w:numId w:val="24"/>
              </w:numPr>
              <w:tabs>
                <w:tab w:val="clear" w:pos="0"/>
              </w:tabs>
            </w:pPr>
          </w:p>
        </w:tc>
        <w:tc>
          <w:tcPr>
            <w:tcW w:w="504" w:type="pct"/>
            <w:vMerge w:val="continue"/>
            <w:tcBorders>
              <w:tl2br w:val="nil"/>
              <w:tr2bl w:val="nil"/>
            </w:tcBorders>
            <w:vAlign w:val="center"/>
          </w:tcPr>
          <w:p w14:paraId="14ACA9B7">
            <w:pPr>
              <w:pStyle w:val="50"/>
              <w:rPr>
                <w:b w:val="0"/>
                <w:bCs w:val="0"/>
              </w:rPr>
            </w:pPr>
          </w:p>
        </w:tc>
        <w:tc>
          <w:tcPr>
            <w:tcW w:w="3596" w:type="pct"/>
            <w:tcBorders>
              <w:tl2br w:val="nil"/>
              <w:tr2bl w:val="nil"/>
            </w:tcBorders>
            <w:vAlign w:val="center"/>
          </w:tcPr>
          <w:p w14:paraId="3EF78123">
            <w:pPr>
              <w:pStyle w:val="50"/>
              <w:rPr>
                <w:b w:val="0"/>
                <w:bCs w:val="0"/>
              </w:rPr>
            </w:pPr>
            <w:r>
              <w:rPr>
                <w:rFonts w:hint="eastAsia"/>
                <w:b w:val="0"/>
                <w:bCs w:val="0"/>
              </w:rPr>
              <w:t>大雨、雾、大雪及六级以上大风等恶劣天气进行吊装作业。</w:t>
            </w:r>
          </w:p>
        </w:tc>
        <w:tc>
          <w:tcPr>
            <w:tcW w:w="640" w:type="pct"/>
            <w:tcBorders>
              <w:tl2br w:val="nil"/>
              <w:tr2bl w:val="nil"/>
            </w:tcBorders>
            <w:vAlign w:val="center"/>
          </w:tcPr>
          <w:p w14:paraId="3821E346">
            <w:pPr>
              <w:pStyle w:val="50"/>
              <w:rPr>
                <w:b w:val="0"/>
                <w:bCs w:val="0"/>
              </w:rPr>
            </w:pPr>
            <w:r>
              <w:rPr>
                <w:rFonts w:hint="eastAsia"/>
                <w:b w:val="0"/>
                <w:bCs w:val="0"/>
              </w:rPr>
              <w:t>起重伤害</w:t>
            </w:r>
          </w:p>
        </w:tc>
      </w:tr>
      <w:tr w14:paraId="4FD5C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98F52D1">
            <w:pPr>
              <w:pStyle w:val="50"/>
              <w:numPr>
                <w:ilvl w:val="0"/>
                <w:numId w:val="24"/>
              </w:numPr>
              <w:tabs>
                <w:tab w:val="clear" w:pos="0"/>
              </w:tabs>
            </w:pPr>
          </w:p>
        </w:tc>
        <w:tc>
          <w:tcPr>
            <w:tcW w:w="504" w:type="pct"/>
            <w:vMerge w:val="continue"/>
            <w:tcBorders>
              <w:tl2br w:val="nil"/>
              <w:tr2bl w:val="nil"/>
            </w:tcBorders>
            <w:vAlign w:val="center"/>
          </w:tcPr>
          <w:p w14:paraId="689AA702">
            <w:pPr>
              <w:pStyle w:val="50"/>
              <w:rPr>
                <w:b w:val="0"/>
                <w:bCs w:val="0"/>
              </w:rPr>
            </w:pPr>
          </w:p>
        </w:tc>
        <w:tc>
          <w:tcPr>
            <w:tcW w:w="3596" w:type="pct"/>
            <w:tcBorders>
              <w:tl2br w:val="nil"/>
              <w:tr2bl w:val="nil"/>
            </w:tcBorders>
            <w:vAlign w:val="center"/>
          </w:tcPr>
          <w:p w14:paraId="1005F695">
            <w:pPr>
              <w:pStyle w:val="50"/>
              <w:rPr>
                <w:b w:val="0"/>
                <w:bCs w:val="0"/>
              </w:rPr>
            </w:pPr>
            <w:r>
              <w:rPr>
                <w:rFonts w:hint="eastAsia"/>
                <w:b w:val="0"/>
                <w:bCs w:val="0"/>
              </w:rPr>
              <w:t>采用了斜拉、斜吊，或者起吊埋于地下或粘结在地面上的构件。</w:t>
            </w:r>
          </w:p>
        </w:tc>
        <w:tc>
          <w:tcPr>
            <w:tcW w:w="640" w:type="pct"/>
            <w:tcBorders>
              <w:tl2br w:val="nil"/>
              <w:tr2bl w:val="nil"/>
            </w:tcBorders>
            <w:vAlign w:val="center"/>
          </w:tcPr>
          <w:p w14:paraId="4FD17976">
            <w:pPr>
              <w:pStyle w:val="50"/>
              <w:rPr>
                <w:b w:val="0"/>
                <w:bCs w:val="0"/>
              </w:rPr>
            </w:pPr>
            <w:r>
              <w:rPr>
                <w:rFonts w:hint="eastAsia"/>
                <w:b w:val="0"/>
                <w:bCs w:val="0"/>
              </w:rPr>
              <w:t>起重伤害</w:t>
            </w:r>
          </w:p>
        </w:tc>
      </w:tr>
      <w:tr w14:paraId="4BCEED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5835389D">
            <w:pPr>
              <w:pStyle w:val="50"/>
              <w:numPr>
                <w:ilvl w:val="0"/>
                <w:numId w:val="24"/>
              </w:numPr>
              <w:tabs>
                <w:tab w:val="clear" w:pos="0"/>
              </w:tabs>
            </w:pPr>
          </w:p>
        </w:tc>
        <w:tc>
          <w:tcPr>
            <w:tcW w:w="504" w:type="pct"/>
            <w:vMerge w:val="continue"/>
            <w:tcBorders>
              <w:tl2br w:val="nil"/>
              <w:tr2bl w:val="nil"/>
            </w:tcBorders>
            <w:vAlign w:val="center"/>
          </w:tcPr>
          <w:p w14:paraId="326CF38C">
            <w:pPr>
              <w:pStyle w:val="50"/>
              <w:rPr>
                <w:b w:val="0"/>
                <w:bCs w:val="0"/>
              </w:rPr>
            </w:pPr>
          </w:p>
        </w:tc>
        <w:tc>
          <w:tcPr>
            <w:tcW w:w="3596" w:type="pct"/>
            <w:tcBorders>
              <w:tl2br w:val="nil"/>
              <w:tr2bl w:val="nil"/>
            </w:tcBorders>
            <w:vAlign w:val="center"/>
          </w:tcPr>
          <w:p w14:paraId="18C81269">
            <w:pPr>
              <w:pStyle w:val="50"/>
              <w:rPr>
                <w:b w:val="0"/>
                <w:bCs w:val="0"/>
              </w:rPr>
            </w:pPr>
            <w:r>
              <w:rPr>
                <w:rFonts w:hint="eastAsia"/>
                <w:b w:val="0"/>
                <w:bCs w:val="0"/>
              </w:rPr>
              <w:t>超载吊装和起吊重量不明的重大构件和设备</w:t>
            </w:r>
          </w:p>
        </w:tc>
        <w:tc>
          <w:tcPr>
            <w:tcW w:w="640" w:type="pct"/>
            <w:tcBorders>
              <w:tl2br w:val="nil"/>
              <w:tr2bl w:val="nil"/>
            </w:tcBorders>
            <w:vAlign w:val="center"/>
          </w:tcPr>
          <w:p w14:paraId="4E7703BC">
            <w:pPr>
              <w:pStyle w:val="50"/>
              <w:rPr>
                <w:b w:val="0"/>
                <w:bCs w:val="0"/>
              </w:rPr>
            </w:pPr>
            <w:r>
              <w:rPr>
                <w:rFonts w:hint="eastAsia"/>
                <w:b w:val="0"/>
                <w:bCs w:val="0"/>
              </w:rPr>
              <w:t>起重伤害</w:t>
            </w:r>
          </w:p>
        </w:tc>
      </w:tr>
      <w:tr w14:paraId="07D7C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5C81C8F0">
            <w:pPr>
              <w:pStyle w:val="50"/>
              <w:numPr>
                <w:ilvl w:val="0"/>
                <w:numId w:val="24"/>
              </w:numPr>
              <w:tabs>
                <w:tab w:val="clear" w:pos="0"/>
              </w:tabs>
            </w:pPr>
          </w:p>
        </w:tc>
        <w:tc>
          <w:tcPr>
            <w:tcW w:w="504" w:type="pct"/>
            <w:vMerge w:val="continue"/>
            <w:tcBorders>
              <w:tl2br w:val="nil"/>
              <w:tr2bl w:val="nil"/>
            </w:tcBorders>
            <w:vAlign w:val="center"/>
          </w:tcPr>
          <w:p w14:paraId="66B6C3B2">
            <w:pPr>
              <w:pStyle w:val="50"/>
              <w:rPr>
                <w:b w:val="0"/>
                <w:bCs w:val="0"/>
              </w:rPr>
            </w:pPr>
          </w:p>
        </w:tc>
        <w:tc>
          <w:tcPr>
            <w:tcW w:w="3596" w:type="pct"/>
            <w:tcBorders>
              <w:tl2br w:val="nil"/>
              <w:tr2bl w:val="nil"/>
            </w:tcBorders>
            <w:vAlign w:val="center"/>
          </w:tcPr>
          <w:p w14:paraId="0C7E6167">
            <w:pPr>
              <w:pStyle w:val="50"/>
              <w:rPr>
                <w:b w:val="0"/>
                <w:bCs w:val="0"/>
              </w:rPr>
            </w:pPr>
            <w:r>
              <w:rPr>
                <w:rFonts w:hint="eastAsia"/>
                <w:b w:val="0"/>
                <w:bCs w:val="0"/>
              </w:rPr>
              <w:t>在吊起的构件上行走或站立，或者用起重机载运人员、在构件上堆放或悬挂零星物件。</w:t>
            </w:r>
          </w:p>
        </w:tc>
        <w:tc>
          <w:tcPr>
            <w:tcW w:w="640" w:type="pct"/>
            <w:tcBorders>
              <w:tl2br w:val="nil"/>
              <w:tr2bl w:val="nil"/>
            </w:tcBorders>
            <w:vAlign w:val="center"/>
          </w:tcPr>
          <w:p w14:paraId="676B68CF">
            <w:pPr>
              <w:pStyle w:val="50"/>
              <w:rPr>
                <w:b w:val="0"/>
                <w:bCs w:val="0"/>
              </w:rPr>
            </w:pPr>
            <w:r>
              <w:rPr>
                <w:rFonts w:hint="eastAsia"/>
                <w:b w:val="0"/>
                <w:bCs w:val="0"/>
              </w:rPr>
              <w:t>起重伤害</w:t>
            </w:r>
          </w:p>
        </w:tc>
      </w:tr>
      <w:tr w14:paraId="6F5AD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7C201809">
            <w:pPr>
              <w:pStyle w:val="50"/>
              <w:numPr>
                <w:ilvl w:val="0"/>
                <w:numId w:val="24"/>
              </w:numPr>
              <w:tabs>
                <w:tab w:val="clear" w:pos="0"/>
              </w:tabs>
            </w:pPr>
          </w:p>
        </w:tc>
        <w:tc>
          <w:tcPr>
            <w:tcW w:w="504" w:type="pct"/>
            <w:vMerge w:val="restart"/>
            <w:tcBorders>
              <w:tl2br w:val="nil"/>
              <w:tr2bl w:val="nil"/>
            </w:tcBorders>
            <w:vAlign w:val="center"/>
          </w:tcPr>
          <w:p w14:paraId="0F901E50">
            <w:pPr>
              <w:pStyle w:val="50"/>
              <w:rPr>
                <w:b w:val="0"/>
                <w:bCs w:val="0"/>
              </w:rPr>
            </w:pPr>
            <w:r>
              <w:rPr>
                <w:rFonts w:hint="eastAsia"/>
                <w:b w:val="0"/>
                <w:bCs w:val="0"/>
              </w:rPr>
              <w:t>作业前安全条件确认</w:t>
            </w:r>
          </w:p>
        </w:tc>
        <w:tc>
          <w:tcPr>
            <w:tcW w:w="3596" w:type="pct"/>
            <w:tcBorders>
              <w:tl2br w:val="nil"/>
              <w:tr2bl w:val="nil"/>
            </w:tcBorders>
            <w:vAlign w:val="center"/>
          </w:tcPr>
          <w:p w14:paraId="26E79EDB">
            <w:pPr>
              <w:pStyle w:val="50"/>
              <w:rPr>
                <w:b w:val="0"/>
                <w:bCs w:val="0"/>
              </w:rPr>
            </w:pPr>
            <w:r>
              <w:rPr>
                <w:rFonts w:hint="eastAsia"/>
                <w:b w:val="0"/>
                <w:bCs w:val="0"/>
              </w:rPr>
              <w:t>高处作业前，没有对安全防护设施进行检查、验收</w:t>
            </w:r>
          </w:p>
        </w:tc>
        <w:tc>
          <w:tcPr>
            <w:tcW w:w="640" w:type="pct"/>
            <w:tcBorders>
              <w:tl2br w:val="nil"/>
              <w:tr2bl w:val="nil"/>
            </w:tcBorders>
            <w:vAlign w:val="center"/>
          </w:tcPr>
          <w:p w14:paraId="1EC60F74">
            <w:pPr>
              <w:pStyle w:val="50"/>
              <w:rPr>
                <w:b w:val="0"/>
                <w:bCs w:val="0"/>
              </w:rPr>
            </w:pPr>
            <w:r>
              <w:rPr>
                <w:rFonts w:hint="eastAsia"/>
                <w:b w:val="0"/>
                <w:bCs w:val="0"/>
              </w:rPr>
              <w:t>高处坠落</w:t>
            </w:r>
          </w:p>
        </w:tc>
      </w:tr>
      <w:tr w14:paraId="6A617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C0C59AC">
            <w:pPr>
              <w:pStyle w:val="50"/>
              <w:numPr>
                <w:ilvl w:val="0"/>
                <w:numId w:val="24"/>
              </w:numPr>
              <w:tabs>
                <w:tab w:val="clear" w:pos="0"/>
              </w:tabs>
            </w:pPr>
          </w:p>
        </w:tc>
        <w:tc>
          <w:tcPr>
            <w:tcW w:w="504" w:type="pct"/>
            <w:vMerge w:val="continue"/>
            <w:tcBorders>
              <w:tl2br w:val="nil"/>
              <w:tr2bl w:val="nil"/>
            </w:tcBorders>
            <w:vAlign w:val="center"/>
          </w:tcPr>
          <w:p w14:paraId="2BFDDD35">
            <w:pPr>
              <w:pStyle w:val="50"/>
              <w:rPr>
                <w:b w:val="0"/>
                <w:bCs w:val="0"/>
              </w:rPr>
            </w:pPr>
          </w:p>
        </w:tc>
        <w:tc>
          <w:tcPr>
            <w:tcW w:w="3596" w:type="pct"/>
            <w:tcBorders>
              <w:tl2br w:val="nil"/>
              <w:tr2bl w:val="nil"/>
            </w:tcBorders>
            <w:vAlign w:val="center"/>
          </w:tcPr>
          <w:p w14:paraId="451C1059">
            <w:pPr>
              <w:pStyle w:val="50"/>
              <w:rPr>
                <w:b w:val="0"/>
                <w:bCs w:val="0"/>
              </w:rPr>
            </w:pPr>
            <w:r>
              <w:rPr>
                <w:rFonts w:hint="eastAsia"/>
                <w:b w:val="0"/>
                <w:bCs w:val="0"/>
              </w:rPr>
              <w:t>高处作业施工没有对作业人员进行安全教育和交底</w:t>
            </w:r>
          </w:p>
        </w:tc>
        <w:tc>
          <w:tcPr>
            <w:tcW w:w="640" w:type="pct"/>
            <w:tcBorders>
              <w:tl2br w:val="nil"/>
              <w:tr2bl w:val="nil"/>
            </w:tcBorders>
            <w:vAlign w:val="center"/>
          </w:tcPr>
          <w:p w14:paraId="60ABF4DB">
            <w:pPr>
              <w:pStyle w:val="50"/>
              <w:rPr>
                <w:b w:val="0"/>
                <w:bCs w:val="0"/>
              </w:rPr>
            </w:pPr>
            <w:r>
              <w:rPr>
                <w:rFonts w:hint="eastAsia"/>
                <w:b w:val="0"/>
                <w:bCs w:val="0"/>
              </w:rPr>
              <w:t>高处坠落</w:t>
            </w:r>
          </w:p>
        </w:tc>
      </w:tr>
      <w:tr w14:paraId="0D8A0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37DAC5A1">
            <w:pPr>
              <w:pStyle w:val="50"/>
              <w:numPr>
                <w:ilvl w:val="0"/>
                <w:numId w:val="24"/>
              </w:numPr>
              <w:tabs>
                <w:tab w:val="clear" w:pos="0"/>
              </w:tabs>
            </w:pPr>
          </w:p>
        </w:tc>
        <w:tc>
          <w:tcPr>
            <w:tcW w:w="504" w:type="pct"/>
            <w:vMerge w:val="restart"/>
            <w:tcBorders>
              <w:tl2br w:val="nil"/>
              <w:tr2bl w:val="nil"/>
            </w:tcBorders>
            <w:vAlign w:val="center"/>
          </w:tcPr>
          <w:p w14:paraId="4A72EE5F">
            <w:pPr>
              <w:pStyle w:val="50"/>
              <w:rPr>
                <w:b w:val="0"/>
                <w:bCs w:val="0"/>
              </w:rPr>
            </w:pPr>
            <w:r>
              <w:rPr>
                <w:rFonts w:hint="eastAsia"/>
                <w:b w:val="0"/>
                <w:bCs w:val="0"/>
              </w:rPr>
              <w:t>攀登作业</w:t>
            </w:r>
          </w:p>
        </w:tc>
        <w:tc>
          <w:tcPr>
            <w:tcW w:w="3596" w:type="pct"/>
            <w:tcBorders>
              <w:tl2br w:val="nil"/>
              <w:tr2bl w:val="nil"/>
            </w:tcBorders>
            <w:vAlign w:val="center"/>
          </w:tcPr>
          <w:p w14:paraId="362FA0F5">
            <w:pPr>
              <w:pStyle w:val="50"/>
              <w:rPr>
                <w:b w:val="0"/>
                <w:bCs w:val="0"/>
              </w:rPr>
            </w:pPr>
            <w:r>
              <w:rPr>
                <w:rFonts w:hint="eastAsia"/>
                <w:b w:val="0"/>
                <w:bCs w:val="0"/>
              </w:rPr>
              <w:t>人员登高无施工通道、梯子及其它攀登设施和用具</w:t>
            </w:r>
          </w:p>
        </w:tc>
        <w:tc>
          <w:tcPr>
            <w:tcW w:w="640" w:type="pct"/>
            <w:tcBorders>
              <w:tl2br w:val="nil"/>
              <w:tr2bl w:val="nil"/>
            </w:tcBorders>
            <w:vAlign w:val="center"/>
          </w:tcPr>
          <w:p w14:paraId="5C3EA6CD">
            <w:pPr>
              <w:pStyle w:val="50"/>
              <w:rPr>
                <w:b w:val="0"/>
                <w:bCs w:val="0"/>
              </w:rPr>
            </w:pPr>
            <w:r>
              <w:rPr>
                <w:rFonts w:hint="eastAsia"/>
                <w:b w:val="0"/>
                <w:bCs w:val="0"/>
              </w:rPr>
              <w:t>高处坠落</w:t>
            </w:r>
          </w:p>
        </w:tc>
      </w:tr>
      <w:tr w14:paraId="7D471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41133A8">
            <w:pPr>
              <w:pStyle w:val="50"/>
              <w:numPr>
                <w:ilvl w:val="0"/>
                <w:numId w:val="24"/>
              </w:numPr>
              <w:tabs>
                <w:tab w:val="clear" w:pos="0"/>
              </w:tabs>
            </w:pPr>
          </w:p>
        </w:tc>
        <w:tc>
          <w:tcPr>
            <w:tcW w:w="504" w:type="pct"/>
            <w:vMerge w:val="continue"/>
            <w:tcBorders>
              <w:tl2br w:val="nil"/>
              <w:tr2bl w:val="nil"/>
            </w:tcBorders>
            <w:vAlign w:val="center"/>
          </w:tcPr>
          <w:p w14:paraId="05A1768D">
            <w:pPr>
              <w:pStyle w:val="50"/>
              <w:rPr>
                <w:b w:val="0"/>
                <w:bCs w:val="0"/>
              </w:rPr>
            </w:pPr>
          </w:p>
        </w:tc>
        <w:tc>
          <w:tcPr>
            <w:tcW w:w="3596" w:type="pct"/>
            <w:tcBorders>
              <w:tl2br w:val="nil"/>
              <w:tr2bl w:val="nil"/>
            </w:tcBorders>
            <w:vAlign w:val="center"/>
          </w:tcPr>
          <w:p w14:paraId="1E4DC3DC">
            <w:pPr>
              <w:pStyle w:val="50"/>
              <w:rPr>
                <w:b w:val="0"/>
                <w:bCs w:val="0"/>
              </w:rPr>
            </w:pPr>
            <w:r>
              <w:rPr>
                <w:rFonts w:hint="eastAsia"/>
                <w:b w:val="0"/>
                <w:bCs w:val="0"/>
              </w:rPr>
              <w:t>高处作业人员正确佩戴安全带，未高挂低用</w:t>
            </w:r>
          </w:p>
        </w:tc>
        <w:tc>
          <w:tcPr>
            <w:tcW w:w="640" w:type="pct"/>
            <w:tcBorders>
              <w:tl2br w:val="nil"/>
              <w:tr2bl w:val="nil"/>
            </w:tcBorders>
            <w:vAlign w:val="center"/>
          </w:tcPr>
          <w:p w14:paraId="285F9116">
            <w:pPr>
              <w:pStyle w:val="50"/>
              <w:rPr>
                <w:b w:val="0"/>
                <w:bCs w:val="0"/>
              </w:rPr>
            </w:pPr>
            <w:r>
              <w:rPr>
                <w:rFonts w:hint="eastAsia"/>
                <w:b w:val="0"/>
                <w:bCs w:val="0"/>
              </w:rPr>
              <w:t>高处坠落</w:t>
            </w:r>
          </w:p>
        </w:tc>
      </w:tr>
      <w:tr w14:paraId="06CB89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AA49612">
            <w:pPr>
              <w:pStyle w:val="50"/>
              <w:numPr>
                <w:ilvl w:val="0"/>
                <w:numId w:val="24"/>
              </w:numPr>
              <w:tabs>
                <w:tab w:val="clear" w:pos="0"/>
              </w:tabs>
            </w:pPr>
          </w:p>
        </w:tc>
        <w:tc>
          <w:tcPr>
            <w:tcW w:w="504" w:type="pct"/>
            <w:vMerge w:val="continue"/>
            <w:tcBorders>
              <w:tl2br w:val="nil"/>
              <w:tr2bl w:val="nil"/>
            </w:tcBorders>
            <w:vAlign w:val="center"/>
          </w:tcPr>
          <w:p w14:paraId="266FBDB0">
            <w:pPr>
              <w:pStyle w:val="50"/>
              <w:rPr>
                <w:b w:val="0"/>
                <w:bCs w:val="0"/>
              </w:rPr>
            </w:pPr>
          </w:p>
        </w:tc>
        <w:tc>
          <w:tcPr>
            <w:tcW w:w="3596" w:type="pct"/>
            <w:tcBorders>
              <w:tl2br w:val="nil"/>
              <w:tr2bl w:val="nil"/>
            </w:tcBorders>
            <w:vAlign w:val="center"/>
          </w:tcPr>
          <w:p w14:paraId="27CCD4B1">
            <w:pPr>
              <w:pStyle w:val="50"/>
              <w:rPr>
                <w:b w:val="0"/>
                <w:bCs w:val="0"/>
              </w:rPr>
            </w:pPr>
            <w:r>
              <w:rPr>
                <w:rFonts w:hint="eastAsia"/>
                <w:b w:val="0"/>
                <w:bCs w:val="0"/>
              </w:rPr>
              <w:t>工具（扳手、手锤等）未系安全绳或未放专用工具背包</w:t>
            </w:r>
          </w:p>
        </w:tc>
        <w:tc>
          <w:tcPr>
            <w:tcW w:w="640" w:type="pct"/>
            <w:tcBorders>
              <w:tl2br w:val="nil"/>
              <w:tr2bl w:val="nil"/>
            </w:tcBorders>
            <w:vAlign w:val="center"/>
          </w:tcPr>
          <w:p w14:paraId="78085646">
            <w:pPr>
              <w:pStyle w:val="50"/>
              <w:rPr>
                <w:b w:val="0"/>
                <w:bCs w:val="0"/>
              </w:rPr>
            </w:pPr>
            <w:r>
              <w:rPr>
                <w:rFonts w:hint="eastAsia"/>
                <w:b w:val="0"/>
                <w:bCs w:val="0"/>
              </w:rPr>
              <w:t>物体打击</w:t>
            </w:r>
          </w:p>
        </w:tc>
      </w:tr>
      <w:tr w14:paraId="6350B9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978746A">
            <w:pPr>
              <w:pStyle w:val="50"/>
              <w:numPr>
                <w:ilvl w:val="0"/>
                <w:numId w:val="24"/>
              </w:numPr>
              <w:tabs>
                <w:tab w:val="clear" w:pos="0"/>
              </w:tabs>
            </w:pPr>
          </w:p>
        </w:tc>
        <w:tc>
          <w:tcPr>
            <w:tcW w:w="504" w:type="pct"/>
            <w:vMerge w:val="continue"/>
            <w:tcBorders>
              <w:tl2br w:val="nil"/>
              <w:tr2bl w:val="nil"/>
            </w:tcBorders>
            <w:vAlign w:val="center"/>
          </w:tcPr>
          <w:p w14:paraId="61112EDB">
            <w:pPr>
              <w:pStyle w:val="50"/>
              <w:rPr>
                <w:b w:val="0"/>
                <w:bCs w:val="0"/>
              </w:rPr>
            </w:pPr>
          </w:p>
        </w:tc>
        <w:tc>
          <w:tcPr>
            <w:tcW w:w="3596" w:type="pct"/>
            <w:tcBorders>
              <w:tl2br w:val="nil"/>
              <w:tr2bl w:val="nil"/>
            </w:tcBorders>
            <w:vAlign w:val="center"/>
          </w:tcPr>
          <w:p w14:paraId="6B3F7B8C">
            <w:pPr>
              <w:pStyle w:val="50"/>
              <w:rPr>
                <w:b w:val="0"/>
                <w:bCs w:val="0"/>
              </w:rPr>
            </w:pPr>
            <w:r>
              <w:rPr>
                <w:rFonts w:hint="eastAsia"/>
                <w:b w:val="0"/>
                <w:bCs w:val="0"/>
              </w:rPr>
              <w:t>攀登作业所用设施和用具的结构构造不牢固可靠</w:t>
            </w:r>
          </w:p>
        </w:tc>
        <w:tc>
          <w:tcPr>
            <w:tcW w:w="640" w:type="pct"/>
            <w:tcBorders>
              <w:tl2br w:val="nil"/>
              <w:tr2bl w:val="nil"/>
            </w:tcBorders>
            <w:vAlign w:val="center"/>
          </w:tcPr>
          <w:p w14:paraId="7D738A97">
            <w:pPr>
              <w:pStyle w:val="50"/>
              <w:rPr>
                <w:b w:val="0"/>
                <w:bCs w:val="0"/>
              </w:rPr>
            </w:pPr>
            <w:r>
              <w:rPr>
                <w:rFonts w:hint="eastAsia"/>
                <w:b w:val="0"/>
                <w:bCs w:val="0"/>
              </w:rPr>
              <w:t>高处坠落</w:t>
            </w:r>
          </w:p>
        </w:tc>
      </w:tr>
      <w:tr w14:paraId="28E8A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AE54E3B">
            <w:pPr>
              <w:pStyle w:val="50"/>
              <w:numPr>
                <w:ilvl w:val="0"/>
                <w:numId w:val="24"/>
              </w:numPr>
              <w:tabs>
                <w:tab w:val="clear" w:pos="0"/>
              </w:tabs>
            </w:pPr>
          </w:p>
        </w:tc>
        <w:tc>
          <w:tcPr>
            <w:tcW w:w="504" w:type="pct"/>
            <w:tcBorders>
              <w:tl2br w:val="nil"/>
              <w:tr2bl w:val="nil"/>
            </w:tcBorders>
            <w:vAlign w:val="center"/>
          </w:tcPr>
          <w:p w14:paraId="5D9D70EA">
            <w:pPr>
              <w:pStyle w:val="50"/>
              <w:rPr>
                <w:b w:val="0"/>
                <w:bCs w:val="0"/>
              </w:rPr>
            </w:pPr>
            <w:r>
              <w:rPr>
                <w:rFonts w:hint="eastAsia"/>
                <w:b w:val="0"/>
                <w:bCs w:val="0"/>
              </w:rPr>
              <w:t>保护接零</w:t>
            </w:r>
          </w:p>
        </w:tc>
        <w:tc>
          <w:tcPr>
            <w:tcW w:w="3596" w:type="pct"/>
            <w:tcBorders>
              <w:tl2br w:val="nil"/>
              <w:tr2bl w:val="nil"/>
            </w:tcBorders>
            <w:vAlign w:val="center"/>
          </w:tcPr>
          <w:p w14:paraId="7C01AD0D">
            <w:pPr>
              <w:pStyle w:val="50"/>
              <w:rPr>
                <w:b w:val="0"/>
                <w:bCs w:val="0"/>
              </w:rPr>
            </w:pPr>
            <w:r>
              <w:rPr>
                <w:rFonts w:hint="eastAsia"/>
                <w:b w:val="0"/>
                <w:bCs w:val="0"/>
              </w:rPr>
              <w:t>防雷接地装置损坏或不合规，或者未进行接地电阻值的检测</w:t>
            </w:r>
          </w:p>
        </w:tc>
        <w:tc>
          <w:tcPr>
            <w:tcW w:w="640" w:type="pct"/>
            <w:tcBorders>
              <w:tl2br w:val="nil"/>
              <w:tr2bl w:val="nil"/>
            </w:tcBorders>
            <w:vAlign w:val="center"/>
          </w:tcPr>
          <w:p w14:paraId="6758C913">
            <w:pPr>
              <w:pStyle w:val="50"/>
              <w:rPr>
                <w:b w:val="0"/>
                <w:bCs w:val="0"/>
              </w:rPr>
            </w:pPr>
            <w:r>
              <w:rPr>
                <w:rFonts w:hint="eastAsia"/>
                <w:b w:val="0"/>
                <w:bCs w:val="0"/>
              </w:rPr>
              <w:t>触电</w:t>
            </w:r>
          </w:p>
        </w:tc>
      </w:tr>
      <w:tr w14:paraId="5838B8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00BA2FDF">
            <w:pPr>
              <w:pStyle w:val="50"/>
              <w:numPr>
                <w:ilvl w:val="0"/>
                <w:numId w:val="24"/>
              </w:numPr>
              <w:tabs>
                <w:tab w:val="clear" w:pos="0"/>
              </w:tabs>
            </w:pPr>
          </w:p>
        </w:tc>
        <w:tc>
          <w:tcPr>
            <w:tcW w:w="504" w:type="pct"/>
            <w:tcBorders>
              <w:tl2br w:val="nil"/>
              <w:tr2bl w:val="nil"/>
            </w:tcBorders>
            <w:vAlign w:val="center"/>
          </w:tcPr>
          <w:p w14:paraId="6C390E71">
            <w:pPr>
              <w:pStyle w:val="50"/>
              <w:rPr>
                <w:b w:val="0"/>
                <w:bCs w:val="0"/>
              </w:rPr>
            </w:pPr>
            <w:r>
              <w:rPr>
                <w:rFonts w:hint="eastAsia"/>
                <w:b w:val="0"/>
                <w:bCs w:val="0"/>
              </w:rPr>
              <w:t>其他</w:t>
            </w:r>
          </w:p>
        </w:tc>
        <w:tc>
          <w:tcPr>
            <w:tcW w:w="3596" w:type="pct"/>
            <w:tcBorders>
              <w:tl2br w:val="nil"/>
              <w:tr2bl w:val="nil"/>
            </w:tcBorders>
            <w:vAlign w:val="center"/>
          </w:tcPr>
          <w:p w14:paraId="63EBF6AD">
            <w:pPr>
              <w:pStyle w:val="50"/>
              <w:rPr>
                <w:b w:val="0"/>
                <w:bCs w:val="0"/>
              </w:rPr>
            </w:pPr>
            <w:r>
              <w:rPr>
                <w:rFonts w:hint="eastAsia"/>
                <w:b w:val="0"/>
                <w:bCs w:val="0"/>
              </w:rPr>
              <w:t>塔身的电缆线未固定牢固，塔式起重机开关箱未单独设置或离塔身大于3米</w:t>
            </w:r>
          </w:p>
        </w:tc>
        <w:tc>
          <w:tcPr>
            <w:tcW w:w="640" w:type="pct"/>
            <w:tcBorders>
              <w:tl2br w:val="nil"/>
              <w:tr2bl w:val="nil"/>
            </w:tcBorders>
            <w:vAlign w:val="center"/>
          </w:tcPr>
          <w:p w14:paraId="6E633279">
            <w:pPr>
              <w:pStyle w:val="50"/>
              <w:rPr>
                <w:b w:val="0"/>
                <w:bCs w:val="0"/>
              </w:rPr>
            </w:pPr>
            <w:r>
              <w:rPr>
                <w:rFonts w:hint="eastAsia"/>
                <w:b w:val="0"/>
                <w:bCs w:val="0"/>
              </w:rPr>
              <w:t>触电</w:t>
            </w:r>
          </w:p>
        </w:tc>
      </w:tr>
      <w:tr w14:paraId="6F5E5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31626E1">
            <w:pPr>
              <w:pStyle w:val="50"/>
              <w:numPr>
                <w:ilvl w:val="0"/>
                <w:numId w:val="24"/>
              </w:numPr>
              <w:tabs>
                <w:tab w:val="clear" w:pos="0"/>
              </w:tabs>
            </w:pPr>
          </w:p>
        </w:tc>
        <w:tc>
          <w:tcPr>
            <w:tcW w:w="504" w:type="pct"/>
            <w:tcBorders>
              <w:tl2br w:val="nil"/>
              <w:tr2bl w:val="nil"/>
            </w:tcBorders>
            <w:vAlign w:val="center"/>
          </w:tcPr>
          <w:p w14:paraId="110ED018">
            <w:pPr>
              <w:pStyle w:val="50"/>
              <w:rPr>
                <w:b w:val="0"/>
                <w:bCs w:val="0"/>
              </w:rPr>
            </w:pPr>
            <w:r>
              <w:rPr>
                <w:rFonts w:hint="eastAsia"/>
                <w:b w:val="0"/>
                <w:bCs w:val="0"/>
              </w:rPr>
              <w:t>绝缘保护</w:t>
            </w:r>
          </w:p>
        </w:tc>
        <w:tc>
          <w:tcPr>
            <w:tcW w:w="3596" w:type="pct"/>
            <w:tcBorders>
              <w:tl2br w:val="nil"/>
              <w:tr2bl w:val="nil"/>
            </w:tcBorders>
            <w:vAlign w:val="center"/>
          </w:tcPr>
          <w:p w14:paraId="0051D8AD">
            <w:pPr>
              <w:pStyle w:val="50"/>
              <w:rPr>
                <w:b w:val="0"/>
                <w:bCs w:val="0"/>
              </w:rPr>
            </w:pPr>
            <w:r>
              <w:rPr>
                <w:rFonts w:hint="eastAsia"/>
                <w:b w:val="0"/>
                <w:bCs w:val="0"/>
              </w:rPr>
              <w:t>外露线路未进行绝缘保护</w:t>
            </w:r>
          </w:p>
        </w:tc>
        <w:tc>
          <w:tcPr>
            <w:tcW w:w="640" w:type="pct"/>
            <w:tcBorders>
              <w:tl2br w:val="nil"/>
              <w:tr2bl w:val="nil"/>
            </w:tcBorders>
            <w:vAlign w:val="center"/>
          </w:tcPr>
          <w:p w14:paraId="5EF221EA">
            <w:pPr>
              <w:pStyle w:val="50"/>
              <w:rPr>
                <w:b w:val="0"/>
                <w:bCs w:val="0"/>
              </w:rPr>
            </w:pPr>
            <w:r>
              <w:rPr>
                <w:rFonts w:hint="eastAsia"/>
                <w:b w:val="0"/>
                <w:bCs w:val="0"/>
              </w:rPr>
              <w:t>触电</w:t>
            </w:r>
          </w:p>
        </w:tc>
      </w:tr>
      <w:tr w14:paraId="36B21A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09CD74D">
            <w:pPr>
              <w:pStyle w:val="50"/>
              <w:numPr>
                <w:ilvl w:val="0"/>
                <w:numId w:val="24"/>
              </w:numPr>
              <w:tabs>
                <w:tab w:val="clear" w:pos="0"/>
              </w:tabs>
            </w:pPr>
          </w:p>
        </w:tc>
        <w:tc>
          <w:tcPr>
            <w:tcW w:w="504" w:type="pct"/>
            <w:vMerge w:val="restart"/>
            <w:tcBorders>
              <w:tl2br w:val="nil"/>
              <w:tr2bl w:val="nil"/>
            </w:tcBorders>
            <w:vAlign w:val="center"/>
          </w:tcPr>
          <w:p w14:paraId="775394A5">
            <w:pPr>
              <w:pStyle w:val="50"/>
              <w:rPr>
                <w:b w:val="0"/>
                <w:bCs w:val="0"/>
              </w:rPr>
            </w:pPr>
            <w:r>
              <w:rPr>
                <w:rFonts w:hint="eastAsia"/>
                <w:b w:val="0"/>
                <w:bCs w:val="0"/>
              </w:rPr>
              <w:t>焊接切割</w:t>
            </w:r>
          </w:p>
        </w:tc>
        <w:tc>
          <w:tcPr>
            <w:tcW w:w="3596" w:type="pct"/>
            <w:tcBorders>
              <w:tl2br w:val="nil"/>
              <w:tr2bl w:val="nil"/>
            </w:tcBorders>
            <w:vAlign w:val="center"/>
          </w:tcPr>
          <w:p w14:paraId="5C7A6497">
            <w:pPr>
              <w:pStyle w:val="50"/>
              <w:rPr>
                <w:b w:val="0"/>
                <w:bCs w:val="0"/>
              </w:rPr>
            </w:pPr>
            <w:r>
              <w:rPr>
                <w:rFonts w:hint="eastAsia"/>
                <w:b w:val="0"/>
                <w:bCs w:val="0"/>
              </w:rPr>
              <w:t>焊接和切割未采用不可燃或耐火屏板(或屏罩)加以隔离保护</w:t>
            </w:r>
          </w:p>
        </w:tc>
        <w:tc>
          <w:tcPr>
            <w:tcW w:w="640" w:type="pct"/>
            <w:tcBorders>
              <w:tl2br w:val="nil"/>
              <w:tr2bl w:val="nil"/>
            </w:tcBorders>
            <w:vAlign w:val="center"/>
          </w:tcPr>
          <w:p w14:paraId="5E71EF5D">
            <w:pPr>
              <w:pStyle w:val="50"/>
              <w:rPr>
                <w:b w:val="0"/>
                <w:bCs w:val="0"/>
              </w:rPr>
            </w:pPr>
            <w:r>
              <w:rPr>
                <w:rFonts w:hint="eastAsia"/>
                <w:b w:val="0"/>
                <w:bCs w:val="0"/>
              </w:rPr>
              <w:t>火灾</w:t>
            </w:r>
          </w:p>
        </w:tc>
      </w:tr>
      <w:tr w14:paraId="14A30E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9C1927A">
            <w:pPr>
              <w:pStyle w:val="50"/>
              <w:numPr>
                <w:ilvl w:val="0"/>
                <w:numId w:val="24"/>
              </w:numPr>
              <w:tabs>
                <w:tab w:val="clear" w:pos="0"/>
              </w:tabs>
            </w:pPr>
          </w:p>
        </w:tc>
        <w:tc>
          <w:tcPr>
            <w:tcW w:w="504" w:type="pct"/>
            <w:vMerge w:val="continue"/>
            <w:tcBorders>
              <w:tl2br w:val="nil"/>
              <w:tr2bl w:val="nil"/>
            </w:tcBorders>
            <w:vAlign w:val="center"/>
          </w:tcPr>
          <w:p w14:paraId="79E830DE">
            <w:pPr>
              <w:pStyle w:val="50"/>
              <w:rPr>
                <w:b w:val="0"/>
                <w:bCs w:val="0"/>
              </w:rPr>
            </w:pPr>
          </w:p>
        </w:tc>
        <w:tc>
          <w:tcPr>
            <w:tcW w:w="3596" w:type="pct"/>
            <w:tcBorders>
              <w:tl2br w:val="nil"/>
              <w:tr2bl w:val="nil"/>
            </w:tcBorders>
            <w:vAlign w:val="center"/>
          </w:tcPr>
          <w:p w14:paraId="5BA79E85">
            <w:pPr>
              <w:pStyle w:val="50"/>
              <w:rPr>
                <w:b w:val="0"/>
                <w:bCs w:val="0"/>
              </w:rPr>
            </w:pPr>
            <w:r>
              <w:rPr>
                <w:rFonts w:hint="eastAsia"/>
                <w:b w:val="0"/>
                <w:bCs w:val="0"/>
              </w:rPr>
              <w:t>电焊机未配置防触电保护器，外壳未接零或接地保护</w:t>
            </w:r>
          </w:p>
        </w:tc>
        <w:tc>
          <w:tcPr>
            <w:tcW w:w="640" w:type="pct"/>
            <w:tcBorders>
              <w:tl2br w:val="nil"/>
              <w:tr2bl w:val="nil"/>
            </w:tcBorders>
            <w:vAlign w:val="center"/>
          </w:tcPr>
          <w:p w14:paraId="4879477B">
            <w:pPr>
              <w:pStyle w:val="50"/>
              <w:rPr>
                <w:b w:val="0"/>
                <w:bCs w:val="0"/>
              </w:rPr>
            </w:pPr>
            <w:r>
              <w:rPr>
                <w:rFonts w:hint="eastAsia"/>
                <w:b w:val="0"/>
                <w:bCs w:val="0"/>
              </w:rPr>
              <w:t>触电</w:t>
            </w:r>
          </w:p>
        </w:tc>
      </w:tr>
      <w:tr w14:paraId="4B7F2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E727610">
            <w:pPr>
              <w:pStyle w:val="50"/>
              <w:numPr>
                <w:ilvl w:val="0"/>
                <w:numId w:val="24"/>
              </w:numPr>
              <w:tabs>
                <w:tab w:val="clear" w:pos="0"/>
              </w:tabs>
            </w:pPr>
          </w:p>
        </w:tc>
        <w:tc>
          <w:tcPr>
            <w:tcW w:w="504" w:type="pct"/>
            <w:vMerge w:val="continue"/>
            <w:tcBorders>
              <w:tl2br w:val="nil"/>
              <w:tr2bl w:val="nil"/>
            </w:tcBorders>
            <w:vAlign w:val="center"/>
          </w:tcPr>
          <w:p w14:paraId="59B2570D">
            <w:pPr>
              <w:pStyle w:val="50"/>
              <w:rPr>
                <w:b w:val="0"/>
                <w:bCs w:val="0"/>
              </w:rPr>
            </w:pPr>
          </w:p>
        </w:tc>
        <w:tc>
          <w:tcPr>
            <w:tcW w:w="3596" w:type="pct"/>
            <w:tcBorders>
              <w:tl2br w:val="nil"/>
              <w:tr2bl w:val="nil"/>
            </w:tcBorders>
            <w:vAlign w:val="center"/>
          </w:tcPr>
          <w:p w14:paraId="29C2623E">
            <w:pPr>
              <w:pStyle w:val="50"/>
              <w:rPr>
                <w:b w:val="0"/>
                <w:bCs w:val="0"/>
              </w:rPr>
            </w:pPr>
            <w:r>
              <w:rPr>
                <w:rFonts w:hint="eastAsia"/>
                <w:b w:val="0"/>
                <w:bCs w:val="0"/>
              </w:rPr>
              <w:t>焊接作业场地周围未清除易燃易爆物品或未进行覆盖、隔离</w:t>
            </w:r>
          </w:p>
        </w:tc>
        <w:tc>
          <w:tcPr>
            <w:tcW w:w="640" w:type="pct"/>
            <w:tcBorders>
              <w:tl2br w:val="nil"/>
              <w:tr2bl w:val="nil"/>
            </w:tcBorders>
            <w:vAlign w:val="center"/>
          </w:tcPr>
          <w:p w14:paraId="213FBA2B">
            <w:pPr>
              <w:pStyle w:val="50"/>
              <w:rPr>
                <w:b w:val="0"/>
                <w:bCs w:val="0"/>
              </w:rPr>
            </w:pPr>
            <w:r>
              <w:rPr>
                <w:rFonts w:hint="eastAsia"/>
                <w:b w:val="0"/>
                <w:bCs w:val="0"/>
              </w:rPr>
              <w:t>触电</w:t>
            </w:r>
          </w:p>
        </w:tc>
      </w:tr>
      <w:tr w14:paraId="2A6DD1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7FBAA57">
            <w:pPr>
              <w:pStyle w:val="50"/>
              <w:numPr>
                <w:ilvl w:val="0"/>
                <w:numId w:val="24"/>
              </w:numPr>
              <w:tabs>
                <w:tab w:val="clear" w:pos="0"/>
              </w:tabs>
            </w:pPr>
          </w:p>
        </w:tc>
        <w:tc>
          <w:tcPr>
            <w:tcW w:w="504" w:type="pct"/>
            <w:vMerge w:val="continue"/>
            <w:tcBorders>
              <w:tl2br w:val="nil"/>
              <w:tr2bl w:val="nil"/>
            </w:tcBorders>
            <w:vAlign w:val="center"/>
          </w:tcPr>
          <w:p w14:paraId="13EFC577">
            <w:pPr>
              <w:pStyle w:val="50"/>
              <w:rPr>
                <w:b w:val="0"/>
                <w:bCs w:val="0"/>
              </w:rPr>
            </w:pPr>
          </w:p>
        </w:tc>
        <w:tc>
          <w:tcPr>
            <w:tcW w:w="3596" w:type="pct"/>
            <w:tcBorders>
              <w:tl2br w:val="nil"/>
              <w:tr2bl w:val="nil"/>
            </w:tcBorders>
            <w:vAlign w:val="center"/>
          </w:tcPr>
          <w:p w14:paraId="70772DA2">
            <w:pPr>
              <w:pStyle w:val="50"/>
              <w:rPr>
                <w:b w:val="0"/>
                <w:bCs w:val="0"/>
              </w:rPr>
            </w:pPr>
            <w:r>
              <w:rPr>
                <w:rFonts w:hint="eastAsia"/>
                <w:b w:val="0"/>
                <w:bCs w:val="0"/>
              </w:rPr>
              <w:t>电焊机未按照“一机一闸”的原则设置开关箱</w:t>
            </w:r>
          </w:p>
        </w:tc>
        <w:tc>
          <w:tcPr>
            <w:tcW w:w="640" w:type="pct"/>
            <w:tcBorders>
              <w:tl2br w:val="nil"/>
              <w:tr2bl w:val="nil"/>
            </w:tcBorders>
            <w:vAlign w:val="center"/>
          </w:tcPr>
          <w:p w14:paraId="271EA407">
            <w:pPr>
              <w:pStyle w:val="50"/>
              <w:rPr>
                <w:b w:val="0"/>
                <w:bCs w:val="0"/>
              </w:rPr>
            </w:pPr>
            <w:r>
              <w:rPr>
                <w:rFonts w:hint="eastAsia"/>
                <w:b w:val="0"/>
                <w:bCs w:val="0"/>
              </w:rPr>
              <w:t>触电</w:t>
            </w:r>
          </w:p>
        </w:tc>
      </w:tr>
      <w:tr w14:paraId="31EF8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52166D7A">
            <w:pPr>
              <w:pStyle w:val="50"/>
              <w:numPr>
                <w:ilvl w:val="0"/>
                <w:numId w:val="24"/>
              </w:numPr>
              <w:tabs>
                <w:tab w:val="clear" w:pos="0"/>
              </w:tabs>
            </w:pPr>
          </w:p>
        </w:tc>
        <w:tc>
          <w:tcPr>
            <w:tcW w:w="504" w:type="pct"/>
            <w:vMerge w:val="continue"/>
            <w:tcBorders>
              <w:tl2br w:val="nil"/>
              <w:tr2bl w:val="nil"/>
            </w:tcBorders>
            <w:vAlign w:val="center"/>
          </w:tcPr>
          <w:p w14:paraId="6CB620B5">
            <w:pPr>
              <w:pStyle w:val="50"/>
              <w:rPr>
                <w:b w:val="0"/>
                <w:bCs w:val="0"/>
              </w:rPr>
            </w:pPr>
          </w:p>
        </w:tc>
        <w:tc>
          <w:tcPr>
            <w:tcW w:w="3596" w:type="pct"/>
            <w:tcBorders>
              <w:tl2br w:val="nil"/>
              <w:tr2bl w:val="nil"/>
            </w:tcBorders>
            <w:vAlign w:val="center"/>
          </w:tcPr>
          <w:p w14:paraId="2211A7E8">
            <w:pPr>
              <w:pStyle w:val="50"/>
              <w:rPr>
                <w:b w:val="0"/>
                <w:bCs w:val="0"/>
              </w:rPr>
            </w:pPr>
            <w:r>
              <w:rPr>
                <w:rFonts w:hint="eastAsia"/>
                <w:b w:val="0"/>
                <w:bCs w:val="0"/>
              </w:rPr>
              <w:t>氧气瓶、气瓶阀、接头、减压阀、软管及设备没有与油、脂及其它可燃物或爆炸物相隔离</w:t>
            </w:r>
          </w:p>
        </w:tc>
        <w:tc>
          <w:tcPr>
            <w:tcW w:w="640" w:type="pct"/>
            <w:tcBorders>
              <w:tl2br w:val="nil"/>
              <w:tr2bl w:val="nil"/>
            </w:tcBorders>
            <w:vAlign w:val="center"/>
          </w:tcPr>
          <w:p w14:paraId="1A633558">
            <w:pPr>
              <w:pStyle w:val="50"/>
              <w:rPr>
                <w:b w:val="0"/>
                <w:bCs w:val="0"/>
              </w:rPr>
            </w:pPr>
            <w:r>
              <w:rPr>
                <w:rFonts w:hint="eastAsia"/>
                <w:b w:val="0"/>
                <w:bCs w:val="0"/>
              </w:rPr>
              <w:t>火灾等</w:t>
            </w:r>
          </w:p>
        </w:tc>
      </w:tr>
      <w:tr w14:paraId="02F26C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4C9C419E">
            <w:pPr>
              <w:pStyle w:val="50"/>
              <w:numPr>
                <w:ilvl w:val="0"/>
                <w:numId w:val="24"/>
              </w:numPr>
              <w:tabs>
                <w:tab w:val="clear" w:pos="0"/>
              </w:tabs>
            </w:pPr>
          </w:p>
        </w:tc>
        <w:tc>
          <w:tcPr>
            <w:tcW w:w="504" w:type="pct"/>
            <w:vMerge w:val="continue"/>
            <w:tcBorders>
              <w:tl2br w:val="nil"/>
              <w:tr2bl w:val="nil"/>
            </w:tcBorders>
            <w:vAlign w:val="center"/>
          </w:tcPr>
          <w:p w14:paraId="67025375">
            <w:pPr>
              <w:pStyle w:val="50"/>
              <w:rPr>
                <w:b w:val="0"/>
                <w:bCs w:val="0"/>
              </w:rPr>
            </w:pPr>
          </w:p>
        </w:tc>
        <w:tc>
          <w:tcPr>
            <w:tcW w:w="3596" w:type="pct"/>
            <w:tcBorders>
              <w:tl2br w:val="nil"/>
              <w:tr2bl w:val="nil"/>
            </w:tcBorders>
            <w:vAlign w:val="center"/>
          </w:tcPr>
          <w:p w14:paraId="5F4898DA">
            <w:pPr>
              <w:pStyle w:val="50"/>
              <w:rPr>
                <w:b w:val="0"/>
                <w:bCs w:val="0"/>
              </w:rPr>
            </w:pPr>
            <w:r>
              <w:rPr>
                <w:rFonts w:hint="eastAsia"/>
                <w:b w:val="0"/>
                <w:bCs w:val="0"/>
              </w:rPr>
              <w:t>气瓶未直立安放牢固（乙炔瓶禁止卧放或倾倒）。</w:t>
            </w:r>
          </w:p>
        </w:tc>
        <w:tc>
          <w:tcPr>
            <w:tcW w:w="640" w:type="pct"/>
            <w:tcBorders>
              <w:tl2br w:val="nil"/>
              <w:tr2bl w:val="nil"/>
            </w:tcBorders>
            <w:vAlign w:val="center"/>
          </w:tcPr>
          <w:p w14:paraId="7F1CCBDE">
            <w:pPr>
              <w:pStyle w:val="50"/>
              <w:rPr>
                <w:b w:val="0"/>
                <w:bCs w:val="0"/>
              </w:rPr>
            </w:pPr>
            <w:r>
              <w:rPr>
                <w:rFonts w:hint="eastAsia"/>
                <w:b w:val="0"/>
                <w:bCs w:val="0"/>
              </w:rPr>
              <w:t>容器爆炸</w:t>
            </w:r>
          </w:p>
        </w:tc>
      </w:tr>
      <w:tr w14:paraId="754481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294134EC">
            <w:pPr>
              <w:pStyle w:val="50"/>
              <w:numPr>
                <w:ilvl w:val="0"/>
                <w:numId w:val="24"/>
              </w:numPr>
              <w:tabs>
                <w:tab w:val="clear" w:pos="0"/>
              </w:tabs>
            </w:pPr>
          </w:p>
        </w:tc>
        <w:tc>
          <w:tcPr>
            <w:tcW w:w="504" w:type="pct"/>
            <w:vMerge w:val="continue"/>
            <w:tcBorders>
              <w:tl2br w:val="nil"/>
              <w:tr2bl w:val="nil"/>
            </w:tcBorders>
            <w:vAlign w:val="center"/>
          </w:tcPr>
          <w:p w14:paraId="72873734">
            <w:pPr>
              <w:pStyle w:val="50"/>
              <w:rPr>
                <w:b w:val="0"/>
                <w:bCs w:val="0"/>
              </w:rPr>
            </w:pPr>
          </w:p>
        </w:tc>
        <w:tc>
          <w:tcPr>
            <w:tcW w:w="3596" w:type="pct"/>
            <w:tcBorders>
              <w:tl2br w:val="nil"/>
              <w:tr2bl w:val="nil"/>
            </w:tcBorders>
            <w:vAlign w:val="center"/>
          </w:tcPr>
          <w:p w14:paraId="485DAE0A">
            <w:pPr>
              <w:pStyle w:val="50"/>
              <w:rPr>
                <w:b w:val="0"/>
                <w:bCs w:val="0"/>
              </w:rPr>
            </w:pPr>
            <w:r>
              <w:rPr>
                <w:rFonts w:hint="eastAsia"/>
                <w:b w:val="0"/>
                <w:bCs w:val="0"/>
              </w:rPr>
              <w:t>氧气瓶、乙炔瓶未分开存放</w:t>
            </w:r>
          </w:p>
        </w:tc>
        <w:tc>
          <w:tcPr>
            <w:tcW w:w="640" w:type="pct"/>
            <w:tcBorders>
              <w:tl2br w:val="nil"/>
              <w:tr2bl w:val="nil"/>
            </w:tcBorders>
            <w:vAlign w:val="center"/>
          </w:tcPr>
          <w:p w14:paraId="4CEAA20E">
            <w:pPr>
              <w:pStyle w:val="50"/>
              <w:rPr>
                <w:b w:val="0"/>
                <w:bCs w:val="0"/>
              </w:rPr>
            </w:pPr>
            <w:r>
              <w:rPr>
                <w:rFonts w:hint="eastAsia"/>
                <w:b w:val="0"/>
                <w:bCs w:val="0"/>
              </w:rPr>
              <w:t>火灾</w:t>
            </w:r>
          </w:p>
        </w:tc>
      </w:tr>
      <w:tr w14:paraId="6D9C2E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6023CE42">
            <w:pPr>
              <w:pStyle w:val="50"/>
              <w:numPr>
                <w:ilvl w:val="0"/>
                <w:numId w:val="24"/>
              </w:numPr>
              <w:tabs>
                <w:tab w:val="clear" w:pos="0"/>
              </w:tabs>
            </w:pPr>
          </w:p>
        </w:tc>
        <w:tc>
          <w:tcPr>
            <w:tcW w:w="504" w:type="pct"/>
            <w:vMerge w:val="continue"/>
            <w:tcBorders>
              <w:tl2br w:val="nil"/>
              <w:tr2bl w:val="nil"/>
            </w:tcBorders>
            <w:vAlign w:val="center"/>
          </w:tcPr>
          <w:p w14:paraId="74B750A8">
            <w:pPr>
              <w:pStyle w:val="50"/>
              <w:rPr>
                <w:b w:val="0"/>
                <w:bCs w:val="0"/>
              </w:rPr>
            </w:pPr>
          </w:p>
        </w:tc>
        <w:tc>
          <w:tcPr>
            <w:tcW w:w="3596" w:type="pct"/>
            <w:tcBorders>
              <w:tl2br w:val="nil"/>
              <w:tr2bl w:val="nil"/>
            </w:tcBorders>
            <w:vAlign w:val="center"/>
          </w:tcPr>
          <w:p w14:paraId="379E37FD">
            <w:pPr>
              <w:pStyle w:val="50"/>
              <w:rPr>
                <w:b w:val="0"/>
                <w:bCs w:val="0"/>
              </w:rPr>
            </w:pPr>
            <w:r>
              <w:rPr>
                <w:rFonts w:hint="eastAsia"/>
                <w:b w:val="0"/>
                <w:bCs w:val="0"/>
              </w:rPr>
              <w:t>氧气瓶、乙炔瓶存放处无禁火标志，未配备消防器材。</w:t>
            </w:r>
          </w:p>
        </w:tc>
        <w:tc>
          <w:tcPr>
            <w:tcW w:w="640" w:type="pct"/>
            <w:tcBorders>
              <w:tl2br w:val="nil"/>
              <w:tr2bl w:val="nil"/>
            </w:tcBorders>
            <w:vAlign w:val="center"/>
          </w:tcPr>
          <w:p w14:paraId="4BD6C199">
            <w:pPr>
              <w:pStyle w:val="50"/>
              <w:rPr>
                <w:b w:val="0"/>
                <w:bCs w:val="0"/>
              </w:rPr>
            </w:pPr>
            <w:r>
              <w:rPr>
                <w:rFonts w:hint="eastAsia"/>
                <w:b w:val="0"/>
                <w:bCs w:val="0"/>
              </w:rPr>
              <w:t>火灾</w:t>
            </w:r>
          </w:p>
        </w:tc>
      </w:tr>
      <w:tr w14:paraId="55C5C4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BBEBE50">
            <w:pPr>
              <w:pStyle w:val="50"/>
              <w:numPr>
                <w:ilvl w:val="0"/>
                <w:numId w:val="24"/>
              </w:numPr>
              <w:tabs>
                <w:tab w:val="clear" w:pos="0"/>
              </w:tabs>
            </w:pPr>
          </w:p>
        </w:tc>
        <w:tc>
          <w:tcPr>
            <w:tcW w:w="504" w:type="pct"/>
            <w:tcBorders>
              <w:tl2br w:val="nil"/>
              <w:tr2bl w:val="nil"/>
            </w:tcBorders>
            <w:vAlign w:val="center"/>
          </w:tcPr>
          <w:p w14:paraId="7A651C40">
            <w:pPr>
              <w:pStyle w:val="50"/>
              <w:rPr>
                <w:b w:val="0"/>
                <w:bCs w:val="0"/>
              </w:rPr>
            </w:pPr>
            <w:r>
              <w:rPr>
                <w:rFonts w:hint="eastAsia"/>
                <w:b w:val="0"/>
                <w:bCs w:val="0"/>
              </w:rPr>
              <w:t>电焊</w:t>
            </w:r>
          </w:p>
        </w:tc>
        <w:tc>
          <w:tcPr>
            <w:tcW w:w="3596" w:type="pct"/>
            <w:tcBorders>
              <w:tl2br w:val="nil"/>
              <w:tr2bl w:val="nil"/>
            </w:tcBorders>
            <w:vAlign w:val="center"/>
          </w:tcPr>
          <w:p w14:paraId="13F9B811">
            <w:pPr>
              <w:pStyle w:val="50"/>
              <w:rPr>
                <w:b w:val="0"/>
                <w:bCs w:val="0"/>
              </w:rPr>
            </w:pPr>
            <w:r>
              <w:rPr>
                <w:rFonts w:hint="eastAsia"/>
                <w:b w:val="0"/>
                <w:bCs w:val="0"/>
              </w:rPr>
              <w:t>未佩戴面罩或护目镜</w:t>
            </w:r>
          </w:p>
        </w:tc>
        <w:tc>
          <w:tcPr>
            <w:tcW w:w="640" w:type="pct"/>
            <w:tcBorders>
              <w:tl2br w:val="nil"/>
              <w:tr2bl w:val="nil"/>
            </w:tcBorders>
            <w:vAlign w:val="center"/>
          </w:tcPr>
          <w:p w14:paraId="6E171E8B">
            <w:pPr>
              <w:pStyle w:val="50"/>
              <w:rPr>
                <w:b w:val="0"/>
                <w:bCs w:val="0"/>
              </w:rPr>
            </w:pPr>
            <w:r>
              <w:rPr>
                <w:rFonts w:hint="eastAsia"/>
                <w:b w:val="0"/>
                <w:bCs w:val="0"/>
              </w:rPr>
              <w:t>其他</w:t>
            </w:r>
          </w:p>
        </w:tc>
      </w:tr>
      <w:tr w14:paraId="7ACB68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58" w:type="pct"/>
            <w:tcBorders>
              <w:tl2br w:val="nil"/>
              <w:tr2bl w:val="nil"/>
            </w:tcBorders>
            <w:vAlign w:val="center"/>
          </w:tcPr>
          <w:p w14:paraId="1F1051D9">
            <w:pPr>
              <w:pStyle w:val="50"/>
              <w:numPr>
                <w:ilvl w:val="0"/>
                <w:numId w:val="24"/>
              </w:numPr>
              <w:tabs>
                <w:tab w:val="clear" w:pos="0"/>
              </w:tabs>
            </w:pPr>
          </w:p>
        </w:tc>
        <w:tc>
          <w:tcPr>
            <w:tcW w:w="504" w:type="pct"/>
            <w:tcBorders>
              <w:tl2br w:val="nil"/>
              <w:tr2bl w:val="nil"/>
            </w:tcBorders>
            <w:vAlign w:val="center"/>
          </w:tcPr>
          <w:p w14:paraId="0EF9DECE">
            <w:pPr>
              <w:pStyle w:val="50"/>
              <w:rPr>
                <w:b w:val="0"/>
                <w:bCs w:val="0"/>
              </w:rPr>
            </w:pPr>
            <w:r>
              <w:rPr>
                <w:rFonts w:hint="eastAsia"/>
                <w:b w:val="0"/>
                <w:bCs w:val="0"/>
              </w:rPr>
              <w:t>劳保</w:t>
            </w:r>
          </w:p>
        </w:tc>
        <w:tc>
          <w:tcPr>
            <w:tcW w:w="3596" w:type="pct"/>
            <w:tcBorders>
              <w:tl2br w:val="nil"/>
              <w:tr2bl w:val="nil"/>
            </w:tcBorders>
            <w:vAlign w:val="center"/>
          </w:tcPr>
          <w:p w14:paraId="22E54B7F">
            <w:pPr>
              <w:pStyle w:val="50"/>
              <w:rPr>
                <w:b w:val="0"/>
                <w:bCs w:val="0"/>
              </w:rPr>
            </w:pPr>
            <w:r>
              <w:rPr>
                <w:rFonts w:hint="eastAsia"/>
                <w:b w:val="0"/>
                <w:bCs w:val="0"/>
              </w:rPr>
              <w:t>攀登作业未穿防滑鞋</w:t>
            </w:r>
          </w:p>
        </w:tc>
        <w:tc>
          <w:tcPr>
            <w:tcW w:w="640" w:type="pct"/>
            <w:tcBorders>
              <w:tl2br w:val="nil"/>
              <w:tr2bl w:val="nil"/>
            </w:tcBorders>
            <w:vAlign w:val="center"/>
          </w:tcPr>
          <w:p w14:paraId="518E05A0">
            <w:pPr>
              <w:pStyle w:val="50"/>
              <w:rPr>
                <w:b w:val="0"/>
                <w:bCs w:val="0"/>
              </w:rPr>
            </w:pPr>
            <w:r>
              <w:rPr>
                <w:rFonts w:hint="eastAsia"/>
                <w:b w:val="0"/>
                <w:bCs w:val="0"/>
              </w:rPr>
              <w:t>其他</w:t>
            </w:r>
          </w:p>
        </w:tc>
      </w:tr>
    </w:tbl>
    <w:p w14:paraId="775B609C">
      <w:pPr>
        <w:pStyle w:val="4"/>
        <w:rPr>
          <w:b/>
          <w:bCs w:val="0"/>
        </w:rPr>
      </w:pPr>
      <w:r>
        <w:rPr>
          <w:rFonts w:hint="eastAsia"/>
          <w:b/>
          <w:bCs w:val="0"/>
        </w:rPr>
        <w:t>风险分析结论</w:t>
      </w:r>
    </w:p>
    <w:p w14:paraId="796CEA4D">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26" w:charSpace="0"/>
        </w:sectPr>
      </w:pPr>
      <w:r>
        <w:rPr>
          <w:rFonts w:hint="eastAsia"/>
        </w:rPr>
        <w:t>根据风险因素分析、识别表，显著危险的有</w:t>
      </w:r>
      <w:r>
        <w:rPr>
          <w:rFonts w:hint="eastAsia"/>
          <w:lang w:val="en-US" w:eastAsia="zh-CN"/>
        </w:rPr>
        <w:t>76</w:t>
      </w:r>
      <w:r>
        <w:rPr>
          <w:rFonts w:hint="eastAsia"/>
        </w:rPr>
        <w:t>项：包括高处坠落、起重伤害、物体打击、触电、机械伤害、火灾、坍塌和容器爆炸，需要制定针对性安全措施，具体措施详见6</w:t>
      </w:r>
      <w:r>
        <w:t>.3</w:t>
      </w:r>
      <w:r>
        <w:rPr>
          <w:rFonts w:hint="eastAsia"/>
        </w:rPr>
        <w:t>节。</w:t>
      </w:r>
    </w:p>
    <w:p w14:paraId="5C05FE02">
      <w:pPr>
        <w:pStyle w:val="3"/>
        <w:bidi w:val="0"/>
        <w:ind w:left="575" w:leftChars="0" w:hanging="575" w:firstLineChars="0"/>
        <w:rPr>
          <w:b/>
          <w:bCs w:val="0"/>
          <w:sz w:val="28"/>
          <w:szCs w:val="28"/>
          <w:lang w:val="en-US" w:eastAsia="zh-CN"/>
        </w:rPr>
      </w:pPr>
      <w:bookmarkStart w:id="130" w:name="_Toc13312"/>
      <w:bookmarkStart w:id="131" w:name="_Toc22738"/>
      <w:bookmarkStart w:id="132" w:name="_Toc23687"/>
      <w:r>
        <w:rPr>
          <w:b/>
          <w:bCs w:val="0"/>
          <w:sz w:val="28"/>
          <w:szCs w:val="28"/>
          <w:lang w:val="en-US" w:eastAsia="zh-CN"/>
        </w:rPr>
        <w:t>组织保障措施</w:t>
      </w:r>
      <w:bookmarkEnd w:id="128"/>
      <w:bookmarkEnd w:id="130"/>
      <w:bookmarkEnd w:id="131"/>
      <w:bookmarkEnd w:id="132"/>
    </w:p>
    <w:p w14:paraId="41301182">
      <w:pPr>
        <w:pStyle w:val="4"/>
        <w:bidi w:val="0"/>
        <w:ind w:left="720" w:leftChars="0" w:hanging="720" w:firstLineChars="0"/>
        <w:rPr>
          <w:rFonts w:hint="eastAsia"/>
          <w:b/>
          <w:bCs w:val="0"/>
          <w:lang w:val="en-US" w:eastAsia="zh-CN"/>
        </w:rPr>
      </w:pPr>
      <w:bookmarkStart w:id="133" w:name="_Toc48"/>
      <w:bookmarkStart w:id="134" w:name="_Toc25817"/>
      <w:bookmarkStart w:id="135" w:name="_Toc499370314"/>
      <w:bookmarkStart w:id="136" w:name="_Toc499850192"/>
      <w:bookmarkStart w:id="137" w:name="_Toc27838935"/>
      <w:bookmarkStart w:id="138" w:name="_Toc18608"/>
      <w:bookmarkStart w:id="139" w:name="_Toc8188"/>
      <w:bookmarkStart w:id="140" w:name="_Toc25637"/>
      <w:bookmarkStart w:id="141" w:name="_Toc9269"/>
      <w:r>
        <w:rPr>
          <w:rFonts w:hint="eastAsia"/>
          <w:b/>
          <w:bCs w:val="0"/>
          <w:lang w:val="en-US" w:eastAsia="zh-CN"/>
        </w:rPr>
        <w:t>安全</w:t>
      </w:r>
      <w:bookmarkEnd w:id="133"/>
      <w:r>
        <w:rPr>
          <w:rFonts w:hint="eastAsia"/>
          <w:b/>
          <w:bCs w:val="0"/>
          <w:lang w:val="en-US" w:eastAsia="zh-CN"/>
        </w:rPr>
        <w:t>生产组织机构</w:t>
      </w:r>
      <w:bookmarkEnd w:id="134"/>
      <w:bookmarkEnd w:id="135"/>
      <w:bookmarkEnd w:id="136"/>
      <w:bookmarkEnd w:id="137"/>
      <w:bookmarkEnd w:id="138"/>
      <w:bookmarkEnd w:id="139"/>
      <w:bookmarkEnd w:id="140"/>
      <w:bookmarkEnd w:id="141"/>
    </w:p>
    <w:p w14:paraId="57A5B51A">
      <w:pPr>
        <w:pStyle w:val="13"/>
        <w:ind w:firstLine="480"/>
        <w:rPr>
          <w:rFonts w:hint="eastAsia"/>
          <w:lang w:eastAsia="zh-CN"/>
        </w:rPr>
      </w:pPr>
      <w:r>
        <w:rPr>
          <w:rFonts w:hint="eastAsia"/>
          <w:lang w:val="en-US" w:eastAsia="zh-CN"/>
        </w:rPr>
        <w:t>根据本施工工程成立安全管理组织机构，其人员组成、工作职责详见表6.2.</w:t>
      </w:r>
      <w:r>
        <w:rPr>
          <w:rFonts w:hint="eastAsia"/>
        </w:rPr>
        <w:t>1-1</w:t>
      </w:r>
      <w:r>
        <w:rPr>
          <w:rFonts w:hint="eastAsia"/>
          <w:lang w:eastAsia="zh-CN"/>
        </w:rPr>
        <w:t>。</w:t>
      </w:r>
    </w:p>
    <w:p w14:paraId="7292AAA6">
      <w:pPr>
        <w:pStyle w:val="160"/>
        <w:rPr>
          <w:rFonts w:hint="eastAsia" w:eastAsia="宋体"/>
          <w:shd w:val="clear"/>
          <w:lang w:val="en-US" w:eastAsia="zh-CN"/>
        </w:rPr>
      </w:pPr>
      <w:r>
        <w:rPr>
          <w:rFonts w:hint="eastAsia"/>
          <w:shd w:val="clear"/>
          <w:lang w:val="en-US" w:eastAsia="zh-CN"/>
        </w:rPr>
        <w:t>表6.2.1</w:t>
      </w:r>
      <w:r>
        <w:rPr>
          <w:rFonts w:hint="eastAsia"/>
          <w:shd w:val="clear"/>
        </w:rPr>
        <w:t xml:space="preserve">-1 </w:t>
      </w:r>
      <w:r>
        <w:rPr>
          <w:rFonts w:hint="eastAsia"/>
          <w:shd w:val="clear"/>
          <w:lang w:val="en-US" w:eastAsia="zh-CN"/>
        </w:rPr>
        <w:t>安全</w:t>
      </w:r>
      <w:r>
        <w:rPr>
          <w:rFonts w:hint="eastAsia"/>
          <w:shd w:val="clear"/>
        </w:rPr>
        <w:t>管理组织机构</w:t>
      </w:r>
      <w:r>
        <w:rPr>
          <w:rFonts w:hint="eastAsia"/>
          <w:shd w:val="clear"/>
          <w:lang w:val="en-US" w:eastAsia="zh-CN"/>
        </w:rPr>
        <w:t>表</w:t>
      </w:r>
    </w:p>
    <w:tbl>
      <w:tblPr>
        <w:tblStyle w:val="38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2342"/>
        <w:gridCol w:w="970"/>
        <w:gridCol w:w="4876"/>
        <w:gridCol w:w="550"/>
      </w:tblGrid>
      <w:tr w14:paraId="46540E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313" w:hRule="atLeast"/>
          <w:tblHeader/>
          <w:jc w:val="center"/>
        </w:trPr>
        <w:tc>
          <w:tcPr>
            <w:tcW w:w="295" w:type="pct"/>
            <w:shd w:val="clear" w:color="auto" w:fill="auto"/>
            <w:vAlign w:val="center"/>
          </w:tcPr>
          <w:p w14:paraId="059B783A">
            <w:pPr>
              <w:spacing w:line="240" w:lineRule="auto"/>
              <w:ind w:firstLine="0" w:firstLineChars="0"/>
              <w:jc w:val="center"/>
              <w:rPr>
                <w:b/>
                <w:sz w:val="21"/>
              </w:rPr>
            </w:pPr>
            <w:r>
              <w:rPr>
                <w:rFonts w:hint="eastAsia"/>
                <w:b/>
                <w:sz w:val="21"/>
              </w:rPr>
              <w:t>序号</w:t>
            </w:r>
          </w:p>
        </w:tc>
        <w:tc>
          <w:tcPr>
            <w:tcW w:w="1261" w:type="pct"/>
            <w:shd w:val="clear" w:color="auto" w:fill="auto"/>
            <w:vAlign w:val="center"/>
          </w:tcPr>
          <w:p w14:paraId="5B768900">
            <w:pPr>
              <w:spacing w:line="240" w:lineRule="auto"/>
              <w:ind w:firstLine="0" w:firstLineChars="0"/>
              <w:jc w:val="center"/>
              <w:rPr>
                <w:rFonts w:hint="eastAsia" w:eastAsia="宋体"/>
                <w:b/>
                <w:bCs/>
                <w:sz w:val="21"/>
                <w:lang w:eastAsia="zh-CN"/>
              </w:rPr>
            </w:pPr>
            <w:r>
              <w:rPr>
                <w:rFonts w:hint="eastAsia"/>
                <w:b/>
                <w:bCs/>
                <w:sz w:val="21"/>
                <w:lang w:val="en-US" w:eastAsia="zh-CN"/>
              </w:rPr>
              <w:t>岗位</w:t>
            </w:r>
          </w:p>
        </w:tc>
        <w:tc>
          <w:tcPr>
            <w:tcW w:w="522" w:type="pct"/>
            <w:shd w:val="clear" w:color="auto" w:fill="auto"/>
            <w:vAlign w:val="center"/>
          </w:tcPr>
          <w:p w14:paraId="0568FF76">
            <w:pPr>
              <w:spacing w:line="240" w:lineRule="auto"/>
              <w:ind w:firstLine="0" w:firstLineChars="0"/>
              <w:jc w:val="center"/>
              <w:rPr>
                <w:rFonts w:hint="eastAsia" w:eastAsia="宋体"/>
                <w:b/>
                <w:sz w:val="21"/>
                <w:lang w:eastAsia="zh-CN"/>
              </w:rPr>
            </w:pPr>
            <w:r>
              <w:rPr>
                <w:rFonts w:hint="eastAsia"/>
                <w:b/>
                <w:bCs/>
                <w:sz w:val="21"/>
                <w:lang w:val="en-US" w:eastAsia="zh-CN"/>
              </w:rPr>
              <w:t>姓名</w:t>
            </w:r>
          </w:p>
        </w:tc>
        <w:tc>
          <w:tcPr>
            <w:tcW w:w="2625" w:type="pct"/>
            <w:shd w:val="clear" w:color="auto" w:fill="auto"/>
            <w:vAlign w:val="center"/>
          </w:tcPr>
          <w:p w14:paraId="0B1D6BF0">
            <w:pPr>
              <w:spacing w:line="240" w:lineRule="auto"/>
              <w:ind w:firstLine="0" w:firstLineChars="0"/>
              <w:jc w:val="center"/>
              <w:rPr>
                <w:rFonts w:hint="eastAsia" w:eastAsia="宋体"/>
                <w:b/>
                <w:sz w:val="21"/>
                <w:lang w:eastAsia="zh-CN"/>
              </w:rPr>
            </w:pPr>
            <w:r>
              <w:rPr>
                <w:rFonts w:hint="eastAsia"/>
                <w:b/>
                <w:sz w:val="21"/>
                <w:lang w:val="en-US" w:eastAsia="zh-CN"/>
              </w:rPr>
              <w:t>工作职责</w:t>
            </w:r>
          </w:p>
        </w:tc>
        <w:tc>
          <w:tcPr>
            <w:tcW w:w="296" w:type="pct"/>
            <w:shd w:val="clear" w:color="auto" w:fill="auto"/>
            <w:vAlign w:val="center"/>
          </w:tcPr>
          <w:p w14:paraId="11C6CC03">
            <w:pPr>
              <w:spacing w:line="240" w:lineRule="auto"/>
              <w:ind w:firstLine="0" w:firstLineChars="0"/>
              <w:jc w:val="center"/>
              <w:rPr>
                <w:rFonts w:hint="eastAsia" w:eastAsia="宋体"/>
                <w:b/>
                <w:sz w:val="21"/>
                <w:lang w:val="en-US" w:eastAsia="zh-CN"/>
              </w:rPr>
            </w:pPr>
            <w:r>
              <w:rPr>
                <w:rFonts w:hint="eastAsia"/>
                <w:b/>
                <w:sz w:val="21"/>
                <w:lang w:val="en-US" w:eastAsia="zh-CN"/>
              </w:rPr>
              <w:t>备注</w:t>
            </w:r>
          </w:p>
        </w:tc>
      </w:tr>
      <w:tr w14:paraId="6B0671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23BB4B00">
            <w:pPr>
              <w:numPr>
                <w:ilvl w:val="0"/>
                <w:numId w:val="25"/>
              </w:numPr>
              <w:spacing w:line="240" w:lineRule="auto"/>
              <w:ind w:left="240" w:leftChars="0" w:firstLineChars="0"/>
              <w:jc w:val="center"/>
              <w:rPr>
                <w:sz w:val="21"/>
              </w:rPr>
            </w:pPr>
          </w:p>
        </w:tc>
        <w:tc>
          <w:tcPr>
            <w:tcW w:w="1261" w:type="pct"/>
            <w:shd w:val="clear" w:color="auto" w:fill="auto"/>
            <w:vAlign w:val="center"/>
          </w:tcPr>
          <w:p w14:paraId="41A9B696">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技术负责人</w:t>
            </w:r>
          </w:p>
        </w:tc>
        <w:tc>
          <w:tcPr>
            <w:tcW w:w="522" w:type="pct"/>
            <w:shd w:val="clear" w:color="auto" w:fill="auto"/>
            <w:vAlign w:val="center"/>
          </w:tcPr>
          <w:p w14:paraId="4F68428A">
            <w:pPr>
              <w:pStyle w:val="50"/>
              <w:spacing w:line="240" w:lineRule="auto"/>
              <w:ind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温涛</w:t>
            </w:r>
          </w:p>
        </w:tc>
        <w:tc>
          <w:tcPr>
            <w:tcW w:w="2625" w:type="pct"/>
            <w:shd w:val="clear" w:color="auto" w:fill="auto"/>
            <w:vAlign w:val="center"/>
          </w:tcPr>
          <w:p w14:paraId="1C9D526D">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负责组织人员按安装工艺规程及塔吊使用说明书要求进行作业，负责每日的工作安排，安全交底、工作记录，制止任何违章作业。</w:t>
            </w:r>
          </w:p>
        </w:tc>
        <w:tc>
          <w:tcPr>
            <w:tcW w:w="296" w:type="pct"/>
            <w:shd w:val="clear" w:color="auto" w:fill="auto"/>
            <w:vAlign w:val="center"/>
          </w:tcPr>
          <w:p w14:paraId="7EE8C1B1">
            <w:pPr>
              <w:spacing w:line="240" w:lineRule="auto"/>
              <w:ind w:firstLine="0" w:firstLineChars="0"/>
              <w:jc w:val="center"/>
              <w:rPr>
                <w:sz w:val="21"/>
              </w:rPr>
            </w:pPr>
          </w:p>
        </w:tc>
      </w:tr>
      <w:tr w14:paraId="10781D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7621326D">
            <w:pPr>
              <w:numPr>
                <w:ilvl w:val="0"/>
                <w:numId w:val="25"/>
              </w:numPr>
              <w:spacing w:line="240" w:lineRule="auto"/>
              <w:ind w:left="240" w:leftChars="0" w:firstLineChars="0"/>
              <w:jc w:val="center"/>
              <w:rPr>
                <w:sz w:val="21"/>
              </w:rPr>
            </w:pPr>
          </w:p>
        </w:tc>
        <w:tc>
          <w:tcPr>
            <w:tcW w:w="1261" w:type="pct"/>
            <w:shd w:val="clear" w:color="auto" w:fill="auto"/>
            <w:vAlign w:val="center"/>
          </w:tcPr>
          <w:p w14:paraId="1EE55584">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项目负责人</w:t>
            </w:r>
          </w:p>
        </w:tc>
        <w:tc>
          <w:tcPr>
            <w:tcW w:w="522" w:type="pct"/>
            <w:shd w:val="clear" w:color="auto" w:fill="auto"/>
            <w:vAlign w:val="center"/>
          </w:tcPr>
          <w:p w14:paraId="5D157473">
            <w:pPr>
              <w:pStyle w:val="50"/>
              <w:spacing w:line="240" w:lineRule="auto"/>
              <w:ind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吕仕昌</w:t>
            </w:r>
          </w:p>
        </w:tc>
        <w:tc>
          <w:tcPr>
            <w:tcW w:w="2625" w:type="pct"/>
            <w:shd w:val="clear" w:color="auto" w:fill="auto"/>
            <w:vAlign w:val="center"/>
          </w:tcPr>
          <w:p w14:paraId="61CD2CE3">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296" w:type="pct"/>
            <w:shd w:val="clear" w:color="auto" w:fill="auto"/>
            <w:vAlign w:val="center"/>
          </w:tcPr>
          <w:p w14:paraId="4C9E83E1">
            <w:pPr>
              <w:spacing w:line="240" w:lineRule="auto"/>
              <w:ind w:firstLine="0" w:firstLineChars="0"/>
              <w:jc w:val="center"/>
              <w:rPr>
                <w:sz w:val="21"/>
              </w:rPr>
            </w:pPr>
          </w:p>
        </w:tc>
      </w:tr>
      <w:tr w14:paraId="03F16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42598167">
            <w:pPr>
              <w:numPr>
                <w:ilvl w:val="0"/>
                <w:numId w:val="25"/>
              </w:numPr>
              <w:spacing w:line="240" w:lineRule="auto"/>
              <w:ind w:left="240" w:leftChars="0" w:firstLineChars="0"/>
              <w:jc w:val="center"/>
              <w:rPr>
                <w:sz w:val="21"/>
              </w:rPr>
            </w:pPr>
          </w:p>
        </w:tc>
        <w:tc>
          <w:tcPr>
            <w:tcW w:w="1261" w:type="pct"/>
            <w:shd w:val="clear" w:color="auto" w:fill="auto"/>
            <w:vAlign w:val="center"/>
          </w:tcPr>
          <w:p w14:paraId="36B28A5A">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现场负责人</w:t>
            </w:r>
          </w:p>
        </w:tc>
        <w:tc>
          <w:tcPr>
            <w:tcW w:w="522" w:type="pct"/>
            <w:shd w:val="clear" w:color="auto" w:fill="auto"/>
            <w:vAlign w:val="center"/>
          </w:tcPr>
          <w:p w14:paraId="2DA94C87">
            <w:pPr>
              <w:pStyle w:val="50"/>
              <w:spacing w:line="240" w:lineRule="auto"/>
              <w:ind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罗乾龙</w:t>
            </w:r>
          </w:p>
        </w:tc>
        <w:tc>
          <w:tcPr>
            <w:tcW w:w="2625" w:type="pct"/>
            <w:shd w:val="clear" w:color="auto" w:fill="auto"/>
            <w:vAlign w:val="center"/>
          </w:tcPr>
          <w:p w14:paraId="52DD9B54">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负责现场安拆指导及安全管理</w:t>
            </w:r>
          </w:p>
        </w:tc>
        <w:tc>
          <w:tcPr>
            <w:tcW w:w="296" w:type="pct"/>
            <w:shd w:val="clear" w:color="auto" w:fill="auto"/>
            <w:vAlign w:val="center"/>
          </w:tcPr>
          <w:p w14:paraId="50384B9A">
            <w:pPr>
              <w:spacing w:line="240" w:lineRule="auto"/>
              <w:ind w:firstLine="0" w:firstLineChars="0"/>
              <w:jc w:val="center"/>
              <w:rPr>
                <w:sz w:val="21"/>
              </w:rPr>
            </w:pPr>
          </w:p>
        </w:tc>
      </w:tr>
      <w:tr w14:paraId="28D733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42508855">
            <w:pPr>
              <w:numPr>
                <w:ilvl w:val="0"/>
                <w:numId w:val="25"/>
              </w:numPr>
              <w:spacing w:line="240" w:lineRule="auto"/>
              <w:ind w:left="240" w:leftChars="0" w:firstLineChars="0"/>
              <w:jc w:val="center"/>
              <w:rPr>
                <w:sz w:val="21"/>
              </w:rPr>
            </w:pPr>
          </w:p>
        </w:tc>
        <w:tc>
          <w:tcPr>
            <w:tcW w:w="1261" w:type="pct"/>
            <w:shd w:val="clear" w:color="auto" w:fill="auto"/>
            <w:vAlign w:val="center"/>
          </w:tcPr>
          <w:p w14:paraId="5B9EA88C">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6F8C1149">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胡杰</w:t>
            </w:r>
          </w:p>
        </w:tc>
        <w:tc>
          <w:tcPr>
            <w:tcW w:w="2625" w:type="pct"/>
            <w:shd w:val="clear" w:color="auto" w:fill="auto"/>
            <w:vAlign w:val="center"/>
          </w:tcPr>
          <w:p w14:paraId="3E16D425">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w:t>
            </w:r>
          </w:p>
          <w:p w14:paraId="465DB74E">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及维保</w:t>
            </w:r>
          </w:p>
        </w:tc>
        <w:tc>
          <w:tcPr>
            <w:tcW w:w="296" w:type="pct"/>
            <w:shd w:val="clear" w:color="auto" w:fill="auto"/>
            <w:vAlign w:val="center"/>
          </w:tcPr>
          <w:p w14:paraId="521ADE06">
            <w:pPr>
              <w:spacing w:line="240" w:lineRule="auto"/>
              <w:ind w:firstLine="0" w:firstLineChars="0"/>
              <w:jc w:val="center"/>
              <w:rPr>
                <w:sz w:val="21"/>
              </w:rPr>
            </w:pPr>
          </w:p>
        </w:tc>
      </w:tr>
      <w:tr w14:paraId="608655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55E106E2">
            <w:pPr>
              <w:numPr>
                <w:ilvl w:val="0"/>
                <w:numId w:val="25"/>
              </w:numPr>
              <w:spacing w:line="240" w:lineRule="auto"/>
              <w:ind w:left="240" w:leftChars="0" w:firstLineChars="0"/>
              <w:jc w:val="center"/>
              <w:rPr>
                <w:sz w:val="21"/>
              </w:rPr>
            </w:pPr>
          </w:p>
        </w:tc>
        <w:tc>
          <w:tcPr>
            <w:tcW w:w="1261" w:type="pct"/>
            <w:shd w:val="clear" w:color="auto" w:fill="auto"/>
            <w:vAlign w:val="center"/>
          </w:tcPr>
          <w:p w14:paraId="79268606">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37EC1450">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何小兵</w:t>
            </w:r>
          </w:p>
        </w:tc>
        <w:tc>
          <w:tcPr>
            <w:tcW w:w="2625" w:type="pct"/>
            <w:shd w:val="clear" w:color="auto" w:fill="auto"/>
            <w:vAlign w:val="center"/>
          </w:tcPr>
          <w:p w14:paraId="6EB7FB02">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1B03A85B">
            <w:pPr>
              <w:spacing w:line="240" w:lineRule="auto"/>
              <w:ind w:firstLine="0" w:firstLineChars="0"/>
              <w:jc w:val="center"/>
              <w:rPr>
                <w:sz w:val="21"/>
              </w:rPr>
            </w:pPr>
          </w:p>
        </w:tc>
      </w:tr>
      <w:tr w14:paraId="4632CB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295" w:type="pct"/>
            <w:shd w:val="clear" w:color="auto" w:fill="auto"/>
            <w:vAlign w:val="center"/>
          </w:tcPr>
          <w:p w14:paraId="3E8725C6">
            <w:pPr>
              <w:numPr>
                <w:ilvl w:val="0"/>
                <w:numId w:val="25"/>
              </w:numPr>
              <w:spacing w:line="240" w:lineRule="auto"/>
              <w:ind w:left="240" w:leftChars="0" w:firstLineChars="0"/>
              <w:jc w:val="center"/>
              <w:rPr>
                <w:sz w:val="21"/>
              </w:rPr>
            </w:pPr>
          </w:p>
        </w:tc>
        <w:tc>
          <w:tcPr>
            <w:tcW w:w="1261" w:type="pct"/>
            <w:shd w:val="clear" w:color="auto" w:fill="auto"/>
            <w:vAlign w:val="center"/>
          </w:tcPr>
          <w:p w14:paraId="51BCCC1D">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32AE90C4">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匡彬</w:t>
            </w:r>
          </w:p>
        </w:tc>
        <w:tc>
          <w:tcPr>
            <w:tcW w:w="2625" w:type="pct"/>
            <w:shd w:val="clear" w:color="auto" w:fill="auto"/>
            <w:vAlign w:val="center"/>
          </w:tcPr>
          <w:p w14:paraId="6E9C6666">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2CCB3EE3">
            <w:pPr>
              <w:spacing w:line="240" w:lineRule="auto"/>
              <w:ind w:firstLine="0" w:firstLineChars="0"/>
              <w:jc w:val="center"/>
              <w:rPr>
                <w:sz w:val="21"/>
              </w:rPr>
            </w:pPr>
          </w:p>
        </w:tc>
      </w:tr>
      <w:tr w14:paraId="168C7B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7827A837">
            <w:pPr>
              <w:numPr>
                <w:ilvl w:val="0"/>
                <w:numId w:val="25"/>
              </w:numPr>
              <w:spacing w:line="240" w:lineRule="auto"/>
              <w:ind w:left="240" w:leftChars="0" w:firstLineChars="0"/>
              <w:jc w:val="center"/>
              <w:rPr>
                <w:sz w:val="21"/>
              </w:rPr>
            </w:pPr>
          </w:p>
        </w:tc>
        <w:tc>
          <w:tcPr>
            <w:tcW w:w="1261" w:type="pct"/>
            <w:shd w:val="clear" w:color="auto" w:fill="auto"/>
            <w:vAlign w:val="center"/>
          </w:tcPr>
          <w:p w14:paraId="5B50B42D">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5B1E7311">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方柳</w:t>
            </w:r>
          </w:p>
        </w:tc>
        <w:tc>
          <w:tcPr>
            <w:tcW w:w="2625" w:type="pct"/>
            <w:shd w:val="clear" w:color="auto" w:fill="auto"/>
            <w:vAlign w:val="center"/>
          </w:tcPr>
          <w:p w14:paraId="187DB492">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2853BF2B">
            <w:pPr>
              <w:spacing w:line="240" w:lineRule="auto"/>
              <w:ind w:firstLine="0" w:firstLineChars="0"/>
              <w:jc w:val="center"/>
              <w:rPr>
                <w:sz w:val="21"/>
              </w:rPr>
            </w:pPr>
          </w:p>
        </w:tc>
      </w:tr>
      <w:tr w14:paraId="5C22E3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79D1B08E">
            <w:pPr>
              <w:numPr>
                <w:ilvl w:val="0"/>
                <w:numId w:val="25"/>
              </w:numPr>
              <w:spacing w:line="240" w:lineRule="auto"/>
              <w:ind w:left="240" w:leftChars="0" w:firstLineChars="0"/>
              <w:jc w:val="center"/>
              <w:rPr>
                <w:sz w:val="21"/>
              </w:rPr>
            </w:pPr>
          </w:p>
        </w:tc>
        <w:tc>
          <w:tcPr>
            <w:tcW w:w="1261" w:type="pct"/>
            <w:shd w:val="clear" w:color="auto" w:fill="auto"/>
            <w:vAlign w:val="center"/>
          </w:tcPr>
          <w:p w14:paraId="052AC35D">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建筑电工（维保人员）</w:t>
            </w:r>
          </w:p>
        </w:tc>
        <w:tc>
          <w:tcPr>
            <w:tcW w:w="522" w:type="pct"/>
            <w:shd w:val="clear" w:color="auto" w:fill="auto"/>
            <w:vAlign w:val="center"/>
          </w:tcPr>
          <w:p w14:paraId="7D66804D">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熊登</w:t>
            </w:r>
          </w:p>
        </w:tc>
        <w:tc>
          <w:tcPr>
            <w:tcW w:w="2625" w:type="pct"/>
            <w:shd w:val="clear" w:color="auto" w:fill="auto"/>
            <w:vAlign w:val="center"/>
          </w:tcPr>
          <w:p w14:paraId="1D3337A2">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负责设备安拆电气调试及维保</w:t>
            </w:r>
          </w:p>
        </w:tc>
        <w:tc>
          <w:tcPr>
            <w:tcW w:w="296" w:type="pct"/>
            <w:shd w:val="clear" w:color="auto" w:fill="auto"/>
            <w:vAlign w:val="center"/>
          </w:tcPr>
          <w:p w14:paraId="2621F4E9">
            <w:pPr>
              <w:spacing w:line="240" w:lineRule="auto"/>
              <w:ind w:firstLine="0" w:firstLineChars="0"/>
              <w:jc w:val="center"/>
              <w:rPr>
                <w:sz w:val="21"/>
              </w:rPr>
            </w:pPr>
          </w:p>
        </w:tc>
      </w:tr>
      <w:tr w14:paraId="529B0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7AE50497">
            <w:pPr>
              <w:numPr>
                <w:ilvl w:val="0"/>
                <w:numId w:val="25"/>
              </w:numPr>
              <w:spacing w:line="240" w:lineRule="auto"/>
              <w:ind w:left="240" w:leftChars="0" w:firstLineChars="0"/>
              <w:jc w:val="center"/>
              <w:rPr>
                <w:sz w:val="21"/>
              </w:rPr>
            </w:pPr>
          </w:p>
        </w:tc>
        <w:tc>
          <w:tcPr>
            <w:tcW w:w="1261" w:type="pct"/>
            <w:shd w:val="clear" w:color="auto" w:fill="auto"/>
            <w:vAlign w:val="center"/>
          </w:tcPr>
          <w:p w14:paraId="2ED26C67">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司机</w:t>
            </w:r>
          </w:p>
        </w:tc>
        <w:tc>
          <w:tcPr>
            <w:tcW w:w="522" w:type="pct"/>
            <w:shd w:val="clear" w:color="auto" w:fill="auto"/>
            <w:vAlign w:val="center"/>
          </w:tcPr>
          <w:p w14:paraId="0F9128A8">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张云桥</w:t>
            </w:r>
          </w:p>
        </w:tc>
        <w:tc>
          <w:tcPr>
            <w:tcW w:w="2625" w:type="pct"/>
            <w:shd w:val="clear" w:color="auto" w:fill="auto"/>
            <w:vAlign w:val="center"/>
          </w:tcPr>
          <w:p w14:paraId="5BEEC2D4">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在安装过程中对塔吊进行操作。严守操作规程，严格安照日常保养维护检查，确保塔吊处于良好状态。</w:t>
            </w:r>
          </w:p>
        </w:tc>
        <w:tc>
          <w:tcPr>
            <w:tcW w:w="296" w:type="pct"/>
            <w:shd w:val="clear" w:color="auto" w:fill="auto"/>
            <w:vAlign w:val="center"/>
          </w:tcPr>
          <w:p w14:paraId="46596AD7">
            <w:pPr>
              <w:spacing w:line="240" w:lineRule="auto"/>
              <w:ind w:firstLine="0" w:firstLineChars="0"/>
              <w:jc w:val="center"/>
              <w:rPr>
                <w:sz w:val="21"/>
              </w:rPr>
            </w:pPr>
          </w:p>
        </w:tc>
      </w:tr>
      <w:tr w14:paraId="503F02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49623B5F">
            <w:pPr>
              <w:numPr>
                <w:ilvl w:val="0"/>
                <w:numId w:val="25"/>
              </w:numPr>
              <w:spacing w:line="240" w:lineRule="auto"/>
              <w:ind w:left="240" w:leftChars="0" w:firstLineChars="0"/>
              <w:jc w:val="center"/>
              <w:rPr>
                <w:sz w:val="21"/>
              </w:rPr>
            </w:pPr>
          </w:p>
        </w:tc>
        <w:tc>
          <w:tcPr>
            <w:tcW w:w="1261" w:type="pct"/>
            <w:shd w:val="clear" w:color="auto" w:fill="auto"/>
            <w:vAlign w:val="center"/>
          </w:tcPr>
          <w:p w14:paraId="5BAA32F5">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指挥</w:t>
            </w:r>
          </w:p>
        </w:tc>
        <w:tc>
          <w:tcPr>
            <w:tcW w:w="522" w:type="pct"/>
            <w:shd w:val="clear" w:color="auto" w:fill="auto"/>
            <w:vAlign w:val="center"/>
          </w:tcPr>
          <w:p w14:paraId="527E2FFF">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刘云祥</w:t>
            </w:r>
          </w:p>
        </w:tc>
        <w:tc>
          <w:tcPr>
            <w:tcW w:w="2625" w:type="pct"/>
            <w:shd w:val="clear" w:color="auto" w:fill="auto"/>
            <w:vAlign w:val="center"/>
          </w:tcPr>
          <w:p w14:paraId="306873A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负责安装过程中的指挥信号</w:t>
            </w:r>
          </w:p>
        </w:tc>
        <w:tc>
          <w:tcPr>
            <w:tcW w:w="296" w:type="pct"/>
            <w:shd w:val="clear" w:color="auto" w:fill="auto"/>
            <w:vAlign w:val="center"/>
          </w:tcPr>
          <w:p w14:paraId="5A68F242">
            <w:pPr>
              <w:spacing w:line="240" w:lineRule="auto"/>
              <w:ind w:firstLine="0" w:firstLineChars="0"/>
              <w:jc w:val="center"/>
              <w:rPr>
                <w:sz w:val="21"/>
              </w:rPr>
            </w:pPr>
          </w:p>
        </w:tc>
      </w:tr>
    </w:tbl>
    <w:p w14:paraId="4C164C0C"/>
    <w:p w14:paraId="00AEBE0F">
      <w:pPr>
        <w:pStyle w:val="4"/>
        <w:bidi w:val="0"/>
        <w:ind w:left="720" w:leftChars="0" w:hanging="720" w:firstLineChars="0"/>
        <w:rPr>
          <w:rFonts w:hint="eastAsia"/>
          <w:b/>
          <w:bCs w:val="0"/>
          <w:lang w:val="en-US" w:eastAsia="zh-CN"/>
        </w:rPr>
      </w:pPr>
      <w:bookmarkStart w:id="142" w:name="_Toc3616"/>
      <w:bookmarkStart w:id="143" w:name="_Toc33269603"/>
      <w:bookmarkStart w:id="144" w:name="_Toc30291"/>
      <w:bookmarkStart w:id="145" w:name="_Toc1909"/>
      <w:r>
        <w:rPr>
          <w:rFonts w:hint="eastAsia"/>
          <w:b/>
          <w:bCs w:val="0"/>
          <w:lang w:val="en-US" w:eastAsia="zh-CN"/>
        </w:rPr>
        <w:t>安全保证体系</w:t>
      </w:r>
      <w:bookmarkEnd w:id="142"/>
      <w:bookmarkEnd w:id="143"/>
      <w:bookmarkEnd w:id="144"/>
      <w:bookmarkEnd w:id="145"/>
    </w:p>
    <w:p w14:paraId="25B398B6">
      <w:pPr>
        <w:ind w:firstLine="480" w:firstLineChars="0"/>
        <w:rPr>
          <w:rFonts w:cs="Times New Roman"/>
          <w:kern w:val="0"/>
          <w:szCs w:val="21"/>
        </w:rPr>
      </w:pPr>
      <w:bookmarkStart w:id="146" w:name="_Toc27838938"/>
      <w:r>
        <w:rPr>
          <w:rFonts w:cs="Times New Roman"/>
          <w:kern w:val="0"/>
          <w:szCs w:val="21"/>
        </w:rPr>
        <w:t>坚持“安全第一、预防为主、综合治理”的方针，根据项目特点，从思想、组织、制度、技术、资源、过程等方面入手建立健全安全生产保证体系，全面落实各项安全措施到施工过程中，确保安全生产目标的实现。安全保证体系见下图。</w:t>
      </w:r>
    </w:p>
    <w:p w14:paraId="08A32A05">
      <w:pPr>
        <w:keepNext/>
        <w:spacing w:line="360" w:lineRule="auto"/>
        <w:jc w:val="center"/>
        <w:rPr>
          <w:rFonts w:ascii="Times New Roman" w:hAnsi="Times New Roman" w:eastAsia="仿宋" w:cs="Times New Roman"/>
          <w:kern w:val="2"/>
          <w:sz w:val="24"/>
          <w:szCs w:val="22"/>
          <w:lang w:val="en-US" w:eastAsia="zh-CN" w:bidi="ar-SA"/>
        </w:rPr>
      </w:pPr>
      <w:r>
        <w:rPr>
          <w:rFonts w:ascii="Times New Roman" w:hAnsi="Times New Roman" w:eastAsia="仿宋" w:cs="Times New Roman"/>
          <w:kern w:val="2"/>
          <w:sz w:val="24"/>
          <w:szCs w:val="22"/>
          <w:lang w:val="en-US" w:eastAsia="zh-CN" w:bidi="ar-SA"/>
        </w:rPr>
        <w:object>
          <v:shape id="_x0000_i1025" o:spt="75" type="#_x0000_t75" style="height:378pt;width:420pt;" o:ole="t" filled="f" o:preferrelative="t" stroked="f" coordsize="21600,21600">
            <v:path/>
            <v:fill on="f" focussize="0,0"/>
            <v:stroke on="f" joinstyle="miter"/>
            <v:imagedata r:id="rId78" o:title=""/>
            <o:lock v:ext="edit" aspectratio="t"/>
            <w10:wrap type="none"/>
            <w10:anchorlock/>
          </v:shape>
          <o:OLEObject Type="Embed" ProgID="Visio.Drawing.11" ShapeID="_x0000_i1025" DrawAspect="Content" ObjectID="_1468075725" r:id="rId77">
            <o:LockedField>false</o:LockedField>
          </o:OLEObject>
        </w:object>
      </w:r>
    </w:p>
    <w:p w14:paraId="641B1E34">
      <w:pPr>
        <w:ind w:firstLine="480" w:firstLineChars="0"/>
        <w:jc w:val="center"/>
        <w:rPr>
          <w:rFonts w:ascii="Times New Roman" w:hAnsi="Times New Roman" w:eastAsia="宋体" w:cs="Times New Roman"/>
          <w:bCs/>
          <w:kern w:val="0"/>
          <w:szCs w:val="22"/>
          <w:lang w:val="en-US" w:eastAsia="zh-CN" w:bidi="en-US"/>
        </w:rPr>
      </w:pPr>
      <w:r>
        <w:rPr>
          <w:rFonts w:hint="eastAsia" w:ascii="Times New Roman" w:hAnsi="Times New Roman" w:eastAsia="宋体" w:cstheme="majorBidi"/>
          <w:b/>
          <w:kern w:val="2"/>
          <w:sz w:val="21"/>
          <w:szCs w:val="20"/>
          <w:shd w:val="clear"/>
          <w:lang w:val="en-US" w:eastAsia="zh-CN" w:bidi="ar-SA"/>
        </w:rPr>
        <w:t xml:space="preserve">图 </w:t>
      </w:r>
      <w:r>
        <w:rPr>
          <w:rFonts w:hint="eastAsia" w:ascii="Times New Roman" w:hAnsi="Times New Roman" w:eastAsia="宋体" w:cstheme="majorBidi"/>
          <w:b/>
          <w:kern w:val="2"/>
          <w:sz w:val="21"/>
          <w:szCs w:val="20"/>
          <w:shd w:val="clear"/>
          <w:lang w:val="en-US" w:eastAsia="zh-CN" w:bidi="ar-SA"/>
        </w:rPr>
        <w:fldChar w:fldCharType="begin"/>
      </w:r>
      <w:r>
        <w:rPr>
          <w:rFonts w:hint="eastAsia" w:ascii="Times New Roman" w:hAnsi="Times New Roman" w:eastAsia="宋体" w:cstheme="majorBidi"/>
          <w:b/>
          <w:kern w:val="2"/>
          <w:sz w:val="21"/>
          <w:szCs w:val="20"/>
          <w:shd w:val="clear"/>
          <w:lang w:val="en-US" w:eastAsia="zh-CN" w:bidi="ar-SA"/>
        </w:rPr>
        <w:instrText xml:space="preserve"> STYLEREF 2 \s </w:instrText>
      </w:r>
      <w:r>
        <w:rPr>
          <w:rFonts w:hint="eastAsia" w:ascii="Times New Roman" w:hAnsi="Times New Roman" w:eastAsia="宋体" w:cstheme="majorBidi"/>
          <w:b/>
          <w:kern w:val="2"/>
          <w:sz w:val="21"/>
          <w:szCs w:val="20"/>
          <w:shd w:val="clear"/>
          <w:lang w:val="en-US" w:eastAsia="zh-CN" w:bidi="ar-SA"/>
        </w:rPr>
        <w:fldChar w:fldCharType="separate"/>
      </w:r>
      <w:r>
        <w:rPr>
          <w:rFonts w:hint="eastAsia" w:ascii="Times New Roman" w:hAnsi="Times New Roman" w:eastAsia="宋体" w:cstheme="majorBidi"/>
          <w:b/>
          <w:kern w:val="2"/>
          <w:sz w:val="21"/>
          <w:szCs w:val="20"/>
          <w:shd w:val="clear"/>
          <w:lang w:val="en-US" w:eastAsia="zh-CN" w:bidi="ar-SA"/>
        </w:rPr>
        <w:t>6.2.2</w:t>
      </w:r>
      <w:r>
        <w:rPr>
          <w:rFonts w:hint="eastAsia" w:ascii="Times New Roman" w:hAnsi="Times New Roman" w:eastAsia="宋体" w:cstheme="majorBidi"/>
          <w:b/>
          <w:kern w:val="2"/>
          <w:sz w:val="21"/>
          <w:szCs w:val="20"/>
          <w:shd w:val="clear"/>
          <w:lang w:val="en-US" w:eastAsia="zh-CN" w:bidi="ar-SA"/>
        </w:rPr>
        <w:fldChar w:fldCharType="end"/>
      </w:r>
      <w:r>
        <w:rPr>
          <w:rFonts w:hint="eastAsia" w:ascii="Times New Roman" w:hAnsi="Times New Roman" w:eastAsia="宋体" w:cstheme="majorBidi"/>
          <w:b/>
          <w:kern w:val="2"/>
          <w:sz w:val="21"/>
          <w:szCs w:val="20"/>
          <w:shd w:val="clear"/>
          <w:lang w:val="en-US" w:eastAsia="zh-CN" w:bidi="ar-SA"/>
        </w:rPr>
        <w:noBreakHyphen/>
      </w:r>
      <w:r>
        <w:rPr>
          <w:rFonts w:hint="eastAsia" w:ascii="Times New Roman" w:hAnsi="Times New Roman" w:eastAsia="宋体" w:cstheme="majorBidi"/>
          <w:b/>
          <w:kern w:val="2"/>
          <w:sz w:val="21"/>
          <w:szCs w:val="20"/>
          <w:shd w:val="clear"/>
          <w:lang w:val="en-US" w:eastAsia="zh-CN" w:bidi="ar-SA"/>
        </w:rPr>
        <w:fldChar w:fldCharType="begin"/>
      </w:r>
      <w:r>
        <w:rPr>
          <w:rFonts w:hint="eastAsia" w:ascii="Times New Roman" w:hAnsi="Times New Roman" w:eastAsia="宋体" w:cstheme="majorBidi"/>
          <w:b/>
          <w:kern w:val="2"/>
          <w:sz w:val="21"/>
          <w:szCs w:val="20"/>
          <w:shd w:val="clear"/>
          <w:lang w:val="en-US" w:eastAsia="zh-CN" w:bidi="ar-SA"/>
        </w:rPr>
        <w:instrText xml:space="preserve"> SEQ 图 \* ARABIC \s 2 </w:instrText>
      </w:r>
      <w:r>
        <w:rPr>
          <w:rFonts w:hint="eastAsia" w:ascii="Times New Roman" w:hAnsi="Times New Roman" w:eastAsia="宋体" w:cstheme="majorBidi"/>
          <w:b/>
          <w:kern w:val="2"/>
          <w:sz w:val="21"/>
          <w:szCs w:val="20"/>
          <w:shd w:val="clear"/>
          <w:lang w:val="en-US" w:eastAsia="zh-CN" w:bidi="ar-SA"/>
        </w:rPr>
        <w:fldChar w:fldCharType="separate"/>
      </w:r>
      <w:r>
        <w:rPr>
          <w:rFonts w:hint="eastAsia" w:ascii="Times New Roman" w:hAnsi="Times New Roman" w:eastAsia="宋体" w:cstheme="majorBidi"/>
          <w:b/>
          <w:kern w:val="2"/>
          <w:sz w:val="21"/>
          <w:szCs w:val="20"/>
          <w:shd w:val="clear"/>
          <w:lang w:val="en-US" w:eastAsia="zh-CN" w:bidi="ar-SA"/>
        </w:rPr>
        <w:t>2</w:t>
      </w:r>
      <w:r>
        <w:rPr>
          <w:rFonts w:hint="eastAsia" w:ascii="Times New Roman" w:hAnsi="Times New Roman" w:eastAsia="宋体" w:cstheme="majorBidi"/>
          <w:b/>
          <w:kern w:val="2"/>
          <w:sz w:val="21"/>
          <w:szCs w:val="20"/>
          <w:shd w:val="clear"/>
          <w:lang w:val="en-US" w:eastAsia="zh-CN" w:bidi="ar-SA"/>
        </w:rPr>
        <w:fldChar w:fldCharType="end"/>
      </w:r>
      <w:r>
        <w:rPr>
          <w:rFonts w:hint="eastAsia" w:ascii="Times New Roman" w:hAnsi="Times New Roman" w:eastAsia="宋体" w:cstheme="majorBidi"/>
          <w:b/>
          <w:kern w:val="2"/>
          <w:sz w:val="21"/>
          <w:szCs w:val="20"/>
          <w:shd w:val="clear"/>
          <w:lang w:val="en-US" w:eastAsia="zh-CN" w:bidi="ar-SA"/>
        </w:rPr>
        <w:t xml:space="preserve">  安全保证体系框图</w:t>
      </w:r>
    </w:p>
    <w:p w14:paraId="4E952983">
      <w:pPr>
        <w:pStyle w:val="4"/>
        <w:bidi w:val="0"/>
        <w:ind w:left="720" w:leftChars="0" w:hanging="720" w:firstLineChars="0"/>
        <w:rPr>
          <w:rFonts w:hint="eastAsia"/>
          <w:b/>
          <w:bCs w:val="0"/>
          <w:lang w:val="en-US" w:eastAsia="zh-CN"/>
        </w:rPr>
      </w:pPr>
      <w:r>
        <w:rPr>
          <w:rFonts w:hint="eastAsia"/>
          <w:b/>
          <w:bCs w:val="0"/>
          <w:lang w:val="en-US" w:eastAsia="zh-CN"/>
        </w:rPr>
        <w:t>制度保证措施</w:t>
      </w:r>
      <w:bookmarkEnd w:id="146"/>
    </w:p>
    <w:p w14:paraId="551B12A4">
      <w:pPr>
        <w:pStyle w:val="131"/>
        <w:ind w:firstLine="480"/>
        <w:rPr>
          <w:rFonts w:cs="Times New Roman"/>
        </w:rPr>
      </w:pPr>
      <w:bookmarkStart w:id="147" w:name="_Toc27838939"/>
      <w:bookmarkStart w:id="148" w:name="_Toc23891"/>
      <w:r>
        <w:rPr>
          <w:rFonts w:cs="Times New Roman"/>
        </w:rPr>
        <w:t>（1）严格执行安全生产教育与培训制度，分项工程开工前，对参建人员进行岗前安全教育培训，经培训考试合格后方可上岗。</w:t>
      </w:r>
    </w:p>
    <w:p w14:paraId="29C762D7">
      <w:pPr>
        <w:pStyle w:val="131"/>
        <w:ind w:firstLine="480"/>
        <w:rPr>
          <w:rFonts w:cs="Times New Roman"/>
        </w:rPr>
      </w:pPr>
      <w:r>
        <w:rPr>
          <w:rFonts w:cs="Times New Roman"/>
        </w:rPr>
        <w:t>（2）严格执行特殊工种持证上岗制度，分项工程开工前，对特种作业人员进行专业安全培训，取得相应资格证书后，持证上岗。</w:t>
      </w:r>
    </w:p>
    <w:p w14:paraId="5AF0598A">
      <w:pPr>
        <w:pStyle w:val="131"/>
        <w:ind w:firstLine="480"/>
        <w:rPr>
          <w:rFonts w:cs="Times New Roman"/>
        </w:rPr>
      </w:pPr>
      <w:r>
        <w:rPr>
          <w:rFonts w:cs="Times New Roman"/>
        </w:rPr>
        <w:t>（3）严格执行安全技术交底制度，使作业人员能了解作业过程中可能存在的事故隐患，交底采用书面安全技术交底和现场安全技术交底相结合的方式。</w:t>
      </w:r>
    </w:p>
    <w:p w14:paraId="55237322">
      <w:pPr>
        <w:pStyle w:val="131"/>
        <w:ind w:firstLine="480"/>
        <w:rPr>
          <w:rFonts w:cs="Times New Roman"/>
        </w:rPr>
      </w:pPr>
      <w:r>
        <w:rPr>
          <w:rFonts w:cs="Times New Roman"/>
        </w:rPr>
        <w:t>（4）落实安全生产责任制，项目部以安全总监主管安全生产工作，专职安全员负责日常安全管理工作，班组设兼职安全员，进行现场安全管理、指导、监督、制止违章，在危险时采取紧急措施。专职安全员持证上岗，在现场均配戴好工作标志。</w:t>
      </w:r>
    </w:p>
    <w:p w14:paraId="27CE1DA9">
      <w:pPr>
        <w:pStyle w:val="131"/>
        <w:ind w:firstLine="480"/>
        <w:rPr>
          <w:rFonts w:cs="Times New Roman"/>
        </w:rPr>
      </w:pPr>
      <w:r>
        <w:rPr>
          <w:rFonts w:cs="Times New Roman"/>
        </w:rPr>
        <w:t>（5）执行施工许可制度，分项工程开工前，针对工程实际编制切实可行的安全措施计划，并限期实施，没有安全保障措施时工程不得开工。</w:t>
      </w:r>
    </w:p>
    <w:p w14:paraId="31D31BF7">
      <w:pPr>
        <w:pStyle w:val="131"/>
        <w:ind w:firstLine="480"/>
        <w:rPr>
          <w:rFonts w:cs="Times New Roman"/>
        </w:rPr>
      </w:pPr>
      <w:r>
        <w:rPr>
          <w:rFonts w:cs="Times New Roman"/>
        </w:rPr>
        <w:t>（6）实行安全例会制度，每周召开一次安全会议，决定安全生产的重大事项；每周进行一次安全检查，并随时召开部门安全会议，检查总结一周的安全工作，贯彻安全领导小组的决定，落实整改措施。</w:t>
      </w:r>
    </w:p>
    <w:p w14:paraId="29C2A1FB">
      <w:pPr>
        <w:ind w:firstLine="480" w:firstLineChars="0"/>
        <w:rPr>
          <w:rFonts w:cs="Times New Roman"/>
          <w:szCs w:val="22"/>
        </w:rPr>
      </w:pPr>
      <w:r>
        <w:rPr>
          <w:rFonts w:cs="Times New Roman"/>
          <w:szCs w:val="22"/>
        </w:rPr>
        <w:t>（7）完善并执行安全目标管理制度，其中包括：禁酒令、安全生产带班管理制度、安全生产教育培训制度、施工起重机械使用登记制度、机械设备安全操作规程、安全用电制度、特种作业人员持证上岗制度、安全检查制度、“三同时”制度、生产安全事故报告和调查处理制度、安全预评价制度、工伤和意外伤害保险制度、高处作业十项禁令等。</w:t>
      </w:r>
    </w:p>
    <w:p w14:paraId="6B4DA9B2">
      <w:pPr>
        <w:pStyle w:val="131"/>
        <w:ind w:firstLine="480"/>
        <w:rPr>
          <w:rFonts w:cs="Times New Roman"/>
        </w:rPr>
      </w:pPr>
      <w:r>
        <w:rPr>
          <w:rFonts w:cs="Times New Roman"/>
        </w:rPr>
        <w:t>（8）实行安全目标管理，层层分解落实安全指标，严格执行与经济挂钩的奖惩制度，坚决实施安全一票否决权制度。</w:t>
      </w:r>
    </w:p>
    <w:p w14:paraId="3FF31E5C">
      <w:pPr>
        <w:pStyle w:val="131"/>
        <w:ind w:firstLine="480"/>
        <w:rPr>
          <w:rFonts w:cs="Times New Roman"/>
        </w:rPr>
      </w:pPr>
      <w:r>
        <w:rPr>
          <w:rFonts w:cs="Times New Roman"/>
        </w:rPr>
        <w:t>（9）严格执行危险作业许可证制度，以控制和消除各类危险作业的风险，保障危险作业的安全进行。</w:t>
      </w:r>
    </w:p>
    <w:p w14:paraId="1B19B553">
      <w:pPr>
        <w:pStyle w:val="4"/>
        <w:bidi w:val="0"/>
        <w:ind w:left="720" w:leftChars="0" w:hanging="720" w:firstLineChars="0"/>
        <w:rPr>
          <w:rFonts w:hint="eastAsia"/>
          <w:b/>
          <w:bCs w:val="0"/>
          <w:lang w:val="en-US" w:eastAsia="zh-CN"/>
        </w:rPr>
      </w:pPr>
      <w:r>
        <w:rPr>
          <w:rFonts w:hint="eastAsia"/>
          <w:b/>
          <w:bCs w:val="0"/>
          <w:lang w:val="en-US" w:eastAsia="zh-CN"/>
        </w:rPr>
        <w:t>思想保证措施</w:t>
      </w:r>
      <w:bookmarkEnd w:id="147"/>
      <w:bookmarkEnd w:id="148"/>
    </w:p>
    <w:p w14:paraId="55189F5C">
      <w:pPr>
        <w:pStyle w:val="382"/>
        <w:ind w:firstLine="480"/>
        <w:rPr>
          <w:rFonts w:cs="Times New Roman"/>
        </w:rPr>
      </w:pPr>
      <w:r>
        <w:rPr>
          <w:rFonts w:cs="Times New Roman"/>
        </w:rPr>
        <w:t>（1）全体参建人员严格执行党和国家有关安全生产法律、法规和安全生产规程，自觉遵守国家、行业、地方及业主的有关安全生产管理规定。</w:t>
      </w:r>
    </w:p>
    <w:p w14:paraId="218874C2">
      <w:pPr>
        <w:pStyle w:val="382"/>
        <w:ind w:firstLine="480"/>
        <w:rPr>
          <w:rFonts w:cs="Times New Roman"/>
        </w:rPr>
      </w:pPr>
      <w:r>
        <w:rPr>
          <w:rFonts w:cs="Times New Roman"/>
        </w:rPr>
        <w:t>（2）认真贯彻执行“安全第一、预防为主、综合治理”的方针，增强全员安全意识，使全员都能明确自己的安全目标和职责，达到全员参加，全员实施的目的，体现“安全生产、人人有责”的原则。</w:t>
      </w:r>
    </w:p>
    <w:p w14:paraId="0EAB413C">
      <w:pPr>
        <w:pStyle w:val="382"/>
        <w:ind w:firstLine="480"/>
        <w:rPr>
          <w:rFonts w:cs="Times New Roman"/>
        </w:rPr>
      </w:pPr>
      <w:r>
        <w:rPr>
          <w:rFonts w:cs="Times New Roman"/>
        </w:rPr>
        <w:t>（3）分项工程开工前，对所有上岗人员进行安全教育培训，使全员都能遵守生产必须安全，安全才能生产的原则，严格执行安全操作规程，持证上岗。</w:t>
      </w:r>
    </w:p>
    <w:p w14:paraId="74105F39">
      <w:pPr>
        <w:pStyle w:val="382"/>
        <w:ind w:firstLine="480"/>
        <w:rPr>
          <w:rFonts w:cs="Times New Roman"/>
        </w:rPr>
      </w:pPr>
      <w:r>
        <w:rPr>
          <w:rFonts w:cs="Times New Roman"/>
        </w:rPr>
        <w:t>（4）随时接受业主及监理单位对安全生产的督促、检查、考评，对提出的问题，立即落实方案组织实施，确保安全生产。</w:t>
      </w:r>
    </w:p>
    <w:p w14:paraId="6E87084C">
      <w:pPr>
        <w:pStyle w:val="3"/>
        <w:rPr>
          <w:b/>
          <w:bCs w:val="0"/>
          <w:shd w:val="clear" w:color="auto" w:fill="FFFFFF" w:themeFill="background1"/>
        </w:rPr>
      </w:pPr>
      <w:bookmarkStart w:id="149" w:name="_Toc11037"/>
      <w:bookmarkStart w:id="150" w:name="_Toc131174056"/>
      <w:bookmarkStart w:id="151" w:name="_Toc28933"/>
      <w:bookmarkStart w:id="152" w:name="_Toc20841"/>
      <w:bookmarkStart w:id="153" w:name="_Toc23722"/>
      <w:r>
        <w:rPr>
          <w:rFonts w:hint="eastAsia"/>
          <w:b/>
          <w:bCs w:val="0"/>
          <w:shd w:val="clear" w:color="auto" w:fill="FFFFFF" w:themeFill="background1"/>
        </w:rPr>
        <w:t>施工安全技术控制措施</w:t>
      </w:r>
      <w:bookmarkEnd w:id="149"/>
      <w:bookmarkEnd w:id="150"/>
      <w:bookmarkEnd w:id="151"/>
      <w:bookmarkEnd w:id="152"/>
      <w:bookmarkEnd w:id="153"/>
    </w:p>
    <w:p w14:paraId="4DBD2179">
      <w:pPr>
        <w:pStyle w:val="4"/>
        <w:rPr>
          <w:b/>
          <w:bCs w:val="0"/>
        </w:rPr>
      </w:pPr>
      <w:r>
        <w:rPr>
          <w:rFonts w:hint="eastAsia"/>
          <w:b/>
          <w:bCs w:val="0"/>
        </w:rPr>
        <w:t>塔式起重机安拆安全技术措施</w:t>
      </w:r>
    </w:p>
    <w:p w14:paraId="6BBA108C">
      <w:pPr>
        <w:numPr>
          <w:ilvl w:val="0"/>
          <w:numId w:val="26"/>
        </w:numPr>
        <w:ind w:firstLineChars="0"/>
      </w:pPr>
      <w:r>
        <w:rPr>
          <w:rFonts w:hint="eastAsia"/>
        </w:rPr>
        <w:t>安装前应根据专项施工方案，对塔式起重机基础的下列项目进行检查。确认合格后方可实施：</w:t>
      </w:r>
    </w:p>
    <w:p w14:paraId="5C19B2C9">
      <w:pPr>
        <w:numPr>
          <w:ilvl w:val="0"/>
          <w:numId w:val="27"/>
        </w:numPr>
        <w:ind w:firstLineChars="0"/>
      </w:pPr>
      <w:r>
        <w:rPr>
          <w:rFonts w:hint="eastAsia"/>
        </w:rPr>
        <w:t>基础的位置、高程、尺寸；</w:t>
      </w:r>
    </w:p>
    <w:p w14:paraId="60ECA076">
      <w:pPr>
        <w:numPr>
          <w:ilvl w:val="0"/>
          <w:numId w:val="27"/>
        </w:numPr>
        <w:ind w:firstLineChars="0"/>
      </w:pPr>
      <w:r>
        <w:rPr>
          <w:rFonts w:hint="eastAsia"/>
        </w:rPr>
        <w:t>安装辅助设备的基础、地基承载力、预埋件等；</w:t>
      </w:r>
    </w:p>
    <w:p w14:paraId="70D4A7BB">
      <w:pPr>
        <w:numPr>
          <w:ilvl w:val="0"/>
          <w:numId w:val="27"/>
        </w:numPr>
        <w:ind w:firstLineChars="0"/>
      </w:pPr>
      <w:r>
        <w:rPr>
          <w:rFonts w:hint="eastAsia"/>
        </w:rPr>
        <w:t>基础的排水措施。</w:t>
      </w:r>
    </w:p>
    <w:p w14:paraId="29339B1C">
      <w:pPr>
        <w:numPr>
          <w:ilvl w:val="0"/>
          <w:numId w:val="26"/>
        </w:numPr>
        <w:ind w:firstLineChars="0"/>
      </w:pPr>
      <w:r>
        <w:rPr>
          <w:rFonts w:hint="eastAsia"/>
        </w:rPr>
        <w:t>安装或拆除作业应根据专项施工方案要求实施。安装或拆除作业人员应分工明确、职责清楚、安装前应对安装或拆除作业人员进行安全技术交底；</w:t>
      </w:r>
    </w:p>
    <w:p w14:paraId="3BD2437C">
      <w:pPr>
        <w:numPr>
          <w:ilvl w:val="0"/>
          <w:numId w:val="26"/>
        </w:numPr>
        <w:ind w:firstLineChars="0"/>
      </w:pPr>
      <w:r>
        <w:rPr>
          <w:rFonts w:hint="eastAsia"/>
        </w:rPr>
        <w:t>安装或拆除辅助设备就位后，应对其机械和安全性能进行检验，合格后方可作业；</w:t>
      </w:r>
    </w:p>
    <w:p w14:paraId="0C73BC60">
      <w:pPr>
        <w:numPr>
          <w:ilvl w:val="0"/>
          <w:numId w:val="26"/>
        </w:numPr>
        <w:ind w:firstLineChars="0"/>
      </w:pPr>
      <w:r>
        <w:rPr>
          <w:rFonts w:hint="eastAsia"/>
        </w:rPr>
        <w:t>安装或拆除作业中应统一指挥，明确指挥信号。当视线受阻，距离过远时应采用对讲机或多级指挥；</w:t>
      </w:r>
    </w:p>
    <w:p w14:paraId="4F0E578F">
      <w:pPr>
        <w:numPr>
          <w:ilvl w:val="0"/>
          <w:numId w:val="26"/>
        </w:numPr>
        <w:ind w:firstLineChars="0"/>
      </w:pPr>
      <w:r>
        <w:rPr>
          <w:rFonts w:hint="eastAsia"/>
        </w:rPr>
        <w:t>塔式起重机的独立高度、悬臂高度应符合使用说明书的要求；</w:t>
      </w:r>
    </w:p>
    <w:p w14:paraId="7441FAFD">
      <w:pPr>
        <w:numPr>
          <w:ilvl w:val="0"/>
          <w:numId w:val="26"/>
        </w:numPr>
        <w:ind w:firstLineChars="0"/>
      </w:pPr>
      <w:r>
        <w:rPr>
          <w:rFonts w:hint="eastAsia"/>
        </w:rPr>
        <w:t>雨雪、浓雾天气严禁进行安装作业。安装或拆除时塔式起重机最大高度处的风速应符合使用说明书的要求，且风速不得超过12m/s；</w:t>
      </w:r>
    </w:p>
    <w:p w14:paraId="2246A749">
      <w:pPr>
        <w:numPr>
          <w:ilvl w:val="0"/>
          <w:numId w:val="26"/>
        </w:numPr>
        <w:ind w:firstLineChars="0"/>
      </w:pPr>
      <w:r>
        <w:rPr>
          <w:rFonts w:hint="eastAsia"/>
        </w:rPr>
        <w:t>塔式起重机不宜在夜间进行安装作业；当需在夜间进行塔式起重机安装和拆卸作业时，应保证提供足够的照明；</w:t>
      </w:r>
    </w:p>
    <w:p w14:paraId="0B8C5A3D">
      <w:pPr>
        <w:numPr>
          <w:ilvl w:val="0"/>
          <w:numId w:val="26"/>
        </w:numPr>
        <w:ind w:firstLineChars="0"/>
      </w:pPr>
      <w:r>
        <w:rPr>
          <w:rFonts w:hint="eastAsia"/>
        </w:rPr>
        <w:t>当遇特殊情况安装作业不能连续进行时，必须将已安装的部位固定牢靠并达到安全状态，经检查确认无隐患后，方可停止作业；</w:t>
      </w:r>
    </w:p>
    <w:p w14:paraId="226E8AE9">
      <w:pPr>
        <w:numPr>
          <w:ilvl w:val="0"/>
          <w:numId w:val="26"/>
        </w:numPr>
        <w:ind w:firstLineChars="0"/>
      </w:pPr>
      <w:r>
        <w:rPr>
          <w:rFonts w:hint="eastAsia"/>
        </w:rPr>
        <w:t>塔式起重机的安全装置必须齐全，并应按程序进行调试合格；</w:t>
      </w:r>
    </w:p>
    <w:p w14:paraId="05D3E1B1">
      <w:pPr>
        <w:numPr>
          <w:ilvl w:val="0"/>
          <w:numId w:val="26"/>
        </w:numPr>
        <w:ind w:firstLineChars="0"/>
      </w:pPr>
      <w:r>
        <w:rPr>
          <w:rFonts w:hint="eastAsia"/>
        </w:rPr>
        <w:t>连接件及其防松防脱件严禁用其他代用品代用。连接件及其防松防脱件应使用力矩扳手或专用工具紧固连接螺栓；</w:t>
      </w:r>
    </w:p>
    <w:p w14:paraId="2C85FCFF">
      <w:pPr>
        <w:numPr>
          <w:ilvl w:val="0"/>
          <w:numId w:val="26"/>
        </w:numPr>
        <w:ind w:firstLineChars="0"/>
      </w:pPr>
      <w:r>
        <w:rPr>
          <w:rFonts w:hint="eastAsia"/>
        </w:rPr>
        <w:t>安装单位自检合格后，应委托有相应资质的检验检测机构进行检测，检验检测机构应出具检测报告书；</w:t>
      </w:r>
    </w:p>
    <w:p w14:paraId="2B47973B">
      <w:pPr>
        <w:numPr>
          <w:ilvl w:val="0"/>
          <w:numId w:val="26"/>
        </w:numPr>
        <w:ind w:firstLineChars="0"/>
      </w:pPr>
      <w:r>
        <w:rPr>
          <w:rFonts w:hint="eastAsia"/>
        </w:rPr>
        <w:t>安装质量的自检报告书和检测报告书应存入设备档案。</w:t>
      </w:r>
    </w:p>
    <w:p w14:paraId="4D562E37">
      <w:pPr>
        <w:pStyle w:val="4"/>
        <w:rPr>
          <w:b/>
          <w:bCs w:val="0"/>
        </w:rPr>
      </w:pPr>
      <w:r>
        <w:rPr>
          <w:rFonts w:hint="eastAsia"/>
          <w:b/>
          <w:bCs w:val="0"/>
        </w:rPr>
        <w:t>试验安全技术措施</w:t>
      </w:r>
    </w:p>
    <w:p w14:paraId="7E37CF51">
      <w:pPr>
        <w:numPr>
          <w:ilvl w:val="0"/>
          <w:numId w:val="28"/>
        </w:numPr>
        <w:ind w:firstLineChars="0"/>
      </w:pPr>
      <w:r>
        <w:rPr>
          <w:rFonts w:hint="eastAsia"/>
        </w:rPr>
        <w:t>试运行要求风速在规定的范围内，6级以上大风禁止起重吊装；</w:t>
      </w:r>
    </w:p>
    <w:p w14:paraId="3E194060">
      <w:pPr>
        <w:numPr>
          <w:ilvl w:val="0"/>
          <w:numId w:val="28"/>
        </w:numPr>
        <w:ind w:firstLineChars="0"/>
      </w:pPr>
      <w:r>
        <w:rPr>
          <w:rFonts w:hint="eastAsia"/>
        </w:rPr>
        <w:t>设备试运行前，对电气设备的连接做全面检查，检查合格后方可进行试运行；</w:t>
      </w:r>
    </w:p>
    <w:p w14:paraId="69C776B8">
      <w:pPr>
        <w:numPr>
          <w:ilvl w:val="0"/>
          <w:numId w:val="28"/>
        </w:numPr>
        <w:ind w:firstLineChars="0"/>
      </w:pPr>
      <w:r>
        <w:rPr>
          <w:rFonts w:hint="eastAsia"/>
        </w:rPr>
        <w:t>设备试运行前，进行一般技术检查如检查调试好各部位限位器等；</w:t>
      </w:r>
    </w:p>
    <w:p w14:paraId="24225480">
      <w:pPr>
        <w:numPr>
          <w:ilvl w:val="0"/>
          <w:numId w:val="28"/>
        </w:numPr>
        <w:ind w:firstLineChars="0"/>
      </w:pPr>
      <w:r>
        <w:rPr>
          <w:rFonts w:hint="eastAsia"/>
        </w:rPr>
        <w:t>设备试运行需依次进行空负荷试验→静负荷试验→动负荷试验，并逐级进行加载；</w:t>
      </w:r>
    </w:p>
    <w:p w14:paraId="54107C4E">
      <w:pPr>
        <w:numPr>
          <w:ilvl w:val="0"/>
          <w:numId w:val="28"/>
        </w:numPr>
        <w:ind w:firstLineChars="0"/>
      </w:pPr>
      <w:r>
        <w:rPr>
          <w:rFonts w:hint="eastAsia"/>
        </w:rPr>
        <w:t>试运行期间形成试运行验收记录。</w:t>
      </w:r>
    </w:p>
    <w:p w14:paraId="177D92F5">
      <w:pPr>
        <w:pStyle w:val="4"/>
        <w:rPr>
          <w:b/>
          <w:bCs w:val="0"/>
        </w:rPr>
      </w:pPr>
      <w:r>
        <w:rPr>
          <w:rFonts w:hint="eastAsia"/>
          <w:b/>
          <w:bCs w:val="0"/>
        </w:rPr>
        <w:t>起重作业安全技术措施</w:t>
      </w:r>
    </w:p>
    <w:p w14:paraId="477B7395">
      <w:pPr>
        <w:numPr>
          <w:ilvl w:val="0"/>
          <w:numId w:val="29"/>
        </w:numPr>
        <w:ind w:firstLineChars="0"/>
      </w:pPr>
      <w:r>
        <w:rPr>
          <w:rFonts w:hint="eastAsia"/>
        </w:rPr>
        <w:t>作业人员的安全规章制度的学习，提高安全防范意识；</w:t>
      </w:r>
    </w:p>
    <w:p w14:paraId="660DE5E8">
      <w:pPr>
        <w:numPr>
          <w:ilvl w:val="0"/>
          <w:numId w:val="29"/>
        </w:numPr>
        <w:ind w:firstLineChars="0"/>
      </w:pPr>
      <w:r>
        <w:rPr>
          <w:rFonts w:hint="eastAsia"/>
        </w:rPr>
        <w:t>严禁酒后作业，严格遵守项目部相关规定安全施工；</w:t>
      </w:r>
    </w:p>
    <w:p w14:paraId="3E39D9C3">
      <w:pPr>
        <w:numPr>
          <w:ilvl w:val="0"/>
          <w:numId w:val="29"/>
        </w:numPr>
        <w:ind w:firstLineChars="0"/>
      </w:pPr>
      <w:r>
        <w:rPr>
          <w:rFonts w:hint="eastAsia"/>
        </w:rPr>
        <w:t>吊装作业人员统一配戴我项目部的安全帽，进入施工现场遵守我公司的规定；</w:t>
      </w:r>
    </w:p>
    <w:p w14:paraId="4C63D792">
      <w:pPr>
        <w:numPr>
          <w:ilvl w:val="0"/>
          <w:numId w:val="29"/>
        </w:numPr>
        <w:ind w:firstLineChars="0"/>
      </w:pPr>
      <w:r>
        <w:rPr>
          <w:rFonts w:hint="eastAsia"/>
        </w:rPr>
        <w:t>作业时必须执行安全技术交底，听从统一指挥；</w:t>
      </w:r>
    </w:p>
    <w:p w14:paraId="2D51CBB0">
      <w:pPr>
        <w:numPr>
          <w:ilvl w:val="0"/>
          <w:numId w:val="29"/>
        </w:numPr>
        <w:ind w:firstLineChars="0"/>
      </w:pPr>
      <w:r>
        <w:rPr>
          <w:rFonts w:hint="eastAsia"/>
        </w:rPr>
        <w:t>起重工、信号工必须经专门安全技术培训，持证上岗；</w:t>
      </w:r>
    </w:p>
    <w:p w14:paraId="35FFFC00">
      <w:pPr>
        <w:numPr>
          <w:ilvl w:val="0"/>
          <w:numId w:val="29"/>
        </w:numPr>
        <w:ind w:firstLineChars="0"/>
      </w:pPr>
      <w:r>
        <w:rPr>
          <w:rFonts w:hint="eastAsia"/>
        </w:rPr>
        <w:t>信号工要穿有明显标识的衣服，两眼视力不得低于1.0，无色盲、听力障碍、高血压、心脏病等生理缺陷；</w:t>
      </w:r>
    </w:p>
    <w:p w14:paraId="38735668">
      <w:pPr>
        <w:numPr>
          <w:ilvl w:val="0"/>
          <w:numId w:val="29"/>
        </w:numPr>
        <w:ind w:firstLineChars="0"/>
      </w:pPr>
      <w:r>
        <w:rPr>
          <w:rFonts w:hint="eastAsia"/>
        </w:rPr>
        <w:t>信号工高空指挥时，需戴安全带，脚穿防滑鞋；</w:t>
      </w:r>
    </w:p>
    <w:p w14:paraId="3BC6956B">
      <w:pPr>
        <w:numPr>
          <w:ilvl w:val="0"/>
          <w:numId w:val="29"/>
        </w:numPr>
        <w:ind w:firstLineChars="0"/>
      </w:pPr>
      <w:r>
        <w:rPr>
          <w:rFonts w:hint="eastAsia"/>
        </w:rPr>
        <w:t>吊车尾部为司机盲区，工作人员注意吊车尾部的旋转动态；</w:t>
      </w:r>
    </w:p>
    <w:p w14:paraId="4C5F0835">
      <w:pPr>
        <w:numPr>
          <w:ilvl w:val="0"/>
          <w:numId w:val="29"/>
        </w:numPr>
        <w:ind w:firstLineChars="0"/>
      </w:pPr>
      <w:r>
        <w:rPr>
          <w:rFonts w:hint="eastAsia"/>
        </w:rPr>
        <w:t>起重大件时，严禁任何人员乘坐大件；</w:t>
      </w:r>
    </w:p>
    <w:p w14:paraId="74CAA707">
      <w:pPr>
        <w:numPr>
          <w:ilvl w:val="0"/>
          <w:numId w:val="29"/>
        </w:numPr>
        <w:ind w:firstLineChars="0"/>
      </w:pPr>
      <w:r>
        <w:rPr>
          <w:rFonts w:hint="eastAsia"/>
        </w:rPr>
        <w:t>司机作业时，严禁收听任何有声电器及电话（除指挥使用对讲机除外），严禁和其他人员交谈；</w:t>
      </w:r>
    </w:p>
    <w:p w14:paraId="1D76A637">
      <w:pPr>
        <w:numPr>
          <w:ilvl w:val="0"/>
          <w:numId w:val="29"/>
        </w:numPr>
        <w:ind w:firstLineChars="0"/>
      </w:pPr>
      <w:r>
        <w:rPr>
          <w:rFonts w:hint="eastAsia"/>
        </w:rPr>
        <w:t>司机和信号工必须使用对讲机进行指令的接受和发出，确保对讲机的音质清晰，调频无干扰；</w:t>
      </w:r>
    </w:p>
    <w:p w14:paraId="6BD34A65">
      <w:pPr>
        <w:numPr>
          <w:ilvl w:val="0"/>
          <w:numId w:val="29"/>
        </w:numPr>
        <w:ind w:firstLineChars="0"/>
      </w:pPr>
      <w:r>
        <w:rPr>
          <w:rFonts w:hint="eastAsia"/>
        </w:rPr>
        <w:t>作业前必须检查作业环境、吊索具、防护用品。吊装区域无闲散人员，障碍已排除。吊具无缺陷，捆绑正确牢固。在信号不明和作业现场光线阴暗时，严禁进行起吊作业；</w:t>
      </w:r>
    </w:p>
    <w:p w14:paraId="23D9EA4C">
      <w:pPr>
        <w:numPr>
          <w:ilvl w:val="0"/>
          <w:numId w:val="29"/>
        </w:numPr>
        <w:ind w:firstLineChars="0"/>
      </w:pPr>
      <w:r>
        <w:rPr>
          <w:rFonts w:hint="eastAsia"/>
        </w:rPr>
        <w:t>起重作业时，必须正确选择吊点的位置，合理穿挂索具，试吊；</w:t>
      </w:r>
    </w:p>
    <w:p w14:paraId="79FE24C5">
      <w:pPr>
        <w:numPr>
          <w:ilvl w:val="0"/>
          <w:numId w:val="29"/>
        </w:numPr>
        <w:ind w:firstLineChars="0"/>
      </w:pPr>
      <w:r>
        <w:rPr>
          <w:rFonts w:hint="eastAsia"/>
        </w:rPr>
        <w:t>试吊：吊绳套挂牢固，起重机缓缓起升，将吊绳绷直稍停，试吊高度为100mm～200mm。试吊中，指挥信号工、挂钩工、司机必须协调配合。如发现吊物重心滑移或其他物件粘连等情况时，必须立即停止起吊，采取措施并确认安全后方可起吊；</w:t>
      </w:r>
    </w:p>
    <w:p w14:paraId="25D59E7E">
      <w:pPr>
        <w:numPr>
          <w:ilvl w:val="0"/>
          <w:numId w:val="29"/>
        </w:numPr>
        <w:ind w:firstLineChars="0"/>
      </w:pPr>
      <w:r>
        <w:rPr>
          <w:rFonts w:hint="eastAsia"/>
        </w:rPr>
        <w:t>大雨、风力在6级以上等恶劣天气，必须停止露天起重吊装作业。严禁在带电的高压线或一侧作业；</w:t>
      </w:r>
    </w:p>
    <w:p w14:paraId="0F2E043E">
      <w:pPr>
        <w:numPr>
          <w:ilvl w:val="0"/>
          <w:numId w:val="29"/>
        </w:numPr>
        <w:ind w:firstLineChars="0"/>
      </w:pPr>
      <w:r>
        <w:rPr>
          <w:rFonts w:hint="eastAsia"/>
        </w:rPr>
        <w:t>严格执行“十不吊”的原则。即：超负荷不吊；无专人指挥或指挥信号不明，重量不明，光线暗淡不吊；安全装置，机械设备有异常或有故障不吊；在重物上加工或埋入土中物件以及歪拉斜挂不吊；物件捆绑不牢不平或活动零件不固定，不清除不吊；吊物上站人或从人头上越过及垂臂下站人不吊；氧气瓶、乙炔发生器等易爆器械无安全措施不吊；棱角缺口未垫好不吊；</w:t>
      </w:r>
      <w:r>
        <w:t>6</w:t>
      </w:r>
      <w:r>
        <w:rPr>
          <w:rFonts w:hint="eastAsia"/>
        </w:rPr>
        <w:t>级以上大风和雷暴雨时不吊；在斜坡上或坑沿，堤岸不填实不吊；</w:t>
      </w:r>
    </w:p>
    <w:p w14:paraId="73658866">
      <w:pPr>
        <w:numPr>
          <w:ilvl w:val="0"/>
          <w:numId w:val="29"/>
        </w:numPr>
        <w:ind w:firstLineChars="0"/>
      </w:pPr>
      <w:r>
        <w:rPr>
          <w:rFonts w:hint="eastAsia"/>
        </w:rPr>
        <w:t>使用起重作业时，必须正确选择吊点的位置，合理穿挂索具，试吊；</w:t>
      </w:r>
    </w:p>
    <w:p w14:paraId="192EB502">
      <w:pPr>
        <w:numPr>
          <w:ilvl w:val="0"/>
          <w:numId w:val="29"/>
        </w:numPr>
        <w:ind w:firstLineChars="0"/>
      </w:pPr>
      <w:r>
        <w:rPr>
          <w:rFonts w:hint="eastAsia"/>
        </w:rPr>
        <w:t>机械设备要摆放整齐，用倒链拴牢固。放在高处的货物要有防护措施。</w:t>
      </w:r>
    </w:p>
    <w:p w14:paraId="2FE2BC42">
      <w:pPr>
        <w:numPr>
          <w:ilvl w:val="0"/>
          <w:numId w:val="29"/>
        </w:numPr>
        <w:ind w:right="261" w:firstLineChars="0"/>
        <w:rPr>
          <w:rFonts w:ascii="宋体" w:hAnsi="宋体"/>
        </w:rPr>
      </w:pPr>
      <w:r>
        <w:rPr>
          <w:rFonts w:hint="eastAsia" w:ascii="宋体" w:hAnsi="宋体"/>
        </w:rPr>
        <w:t>当需要在夜间进行安拆作业时，应保证提供足够的照明；当遇特殊情况安装作业不能连续进行时，应将已安装的部位固定牢靠并达到安全状态；安装完成后应组织人员验收与试吊；安装单位自检合格后，应上报有关部门检测合格；风雨、浓雾天气应停止拆除作业；当遇特殊情况拆除作业不能连续进行时应已安装的部位固定牢靠并达到安全状态；吊具与索具系结物品，及其连接在起重机械上的方法不可靠；吊耳、耳轴或耳轴套，磨损减少原尺寸5％；吊装长大物件时，应在物件两端绑扎溜绳，并且由操作人员控制物件的平衡和稳定。</w:t>
      </w:r>
    </w:p>
    <w:p w14:paraId="285D021A">
      <w:pPr>
        <w:pStyle w:val="4"/>
        <w:rPr>
          <w:b/>
          <w:bCs w:val="0"/>
        </w:rPr>
      </w:pPr>
      <w:r>
        <w:rPr>
          <w:rFonts w:hint="eastAsia"/>
          <w:b/>
          <w:bCs w:val="0"/>
        </w:rPr>
        <w:t>高处作业安全技术措施</w:t>
      </w:r>
    </w:p>
    <w:p w14:paraId="132655EC">
      <w:pPr>
        <w:numPr>
          <w:ilvl w:val="0"/>
          <w:numId w:val="30"/>
        </w:numPr>
      </w:pPr>
      <w:r>
        <w:rPr>
          <w:rFonts w:hint="eastAsia"/>
        </w:rPr>
        <w:t>高空作业人员必须正确佩带安全帽，必须系好安全带，并挂在牢固处（高挂低用）；</w:t>
      </w:r>
    </w:p>
    <w:p w14:paraId="40BAF43C">
      <w:pPr>
        <w:numPr>
          <w:ilvl w:val="0"/>
          <w:numId w:val="30"/>
        </w:numPr>
      </w:pPr>
      <w:r>
        <w:rPr>
          <w:rFonts w:hint="eastAsia"/>
        </w:rPr>
        <w:t>高处作业使用的吊架、平台、脚手板、梯子、护栏、索具（钢丝绳、麻绳、化学纤维绳）等料具和安全带、安全网等安全防护用品的质量都必须符合国家规范的要求；</w:t>
      </w:r>
    </w:p>
    <w:p w14:paraId="5F386FCC">
      <w:pPr>
        <w:numPr>
          <w:ilvl w:val="0"/>
          <w:numId w:val="30"/>
        </w:numPr>
      </w:pPr>
      <w:r>
        <w:rPr>
          <w:rFonts w:hint="eastAsia"/>
        </w:rPr>
        <w:t>高处施工作业前，应进行针对性的书面安全交底，要被交底人的签字，同时必须落实所有的安全技术措施和个人防护用品，未经落实时不得进行施工作业；</w:t>
      </w:r>
    </w:p>
    <w:p w14:paraId="1325C253">
      <w:pPr>
        <w:numPr>
          <w:ilvl w:val="0"/>
          <w:numId w:val="30"/>
        </w:numPr>
      </w:pPr>
      <w:r>
        <w:rPr>
          <w:rFonts w:hint="eastAsia"/>
        </w:rPr>
        <w:t>从事高处作业的人员，必须定期体检。凡患有高血压、心脏病、贫血、癫痫症、严重近视及患有其他不适应高处作业病症的人员，均不得登高作业；</w:t>
      </w:r>
    </w:p>
    <w:p w14:paraId="2A9C9C22">
      <w:pPr>
        <w:numPr>
          <w:ilvl w:val="0"/>
          <w:numId w:val="30"/>
        </w:numPr>
      </w:pPr>
      <w:r>
        <w:rPr>
          <w:rFonts w:hint="eastAsia"/>
        </w:rPr>
        <w:t>攀登和悬空高处作业人员以及搭设高处作业安全设施的人员，必须经过专业技术培训及专业考试合格，持证上岗；</w:t>
      </w:r>
    </w:p>
    <w:p w14:paraId="551E7DBF">
      <w:pPr>
        <w:numPr>
          <w:ilvl w:val="0"/>
          <w:numId w:val="30"/>
        </w:numPr>
      </w:pPr>
      <w:r>
        <w:rPr>
          <w:rFonts w:hint="eastAsia"/>
        </w:rPr>
        <w:t>施工中，对高处作业的安全技术设施，使用中发生损坏，必须及时解决，危及人身安全的，必须立即停止作业，排除险情或隐患后，方准作业；</w:t>
      </w:r>
    </w:p>
    <w:p w14:paraId="0DCAE779">
      <w:pPr>
        <w:numPr>
          <w:ilvl w:val="0"/>
          <w:numId w:val="30"/>
        </w:numPr>
      </w:pPr>
      <w:r>
        <w:rPr>
          <w:rFonts w:hint="eastAsia"/>
        </w:rPr>
        <w:t>施工作业场所有坠落可能的物体，应一律先行撤除或加以固定。高处作业中所用的物料，均应堆放平稳，不妨碍通行，并不得超重，在临时搭建的安装平台上载荷不得大于270kg/m³。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14:paraId="3C1ED3B1">
      <w:pPr>
        <w:numPr>
          <w:ilvl w:val="0"/>
          <w:numId w:val="30"/>
        </w:numPr>
      </w:pPr>
      <w:r>
        <w:rPr>
          <w:rFonts w:hint="eastAsia"/>
        </w:rPr>
        <w:t>高处作业无法搭设严密的防护设施的，必须使用安全带。安全带必须系挂在施工作业上方牢固的物体上，并高挂低用，禁止低挂高用；</w:t>
      </w:r>
    </w:p>
    <w:p w14:paraId="05ABF2C3">
      <w:pPr>
        <w:numPr>
          <w:ilvl w:val="0"/>
          <w:numId w:val="30"/>
        </w:numPr>
      </w:pPr>
      <w:r>
        <w:rPr>
          <w:rFonts w:hint="eastAsia"/>
        </w:rPr>
        <w:t>高处作业人员不准骑坐临时搭建的安装平台上的护栏、未安装牢固的管道、设备上和躺在平台、孔洞边缘上休息。在没有安全防护设施的条件下，严禁在木桁架、挑梁，砌体及构架上行走或作业；</w:t>
      </w:r>
    </w:p>
    <w:p w14:paraId="308CE4EE">
      <w:pPr>
        <w:numPr>
          <w:ilvl w:val="0"/>
          <w:numId w:val="30"/>
        </w:numPr>
      </w:pPr>
      <w:r>
        <w:rPr>
          <w:rFonts w:hint="eastAsia"/>
        </w:rPr>
        <w:t>雨、雪天进行高处作业时，必须采取可靠的防滑、防寒和防冻措施，凡水、雪、霜、冰均应及时清除干净。暴风雪及沙尘暴后，应及时对高处作业的安全防护设施逐一加以检查，发现有松动、变形、损坏或脱落等现象，应立即修复完善，</w:t>
      </w:r>
      <w:r>
        <w:t>6</w:t>
      </w:r>
      <w:r>
        <w:rPr>
          <w:rFonts w:hint="eastAsia"/>
        </w:rPr>
        <w:t>级大风立即停止露天高处作业；</w:t>
      </w:r>
    </w:p>
    <w:p w14:paraId="283739E1">
      <w:pPr>
        <w:numPr>
          <w:ilvl w:val="0"/>
          <w:numId w:val="30"/>
        </w:numPr>
      </w:pPr>
      <w:r>
        <w:rPr>
          <w:rFonts w:hint="eastAsia"/>
        </w:rPr>
        <w:t>因作业需要，临时拆除或变动安全防护设施的，必须经施工负责人同意，并采取相应的可靠措施，作业后立即恢复；</w:t>
      </w:r>
    </w:p>
    <w:p w14:paraId="69B44826">
      <w:pPr>
        <w:numPr>
          <w:ilvl w:val="0"/>
          <w:numId w:val="30"/>
        </w:numPr>
      </w:pPr>
      <w:r>
        <w:rPr>
          <w:rFonts w:hint="eastAsia"/>
        </w:rPr>
        <w:t>高处作业人员应沿着斜道、梯子上下，严禁沿着绳索、立杆、井架或栏杆等攀登；</w:t>
      </w:r>
    </w:p>
    <w:p w14:paraId="4440CAB9">
      <w:pPr>
        <w:numPr>
          <w:ilvl w:val="0"/>
          <w:numId w:val="30"/>
        </w:numPr>
      </w:pPr>
      <w:r>
        <w:rPr>
          <w:rFonts w:hint="eastAsia"/>
        </w:rPr>
        <w:t>人字梯的使用：</w:t>
      </w:r>
    </w:p>
    <w:p w14:paraId="04ADEAC9">
      <w:pPr>
        <w:numPr>
          <w:ilvl w:val="0"/>
          <w:numId w:val="31"/>
        </w:numPr>
      </w:pPr>
      <w:r>
        <w:rPr>
          <w:rFonts w:hint="eastAsia"/>
        </w:rPr>
        <w:t>使用前检查该梯子是否安全，即检查梯子的铆钉是否松动，焊接是否开裂；</w:t>
      </w:r>
    </w:p>
    <w:p w14:paraId="1F14D0C0">
      <w:pPr>
        <w:numPr>
          <w:ilvl w:val="0"/>
          <w:numId w:val="31"/>
        </w:numPr>
      </w:pPr>
      <w:r>
        <w:rPr>
          <w:rFonts w:hint="eastAsia"/>
        </w:rPr>
        <w:t>用结实的绳索将两边拉住、拴紧、绷直；</w:t>
      </w:r>
    </w:p>
    <w:p w14:paraId="7C992445">
      <w:pPr>
        <w:numPr>
          <w:ilvl w:val="0"/>
          <w:numId w:val="31"/>
        </w:numPr>
      </w:pPr>
      <w:r>
        <w:rPr>
          <w:rFonts w:hint="eastAsia"/>
        </w:rPr>
        <w:t>梯子须安放稳固，使用材料需经人传递或用小桶吊放，严禁上下抛物；</w:t>
      </w:r>
    </w:p>
    <w:p w14:paraId="1A11790F">
      <w:pPr>
        <w:numPr>
          <w:ilvl w:val="0"/>
          <w:numId w:val="31"/>
        </w:numPr>
      </w:pPr>
      <w:r>
        <w:rPr>
          <w:rFonts w:hint="eastAsia"/>
        </w:rPr>
        <w:t>使用梯子时至少两人一组，有专人扶梯；</w:t>
      </w:r>
    </w:p>
    <w:p w14:paraId="2B5DF005">
      <w:pPr>
        <w:numPr>
          <w:ilvl w:val="0"/>
          <w:numId w:val="31"/>
        </w:numPr>
      </w:pPr>
      <w:r>
        <w:rPr>
          <w:rFonts w:hint="eastAsia"/>
        </w:rPr>
        <w:t>严禁使用梯子最上面两格；</w:t>
      </w:r>
    </w:p>
    <w:p w14:paraId="4DCDB2CD">
      <w:pPr>
        <w:numPr>
          <w:ilvl w:val="0"/>
          <w:numId w:val="31"/>
        </w:numPr>
      </w:pPr>
      <w:r>
        <w:rPr>
          <w:rFonts w:hint="eastAsia"/>
        </w:rPr>
        <w:t>严禁背对梯子作业；</w:t>
      </w:r>
    </w:p>
    <w:p w14:paraId="67514B25">
      <w:pPr>
        <w:numPr>
          <w:ilvl w:val="0"/>
          <w:numId w:val="31"/>
        </w:numPr>
      </w:pPr>
      <w:r>
        <w:rPr>
          <w:rFonts w:hint="eastAsia"/>
        </w:rPr>
        <w:t>超过2m以上的作业，且安全带无挂点时，除扶梯人外，须再设置一名监护人；</w:t>
      </w:r>
    </w:p>
    <w:p w14:paraId="34BCC121">
      <w:pPr>
        <w:numPr>
          <w:ilvl w:val="0"/>
          <w:numId w:val="31"/>
        </w:numPr>
      </w:pPr>
      <w:r>
        <w:rPr>
          <w:rFonts w:hint="eastAsia"/>
        </w:rPr>
        <w:t>严禁交叉作业；</w:t>
      </w:r>
    </w:p>
    <w:p w14:paraId="4849DE0A">
      <w:pPr>
        <w:numPr>
          <w:ilvl w:val="0"/>
          <w:numId w:val="31"/>
        </w:numPr>
      </w:pPr>
      <w:r>
        <w:rPr>
          <w:rFonts w:hint="eastAsia"/>
        </w:rPr>
        <w:t>作业区域应用警示带围好、设置监护人，严禁非作业人员入内；</w:t>
      </w:r>
    </w:p>
    <w:p w14:paraId="54D7F14F">
      <w:pPr>
        <w:numPr>
          <w:ilvl w:val="0"/>
          <w:numId w:val="30"/>
        </w:numPr>
      </w:pPr>
      <w:r>
        <w:rPr>
          <w:rFonts w:hint="eastAsia"/>
        </w:rPr>
        <w:t>高温季节必须按照防暑降温的要求合理安排工作时间，配备充足的饮用水，采取必要的防暑降温措施；</w:t>
      </w:r>
    </w:p>
    <w:p w14:paraId="7B514F11">
      <w:pPr>
        <w:numPr>
          <w:ilvl w:val="0"/>
          <w:numId w:val="30"/>
        </w:numPr>
      </w:pPr>
      <w:r>
        <w:rPr>
          <w:rFonts w:hint="eastAsia"/>
        </w:rPr>
        <w:t>临近傍晚及气候突变等照明不良的情况下，必须确保人员和各类构件的安全。</w:t>
      </w:r>
    </w:p>
    <w:p w14:paraId="79534A8A">
      <w:pPr>
        <w:pStyle w:val="4"/>
        <w:rPr>
          <w:b/>
          <w:bCs w:val="0"/>
        </w:rPr>
      </w:pPr>
      <w:r>
        <w:rPr>
          <w:rFonts w:hint="eastAsia"/>
          <w:b/>
          <w:bCs w:val="0"/>
        </w:rPr>
        <w:t>焊接与切割安全技术措施</w:t>
      </w:r>
    </w:p>
    <w:p w14:paraId="0B5F8AA5">
      <w:pPr>
        <w:numPr>
          <w:ilvl w:val="0"/>
          <w:numId w:val="32"/>
        </w:numPr>
        <w:ind w:firstLineChars="0"/>
      </w:pPr>
      <w:r>
        <w:rPr>
          <w:rFonts w:hint="eastAsia"/>
        </w:rPr>
        <w:t>电源端接线必须由专业电工进行，焊机或供电线路出现故障，焊工要及时联系动力电工进行处理；</w:t>
      </w:r>
    </w:p>
    <w:p w14:paraId="6B568ED1">
      <w:pPr>
        <w:numPr>
          <w:ilvl w:val="0"/>
          <w:numId w:val="32"/>
        </w:numPr>
        <w:ind w:firstLineChars="0"/>
      </w:pPr>
      <w:r>
        <w:rPr>
          <w:rFonts w:hint="eastAsia"/>
        </w:rPr>
        <w:t>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p>
    <w:p w14:paraId="72B1CE93">
      <w:pPr>
        <w:numPr>
          <w:ilvl w:val="0"/>
          <w:numId w:val="32"/>
        </w:numPr>
        <w:ind w:firstLineChars="0"/>
      </w:pPr>
      <w:r>
        <w:rPr>
          <w:rFonts w:hint="eastAsia"/>
        </w:rPr>
        <w:t>检查作场所周围是否有易燃物，如有，应清除或采取可靠的隔离、防护措施，并设专人监护；</w:t>
      </w:r>
    </w:p>
    <w:p w14:paraId="2A4ED7E9">
      <w:pPr>
        <w:numPr>
          <w:ilvl w:val="0"/>
          <w:numId w:val="32"/>
        </w:numPr>
        <w:ind w:firstLineChars="0"/>
      </w:pPr>
      <w:r>
        <w:rPr>
          <w:rFonts w:hint="eastAsia"/>
        </w:rPr>
        <w:t>不宜在雨、雪及大风天气进行露天焊接作业。如确实需要时，应采取遮蔽雨雪、防止触电和火花飞溅等措施；</w:t>
      </w:r>
    </w:p>
    <w:p w14:paraId="2DBDDEE3">
      <w:pPr>
        <w:numPr>
          <w:ilvl w:val="0"/>
          <w:numId w:val="32"/>
        </w:numPr>
        <w:ind w:firstLineChars="0"/>
      </w:pPr>
      <w:r>
        <w:rPr>
          <w:rFonts w:hint="eastAsia"/>
        </w:rPr>
        <w:t>焊接时，焊工不要接触焊接物件或其它导电物件；</w:t>
      </w:r>
    </w:p>
    <w:p w14:paraId="681C6AC0">
      <w:pPr>
        <w:numPr>
          <w:ilvl w:val="0"/>
          <w:numId w:val="32"/>
        </w:numPr>
        <w:ind w:firstLineChars="0"/>
      </w:pPr>
      <w:r>
        <w:rPr>
          <w:rFonts w:hint="eastAsia"/>
        </w:rPr>
        <w:t>焊接完工后，焊接位置应予以隔离或设专人监护，防止烫伤其他人员及火灾事故发生；</w:t>
      </w:r>
    </w:p>
    <w:p w14:paraId="2538421C">
      <w:pPr>
        <w:numPr>
          <w:ilvl w:val="0"/>
          <w:numId w:val="32"/>
        </w:numPr>
        <w:ind w:firstLineChars="0"/>
      </w:pPr>
      <w:r>
        <w:rPr>
          <w:rFonts w:hint="eastAsia"/>
        </w:rPr>
        <w:t>工作结束后，检查地面，灭绝火种，切断电源，方可离开；</w:t>
      </w:r>
    </w:p>
    <w:p w14:paraId="7A4CF766">
      <w:pPr>
        <w:numPr>
          <w:ilvl w:val="0"/>
          <w:numId w:val="32"/>
        </w:numPr>
        <w:ind w:firstLineChars="0"/>
      </w:pPr>
      <w:r>
        <w:rPr>
          <w:rFonts w:hint="eastAsia"/>
        </w:rPr>
        <w:t>焊工在工作前必须检查好回火防止器及一切工具是否良好；</w:t>
      </w:r>
    </w:p>
    <w:p w14:paraId="75BBEBFA">
      <w:pPr>
        <w:numPr>
          <w:ilvl w:val="0"/>
          <w:numId w:val="32"/>
        </w:numPr>
        <w:ind w:firstLineChars="0"/>
      </w:pPr>
      <w:r>
        <w:rPr>
          <w:rFonts w:hint="eastAsia"/>
        </w:rPr>
        <w:t>乙炔瓶、氧气瓶、胶管接头、阀门的紧固件应坚固牢靠，不准有松动、破损和漏气。氧气瓶及其附件以及胶管工具上禁止沾油；</w:t>
      </w:r>
    </w:p>
    <w:p w14:paraId="4558D3A0">
      <w:pPr>
        <w:numPr>
          <w:ilvl w:val="0"/>
          <w:numId w:val="32"/>
        </w:numPr>
        <w:ind w:firstLineChars="0"/>
      </w:pPr>
      <w:r>
        <w:rPr>
          <w:rFonts w:hint="eastAsia"/>
        </w:rPr>
        <w:t>工作前必须检查氧气管、乙炔管，如有漏气、老化、鼓包和变质时，不准使用，管内应保持清洁，不得有异物，氧气管、乙炔管不得互换使用；</w:t>
      </w:r>
    </w:p>
    <w:p w14:paraId="7BBB7A10">
      <w:pPr>
        <w:numPr>
          <w:ilvl w:val="0"/>
          <w:numId w:val="32"/>
        </w:numPr>
        <w:ind w:firstLineChars="0"/>
      </w:pPr>
      <w:r>
        <w:rPr>
          <w:rFonts w:hint="eastAsia"/>
        </w:rPr>
        <w:t>工作前应检查作场所周围是否有易燃物，如有，应清除或采取可靠的隔离、防护措施，并设专人监护；</w:t>
      </w:r>
    </w:p>
    <w:p w14:paraId="6246A8F4">
      <w:pPr>
        <w:numPr>
          <w:ilvl w:val="0"/>
          <w:numId w:val="32"/>
        </w:numPr>
        <w:ind w:firstLineChars="0"/>
      </w:pPr>
      <w:r>
        <w:rPr>
          <w:rFonts w:hint="eastAsia"/>
        </w:rPr>
        <w:t>在连接氧气表（减压器）之前，要用专用扳手将氧气瓶阀门微开，放出一些氧气，吹净瓶口污物和杂质，随后关闭。操作时工作人员应站在气口侧面，并闪开。开气时，气门不可朝下；</w:t>
      </w:r>
    </w:p>
    <w:p w14:paraId="4BCC7D45">
      <w:pPr>
        <w:numPr>
          <w:ilvl w:val="0"/>
          <w:numId w:val="32"/>
        </w:numPr>
        <w:ind w:firstLineChars="0"/>
      </w:pPr>
      <w:r>
        <w:rPr>
          <w:rFonts w:hint="eastAsia"/>
        </w:rPr>
        <w:t>乙炔、氧气瓶应垂直放置，防止倾倒，严禁与氧气瓶等易燃品同时存放；</w:t>
      </w:r>
    </w:p>
    <w:p w14:paraId="7EEE97BB">
      <w:pPr>
        <w:numPr>
          <w:ilvl w:val="0"/>
          <w:numId w:val="32"/>
        </w:numPr>
        <w:ind w:firstLineChars="0"/>
      </w:pPr>
      <w:r>
        <w:rPr>
          <w:rFonts w:hint="eastAsia"/>
        </w:rPr>
        <w:t>开启氧气或乙炔瓶阀门时，禁止用铁器敲击，应用专用工具，动作要缓慢，防止产生火花，严禁面对减压器站立；</w:t>
      </w:r>
    </w:p>
    <w:p w14:paraId="223FCEB5">
      <w:pPr>
        <w:numPr>
          <w:ilvl w:val="0"/>
          <w:numId w:val="32"/>
        </w:numPr>
        <w:ind w:firstLineChars="0"/>
      </w:pPr>
      <w:r>
        <w:rPr>
          <w:rFonts w:hint="eastAsia"/>
        </w:rPr>
        <w:t>在机械上（或高处）作业时，应在切割部件下部搭设安全保护装置以防金属溶液落下引起火灾或烧伤其他人员；</w:t>
      </w:r>
    </w:p>
    <w:p w14:paraId="04E9AD48">
      <w:pPr>
        <w:numPr>
          <w:ilvl w:val="0"/>
          <w:numId w:val="32"/>
        </w:numPr>
        <w:ind w:firstLineChars="0"/>
      </w:pPr>
      <w:r>
        <w:rPr>
          <w:rFonts w:hint="eastAsia"/>
        </w:rPr>
        <w:t>了解设备的消防器材状况，并保证在焊接地点周围有2个以上干粉灭火器；切割工作结束后，应检查地面，灭绝火种；</w:t>
      </w:r>
    </w:p>
    <w:p w14:paraId="13A94720">
      <w:pPr>
        <w:numPr>
          <w:ilvl w:val="0"/>
          <w:numId w:val="32"/>
        </w:numPr>
        <w:ind w:firstLineChars="0"/>
      </w:pPr>
      <w:r>
        <w:rPr>
          <w:rFonts w:hint="eastAsia"/>
        </w:rPr>
        <w:t>使用时，必须保证氧气瓶、乙炔瓶距明火不得小于10m。</w:t>
      </w:r>
    </w:p>
    <w:p w14:paraId="601A514B">
      <w:pPr>
        <w:numPr>
          <w:ilvl w:val="0"/>
          <w:numId w:val="32"/>
        </w:numPr>
        <w:ind w:firstLineChars="0"/>
      </w:pPr>
      <w:r>
        <w:rPr>
          <w:rFonts w:hint="eastAsia"/>
        </w:rPr>
        <w:t>工作地点不固定、移动较频繁时，应装在专用小车上，严禁将乙炔瓶和氧气瓶放在一起。</w:t>
      </w:r>
    </w:p>
    <w:p w14:paraId="6CAD8CB3">
      <w:pPr>
        <w:pStyle w:val="4"/>
        <w:rPr>
          <w:b/>
          <w:bCs w:val="0"/>
        </w:rPr>
      </w:pPr>
      <w:r>
        <w:rPr>
          <w:rFonts w:hint="eastAsia"/>
          <w:b/>
          <w:bCs w:val="0"/>
        </w:rPr>
        <w:t>临时用电安全措施</w:t>
      </w:r>
    </w:p>
    <w:p w14:paraId="58FBA2CA">
      <w:pPr>
        <w:numPr>
          <w:ilvl w:val="0"/>
          <w:numId w:val="33"/>
        </w:numPr>
        <w:ind w:firstLineChars="0"/>
      </w:pPr>
      <w:r>
        <w:t>严格执行《施工现场临时用电安全技术规范》（JGJ 46-2005），按照施工用电组织设计架设三相五线制的电气线路，所有电线均应架空，过道或穿墙均要用钢管或胶套管保护，严禁利用大地作为工作零线。认真贯彻《建筑施工安全检查标准》（JGJ 59-2011）中临时用电规定；</w:t>
      </w:r>
    </w:p>
    <w:p w14:paraId="48A111A6">
      <w:pPr>
        <w:numPr>
          <w:ilvl w:val="0"/>
          <w:numId w:val="33"/>
        </w:numPr>
        <w:ind w:firstLineChars="0"/>
      </w:pPr>
      <w:r>
        <w:t>配电箱、开关箱内电气设备完好无缺。箱体下方进出线，开关箱应符合</w:t>
      </w:r>
      <w:r>
        <w:rPr>
          <w:rFonts w:hint="eastAsia"/>
        </w:rPr>
        <w:t>“</w:t>
      </w:r>
      <w:r>
        <w:t>一机一闸一漏一箱</w:t>
      </w:r>
      <w:r>
        <w:rPr>
          <w:rFonts w:hint="eastAsia"/>
        </w:rPr>
        <w:t>”</w:t>
      </w:r>
      <w:r>
        <w:t>的要求，门、锁完善，有防雨、防尘措施，箱内无杂物，箱前通道畅通，并应对电箱统一编号，刷上危险标志。保护零线（PE、绿/黄线）中间和末端必须重复接地，严禁与工作零线混接；产生振动的设备的重复接地不少于两处；</w:t>
      </w:r>
    </w:p>
    <w:p w14:paraId="662EE737">
      <w:pPr>
        <w:numPr>
          <w:ilvl w:val="0"/>
          <w:numId w:val="33"/>
        </w:numPr>
        <w:ind w:firstLineChars="0"/>
      </w:pPr>
      <w:r>
        <w:t>临时用电施工组织设计和临时安全用电技术措施及电气防火措施，必须由电气工程技术人员编制，技术负责人审核，经主管部门批准后实施；</w:t>
      </w:r>
    </w:p>
    <w:p w14:paraId="306927FC">
      <w:pPr>
        <w:numPr>
          <w:ilvl w:val="0"/>
          <w:numId w:val="33"/>
        </w:numPr>
        <w:ind w:firstLineChars="0"/>
      </w:pPr>
      <w:r>
        <w:t>安装、维修或拆除临时用电工程，必须由持证电工完成，无证人员禁止上岗。电工等级应同工程的难易程度和技术复杂性相适应；</w:t>
      </w:r>
    </w:p>
    <w:p w14:paraId="4D2FC3D1">
      <w:pPr>
        <w:numPr>
          <w:ilvl w:val="0"/>
          <w:numId w:val="33"/>
        </w:numPr>
        <w:ind w:firstLineChars="0"/>
      </w:pPr>
      <w:r>
        <w:t>使用设备必须按规定穿戴和配备好相应的劳动保护用品，并应检查电气装置和保护设施是否完好，严禁设备带病运转和进行运转中维修；</w:t>
      </w:r>
    </w:p>
    <w:p w14:paraId="3C77F787">
      <w:pPr>
        <w:numPr>
          <w:ilvl w:val="0"/>
          <w:numId w:val="33"/>
        </w:numPr>
        <w:ind w:firstLineChars="0"/>
      </w:pPr>
      <w:r>
        <w:t>停用的设备必须拉闸断电，锁好开关箱。负载线、保护零线和开关箱发现问题应及时报告解决。搬迁或移动的用电设备，必须由专业电工切断电源并作妥善处理；</w:t>
      </w:r>
    </w:p>
    <w:p w14:paraId="615FBE46">
      <w:pPr>
        <w:numPr>
          <w:ilvl w:val="0"/>
          <w:numId w:val="33"/>
        </w:numPr>
        <w:ind w:firstLineChars="0"/>
      </w:pPr>
      <w:r>
        <w:t>按规范做好施工现场临时安全用电的安全技术档案；</w:t>
      </w:r>
    </w:p>
    <w:p w14:paraId="3113612B">
      <w:pPr>
        <w:numPr>
          <w:ilvl w:val="0"/>
          <w:numId w:val="33"/>
        </w:numPr>
        <w:ind w:firstLineChars="0"/>
      </w:pPr>
      <w:r>
        <w:t>在建工程与外电线路的安全距离及外电防护和接地与防雷等应严格按规范执行；</w:t>
      </w:r>
    </w:p>
    <w:p w14:paraId="4F836B03">
      <w:pPr>
        <w:numPr>
          <w:ilvl w:val="0"/>
          <w:numId w:val="33"/>
        </w:numPr>
        <w:ind w:firstLineChars="0"/>
      </w:pPr>
      <w:r>
        <w:t>配电线路的架空线必须采用绝缘铜线和绝缘铝线。架空线必须设置在专用电杆上；</w:t>
      </w:r>
    </w:p>
    <w:p w14:paraId="7FAD3B5C">
      <w:pPr>
        <w:numPr>
          <w:ilvl w:val="0"/>
          <w:numId w:val="33"/>
        </w:numPr>
        <w:ind w:firstLineChars="0"/>
      </w:pPr>
      <w:r>
        <w:t>空线的接头、相序排列、档距、线间距离及横担的垂直距离和横担的选择及规格，严格执行规范规定；</w:t>
      </w:r>
    </w:p>
    <w:p w14:paraId="33CB407E">
      <w:pPr>
        <w:numPr>
          <w:ilvl w:val="0"/>
          <w:numId w:val="33"/>
        </w:numPr>
        <w:ind w:firstLineChars="0"/>
      </w:pPr>
      <w:r>
        <w:t>动力配电箱与照明配电箱应分别设置，如合置在同一配电箱内，动力和照明线路应分路设置；</w:t>
      </w:r>
    </w:p>
    <w:p w14:paraId="1775F638">
      <w:pPr>
        <w:numPr>
          <w:ilvl w:val="0"/>
          <w:numId w:val="33"/>
        </w:numPr>
        <w:ind w:firstLineChars="0"/>
      </w:pPr>
      <w:r>
        <w:t>开关箱应由末级配电箱配电，配电箱、开关箱制作所用的材料、箱的规格设置要求及安装技术应按规范执行。配电箱、开关箱最好购合格的成品使用；</w:t>
      </w:r>
    </w:p>
    <w:p w14:paraId="23739105">
      <w:pPr>
        <w:numPr>
          <w:ilvl w:val="0"/>
          <w:numId w:val="33"/>
        </w:numPr>
        <w:ind w:firstLineChars="0"/>
      </w:pPr>
      <w:r>
        <w:t>配电箱、开关箱内的开关电器安装，绝缘要求和箱壳保护接零应按规范执行；</w:t>
      </w:r>
    </w:p>
    <w:p w14:paraId="238F3C05">
      <w:pPr>
        <w:numPr>
          <w:ilvl w:val="0"/>
          <w:numId w:val="33"/>
        </w:numPr>
        <w:ind w:firstLineChars="0"/>
      </w:pPr>
      <w:r>
        <w:t>严禁用同一个开关电器直接控制2台及2台以上用电设备（含插座）；</w:t>
      </w:r>
    </w:p>
    <w:p w14:paraId="48FE3F11">
      <w:pPr>
        <w:numPr>
          <w:ilvl w:val="0"/>
          <w:numId w:val="33"/>
        </w:numPr>
        <w:ind w:firstLineChars="0"/>
      </w:pPr>
      <w:r>
        <w:t>开关箱内必须装设漏电保护器，漏电保护器的选择应符合要求。漏电保护器的安装要求和额定漏电动作应符合规范要求；</w:t>
      </w:r>
    </w:p>
    <w:p w14:paraId="5CC6524E">
      <w:pPr>
        <w:numPr>
          <w:ilvl w:val="0"/>
          <w:numId w:val="33"/>
        </w:numPr>
        <w:ind w:firstLineChars="0"/>
      </w:pPr>
      <w:r>
        <w:t>配电箱和开关箱中两级漏电保护器的额定漏电动作时间作合理配合，使之具有分段保护的功能；</w:t>
      </w:r>
    </w:p>
    <w:p w14:paraId="3F506017">
      <w:pPr>
        <w:numPr>
          <w:ilvl w:val="0"/>
          <w:numId w:val="33"/>
        </w:numPr>
        <w:ind w:firstLineChars="0"/>
      </w:pPr>
      <w:r>
        <w:t>手动开关电器只许用于直接控制照明电器和容量不大于5.5kW动力电路。容量大于5.5kW的动力电路应采用自动开关电器或降压启动装置控制。各种开关电器的额定值与其控制用电设备的额定值相适应；</w:t>
      </w:r>
    </w:p>
    <w:p w14:paraId="09831F76">
      <w:pPr>
        <w:numPr>
          <w:ilvl w:val="0"/>
          <w:numId w:val="33"/>
        </w:numPr>
        <w:ind w:firstLineChars="0"/>
      </w:pPr>
      <w:r>
        <w:t>对配电箱、开关箱进行检查、维修时，必须将其前一级相应的电源开关分闸断电，并悬挂停电检修标志牌，严禁带电作业；</w:t>
      </w:r>
    </w:p>
    <w:p w14:paraId="065AA1D3">
      <w:pPr>
        <w:numPr>
          <w:ilvl w:val="0"/>
          <w:numId w:val="33"/>
        </w:numPr>
        <w:ind w:firstLineChars="0"/>
      </w:pPr>
      <w:r>
        <w:t>移动的用电设备使用的电源线路，必须使用绝缘胶套管式电缆；</w:t>
      </w:r>
    </w:p>
    <w:p w14:paraId="5DFED8B8">
      <w:pPr>
        <w:numPr>
          <w:ilvl w:val="0"/>
          <w:numId w:val="33"/>
        </w:numPr>
        <w:ind w:firstLineChars="0"/>
      </w:pPr>
      <w:r>
        <w:t>用电设备和电气线路必须有保护接零；</w:t>
      </w:r>
    </w:p>
    <w:p w14:paraId="14CCE61C">
      <w:pPr>
        <w:numPr>
          <w:ilvl w:val="0"/>
          <w:numId w:val="33"/>
        </w:numPr>
        <w:ind w:firstLineChars="0"/>
      </w:pPr>
      <w:r>
        <w:t>电动工具、机械设备有良好的接地装置，所用电源有可靠的触电保护器。阴雨天气及在潮湿部位工作所使用的电动工机具、机械、工作人员的劳保用品必须符合有关的要求；</w:t>
      </w:r>
    </w:p>
    <w:p w14:paraId="13A47CCB">
      <w:pPr>
        <w:numPr>
          <w:ilvl w:val="0"/>
          <w:numId w:val="33"/>
        </w:numPr>
        <w:ind w:firstLineChars="0"/>
      </w:pPr>
      <w:r>
        <w:t>严禁施工现场非正式电工乱接用电线和安装用电开关；</w:t>
      </w:r>
    </w:p>
    <w:p w14:paraId="28542933">
      <w:pPr>
        <w:numPr>
          <w:ilvl w:val="0"/>
          <w:numId w:val="33"/>
        </w:numPr>
        <w:ind w:firstLineChars="0"/>
      </w:pPr>
      <w:r>
        <w:t>残缺绝缘盖的闸刀开关禁止使用，开关不得采用铜、铁、铝线作熔断保险丝；</w:t>
      </w:r>
    </w:p>
    <w:p w14:paraId="3FBD5EDF">
      <w:pPr>
        <w:numPr>
          <w:ilvl w:val="0"/>
          <w:numId w:val="33"/>
        </w:numPr>
        <w:ind w:firstLineChars="0"/>
      </w:pPr>
      <w:r>
        <w:t>在施工现场设置围栏、警示牌、夜间警示灯，以告示行人。</w:t>
      </w:r>
    </w:p>
    <w:p w14:paraId="5EED6694">
      <w:pPr>
        <w:pStyle w:val="4"/>
        <w:rPr>
          <w:b/>
          <w:bCs w:val="0"/>
        </w:rPr>
      </w:pPr>
      <w:r>
        <w:rPr>
          <w:b/>
          <w:bCs w:val="0"/>
        </w:rPr>
        <w:t>交叉作业安全措施</w:t>
      </w:r>
    </w:p>
    <w:p w14:paraId="5485263D">
      <w:pPr>
        <w:numPr>
          <w:ilvl w:val="0"/>
          <w:numId w:val="34"/>
        </w:numPr>
        <w:ind w:firstLineChars="0"/>
      </w:pPr>
      <w:r>
        <w:t>交叉作业要设安全栏杆、安全网、防护棚和示警围栏;夜间工作要有足够照明;</w:t>
      </w:r>
      <w:r>
        <w:rPr>
          <w:rFonts w:hint="eastAsia"/>
        </w:rPr>
        <w:t>高处作业</w:t>
      </w:r>
      <w:r>
        <w:t>施工人员必须体检合格</w:t>
      </w:r>
      <w:r>
        <w:rPr>
          <w:rFonts w:hint="eastAsia"/>
        </w:rPr>
        <w:t>，</w:t>
      </w:r>
      <w:r>
        <w:t>作业时须带安全帽，不准穿凉鞋、硬底鞋、塑料鞋及赤脚攀登</w:t>
      </w:r>
      <w:r>
        <w:rPr>
          <w:rFonts w:hint="eastAsia"/>
        </w:rPr>
        <w:t>；</w:t>
      </w:r>
      <w:r>
        <w:t>作业中不准将工具、材料上、下投掷,要用绳索绑牢后吊运;六级以上大风时不能施工工作；</w:t>
      </w:r>
    </w:p>
    <w:p w14:paraId="1318D046">
      <w:pPr>
        <w:numPr>
          <w:ilvl w:val="0"/>
          <w:numId w:val="34"/>
        </w:numPr>
        <w:ind w:firstLineChars="0"/>
      </w:pPr>
      <w:r>
        <w:t>在同一作业区域内进行起重吊装作业时</w:t>
      </w:r>
      <w:r>
        <w:rPr>
          <w:rFonts w:hint="eastAsia"/>
        </w:rPr>
        <w:t>；</w:t>
      </w:r>
      <w:r>
        <w:t>应充分考虑对各方工作的安全影响</w:t>
      </w:r>
      <w:r>
        <w:rPr>
          <w:rFonts w:hint="eastAsia"/>
        </w:rPr>
        <w:t>，</w:t>
      </w:r>
      <w:r>
        <w:t>制定起重吊装方案和安全措施。指派专业人员负责统一指挥</w:t>
      </w:r>
      <w:r>
        <w:rPr>
          <w:rFonts w:hint="eastAsia"/>
        </w:rPr>
        <w:t>，</w:t>
      </w:r>
      <w:r>
        <w:t>检查现场安全和措施符合要求后</w:t>
      </w:r>
      <w:r>
        <w:rPr>
          <w:rFonts w:hint="eastAsia"/>
        </w:rPr>
        <w:t>，</w:t>
      </w:r>
      <w:r>
        <w:t>方可进行起重吊装作业；</w:t>
      </w:r>
    </w:p>
    <w:p w14:paraId="39FAC64D">
      <w:pPr>
        <w:numPr>
          <w:ilvl w:val="0"/>
          <w:numId w:val="34"/>
        </w:numPr>
        <w:ind w:firstLineChars="0"/>
      </w:pPr>
      <w:r>
        <w:t>与起重作业无关的人员不准进入作业现场</w:t>
      </w:r>
      <w:r>
        <w:rPr>
          <w:rFonts w:hint="eastAsia"/>
        </w:rPr>
        <w:t>，</w:t>
      </w:r>
      <w:r>
        <w:t>吊物运行路线下方所有人员应无条件撤离</w:t>
      </w:r>
      <w:r>
        <w:rPr>
          <w:rFonts w:hint="eastAsia"/>
        </w:rPr>
        <w:t>；</w:t>
      </w:r>
      <w:r>
        <w:t>指挥人员站位应便于指挥和了望</w:t>
      </w:r>
      <w:r>
        <w:rPr>
          <w:rFonts w:hint="eastAsia"/>
        </w:rPr>
        <w:t>，</w:t>
      </w:r>
      <w:r>
        <w:t>不得与起吊路线交叉；</w:t>
      </w:r>
    </w:p>
    <w:p w14:paraId="64964CA4">
      <w:pPr>
        <w:numPr>
          <w:ilvl w:val="0"/>
          <w:numId w:val="34"/>
        </w:numPr>
        <w:ind w:firstLineChars="0"/>
      </w:pPr>
      <w:r>
        <w:t>作业人员与被吊物体必须保持有效的安全距离。索具与吊物应捆绑牢固、采取防滑措施，吊钩应有安全装置</w:t>
      </w:r>
      <w:r>
        <w:rPr>
          <w:rFonts w:hint="eastAsia"/>
        </w:rPr>
        <w:t>；</w:t>
      </w:r>
      <w:r>
        <w:t>吊装作业前,起重指挥人员通知有关人员撤离</w:t>
      </w:r>
      <w:r>
        <w:rPr>
          <w:rFonts w:hint="eastAsia"/>
        </w:rPr>
        <w:t>，</w:t>
      </w:r>
      <w:r>
        <w:t>确认吊物下方及吊物行走路线范围无人员及障碍物，方可起吊；</w:t>
      </w:r>
    </w:p>
    <w:p w14:paraId="4CCFCC8E">
      <w:pPr>
        <w:ind w:firstLine="480"/>
      </w:pPr>
      <w:r>
        <w:t>在同一作业区域内进行焊接（动火）作业时</w:t>
      </w:r>
      <w:r>
        <w:rPr>
          <w:rFonts w:hint="eastAsia"/>
        </w:rPr>
        <w:t>；</w:t>
      </w:r>
      <w:r>
        <w:t>施工单位必须事先作好防护</w:t>
      </w:r>
      <w:r>
        <w:rPr>
          <w:rFonts w:hint="eastAsia"/>
        </w:rPr>
        <w:t>，</w:t>
      </w:r>
      <w:r>
        <w:t>并配备合格的消防灭火器材</w:t>
      </w:r>
      <w:r>
        <w:rPr>
          <w:rFonts w:hint="eastAsia"/>
        </w:rPr>
        <w:t>，</w:t>
      </w:r>
      <w:r>
        <w:t>消除现场易燃易爆物品。无法清除易燃物品时</w:t>
      </w:r>
      <w:r>
        <w:rPr>
          <w:rFonts w:hint="eastAsia"/>
        </w:rPr>
        <w:t>，</w:t>
      </w:r>
      <w:r>
        <w:t>应与焊接（动火）作业保持适当的安全距离并采取隔离和防护措施</w:t>
      </w:r>
      <w:r>
        <w:rPr>
          <w:rFonts w:hint="eastAsia"/>
        </w:rPr>
        <w:t>。</w:t>
      </w:r>
    </w:p>
    <w:p w14:paraId="1DFE6E3C">
      <w:pPr>
        <w:pStyle w:val="3"/>
        <w:bidi w:val="0"/>
        <w:ind w:left="575" w:leftChars="0" w:hanging="575" w:firstLineChars="0"/>
        <w:rPr>
          <w:rFonts w:hint="eastAsia"/>
          <w:b/>
          <w:bCs w:val="0"/>
          <w:lang w:val="en-US" w:eastAsia="zh-CN"/>
        </w:rPr>
      </w:pPr>
      <w:bookmarkStart w:id="154" w:name="_Toc9268"/>
      <w:bookmarkStart w:id="155" w:name="_Toc212"/>
      <w:bookmarkStart w:id="156" w:name="_Toc16094"/>
      <w:r>
        <w:rPr>
          <w:rFonts w:hint="eastAsia"/>
          <w:b/>
          <w:bCs w:val="0"/>
          <w:lang w:val="en-US" w:eastAsia="zh-CN"/>
        </w:rPr>
        <w:t>监测监控措施</w:t>
      </w:r>
      <w:bookmarkEnd w:id="154"/>
      <w:bookmarkEnd w:id="155"/>
      <w:bookmarkEnd w:id="156"/>
    </w:p>
    <w:p w14:paraId="25F7F370">
      <w:pPr>
        <w:ind w:firstLine="480"/>
      </w:pPr>
      <w:r>
        <w:rPr>
          <w:rFonts w:hint="eastAsia"/>
        </w:rPr>
        <w:t>根据本工程特点，塔吊监测的主要内容主要为塔吊塔身垂直度监测、基础沉降监测、 基础位移监测、塔机所有安全装置的监测。</w:t>
      </w:r>
    </w:p>
    <w:p w14:paraId="1269BDA5">
      <w:pPr>
        <w:pStyle w:val="4"/>
        <w:bidi w:val="0"/>
        <w:ind w:left="720" w:leftChars="0" w:hanging="720" w:firstLineChars="0"/>
        <w:rPr>
          <w:rFonts w:hint="eastAsia"/>
          <w:b/>
          <w:bCs w:val="0"/>
          <w:lang w:val="en-US" w:eastAsia="zh-CN"/>
        </w:rPr>
      </w:pPr>
      <w:r>
        <w:rPr>
          <w:rFonts w:hint="eastAsia"/>
          <w:b/>
          <w:bCs w:val="0"/>
          <w:lang w:val="en-US" w:eastAsia="zh-CN"/>
        </w:rPr>
        <w:t>监控措施</w:t>
      </w:r>
    </w:p>
    <w:p w14:paraId="0E632073">
      <w:pPr>
        <w:ind w:firstLine="480"/>
      </w:pPr>
      <w:r>
        <w:rPr>
          <w:rFonts w:hint="eastAsia"/>
        </w:rPr>
        <w:t>施工过程中，安全员必须对工人的施工操作进行监控。整个监控通过现场的指导，定期检查及不定期的检查来执行。</w:t>
      </w:r>
    </w:p>
    <w:p w14:paraId="6C4440AE">
      <w:pPr>
        <w:ind w:firstLine="480"/>
      </w:pPr>
      <w:r>
        <w:rPr>
          <w:rFonts w:hint="eastAsia"/>
        </w:rPr>
        <w:t>在施工过程中，由安全专项方案作为指导，同时依据相关安全生产规范，在现场指导工人的操作是否规范，有问题的现场要求整改或指导。在生产过程中应组织生产管理相关部门的定期检查，对容易出现问题的工序要加强监控，对不容易出现问题的施工工序也要时有监控。通过加强监控来树立工人对安全生产的意识。安全部也要组织不定期的突击检查，以加强监控力度及覆盖外围。</w:t>
      </w:r>
    </w:p>
    <w:p w14:paraId="0CA06481">
      <w:pPr>
        <w:pStyle w:val="4"/>
        <w:bidi w:val="0"/>
        <w:rPr>
          <w:rFonts w:hint="eastAsia"/>
          <w:b/>
          <w:bCs w:val="0"/>
          <w:lang w:val="en-US" w:eastAsia="zh-CN"/>
        </w:rPr>
      </w:pPr>
      <w:r>
        <w:rPr>
          <w:rFonts w:hint="eastAsia"/>
          <w:b/>
          <w:bCs w:val="0"/>
          <w:lang w:val="en-US" w:eastAsia="zh-CN"/>
        </w:rPr>
        <w:t>监测措施</w:t>
      </w:r>
    </w:p>
    <w:p w14:paraId="167365CF">
      <w:pPr>
        <w:pStyle w:val="5"/>
        <w:bidi w:val="0"/>
        <w:ind w:left="864" w:leftChars="0" w:hanging="864" w:firstLineChars="0"/>
        <w:rPr>
          <w:b/>
          <w:bCs w:val="0"/>
        </w:rPr>
      </w:pPr>
      <w:r>
        <w:rPr>
          <w:rFonts w:hint="eastAsia"/>
          <w:b/>
          <w:bCs w:val="0"/>
        </w:rPr>
        <w:t>监测人员配备</w:t>
      </w:r>
    </w:p>
    <w:p w14:paraId="16322696">
      <w:pPr>
        <w:pStyle w:val="16"/>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6.4.</w:t>
      </w:r>
      <w:r>
        <w:fldChar w:fldCharType="end"/>
      </w:r>
      <w:r>
        <w:rPr>
          <w:rFonts w:hint="eastAsia"/>
          <w:lang w:val="en-US" w:eastAsia="zh-CN"/>
        </w:rPr>
        <w:t>2.1</w:t>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t>1</w:t>
      </w:r>
      <w:r>
        <w:fldChar w:fldCharType="end"/>
      </w:r>
      <w:r>
        <w:rPr>
          <w:rFonts w:hint="eastAsia"/>
        </w:rPr>
        <w:t>监测人员配备表</w:t>
      </w:r>
    </w:p>
    <w:tbl>
      <w:tblPr>
        <w:tblStyle w:val="1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06"/>
        <w:gridCol w:w="1553"/>
        <w:gridCol w:w="5625"/>
        <w:gridCol w:w="1102"/>
      </w:tblGrid>
      <w:tr w14:paraId="6B574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2" w:type="pct"/>
            <w:tcBorders>
              <w:bottom w:val="single" w:color="000000" w:sz="4" w:space="0"/>
              <w:right w:val="single" w:color="000000" w:sz="4" w:space="0"/>
              <w:tl2br w:val="nil"/>
            </w:tcBorders>
            <w:shd w:val="clear" w:color="auto" w:fill="FFFFFF"/>
            <w:vAlign w:val="center"/>
          </w:tcPr>
          <w:p w14:paraId="477A73EB">
            <w:pPr>
              <w:pStyle w:val="50"/>
              <w:adjustRightInd w:val="0"/>
              <w:snapToGrid w:val="0"/>
              <w:rPr>
                <w:rFonts w:ascii="Times New Roman" w:hAnsi="Times New Roman" w:eastAsia="宋体" w:cstheme="minorBidi"/>
                <w:b w:val="0"/>
                <w:i w:val="0"/>
                <w:color w:val="000000"/>
              </w:rPr>
            </w:pPr>
            <w:r>
              <w:rPr>
                <w:rFonts w:hint="eastAsia" w:ascii="Times New Roman" w:hAnsi="Times New Roman" w:eastAsia="宋体" w:cstheme="minorBidi"/>
                <w:b w:val="0"/>
                <w:i w:val="0"/>
                <w:color w:val="000000"/>
              </w:rPr>
              <w:t>姓名</w:t>
            </w:r>
          </w:p>
        </w:tc>
        <w:tc>
          <w:tcPr>
            <w:tcW w:w="836" w:type="pct"/>
            <w:tcBorders>
              <w:left w:val="single" w:color="000000" w:sz="4" w:space="0"/>
              <w:bottom w:val="single" w:color="000000" w:sz="4" w:space="0"/>
              <w:right w:val="single" w:color="000000" w:sz="4" w:space="0"/>
            </w:tcBorders>
            <w:shd w:val="clear" w:color="auto" w:fill="FFFFFF"/>
            <w:vAlign w:val="center"/>
          </w:tcPr>
          <w:p w14:paraId="5D6295DF">
            <w:pPr>
              <w:pStyle w:val="50"/>
              <w:adjustRightInd w:val="0"/>
              <w:snapToGrid w:val="0"/>
              <w:rPr>
                <w:rFonts w:ascii="Times New Roman" w:hAnsi="Times New Roman" w:eastAsia="宋体" w:cstheme="minorBidi"/>
                <w:b w:val="0"/>
                <w:i w:val="0"/>
                <w:color w:val="000000"/>
              </w:rPr>
            </w:pPr>
            <w:r>
              <w:rPr>
                <w:rFonts w:hint="eastAsia" w:ascii="Times New Roman" w:hAnsi="Times New Roman" w:eastAsia="宋体" w:cstheme="minorBidi"/>
                <w:b w:val="0"/>
                <w:i w:val="0"/>
                <w:color w:val="000000"/>
              </w:rPr>
              <w:t>职务</w:t>
            </w:r>
          </w:p>
        </w:tc>
        <w:tc>
          <w:tcPr>
            <w:tcW w:w="3028" w:type="pct"/>
            <w:tcBorders>
              <w:left w:val="single" w:color="000000" w:sz="4" w:space="0"/>
              <w:bottom w:val="single" w:color="000000" w:sz="4" w:space="0"/>
              <w:right w:val="single" w:color="000000" w:sz="4" w:space="0"/>
            </w:tcBorders>
            <w:shd w:val="clear" w:color="auto" w:fill="FFFFFF"/>
            <w:vAlign w:val="center"/>
          </w:tcPr>
          <w:p w14:paraId="7D9BD07A">
            <w:pPr>
              <w:pStyle w:val="50"/>
              <w:adjustRightInd w:val="0"/>
              <w:snapToGrid w:val="0"/>
              <w:rPr>
                <w:rFonts w:ascii="Times New Roman" w:hAnsi="Times New Roman" w:eastAsia="宋体" w:cstheme="minorBidi"/>
                <w:b w:val="0"/>
                <w:i w:val="0"/>
                <w:color w:val="000000"/>
              </w:rPr>
            </w:pPr>
            <w:r>
              <w:rPr>
                <w:rFonts w:hint="eastAsia" w:ascii="Times New Roman" w:hAnsi="Times New Roman" w:eastAsia="宋体" w:cstheme="minorBidi"/>
                <w:b w:val="0"/>
                <w:i w:val="0"/>
                <w:color w:val="000000"/>
              </w:rPr>
              <w:t>工作内容</w:t>
            </w:r>
          </w:p>
        </w:tc>
        <w:tc>
          <w:tcPr>
            <w:tcW w:w="593" w:type="pct"/>
            <w:tcBorders>
              <w:left w:val="single" w:color="000000" w:sz="4" w:space="0"/>
              <w:bottom w:val="single" w:color="000000" w:sz="4" w:space="0"/>
            </w:tcBorders>
            <w:shd w:val="clear" w:color="auto" w:fill="FFFFFF"/>
            <w:vAlign w:val="center"/>
          </w:tcPr>
          <w:p w14:paraId="59B77A05">
            <w:pPr>
              <w:pStyle w:val="50"/>
              <w:adjustRightInd w:val="0"/>
              <w:snapToGrid w:val="0"/>
              <w:rPr>
                <w:rFonts w:ascii="Times New Roman" w:hAnsi="Times New Roman" w:eastAsia="宋体" w:cstheme="minorBidi"/>
                <w:b w:val="0"/>
                <w:i w:val="0"/>
                <w:color w:val="000000"/>
              </w:rPr>
            </w:pPr>
            <w:r>
              <w:rPr>
                <w:rFonts w:hint="eastAsia" w:ascii="Times New Roman" w:hAnsi="Times New Roman" w:eastAsia="宋体" w:cstheme="minorBidi"/>
                <w:b w:val="0"/>
                <w:i w:val="0"/>
                <w:color w:val="000000"/>
              </w:rPr>
              <w:t>备注</w:t>
            </w:r>
          </w:p>
        </w:tc>
      </w:tr>
      <w:tr w14:paraId="30EF5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2" w:type="pct"/>
            <w:tcBorders>
              <w:top w:val="single" w:color="000000" w:sz="4" w:space="0"/>
              <w:bottom w:val="single" w:color="000000" w:sz="4" w:space="0"/>
              <w:right w:val="single" w:color="000000" w:sz="4" w:space="0"/>
            </w:tcBorders>
            <w:shd w:val="clear" w:color="auto" w:fill="FFFFFF"/>
            <w:vAlign w:val="center"/>
          </w:tcPr>
          <w:p w14:paraId="537AD3FE">
            <w:pPr>
              <w:pStyle w:val="50"/>
              <w:adjustRightInd w:val="0"/>
              <w:snapToGrid w:val="0"/>
              <w:rPr>
                <w:rFonts w:hint="eastAsia" w:eastAsia="宋体" w:cstheme="minorBidi"/>
                <w:b w:val="0"/>
                <w:color w:val="000000"/>
                <w:lang w:eastAsia="zh-CN"/>
              </w:rPr>
            </w:pPr>
            <w:r>
              <w:rPr>
                <w:rFonts w:hint="eastAsia" w:cstheme="minorBidi"/>
                <w:b w:val="0"/>
                <w:color w:val="000000"/>
                <w:lang w:val="en-US" w:eastAsia="zh-CN"/>
              </w:rPr>
              <w:t>温涛</w:t>
            </w:r>
          </w:p>
        </w:tc>
        <w:tc>
          <w:tcPr>
            <w:tcW w:w="8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10A977">
            <w:pPr>
              <w:pStyle w:val="50"/>
              <w:adjustRightInd w:val="0"/>
              <w:snapToGrid w:val="0"/>
              <w:rPr>
                <w:rFonts w:cstheme="minorBidi"/>
                <w:b w:val="0"/>
                <w:color w:val="000000"/>
              </w:rPr>
            </w:pPr>
            <w:r>
              <w:rPr>
                <w:rFonts w:hint="eastAsia" w:cstheme="minorBidi"/>
                <w:b w:val="0"/>
                <w:color w:val="000000"/>
              </w:rPr>
              <w:t>技术总工</w:t>
            </w:r>
          </w:p>
        </w:tc>
        <w:tc>
          <w:tcPr>
            <w:tcW w:w="30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12C69A">
            <w:pPr>
              <w:pStyle w:val="50"/>
              <w:adjustRightInd w:val="0"/>
              <w:snapToGrid w:val="0"/>
              <w:rPr>
                <w:rFonts w:cstheme="minorBidi"/>
                <w:b w:val="0"/>
                <w:color w:val="000000"/>
              </w:rPr>
            </w:pPr>
            <w:r>
              <w:rPr>
                <w:rFonts w:hint="eastAsia" w:cstheme="minorBidi"/>
                <w:b w:val="0"/>
                <w:color w:val="000000"/>
              </w:rPr>
              <w:t>负责协调工作、监管测量员与安装单位对塔吊安装前、中、</w:t>
            </w:r>
          </w:p>
          <w:p w14:paraId="5187835C">
            <w:pPr>
              <w:pStyle w:val="50"/>
              <w:adjustRightInd w:val="0"/>
              <w:snapToGrid w:val="0"/>
              <w:rPr>
                <w:rFonts w:cstheme="minorBidi"/>
                <w:b w:val="0"/>
                <w:color w:val="000000"/>
              </w:rPr>
            </w:pPr>
            <w:r>
              <w:rPr>
                <w:rFonts w:hint="eastAsia" w:cstheme="minorBidi"/>
                <w:b w:val="0"/>
                <w:color w:val="000000"/>
              </w:rPr>
              <w:t>后的相关数据进行测量，并制作测量表格，收集监测资料。</w:t>
            </w:r>
          </w:p>
        </w:tc>
        <w:tc>
          <w:tcPr>
            <w:tcW w:w="593" w:type="pct"/>
            <w:tcBorders>
              <w:top w:val="single" w:color="000000" w:sz="4" w:space="0"/>
              <w:left w:val="single" w:color="000000" w:sz="4" w:space="0"/>
              <w:bottom w:val="single" w:color="000000" w:sz="4" w:space="0"/>
            </w:tcBorders>
            <w:shd w:val="clear" w:color="auto" w:fill="FFFFFF"/>
            <w:vAlign w:val="center"/>
          </w:tcPr>
          <w:p w14:paraId="091ECCB0">
            <w:pPr>
              <w:pStyle w:val="50"/>
              <w:adjustRightInd w:val="0"/>
              <w:snapToGrid w:val="0"/>
              <w:rPr>
                <w:rFonts w:cstheme="minorBidi"/>
                <w:b w:val="0"/>
                <w:color w:val="000000"/>
              </w:rPr>
            </w:pPr>
          </w:p>
        </w:tc>
      </w:tr>
      <w:tr w14:paraId="0E66C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2" w:type="pct"/>
            <w:tcBorders>
              <w:top w:val="single" w:color="000000" w:sz="4" w:space="0"/>
              <w:bottom w:val="single" w:color="000000" w:sz="4" w:space="0"/>
              <w:right w:val="single" w:color="000000" w:sz="4" w:space="0"/>
            </w:tcBorders>
            <w:shd w:val="clear" w:color="auto" w:fill="FFFFFF"/>
            <w:vAlign w:val="center"/>
          </w:tcPr>
          <w:p w14:paraId="60EB6E42">
            <w:pPr>
              <w:pStyle w:val="50"/>
              <w:adjustRightInd w:val="0"/>
              <w:snapToGrid w:val="0"/>
              <w:rPr>
                <w:rFonts w:cstheme="minorBidi"/>
                <w:b w:val="0"/>
                <w:color w:val="000000"/>
              </w:rPr>
            </w:pPr>
            <w:r>
              <w:rPr>
                <w:rFonts w:hint="eastAsia" w:cstheme="minorBidi"/>
                <w:b w:val="0"/>
                <w:color w:val="000000"/>
                <w:lang w:val="en-US" w:eastAsia="zh-CN"/>
              </w:rPr>
              <w:t>吕仕昌</w:t>
            </w:r>
          </w:p>
        </w:tc>
        <w:tc>
          <w:tcPr>
            <w:tcW w:w="8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1A5963">
            <w:pPr>
              <w:pStyle w:val="50"/>
              <w:adjustRightInd w:val="0"/>
              <w:snapToGrid w:val="0"/>
              <w:rPr>
                <w:rFonts w:hint="eastAsia" w:eastAsia="宋体" w:cstheme="minorBidi"/>
                <w:b w:val="0"/>
                <w:color w:val="000000"/>
                <w:lang w:eastAsia="zh-CN"/>
              </w:rPr>
            </w:pPr>
            <w:r>
              <w:rPr>
                <w:rFonts w:hint="eastAsia" w:cstheme="minorBidi"/>
                <w:b w:val="0"/>
                <w:color w:val="000000"/>
              </w:rPr>
              <w:t>安全</w:t>
            </w:r>
            <w:r>
              <w:rPr>
                <w:rFonts w:hint="eastAsia" w:cstheme="minorBidi"/>
                <w:b w:val="0"/>
                <w:color w:val="000000"/>
                <w:lang w:val="en-US" w:eastAsia="zh-CN"/>
              </w:rPr>
              <w:t>负责人</w:t>
            </w:r>
          </w:p>
        </w:tc>
        <w:tc>
          <w:tcPr>
            <w:tcW w:w="302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5D65F0">
            <w:pPr>
              <w:pStyle w:val="50"/>
              <w:adjustRightInd w:val="0"/>
              <w:snapToGrid w:val="0"/>
              <w:rPr>
                <w:rFonts w:cstheme="minorBidi"/>
                <w:b w:val="0"/>
                <w:color w:val="000000"/>
              </w:rPr>
            </w:pPr>
            <w:r>
              <w:rPr>
                <w:rFonts w:hint="eastAsia" w:cstheme="minorBidi"/>
                <w:b w:val="0"/>
                <w:color w:val="000000"/>
              </w:rPr>
              <w:t>负责塔吊安装过程中的安全监管</w:t>
            </w:r>
          </w:p>
        </w:tc>
        <w:tc>
          <w:tcPr>
            <w:tcW w:w="593" w:type="pct"/>
            <w:tcBorders>
              <w:top w:val="single" w:color="000000" w:sz="4" w:space="0"/>
              <w:left w:val="single" w:color="000000" w:sz="4" w:space="0"/>
              <w:bottom w:val="single" w:color="000000" w:sz="4" w:space="0"/>
            </w:tcBorders>
            <w:shd w:val="clear" w:color="auto" w:fill="FFFFFF"/>
            <w:vAlign w:val="center"/>
          </w:tcPr>
          <w:p w14:paraId="3A3564E3">
            <w:pPr>
              <w:pStyle w:val="50"/>
              <w:adjustRightInd w:val="0"/>
              <w:snapToGrid w:val="0"/>
              <w:rPr>
                <w:rFonts w:cstheme="minorBidi"/>
                <w:b w:val="0"/>
                <w:color w:val="000000"/>
              </w:rPr>
            </w:pPr>
          </w:p>
        </w:tc>
      </w:tr>
      <w:tr w14:paraId="149B6F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42" w:type="pct"/>
            <w:tcBorders>
              <w:top w:val="single" w:color="000000" w:sz="4" w:space="0"/>
              <w:right w:val="single" w:color="000000" w:sz="4" w:space="0"/>
            </w:tcBorders>
            <w:shd w:val="clear" w:color="auto" w:fill="FFFFFF"/>
            <w:vAlign w:val="center"/>
          </w:tcPr>
          <w:p w14:paraId="4E949B2F">
            <w:pPr>
              <w:pStyle w:val="50"/>
              <w:adjustRightInd w:val="0"/>
              <w:snapToGrid w:val="0"/>
              <w:rPr>
                <w:rFonts w:hint="eastAsia" w:eastAsia="宋体" w:cstheme="minorBidi"/>
                <w:b w:val="0"/>
                <w:color w:val="000000"/>
                <w:lang w:eastAsia="zh-CN"/>
              </w:rPr>
            </w:pPr>
            <w:r>
              <w:rPr>
                <w:rFonts w:hint="eastAsia" w:cstheme="minorBidi"/>
                <w:b w:val="0"/>
                <w:color w:val="000000"/>
                <w:lang w:val="en-US" w:eastAsia="zh-CN"/>
              </w:rPr>
              <w:t>罗乾龙</w:t>
            </w:r>
          </w:p>
        </w:tc>
        <w:tc>
          <w:tcPr>
            <w:tcW w:w="836" w:type="pct"/>
            <w:tcBorders>
              <w:top w:val="single" w:color="000000" w:sz="4" w:space="0"/>
              <w:left w:val="single" w:color="000000" w:sz="4" w:space="0"/>
              <w:right w:val="single" w:color="000000" w:sz="4" w:space="0"/>
            </w:tcBorders>
            <w:shd w:val="clear" w:color="auto" w:fill="FFFFFF"/>
            <w:vAlign w:val="center"/>
          </w:tcPr>
          <w:p w14:paraId="2E329F23">
            <w:pPr>
              <w:pStyle w:val="50"/>
              <w:adjustRightInd w:val="0"/>
              <w:snapToGrid w:val="0"/>
              <w:rPr>
                <w:rFonts w:cstheme="minorBidi"/>
                <w:b w:val="0"/>
                <w:color w:val="000000"/>
              </w:rPr>
            </w:pPr>
            <w:r>
              <w:rPr>
                <w:rFonts w:hint="eastAsia" w:cstheme="minorBidi"/>
                <w:b w:val="0"/>
                <w:color w:val="000000"/>
              </w:rPr>
              <w:t>安装单位现场负责人</w:t>
            </w:r>
          </w:p>
        </w:tc>
        <w:tc>
          <w:tcPr>
            <w:tcW w:w="3028" w:type="pct"/>
            <w:tcBorders>
              <w:top w:val="single" w:color="000000" w:sz="4" w:space="0"/>
              <w:left w:val="single" w:color="000000" w:sz="4" w:space="0"/>
              <w:right w:val="single" w:color="000000" w:sz="4" w:space="0"/>
            </w:tcBorders>
            <w:shd w:val="clear" w:color="auto" w:fill="FFFFFF"/>
            <w:vAlign w:val="center"/>
          </w:tcPr>
          <w:p w14:paraId="6EF75195">
            <w:pPr>
              <w:pStyle w:val="50"/>
              <w:adjustRightInd w:val="0"/>
              <w:snapToGrid w:val="0"/>
              <w:rPr>
                <w:rFonts w:cstheme="minorBidi"/>
                <w:b w:val="0"/>
                <w:color w:val="000000"/>
              </w:rPr>
            </w:pPr>
            <w:r>
              <w:rPr>
                <w:rFonts w:hint="eastAsia" w:cstheme="minorBidi"/>
                <w:b w:val="0"/>
                <w:color w:val="000000"/>
              </w:rPr>
              <w:t>负责编制塔吊方案中的检测数据</w:t>
            </w:r>
          </w:p>
        </w:tc>
        <w:tc>
          <w:tcPr>
            <w:tcW w:w="593" w:type="pct"/>
            <w:tcBorders>
              <w:top w:val="single" w:color="000000" w:sz="4" w:space="0"/>
              <w:left w:val="single" w:color="000000" w:sz="4" w:space="0"/>
            </w:tcBorders>
            <w:shd w:val="clear" w:color="auto" w:fill="FFFFFF"/>
            <w:vAlign w:val="center"/>
          </w:tcPr>
          <w:p w14:paraId="2A6D6E83">
            <w:pPr>
              <w:pStyle w:val="50"/>
              <w:adjustRightInd w:val="0"/>
              <w:snapToGrid w:val="0"/>
              <w:rPr>
                <w:rFonts w:cstheme="minorBidi"/>
                <w:b w:val="0"/>
                <w:color w:val="000000"/>
              </w:rPr>
            </w:pPr>
          </w:p>
        </w:tc>
      </w:tr>
    </w:tbl>
    <w:p w14:paraId="0FB159F4">
      <w:pPr>
        <w:pStyle w:val="7"/>
        <w:bidi w:val="0"/>
        <w:ind w:left="1008" w:leftChars="0" w:hanging="1008" w:firstLineChars="0"/>
        <w:rPr>
          <w:b/>
          <w:bCs w:val="0"/>
        </w:rPr>
      </w:pPr>
      <w:r>
        <w:rPr>
          <w:rFonts w:hint="eastAsia"/>
          <w:b/>
          <w:bCs w:val="0"/>
        </w:rPr>
        <w:t>监测监管要求</w:t>
      </w:r>
    </w:p>
    <w:p w14:paraId="3B8D0A96">
      <w:pPr>
        <w:ind w:firstLine="480"/>
      </w:pPr>
      <w:r>
        <w:rPr>
          <w:rFonts w:hint="eastAsia"/>
        </w:rPr>
        <w:t>前期准备：必须将所需监测资料收集齐全，所需测量数据制定成表格，并将控制 要求负责表格后面；</w:t>
      </w:r>
    </w:p>
    <w:p w14:paraId="55ED054F">
      <w:pPr>
        <w:ind w:firstLine="480"/>
      </w:pPr>
      <w:r>
        <w:rPr>
          <w:rFonts w:hint="eastAsia"/>
        </w:rPr>
        <w:t>现场测量：保证测量人员固定，设备固定、观测线路固定的三固定原则，保证测 量仪器工作正常，现场测量员技术过关，注意施工安全；</w:t>
      </w:r>
    </w:p>
    <w:p w14:paraId="157A045A">
      <w:pPr>
        <w:ind w:firstLine="480"/>
      </w:pPr>
      <w:r>
        <w:rPr>
          <w:rFonts w:hint="eastAsia"/>
        </w:rPr>
        <w:t>数据处理：现场测量数据必须形成档案，以便存储。同时将测量数据及时反馈给 安拆工长，安拆工长根据反馈数据确定是否需要采取相应处理措施；</w:t>
      </w:r>
    </w:p>
    <w:p w14:paraId="15FF5D35">
      <w:pPr>
        <w:ind w:firstLine="480"/>
      </w:pPr>
      <w:r>
        <w:rPr>
          <w:rFonts w:hint="eastAsia"/>
        </w:rPr>
        <w:t>档案归档：塔吊安装完成，检测合格后，保证所有监测资料能够快速查阅，资料 控制、保护措施全面；</w:t>
      </w:r>
    </w:p>
    <w:p w14:paraId="2ECF6BF1">
      <w:pPr>
        <w:pStyle w:val="7"/>
        <w:bidi w:val="0"/>
        <w:ind w:left="1008" w:leftChars="0" w:hanging="1008" w:firstLineChars="0"/>
        <w:rPr>
          <w:b/>
          <w:bCs w:val="0"/>
        </w:rPr>
      </w:pPr>
      <w:r>
        <w:rPr>
          <w:rFonts w:hint="eastAsia"/>
          <w:b/>
          <w:bCs w:val="0"/>
        </w:rPr>
        <w:t>监测方法</w:t>
      </w:r>
    </w:p>
    <w:p w14:paraId="7D662487">
      <w:pPr>
        <w:ind w:firstLine="480"/>
      </w:pPr>
      <w:r>
        <w:rPr>
          <w:rFonts w:hint="eastAsia"/>
        </w:rPr>
        <w:t>1）安装时每安装一节塔身节即对塔吊垂直度进行测量，满足要求后方可进行下道工序施工。</w:t>
      </w:r>
    </w:p>
    <w:p w14:paraId="634F9678">
      <w:pPr>
        <w:ind w:firstLine="480"/>
      </w:pPr>
      <w:r>
        <w:rPr>
          <w:rFonts w:hint="eastAsia"/>
        </w:rPr>
        <w:t>安装完成每周对塔吊的垂直度进行监测，当倾斜度超过4/1000时或者倾斜速率连续三日大于5mm/d时，应立即停止塔吊的使用，查明相关原因。</w:t>
      </w:r>
    </w:p>
    <w:p w14:paraId="48C1A4A6">
      <w:pPr>
        <w:ind w:firstLine="480"/>
      </w:pPr>
      <w:r>
        <w:rPr>
          <w:rFonts w:hint="eastAsia"/>
        </w:rPr>
        <w:t>2）在塔吊上安装塔吊监控监控系统，确保塔吊作业安全，监控项目主要包括群塔防碰撞、空间限位保护、超载保护、人机管理、远程监控等方面。</w:t>
      </w:r>
    </w:p>
    <w:p w14:paraId="45700F10">
      <w:pPr>
        <w:ind w:firstLine="480"/>
      </w:pPr>
      <w:r>
        <w:rPr>
          <w:rFonts w:hint="eastAsia"/>
        </w:rPr>
        <w:t>3）塔吊安装与使用期间安装风速仪对现场风速进行监测，当现场风速达到6级风时需停止塔吊安装与使用。</w:t>
      </w:r>
    </w:p>
    <w:p w14:paraId="14B68710">
      <w:pPr>
        <w:ind w:firstLine="480"/>
      </w:pPr>
      <w:r>
        <w:rPr>
          <w:rFonts w:hint="eastAsia"/>
        </w:rPr>
        <w:t>大风天气时，将塔吊回转机构的制动器完全松开，起重臂应能随风转动，塔吊控制器挂零档，吊钩应收起，靠塔身放置，当气象播报风力可达10级及以上时应在大风天气来临前降低塔吊高度。</w:t>
      </w:r>
    </w:p>
    <w:p w14:paraId="206267E2">
      <w:pPr>
        <w:ind w:firstLine="480"/>
      </w:pPr>
      <w:r>
        <w:rPr>
          <w:rFonts w:hint="eastAsia"/>
        </w:rPr>
        <w:t>4</w:t>
      </w:r>
      <w:r>
        <w:rPr>
          <w:rFonts w:hint="eastAsia"/>
          <w:lang w:eastAsia="zh-CN"/>
        </w:rPr>
        <w:t>）</w:t>
      </w:r>
      <w:r>
        <w:rPr>
          <w:rFonts w:hint="eastAsia"/>
        </w:rPr>
        <w:t>塔吊限位装置、钢丝绳检测，定期对塔吊限位装置、钢丝绳进行检查，发现问题立即进行更换。</w:t>
      </w:r>
    </w:p>
    <w:p w14:paraId="0B506FB0">
      <w:pPr>
        <w:ind w:firstLine="480"/>
      </w:pPr>
      <w:r>
        <w:rPr>
          <w:rFonts w:hint="eastAsia"/>
        </w:rPr>
        <w:t>5）用经纬仪定期测量塔吊垂直度确保塔吊使用过程的安全稳定，独立高度下或最上层附着框以上塔身轴线对支承面垂直度不得大于 4/ 1000。</w:t>
      </w:r>
    </w:p>
    <w:p w14:paraId="229610BF">
      <w:pPr>
        <w:pStyle w:val="7"/>
        <w:bidi w:val="0"/>
        <w:ind w:left="1008" w:leftChars="0" w:hanging="1008" w:firstLineChars="0"/>
        <w:rPr>
          <w:b/>
          <w:bCs w:val="0"/>
        </w:rPr>
      </w:pPr>
      <w:r>
        <w:rPr>
          <w:rFonts w:hint="eastAsia"/>
          <w:b/>
          <w:bCs w:val="0"/>
        </w:rPr>
        <w:t>主要监测内容</w:t>
      </w:r>
    </w:p>
    <w:p w14:paraId="562D805F">
      <w:pPr>
        <w:pStyle w:val="16"/>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6.4.</w:t>
      </w:r>
      <w:r>
        <w:fldChar w:fldCharType="end"/>
      </w:r>
      <w:r>
        <w:rPr>
          <w:rFonts w:hint="eastAsia"/>
          <w:lang w:val="en-US" w:eastAsia="zh-CN"/>
        </w:rPr>
        <w:t>2.1.3</w:t>
      </w:r>
      <w:r>
        <w:noBreakHyphen/>
      </w:r>
      <w:r>
        <w:rPr>
          <w:rFonts w:hint="eastAsia"/>
          <w:lang w:val="en-US" w:eastAsia="zh-CN"/>
        </w:rPr>
        <w:t>1</w:t>
      </w:r>
      <w:r>
        <w:rPr>
          <w:rFonts w:hint="eastAsia"/>
        </w:rPr>
        <w:t>主要监测内容明细表</w:t>
      </w:r>
    </w:p>
    <w:tbl>
      <w:tblPr>
        <w:tblStyle w:val="12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572"/>
        <w:gridCol w:w="1589"/>
        <w:gridCol w:w="733"/>
        <w:gridCol w:w="22"/>
        <w:gridCol w:w="566"/>
        <w:gridCol w:w="2180"/>
        <w:gridCol w:w="137"/>
        <w:gridCol w:w="22"/>
        <w:gridCol w:w="990"/>
        <w:gridCol w:w="1306"/>
        <w:gridCol w:w="23"/>
      </w:tblGrid>
      <w:tr w14:paraId="7EBD21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tblHeader/>
          <w:jc w:val="center"/>
        </w:trPr>
        <w:tc>
          <w:tcPr>
            <w:tcW w:w="615" w:type="pct"/>
            <w:tcBorders>
              <w:tl2br w:val="nil"/>
            </w:tcBorders>
            <w:shd w:val="clear" w:color="auto" w:fill="FFFFFF"/>
            <w:vAlign w:val="center"/>
          </w:tcPr>
          <w:p w14:paraId="44A47354">
            <w:pPr>
              <w:pStyle w:val="50"/>
              <w:adjustRightInd w:val="0"/>
              <w:snapToGrid w:val="0"/>
              <w:rPr>
                <w:rFonts w:ascii="Times New Roman" w:hAnsi="Times New Roman" w:eastAsia="宋体" w:cstheme="minorBidi"/>
                <w:b w:val="0"/>
                <w:i w:val="0"/>
              </w:rPr>
            </w:pPr>
            <w:r>
              <w:rPr>
                <w:rFonts w:hint="eastAsia" w:ascii="Times New Roman" w:hAnsi="Times New Roman" w:eastAsia="宋体" w:cstheme="minorBidi"/>
                <w:b w:val="0"/>
                <w:i w:val="0"/>
              </w:rPr>
              <w:t>施工</w:t>
            </w:r>
            <w:r>
              <w:rPr>
                <w:rFonts w:hint="eastAsia" w:ascii="Times New Roman" w:hAnsi="Times New Roman" w:eastAsia="宋体" w:cstheme="minorBidi"/>
                <w:b w:val="0"/>
                <w:i w:val="0"/>
                <w:spacing w:val="7"/>
              </w:rPr>
              <w:t>单位</w:t>
            </w:r>
          </w:p>
        </w:tc>
        <w:tc>
          <w:tcPr>
            <w:tcW w:w="1164" w:type="pct"/>
            <w:gridSpan w:val="2"/>
            <w:shd w:val="clear" w:color="auto" w:fill="FFFFFF"/>
            <w:vAlign w:val="center"/>
          </w:tcPr>
          <w:p w14:paraId="74FF8B8A">
            <w:pPr>
              <w:pStyle w:val="50"/>
              <w:adjustRightInd w:val="0"/>
              <w:snapToGrid w:val="0"/>
              <w:rPr>
                <w:rFonts w:ascii="Times New Roman" w:hAnsi="Times New Roman" w:eastAsia="宋体" w:cstheme="minorBidi"/>
                <w:b w:val="0"/>
                <w:i w:val="0"/>
              </w:rPr>
            </w:pPr>
          </w:p>
        </w:tc>
        <w:tc>
          <w:tcPr>
            <w:tcW w:w="712" w:type="pct"/>
            <w:gridSpan w:val="3"/>
            <w:shd w:val="clear" w:color="auto" w:fill="FFFFFF"/>
            <w:vAlign w:val="center"/>
          </w:tcPr>
          <w:p w14:paraId="08F79678">
            <w:pPr>
              <w:pStyle w:val="50"/>
              <w:adjustRightInd w:val="0"/>
              <w:snapToGrid w:val="0"/>
              <w:rPr>
                <w:rFonts w:ascii="Times New Roman" w:hAnsi="Times New Roman" w:eastAsia="宋体" w:cstheme="minorBidi"/>
                <w:b w:val="0"/>
                <w:i w:val="0"/>
              </w:rPr>
            </w:pPr>
            <w:r>
              <w:rPr>
                <w:rFonts w:hint="eastAsia" w:ascii="Times New Roman" w:hAnsi="Times New Roman" w:eastAsia="宋体" w:cstheme="minorBidi"/>
                <w:b w:val="0"/>
                <w:i w:val="0"/>
                <w:spacing w:val="7"/>
              </w:rPr>
              <w:t>工程名</w:t>
            </w:r>
            <w:r>
              <w:rPr>
                <w:rFonts w:hint="eastAsia" w:ascii="Times New Roman" w:hAnsi="Times New Roman" w:eastAsia="宋体" w:cstheme="minorBidi"/>
                <w:b w:val="0"/>
                <w:i w:val="0"/>
                <w:spacing w:val="6"/>
              </w:rPr>
              <w:t>称</w:t>
            </w:r>
          </w:p>
        </w:tc>
        <w:tc>
          <w:tcPr>
            <w:tcW w:w="1174" w:type="pct"/>
            <w:shd w:val="clear" w:color="auto" w:fill="FFFFFF"/>
            <w:vAlign w:val="center"/>
          </w:tcPr>
          <w:p w14:paraId="36393AFC">
            <w:pPr>
              <w:pStyle w:val="50"/>
              <w:adjustRightInd w:val="0"/>
              <w:snapToGrid w:val="0"/>
              <w:rPr>
                <w:rFonts w:ascii="Times New Roman" w:hAnsi="Times New Roman" w:eastAsia="宋体" w:cstheme="minorBidi"/>
                <w:b w:val="0"/>
                <w:i w:val="0"/>
              </w:rPr>
            </w:pPr>
          </w:p>
        </w:tc>
        <w:tc>
          <w:tcPr>
            <w:tcW w:w="619" w:type="pct"/>
            <w:gridSpan w:val="3"/>
            <w:shd w:val="clear" w:color="auto" w:fill="FFFFFF"/>
            <w:vAlign w:val="center"/>
          </w:tcPr>
          <w:p w14:paraId="3F3B413E">
            <w:pPr>
              <w:pStyle w:val="50"/>
              <w:adjustRightInd w:val="0"/>
              <w:snapToGrid w:val="0"/>
              <w:rPr>
                <w:rFonts w:ascii="Times New Roman" w:hAnsi="Times New Roman" w:eastAsia="宋体" w:cstheme="minorBidi"/>
                <w:b w:val="0"/>
                <w:i w:val="0"/>
              </w:rPr>
            </w:pPr>
            <w:r>
              <w:rPr>
                <w:rFonts w:hint="eastAsia" w:ascii="Times New Roman" w:hAnsi="Times New Roman" w:eastAsia="宋体" w:cstheme="minorBidi"/>
                <w:b w:val="0"/>
                <w:i w:val="0"/>
                <w:spacing w:val="7"/>
              </w:rPr>
              <w:t>工程地</w:t>
            </w:r>
            <w:r>
              <w:rPr>
                <w:rFonts w:hint="eastAsia" w:ascii="Times New Roman" w:hAnsi="Times New Roman" w:eastAsia="宋体" w:cstheme="minorBidi"/>
                <w:b w:val="0"/>
                <w:i w:val="0"/>
                <w:spacing w:val="6"/>
              </w:rPr>
              <w:t>址</w:t>
            </w:r>
          </w:p>
        </w:tc>
        <w:tc>
          <w:tcPr>
            <w:tcW w:w="702" w:type="pct"/>
            <w:shd w:val="clear" w:color="auto" w:fill="FFFFFF"/>
            <w:vAlign w:val="center"/>
          </w:tcPr>
          <w:p w14:paraId="186FB41D">
            <w:pPr>
              <w:pStyle w:val="50"/>
              <w:adjustRightInd w:val="0"/>
              <w:snapToGrid w:val="0"/>
              <w:rPr>
                <w:rFonts w:ascii="Times New Roman" w:hAnsi="Times New Roman" w:eastAsia="宋体" w:cstheme="minorBidi"/>
                <w:b w:val="0"/>
                <w:i w:val="0"/>
              </w:rPr>
            </w:pPr>
          </w:p>
        </w:tc>
      </w:tr>
      <w:tr w14:paraId="5BA11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tblHeader/>
          <w:jc w:val="center"/>
        </w:trPr>
        <w:tc>
          <w:tcPr>
            <w:tcW w:w="615" w:type="pct"/>
            <w:shd w:val="clear" w:color="auto" w:fill="FFFFFF"/>
            <w:vAlign w:val="center"/>
          </w:tcPr>
          <w:p w14:paraId="36008B78">
            <w:pPr>
              <w:pStyle w:val="50"/>
              <w:adjustRightInd w:val="0"/>
              <w:snapToGrid w:val="0"/>
              <w:rPr>
                <w:rFonts w:ascii="Times New Roman" w:hAnsi="Times New Roman" w:eastAsia="宋体" w:cstheme="minorBidi"/>
                <w:b w:val="0"/>
                <w:i w:val="0"/>
              </w:rPr>
            </w:pPr>
            <w:r>
              <w:rPr>
                <w:rFonts w:hint="eastAsia" w:ascii="Times New Roman" w:hAnsi="Times New Roman" w:eastAsia="宋体" w:cstheme="minorBidi"/>
                <w:b w:val="0"/>
                <w:i w:val="0"/>
                <w:spacing w:val="7"/>
              </w:rPr>
              <w:t>生产厂</w:t>
            </w:r>
            <w:r>
              <w:rPr>
                <w:rFonts w:hint="eastAsia" w:ascii="Times New Roman" w:hAnsi="Times New Roman" w:eastAsia="宋体" w:cstheme="minorBidi"/>
                <w:b w:val="0"/>
                <w:i w:val="0"/>
                <w:spacing w:val="6"/>
              </w:rPr>
              <w:t>家</w:t>
            </w:r>
          </w:p>
        </w:tc>
        <w:tc>
          <w:tcPr>
            <w:tcW w:w="1164" w:type="pct"/>
            <w:gridSpan w:val="2"/>
            <w:shd w:val="clear" w:color="auto" w:fill="FFFFFF"/>
            <w:vAlign w:val="center"/>
          </w:tcPr>
          <w:p w14:paraId="598B3054">
            <w:pPr>
              <w:pStyle w:val="50"/>
              <w:adjustRightInd w:val="0"/>
              <w:snapToGrid w:val="0"/>
              <w:rPr>
                <w:rFonts w:ascii="Times New Roman" w:hAnsi="Times New Roman" w:eastAsia="宋体" w:cstheme="minorBidi"/>
                <w:b w:val="0"/>
                <w:i w:val="0"/>
              </w:rPr>
            </w:pPr>
          </w:p>
        </w:tc>
        <w:tc>
          <w:tcPr>
            <w:tcW w:w="712" w:type="pct"/>
            <w:gridSpan w:val="3"/>
            <w:shd w:val="clear" w:color="auto" w:fill="FFFFFF"/>
            <w:vAlign w:val="center"/>
          </w:tcPr>
          <w:p w14:paraId="21539928">
            <w:pPr>
              <w:pStyle w:val="50"/>
              <w:adjustRightInd w:val="0"/>
              <w:snapToGrid w:val="0"/>
              <w:rPr>
                <w:rFonts w:ascii="Times New Roman" w:hAnsi="Times New Roman" w:eastAsia="宋体" w:cstheme="minorBidi"/>
                <w:b w:val="0"/>
                <w:i w:val="0"/>
              </w:rPr>
            </w:pPr>
            <w:r>
              <w:rPr>
                <w:rFonts w:hint="eastAsia" w:ascii="Times New Roman" w:hAnsi="Times New Roman" w:eastAsia="宋体" w:cstheme="minorBidi"/>
                <w:b w:val="0"/>
                <w:i w:val="0"/>
                <w:spacing w:val="7"/>
              </w:rPr>
              <w:t>安</w:t>
            </w:r>
            <w:r>
              <w:rPr>
                <w:rFonts w:hint="eastAsia" w:ascii="Times New Roman" w:hAnsi="Times New Roman" w:eastAsia="宋体" w:cstheme="minorBidi"/>
                <w:b w:val="0"/>
                <w:i w:val="0"/>
                <w:spacing w:val="6"/>
              </w:rPr>
              <w:t>装单位</w:t>
            </w:r>
          </w:p>
        </w:tc>
        <w:tc>
          <w:tcPr>
            <w:tcW w:w="1174" w:type="pct"/>
            <w:shd w:val="clear" w:color="auto" w:fill="FFFFFF"/>
            <w:vAlign w:val="center"/>
          </w:tcPr>
          <w:p w14:paraId="751C2436">
            <w:pPr>
              <w:pStyle w:val="50"/>
              <w:adjustRightInd w:val="0"/>
              <w:snapToGrid w:val="0"/>
              <w:rPr>
                <w:rFonts w:ascii="Times New Roman" w:hAnsi="Times New Roman" w:eastAsia="宋体" w:cstheme="minorBidi"/>
                <w:b w:val="0"/>
                <w:i w:val="0"/>
              </w:rPr>
            </w:pPr>
          </w:p>
        </w:tc>
        <w:tc>
          <w:tcPr>
            <w:tcW w:w="619" w:type="pct"/>
            <w:gridSpan w:val="3"/>
            <w:shd w:val="clear" w:color="auto" w:fill="FFFFFF"/>
            <w:vAlign w:val="center"/>
          </w:tcPr>
          <w:p w14:paraId="06EAF4C8">
            <w:pPr>
              <w:pStyle w:val="50"/>
              <w:adjustRightInd w:val="0"/>
              <w:snapToGrid w:val="0"/>
              <w:rPr>
                <w:rFonts w:ascii="Times New Roman" w:hAnsi="Times New Roman" w:eastAsia="宋体" w:cstheme="minorBidi"/>
                <w:b w:val="0"/>
                <w:i w:val="0"/>
              </w:rPr>
            </w:pPr>
            <w:r>
              <w:rPr>
                <w:rFonts w:hint="eastAsia" w:ascii="Times New Roman" w:hAnsi="Times New Roman" w:eastAsia="宋体" w:cstheme="minorBidi"/>
                <w:b w:val="0"/>
                <w:i w:val="0"/>
                <w:spacing w:val="7"/>
              </w:rPr>
              <w:t>规格型号</w:t>
            </w:r>
          </w:p>
        </w:tc>
        <w:tc>
          <w:tcPr>
            <w:tcW w:w="702" w:type="pct"/>
            <w:shd w:val="clear" w:color="auto" w:fill="FFFFFF"/>
            <w:vAlign w:val="center"/>
          </w:tcPr>
          <w:p w14:paraId="764F4CBE">
            <w:pPr>
              <w:pStyle w:val="50"/>
              <w:adjustRightInd w:val="0"/>
              <w:snapToGrid w:val="0"/>
              <w:rPr>
                <w:rFonts w:ascii="Times New Roman" w:hAnsi="Times New Roman" w:eastAsia="宋体" w:cstheme="minorBidi"/>
                <w:b w:val="0"/>
                <w:i w:val="0"/>
              </w:rPr>
            </w:pPr>
          </w:p>
        </w:tc>
      </w:tr>
      <w:tr w14:paraId="014DA2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shd w:val="clear" w:color="auto" w:fill="FFFFFF"/>
            <w:vAlign w:val="center"/>
          </w:tcPr>
          <w:p w14:paraId="038BD7DF">
            <w:pPr>
              <w:pStyle w:val="50"/>
              <w:adjustRightInd w:val="0"/>
              <w:snapToGrid w:val="0"/>
              <w:rPr>
                <w:rFonts w:cstheme="minorBidi"/>
                <w:b w:val="0"/>
              </w:rPr>
            </w:pPr>
            <w:r>
              <w:rPr>
                <w:rFonts w:hint="eastAsia" w:cstheme="minorBidi"/>
                <w:b w:val="0"/>
                <w:spacing w:val="7"/>
              </w:rPr>
              <w:t>监测项目</w:t>
            </w:r>
          </w:p>
        </w:tc>
        <w:tc>
          <w:tcPr>
            <w:tcW w:w="1251" w:type="pct"/>
            <w:gridSpan w:val="2"/>
            <w:shd w:val="clear" w:color="auto" w:fill="FFFFFF"/>
            <w:vAlign w:val="center"/>
          </w:tcPr>
          <w:p w14:paraId="08094B91">
            <w:pPr>
              <w:pStyle w:val="50"/>
              <w:adjustRightInd w:val="0"/>
              <w:snapToGrid w:val="0"/>
              <w:rPr>
                <w:rFonts w:cstheme="minorBidi"/>
                <w:b w:val="0"/>
              </w:rPr>
            </w:pPr>
            <w:r>
              <w:rPr>
                <w:rFonts w:hint="eastAsia" w:cstheme="minorBidi"/>
                <w:b w:val="0"/>
                <w:spacing w:val="7"/>
              </w:rPr>
              <w:t>技术要求</w:t>
            </w:r>
          </w:p>
        </w:tc>
        <w:tc>
          <w:tcPr>
            <w:tcW w:w="1565" w:type="pct"/>
            <w:gridSpan w:val="4"/>
            <w:shd w:val="clear" w:color="auto" w:fill="FFFFFF"/>
            <w:vAlign w:val="center"/>
          </w:tcPr>
          <w:p w14:paraId="1D0BEED7">
            <w:pPr>
              <w:pStyle w:val="50"/>
              <w:adjustRightInd w:val="0"/>
              <w:snapToGrid w:val="0"/>
              <w:rPr>
                <w:rFonts w:cstheme="minorBidi"/>
                <w:b w:val="0"/>
              </w:rPr>
            </w:pPr>
            <w:r>
              <w:rPr>
                <w:rFonts w:hint="eastAsia" w:cstheme="minorBidi"/>
                <w:b w:val="0"/>
                <w:spacing w:val="9"/>
              </w:rPr>
              <w:t>监</w:t>
            </w:r>
            <w:r>
              <w:rPr>
                <w:rFonts w:hint="eastAsia" w:cstheme="minorBidi"/>
                <w:b w:val="0"/>
              </w:rPr>
              <w:t>测方法</w:t>
            </w:r>
            <w:r>
              <w:rPr>
                <w:rFonts w:hint="eastAsia" w:cstheme="minorBidi"/>
                <w:b w:val="0"/>
                <w:spacing w:val="10"/>
              </w:rPr>
              <w:t>、</w:t>
            </w:r>
            <w:r>
              <w:rPr>
                <w:rFonts w:hint="eastAsia" w:cstheme="minorBidi"/>
                <w:b w:val="0"/>
              </w:rPr>
              <w:t>仪器</w:t>
            </w:r>
          </w:p>
        </w:tc>
        <w:tc>
          <w:tcPr>
            <w:tcW w:w="1248" w:type="pct"/>
            <w:gridSpan w:val="3"/>
            <w:shd w:val="clear" w:color="auto" w:fill="FFFFFF"/>
            <w:vAlign w:val="center"/>
          </w:tcPr>
          <w:p w14:paraId="340C7730">
            <w:pPr>
              <w:pStyle w:val="50"/>
              <w:adjustRightInd w:val="0"/>
              <w:snapToGrid w:val="0"/>
              <w:rPr>
                <w:rFonts w:cstheme="minorBidi"/>
                <w:b w:val="0"/>
              </w:rPr>
            </w:pPr>
            <w:r>
              <w:rPr>
                <w:rFonts w:hint="eastAsia" w:cstheme="minorBidi"/>
                <w:b w:val="0"/>
                <w:spacing w:val="9"/>
              </w:rPr>
              <w:t>监测</w:t>
            </w:r>
            <w:r>
              <w:rPr>
                <w:rFonts w:hint="eastAsia" w:cstheme="minorBidi"/>
                <w:b w:val="0"/>
              </w:rPr>
              <w:t>周期</w:t>
            </w:r>
            <w:r>
              <w:rPr>
                <w:rFonts w:hint="eastAsia" w:cstheme="minorBidi"/>
                <w:b w:val="0"/>
                <w:spacing w:val="4"/>
              </w:rPr>
              <w:t>/</w:t>
            </w:r>
            <w:r>
              <w:rPr>
                <w:rFonts w:hint="eastAsia" w:cstheme="minorBidi"/>
                <w:b w:val="0"/>
              </w:rPr>
              <w:t>频率</w:t>
            </w:r>
          </w:p>
        </w:tc>
      </w:tr>
      <w:tr w14:paraId="64BD08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shd w:val="clear" w:color="auto" w:fill="FFFFFF"/>
            <w:vAlign w:val="center"/>
          </w:tcPr>
          <w:p w14:paraId="35D43325">
            <w:pPr>
              <w:pStyle w:val="50"/>
              <w:adjustRightInd w:val="0"/>
              <w:snapToGrid w:val="0"/>
              <w:rPr>
                <w:rFonts w:cstheme="minorBidi"/>
                <w:b w:val="0"/>
              </w:rPr>
            </w:pPr>
            <w:r>
              <w:rPr>
                <w:rFonts w:hint="eastAsia" w:cstheme="minorBidi"/>
                <w:b w:val="0"/>
              </w:rPr>
              <w:t>埋件预埋质量</w:t>
            </w:r>
          </w:p>
        </w:tc>
        <w:tc>
          <w:tcPr>
            <w:tcW w:w="1251" w:type="pct"/>
            <w:gridSpan w:val="2"/>
            <w:shd w:val="clear" w:color="auto" w:fill="FFFFFF"/>
            <w:vAlign w:val="center"/>
          </w:tcPr>
          <w:p w14:paraId="6A7A7AB1">
            <w:pPr>
              <w:pStyle w:val="50"/>
              <w:adjustRightInd w:val="0"/>
              <w:snapToGrid w:val="0"/>
              <w:rPr>
                <w:rFonts w:cstheme="minorBidi"/>
                <w:b w:val="0"/>
              </w:rPr>
            </w:pPr>
            <w:r>
              <w:rPr>
                <w:rFonts w:hint="eastAsia" w:cstheme="minorBidi"/>
                <w:b w:val="0"/>
                <w:spacing w:val="9"/>
                <w:position w:val="23"/>
              </w:rPr>
              <w:t>严格按照图纸要求</w:t>
            </w:r>
            <w:r>
              <w:rPr>
                <w:rFonts w:hint="eastAsia" w:cstheme="minorBidi"/>
                <w:b w:val="0"/>
                <w:spacing w:val="7"/>
                <w:position w:val="23"/>
              </w:rPr>
              <w:t>的</w:t>
            </w:r>
          </w:p>
          <w:p w14:paraId="741C3D19">
            <w:pPr>
              <w:pStyle w:val="50"/>
              <w:adjustRightInd w:val="0"/>
              <w:snapToGrid w:val="0"/>
              <w:rPr>
                <w:rFonts w:cstheme="minorBidi"/>
                <w:b w:val="0"/>
              </w:rPr>
            </w:pPr>
            <w:r>
              <w:rPr>
                <w:rFonts w:hint="eastAsia" w:cstheme="minorBidi"/>
                <w:b w:val="0"/>
                <w:spacing w:val="7"/>
              </w:rPr>
              <w:t>定位于精度预</w:t>
            </w:r>
            <w:r>
              <w:rPr>
                <w:rFonts w:hint="eastAsia" w:cstheme="minorBidi"/>
                <w:b w:val="0"/>
                <w:spacing w:val="6"/>
              </w:rPr>
              <w:t>埋</w:t>
            </w:r>
            <w:r>
              <w:rPr>
                <w:rFonts w:hint="eastAsia" w:cstheme="minorBidi"/>
                <w:b w:val="0"/>
              </w:rPr>
              <w:t>。</w:t>
            </w:r>
          </w:p>
        </w:tc>
        <w:tc>
          <w:tcPr>
            <w:tcW w:w="1565" w:type="pct"/>
            <w:gridSpan w:val="4"/>
            <w:shd w:val="clear" w:color="auto" w:fill="FFFFFF"/>
            <w:vAlign w:val="center"/>
          </w:tcPr>
          <w:p w14:paraId="525F3493">
            <w:pPr>
              <w:pStyle w:val="50"/>
              <w:adjustRightInd w:val="0"/>
              <w:snapToGrid w:val="0"/>
              <w:rPr>
                <w:rFonts w:cstheme="minorBidi"/>
                <w:b w:val="0"/>
              </w:rPr>
            </w:pPr>
            <w:r>
              <w:rPr>
                <w:rFonts w:hint="eastAsia" w:cstheme="minorBidi"/>
                <w:b w:val="0"/>
                <w:spacing w:val="9"/>
                <w:position w:val="23"/>
              </w:rPr>
              <w:t>使用经纬仪定位基准线</w:t>
            </w:r>
            <w:r>
              <w:rPr>
                <w:rFonts w:hint="eastAsia" w:cstheme="minorBidi"/>
                <w:b w:val="0"/>
                <w:spacing w:val="10"/>
                <w:position w:val="23"/>
              </w:rPr>
              <w:t>，</w:t>
            </w:r>
            <w:r>
              <w:rPr>
                <w:rFonts w:hint="eastAsia" w:cstheme="minorBidi"/>
                <w:b w:val="0"/>
                <w:spacing w:val="9"/>
                <w:position w:val="23"/>
              </w:rPr>
              <w:t>卷</w:t>
            </w:r>
          </w:p>
          <w:p w14:paraId="29E8297C">
            <w:pPr>
              <w:pStyle w:val="50"/>
              <w:adjustRightInd w:val="0"/>
              <w:snapToGrid w:val="0"/>
              <w:rPr>
                <w:rFonts w:cstheme="minorBidi"/>
                <w:b w:val="0"/>
              </w:rPr>
            </w:pPr>
            <w:r>
              <w:rPr>
                <w:rFonts w:hint="eastAsia" w:cstheme="minorBidi"/>
                <w:b w:val="0"/>
              </w:rPr>
              <w:t>尺测量预</w:t>
            </w:r>
            <w:r>
              <w:rPr>
                <w:rFonts w:hint="eastAsia" w:cstheme="minorBidi"/>
                <w:b w:val="0"/>
                <w:spacing w:val="7"/>
              </w:rPr>
              <w:t>埋误差</w:t>
            </w:r>
            <w:r>
              <w:rPr>
                <w:rFonts w:hint="eastAsia" w:cstheme="minorBidi"/>
                <w:b w:val="0"/>
                <w:spacing w:val="9"/>
              </w:rPr>
              <w:t>。</w:t>
            </w:r>
          </w:p>
        </w:tc>
        <w:tc>
          <w:tcPr>
            <w:tcW w:w="1248" w:type="pct"/>
            <w:gridSpan w:val="3"/>
            <w:shd w:val="clear" w:color="auto" w:fill="FFFFFF"/>
            <w:vAlign w:val="center"/>
          </w:tcPr>
          <w:p w14:paraId="4656722B">
            <w:pPr>
              <w:pStyle w:val="50"/>
              <w:adjustRightInd w:val="0"/>
              <w:snapToGrid w:val="0"/>
              <w:rPr>
                <w:rFonts w:cstheme="minorBidi"/>
                <w:b w:val="0"/>
              </w:rPr>
            </w:pPr>
            <w:r>
              <w:rPr>
                <w:rFonts w:hint="eastAsia" w:cstheme="minorBidi"/>
                <w:b w:val="0"/>
                <w:spacing w:val="9"/>
              </w:rPr>
              <w:t>塔</w:t>
            </w:r>
            <w:r>
              <w:rPr>
                <w:rFonts w:hint="eastAsia" w:cstheme="minorBidi"/>
                <w:b w:val="0"/>
              </w:rPr>
              <w:t>吊安装之前</w:t>
            </w:r>
          </w:p>
        </w:tc>
      </w:tr>
      <w:tr w14:paraId="753DFB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shd w:val="clear" w:color="auto" w:fill="FFFFFF"/>
            <w:vAlign w:val="center"/>
          </w:tcPr>
          <w:p w14:paraId="3C1564EC">
            <w:pPr>
              <w:pStyle w:val="50"/>
              <w:adjustRightInd w:val="0"/>
              <w:snapToGrid w:val="0"/>
              <w:rPr>
                <w:rFonts w:cstheme="minorBidi"/>
                <w:b w:val="0"/>
              </w:rPr>
            </w:pPr>
            <w:r>
              <w:rPr>
                <w:rFonts w:hint="eastAsia" w:cstheme="minorBidi"/>
                <w:b w:val="0"/>
                <w:spacing w:val="5"/>
              </w:rPr>
              <w:t>顶</w:t>
            </w:r>
            <w:r>
              <w:rPr>
                <w:rFonts w:hint="eastAsia" w:cstheme="minorBidi"/>
                <w:b w:val="0"/>
                <w:spacing w:val="4"/>
              </w:rPr>
              <w:t>升</w:t>
            </w:r>
          </w:p>
        </w:tc>
        <w:tc>
          <w:tcPr>
            <w:tcW w:w="1251" w:type="pct"/>
            <w:gridSpan w:val="2"/>
            <w:shd w:val="clear" w:color="auto" w:fill="FFFFFF"/>
            <w:vAlign w:val="center"/>
          </w:tcPr>
          <w:p w14:paraId="40DC69B8">
            <w:pPr>
              <w:pStyle w:val="50"/>
              <w:adjustRightInd w:val="0"/>
              <w:snapToGrid w:val="0"/>
              <w:rPr>
                <w:rFonts w:cstheme="minorBidi"/>
                <w:b w:val="0"/>
              </w:rPr>
            </w:pPr>
            <w:r>
              <w:rPr>
                <w:rFonts w:hint="eastAsia" w:cstheme="minorBidi"/>
                <w:b w:val="0"/>
                <w:spacing w:val="9"/>
              </w:rPr>
              <w:t>按顶升</w:t>
            </w:r>
            <w:r>
              <w:rPr>
                <w:rFonts w:hint="eastAsia" w:cstheme="minorBidi"/>
                <w:b w:val="0"/>
              </w:rPr>
              <w:t>具体要求</w:t>
            </w:r>
          </w:p>
        </w:tc>
        <w:tc>
          <w:tcPr>
            <w:tcW w:w="1565" w:type="pct"/>
            <w:gridSpan w:val="4"/>
            <w:shd w:val="clear" w:color="auto" w:fill="FFFFFF"/>
            <w:vAlign w:val="center"/>
          </w:tcPr>
          <w:p w14:paraId="735B0A88">
            <w:pPr>
              <w:pStyle w:val="50"/>
              <w:adjustRightInd w:val="0"/>
              <w:snapToGrid w:val="0"/>
              <w:rPr>
                <w:rFonts w:cstheme="minorBidi"/>
                <w:b w:val="0"/>
                <w:color w:val="000000" w:themeColor="text1"/>
                <w14:textFill>
                  <w14:solidFill>
                    <w14:schemeClr w14:val="tx1"/>
                  </w14:solidFill>
                </w14:textFill>
              </w:rPr>
            </w:pPr>
            <w:r>
              <w:rPr>
                <w:rFonts w:hint="eastAsia" w:cstheme="minorBidi"/>
                <w:b w:val="0"/>
                <w:color w:val="000000" w:themeColor="text1"/>
                <w:spacing w:val="1"/>
                <w14:textFill>
                  <w14:solidFill>
                    <w14:schemeClr w14:val="tx1"/>
                  </w14:solidFill>
                </w14:textFill>
              </w:rPr>
              <w:t>肉眼观察</w:t>
            </w:r>
          </w:p>
        </w:tc>
        <w:tc>
          <w:tcPr>
            <w:tcW w:w="1248" w:type="pct"/>
            <w:gridSpan w:val="3"/>
            <w:shd w:val="clear" w:color="auto" w:fill="FFFFFF"/>
            <w:vAlign w:val="center"/>
          </w:tcPr>
          <w:p w14:paraId="100CDAE5">
            <w:pPr>
              <w:pStyle w:val="50"/>
              <w:adjustRightInd w:val="0"/>
              <w:snapToGrid w:val="0"/>
              <w:rPr>
                <w:rFonts w:cstheme="minorBidi"/>
                <w:b w:val="0"/>
                <w:color w:val="000000" w:themeColor="text1"/>
                <w14:textFill>
                  <w14:solidFill>
                    <w14:schemeClr w14:val="tx1"/>
                  </w14:solidFill>
                </w14:textFill>
              </w:rPr>
            </w:pPr>
            <w:r>
              <w:rPr>
                <w:rFonts w:hint="eastAsia" w:cstheme="minorBidi"/>
                <w:b w:val="0"/>
                <w:color w:val="000000" w:themeColor="text1"/>
                <w14:textFill>
                  <w14:solidFill>
                    <w14:schemeClr w14:val="tx1"/>
                  </w14:solidFill>
                </w14:textFill>
              </w:rPr>
              <w:t>顶升</w:t>
            </w:r>
            <w:r>
              <w:rPr>
                <w:rFonts w:hint="eastAsia" w:cstheme="minorBidi"/>
                <w:b w:val="0"/>
                <w:color w:val="000000" w:themeColor="text1"/>
                <w:spacing w:val="7"/>
                <w14:textFill>
                  <w14:solidFill>
                    <w14:schemeClr w14:val="tx1"/>
                  </w14:solidFill>
                </w14:textFill>
              </w:rPr>
              <w:t>前</w:t>
            </w:r>
            <w:r>
              <w:rPr>
                <w:rFonts w:hint="eastAsia" w:cstheme="minorBidi"/>
                <w:b w:val="0"/>
                <w:color w:val="000000" w:themeColor="text1"/>
                <w:spacing w:val="12"/>
                <w14:textFill>
                  <w14:solidFill>
                    <w14:schemeClr w14:val="tx1"/>
                  </w14:solidFill>
                </w14:textFill>
              </w:rPr>
              <w:t>、</w:t>
            </w:r>
            <w:r>
              <w:rPr>
                <w:rFonts w:hint="eastAsia" w:cstheme="minorBidi"/>
                <w:b w:val="0"/>
                <w:color w:val="000000" w:themeColor="text1"/>
                <w:spacing w:val="7"/>
                <w14:textFill>
                  <w14:solidFill>
                    <w14:schemeClr w14:val="tx1"/>
                  </w14:solidFill>
                </w14:textFill>
              </w:rPr>
              <w:t>中</w:t>
            </w:r>
            <w:r>
              <w:rPr>
                <w:rFonts w:hint="eastAsia" w:cstheme="minorBidi"/>
                <w:b w:val="0"/>
                <w:color w:val="000000" w:themeColor="text1"/>
                <w:spacing w:val="12"/>
                <w14:textFill>
                  <w14:solidFill>
                    <w14:schemeClr w14:val="tx1"/>
                  </w14:solidFill>
                </w14:textFill>
              </w:rPr>
              <w:t>、</w:t>
            </w:r>
            <w:r>
              <w:rPr>
                <w:rFonts w:hint="eastAsia" w:cstheme="minorBidi"/>
                <w:b w:val="0"/>
                <w:color w:val="000000" w:themeColor="text1"/>
                <w:spacing w:val="7"/>
                <w14:textFill>
                  <w14:solidFill>
                    <w14:schemeClr w14:val="tx1"/>
                  </w14:solidFill>
                </w14:textFill>
              </w:rPr>
              <w:t>后</w:t>
            </w:r>
          </w:p>
        </w:tc>
      </w:tr>
      <w:tr w14:paraId="06E72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shd w:val="clear" w:color="auto" w:fill="FFFFFF"/>
            <w:vAlign w:val="center"/>
          </w:tcPr>
          <w:p w14:paraId="0E730F70">
            <w:pPr>
              <w:pStyle w:val="50"/>
              <w:adjustRightInd w:val="0"/>
              <w:snapToGrid w:val="0"/>
              <w:rPr>
                <w:rFonts w:cstheme="minorBidi"/>
                <w:b w:val="0"/>
              </w:rPr>
            </w:pPr>
            <w:r>
              <w:rPr>
                <w:rFonts w:hint="eastAsia" w:cstheme="minorBidi"/>
                <w:b w:val="0"/>
              </w:rPr>
              <w:t>塔身垂直度</w:t>
            </w:r>
          </w:p>
        </w:tc>
        <w:tc>
          <w:tcPr>
            <w:tcW w:w="1251" w:type="pct"/>
            <w:gridSpan w:val="2"/>
            <w:shd w:val="clear" w:color="auto" w:fill="FFFFFF"/>
            <w:vAlign w:val="center"/>
          </w:tcPr>
          <w:p w14:paraId="032C38D5">
            <w:pPr>
              <w:pStyle w:val="50"/>
              <w:adjustRightInd w:val="0"/>
              <w:snapToGrid w:val="0"/>
              <w:rPr>
                <w:rFonts w:cstheme="minorBidi"/>
                <w:b w:val="0"/>
              </w:rPr>
            </w:pPr>
            <w:r>
              <w:rPr>
                <w:rFonts w:hint="eastAsia" w:cstheme="minorBidi"/>
                <w:b w:val="0"/>
                <w:spacing w:val="15"/>
              </w:rPr>
              <w:t>塔身垂直度偏</w:t>
            </w:r>
            <w:r>
              <w:rPr>
                <w:rFonts w:hint="eastAsia" w:cstheme="minorBidi"/>
                <w:b w:val="0"/>
                <w:spacing w:val="14"/>
              </w:rPr>
              <w:t>差在</w:t>
            </w:r>
            <w:r>
              <w:rPr>
                <w:rFonts w:hint="eastAsia" w:cstheme="minorBidi"/>
                <w:b w:val="0"/>
                <w:spacing w:val="7"/>
              </w:rPr>
              <w:t>4</w:t>
            </w:r>
            <w:r>
              <w:rPr>
                <w:rFonts w:hint="eastAsia" w:cstheme="minorBidi"/>
                <w:b w:val="0"/>
                <w:spacing w:val="14"/>
              </w:rPr>
              <w:t>‰</w:t>
            </w:r>
            <w:r>
              <w:rPr>
                <w:rFonts w:hint="eastAsia" w:cstheme="minorBidi"/>
                <w:b w:val="0"/>
              </w:rPr>
              <w:t xml:space="preserve"> </w:t>
            </w:r>
            <w:r>
              <w:rPr>
                <w:rFonts w:hint="eastAsia" w:cstheme="minorBidi"/>
                <w:b w:val="0"/>
                <w:spacing w:val="-7"/>
              </w:rPr>
              <w:t>以内</w:t>
            </w:r>
          </w:p>
        </w:tc>
        <w:tc>
          <w:tcPr>
            <w:tcW w:w="1565" w:type="pct"/>
            <w:gridSpan w:val="4"/>
            <w:shd w:val="clear" w:color="auto" w:fill="FFFFFF"/>
            <w:vAlign w:val="center"/>
          </w:tcPr>
          <w:p w14:paraId="444B0A6B">
            <w:pPr>
              <w:pStyle w:val="50"/>
              <w:adjustRightInd w:val="0"/>
              <w:snapToGrid w:val="0"/>
              <w:rPr>
                <w:rFonts w:cstheme="minorBidi"/>
                <w:b w:val="0"/>
                <w:color w:val="000000" w:themeColor="text1"/>
                <w14:textFill>
                  <w14:solidFill>
                    <w14:schemeClr w14:val="tx1"/>
                  </w14:solidFill>
                </w14:textFill>
              </w:rPr>
            </w:pPr>
            <w:r>
              <w:rPr>
                <w:rFonts w:hint="eastAsia" w:cstheme="minorBidi"/>
                <w:b w:val="0"/>
                <w:color w:val="000000" w:themeColor="text1"/>
                <w:spacing w:val="9"/>
                <w14:textFill>
                  <w14:solidFill>
                    <w14:schemeClr w14:val="tx1"/>
                  </w14:solidFill>
                </w14:textFill>
              </w:rPr>
              <w:t>使用经纬仪测量</w:t>
            </w:r>
            <w:r>
              <w:rPr>
                <w:rFonts w:hint="eastAsia" w:cstheme="minorBidi"/>
                <w:b w:val="0"/>
                <w:color w:val="000000" w:themeColor="text1"/>
                <w:spacing w:val="10"/>
                <w14:textFill>
                  <w14:solidFill>
                    <w14:schemeClr w14:val="tx1"/>
                  </w14:solidFill>
                </w14:textFill>
              </w:rPr>
              <w:t>，</w:t>
            </w:r>
            <w:r>
              <w:rPr>
                <w:rFonts w:hint="eastAsia" w:cstheme="minorBidi"/>
                <w:b w:val="0"/>
                <w:color w:val="000000" w:themeColor="text1"/>
                <w:spacing w:val="9"/>
                <w14:textFill>
                  <w14:solidFill>
                    <w14:schemeClr w14:val="tx1"/>
                  </w14:solidFill>
                </w14:textFill>
              </w:rPr>
              <w:t>将起重</w:t>
            </w:r>
            <w:r>
              <w:rPr>
                <w:rFonts w:hint="eastAsia" w:cstheme="minorBidi"/>
                <w:b w:val="0"/>
                <w:color w:val="000000" w:themeColor="text1"/>
                <w14:textFill>
                  <w14:solidFill>
                    <w14:schemeClr w14:val="tx1"/>
                  </w14:solidFill>
                </w14:textFill>
              </w:rPr>
              <w:t xml:space="preserve">臂 </w:t>
            </w:r>
            <w:r>
              <w:rPr>
                <w:rFonts w:hint="eastAsia" w:cstheme="minorBidi"/>
                <w:b w:val="0"/>
                <w:color w:val="000000" w:themeColor="text1"/>
                <w:spacing w:val="9"/>
                <w14:textFill>
                  <w14:solidFill>
                    <w14:schemeClr w14:val="tx1"/>
                  </w14:solidFill>
                </w14:textFill>
              </w:rPr>
              <w:t>转到东西方向</w:t>
            </w:r>
            <w:r>
              <w:rPr>
                <w:rFonts w:hint="eastAsia" w:cstheme="minorBidi"/>
                <w:b w:val="0"/>
                <w:color w:val="000000" w:themeColor="text1"/>
                <w:spacing w:val="10"/>
                <w14:textFill>
                  <w14:solidFill>
                    <w14:schemeClr w14:val="tx1"/>
                  </w14:solidFill>
                </w14:textFill>
              </w:rPr>
              <w:t>，</w:t>
            </w:r>
            <w:r>
              <w:rPr>
                <w:rFonts w:hint="eastAsia" w:cstheme="minorBidi"/>
                <w:b w:val="0"/>
                <w:color w:val="000000" w:themeColor="text1"/>
                <w:spacing w:val="9"/>
                <w14:textFill>
                  <w14:solidFill>
                    <w14:schemeClr w14:val="tx1"/>
                  </w14:solidFill>
                </w14:textFill>
              </w:rPr>
              <w:t>检测南方</w:t>
            </w:r>
            <w:r>
              <w:rPr>
                <w:rFonts w:hint="eastAsia" w:cstheme="minorBidi"/>
                <w:b w:val="0"/>
                <w:color w:val="000000" w:themeColor="text1"/>
                <w14:textFill>
                  <w14:solidFill>
                    <w14:schemeClr w14:val="tx1"/>
                  </w14:solidFill>
                </w14:textFill>
              </w:rPr>
              <w:t xml:space="preserve">方 </w:t>
            </w:r>
            <w:r>
              <w:rPr>
                <w:rFonts w:hint="eastAsia" w:cstheme="minorBidi"/>
                <w:b w:val="0"/>
                <w:color w:val="000000" w:themeColor="text1"/>
                <w:spacing w:val="9"/>
                <w14:textFill>
                  <w14:solidFill>
                    <w14:schemeClr w14:val="tx1"/>
                  </w14:solidFill>
                </w14:textFill>
              </w:rPr>
              <w:t>向塔身垂直度</w:t>
            </w:r>
            <w:r>
              <w:rPr>
                <w:rFonts w:hint="eastAsia" w:cstheme="minorBidi"/>
                <w:b w:val="0"/>
                <w:color w:val="000000" w:themeColor="text1"/>
                <w:spacing w:val="10"/>
                <w14:textFill>
                  <w14:solidFill>
                    <w14:schemeClr w14:val="tx1"/>
                  </w14:solidFill>
                </w14:textFill>
              </w:rPr>
              <w:t>，</w:t>
            </w:r>
            <w:r>
              <w:rPr>
                <w:rFonts w:hint="eastAsia" w:cstheme="minorBidi"/>
                <w:b w:val="0"/>
                <w:color w:val="000000" w:themeColor="text1"/>
                <w:spacing w:val="9"/>
                <w14:textFill>
                  <w14:solidFill>
                    <w14:schemeClr w14:val="tx1"/>
                  </w14:solidFill>
                </w14:textFill>
              </w:rPr>
              <w:t>将起重臂</w:t>
            </w:r>
            <w:r>
              <w:rPr>
                <w:rFonts w:hint="eastAsia" w:cstheme="minorBidi"/>
                <w:b w:val="0"/>
                <w:color w:val="000000" w:themeColor="text1"/>
                <w14:textFill>
                  <w14:solidFill>
                    <w14:schemeClr w14:val="tx1"/>
                  </w14:solidFill>
                </w14:textFill>
              </w:rPr>
              <w:t xml:space="preserve">转 </w:t>
            </w:r>
            <w:r>
              <w:rPr>
                <w:rFonts w:hint="eastAsia" w:cstheme="minorBidi"/>
                <w:b w:val="0"/>
                <w:color w:val="000000" w:themeColor="text1"/>
                <w:spacing w:val="9"/>
                <w14:textFill>
                  <w14:solidFill>
                    <w14:schemeClr w14:val="tx1"/>
                  </w14:solidFill>
                </w14:textFill>
              </w:rPr>
              <w:t>到南北方向</w:t>
            </w:r>
            <w:r>
              <w:rPr>
                <w:rFonts w:hint="eastAsia" w:cstheme="minorBidi"/>
                <w:b w:val="0"/>
                <w:color w:val="000000" w:themeColor="text1"/>
                <w:spacing w:val="10"/>
                <w14:textFill>
                  <w14:solidFill>
                    <w14:schemeClr w14:val="tx1"/>
                  </w14:solidFill>
                </w14:textFill>
              </w:rPr>
              <w:t>，</w:t>
            </w:r>
            <w:r>
              <w:rPr>
                <w:rFonts w:hint="eastAsia" w:cstheme="minorBidi"/>
                <w:b w:val="0"/>
                <w:color w:val="000000" w:themeColor="text1"/>
                <w:spacing w:val="9"/>
                <w14:textFill>
                  <w14:solidFill>
                    <w14:schemeClr w14:val="tx1"/>
                  </w14:solidFill>
                </w14:textFill>
              </w:rPr>
              <w:t>加测东西方</w:t>
            </w:r>
            <w:r>
              <w:rPr>
                <w:rFonts w:hint="eastAsia" w:cstheme="minorBidi"/>
                <w:b w:val="0"/>
                <w:color w:val="000000" w:themeColor="text1"/>
                <w14:textFill>
                  <w14:solidFill>
                    <w14:schemeClr w14:val="tx1"/>
                  </w14:solidFill>
                </w14:textFill>
              </w:rPr>
              <w:t>向</w:t>
            </w:r>
          </w:p>
          <w:p w14:paraId="559A91B0">
            <w:pPr>
              <w:pStyle w:val="50"/>
              <w:adjustRightInd w:val="0"/>
              <w:snapToGrid w:val="0"/>
              <w:rPr>
                <w:rFonts w:cstheme="minorBidi"/>
                <w:b w:val="0"/>
                <w:color w:val="000000" w:themeColor="text1"/>
                <w14:textFill>
                  <w14:solidFill>
                    <w14:schemeClr w14:val="tx1"/>
                  </w14:solidFill>
                </w14:textFill>
              </w:rPr>
            </w:pPr>
            <w:r>
              <w:rPr>
                <w:rFonts w:hint="eastAsia" w:cstheme="minorBidi"/>
                <w:b w:val="0"/>
                <w:color w:val="000000" w:themeColor="text1"/>
                <w:spacing w:val="7"/>
                <w14:textFill>
                  <w14:solidFill>
                    <w14:schemeClr w14:val="tx1"/>
                  </w14:solidFill>
                </w14:textFill>
              </w:rPr>
              <w:t>塔身垂</w:t>
            </w:r>
            <w:r>
              <w:rPr>
                <w:rFonts w:hint="eastAsia" w:cstheme="minorBidi"/>
                <w:b w:val="0"/>
                <w:color w:val="000000" w:themeColor="text1"/>
                <w:spacing w:val="6"/>
                <w14:textFill>
                  <w14:solidFill>
                    <w14:schemeClr w14:val="tx1"/>
                  </w14:solidFill>
                </w14:textFill>
              </w:rPr>
              <w:t>直度</w:t>
            </w:r>
            <w:r>
              <w:rPr>
                <w:rFonts w:hint="eastAsia" w:cstheme="minorBidi"/>
                <w:b w:val="0"/>
                <w:color w:val="000000" w:themeColor="text1"/>
                <w14:textFill>
                  <w14:solidFill>
                    <w14:schemeClr w14:val="tx1"/>
                  </w14:solidFill>
                </w14:textFill>
              </w:rPr>
              <w:t>。</w:t>
            </w:r>
          </w:p>
        </w:tc>
        <w:tc>
          <w:tcPr>
            <w:tcW w:w="1248" w:type="pct"/>
            <w:gridSpan w:val="3"/>
            <w:shd w:val="clear" w:color="auto" w:fill="FFFFFF"/>
            <w:vAlign w:val="center"/>
          </w:tcPr>
          <w:p w14:paraId="4F19064B">
            <w:pPr>
              <w:pStyle w:val="50"/>
              <w:adjustRightInd w:val="0"/>
              <w:snapToGrid w:val="0"/>
              <w:rPr>
                <w:rFonts w:cstheme="minorBidi"/>
                <w:b w:val="0"/>
                <w:color w:val="000000" w:themeColor="text1"/>
                <w14:textFill>
                  <w14:solidFill>
                    <w14:schemeClr w14:val="tx1"/>
                  </w14:solidFill>
                </w14:textFill>
              </w:rPr>
            </w:pPr>
            <w:r>
              <w:rPr>
                <w:rFonts w:hint="eastAsia" w:cstheme="minorBidi"/>
                <w:b w:val="0"/>
                <w:color w:val="000000" w:themeColor="text1"/>
                <w:spacing w:val="9"/>
                <w14:textFill>
                  <w14:solidFill>
                    <w14:schemeClr w14:val="tx1"/>
                  </w14:solidFill>
                </w14:textFill>
              </w:rPr>
              <w:t>首次安装或</w:t>
            </w:r>
            <w:r>
              <w:rPr>
                <w:rFonts w:hint="eastAsia" w:cstheme="minorBidi"/>
                <w:b w:val="0"/>
                <w:color w:val="000000" w:themeColor="text1"/>
                <w14:textFill>
                  <w14:solidFill>
                    <w14:schemeClr w14:val="tx1"/>
                  </w14:solidFill>
                </w14:textFill>
              </w:rPr>
              <w:t>每次加节 后</w:t>
            </w:r>
          </w:p>
        </w:tc>
      </w:tr>
      <w:tr w14:paraId="776CC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shd w:val="clear" w:color="auto" w:fill="FFFFFF"/>
            <w:vAlign w:val="center"/>
          </w:tcPr>
          <w:p w14:paraId="4EBDD2F4">
            <w:pPr>
              <w:pStyle w:val="50"/>
              <w:adjustRightInd w:val="0"/>
              <w:snapToGrid w:val="0"/>
              <w:rPr>
                <w:rFonts w:cstheme="minorBidi"/>
                <w:b w:val="0"/>
              </w:rPr>
            </w:pPr>
            <w:r>
              <w:rPr>
                <w:rFonts w:hint="eastAsia" w:cstheme="minorBidi"/>
                <w:b w:val="0"/>
                <w:spacing w:val="4"/>
              </w:rPr>
              <w:t>风速</w:t>
            </w:r>
          </w:p>
        </w:tc>
        <w:tc>
          <w:tcPr>
            <w:tcW w:w="1251" w:type="pct"/>
            <w:gridSpan w:val="2"/>
            <w:shd w:val="clear" w:color="auto" w:fill="FFFFFF"/>
            <w:vAlign w:val="center"/>
          </w:tcPr>
          <w:p w14:paraId="03DCF93C">
            <w:pPr>
              <w:pStyle w:val="50"/>
              <w:adjustRightInd w:val="0"/>
              <w:snapToGrid w:val="0"/>
              <w:rPr>
                <w:rFonts w:cstheme="minorBidi"/>
                <w:b w:val="0"/>
              </w:rPr>
            </w:pPr>
            <w:r>
              <w:rPr>
                <w:rFonts w:hint="eastAsia" w:cstheme="minorBidi"/>
                <w:b w:val="0"/>
                <w:spacing w:val="9"/>
              </w:rPr>
              <w:t>6 级风以上不准起吊</w:t>
            </w:r>
          </w:p>
        </w:tc>
        <w:tc>
          <w:tcPr>
            <w:tcW w:w="1565" w:type="pct"/>
            <w:gridSpan w:val="4"/>
            <w:shd w:val="clear" w:color="auto" w:fill="FFFFFF"/>
            <w:vAlign w:val="center"/>
          </w:tcPr>
          <w:p w14:paraId="698E942C">
            <w:pPr>
              <w:pStyle w:val="50"/>
              <w:adjustRightInd w:val="0"/>
              <w:snapToGrid w:val="0"/>
              <w:rPr>
                <w:rFonts w:cstheme="minorBidi"/>
                <w:b w:val="0"/>
                <w:color w:val="000000" w:themeColor="text1"/>
                <w14:textFill>
                  <w14:solidFill>
                    <w14:schemeClr w14:val="tx1"/>
                  </w14:solidFill>
                </w14:textFill>
              </w:rPr>
            </w:pPr>
            <w:r>
              <w:rPr>
                <w:rFonts w:hint="eastAsia" w:cstheme="minorBidi"/>
                <w:b w:val="0"/>
                <w:color w:val="000000" w:themeColor="text1"/>
                <w:spacing w:val="9"/>
                <w14:textFill>
                  <w14:solidFill>
                    <w14:schemeClr w14:val="tx1"/>
                  </w14:solidFill>
                </w14:textFill>
              </w:rPr>
              <w:t>使用风速仪监控塔吊顶部风</w:t>
            </w:r>
            <w:r>
              <w:rPr>
                <w:rFonts w:hint="eastAsia" w:cstheme="minorBidi"/>
                <w:b w:val="0"/>
                <w:color w:val="000000" w:themeColor="text1"/>
                <w14:textFill>
                  <w14:solidFill>
                    <w14:schemeClr w14:val="tx1"/>
                  </w14:solidFill>
                </w14:textFill>
              </w:rPr>
              <w:t xml:space="preserve"> 速</w:t>
            </w:r>
            <w:r>
              <w:rPr>
                <w:rFonts w:hint="eastAsia" w:cstheme="minorBidi"/>
                <w:b w:val="0"/>
                <w:color w:val="000000" w:themeColor="text1"/>
                <w:spacing w:val="-94"/>
                <w14:textFill>
                  <w14:solidFill>
                    <w14:schemeClr w14:val="tx1"/>
                  </w14:solidFill>
                </w14:textFill>
              </w:rPr>
              <w:t>，</w:t>
            </w:r>
            <w:r>
              <w:rPr>
                <w:rFonts w:hint="eastAsia" w:cstheme="minorBidi"/>
                <w:b w:val="0"/>
                <w:color w:val="000000" w:themeColor="text1"/>
                <w14:textFill>
                  <w14:solidFill>
                    <w14:schemeClr w14:val="tx1"/>
                  </w14:solidFill>
                </w14:textFill>
              </w:rPr>
              <w:t>6</w:t>
            </w:r>
            <w:r>
              <w:rPr>
                <w:rFonts w:hint="eastAsia" w:cstheme="minorBidi"/>
                <w:b w:val="0"/>
                <w:color w:val="000000" w:themeColor="text1"/>
                <w:spacing w:val="-1"/>
                <w14:textFill>
                  <w14:solidFill>
                    <w14:schemeClr w14:val="tx1"/>
                  </w14:solidFill>
                </w14:textFill>
              </w:rPr>
              <w:t xml:space="preserve"> </w:t>
            </w:r>
            <w:r>
              <w:rPr>
                <w:rFonts w:hint="eastAsia" w:cstheme="minorBidi"/>
                <w:b w:val="0"/>
                <w:color w:val="000000" w:themeColor="text1"/>
                <w14:textFill>
                  <w14:solidFill>
                    <w14:schemeClr w14:val="tx1"/>
                  </w14:solidFill>
                </w14:textFill>
              </w:rPr>
              <w:t>级风以上不准吊重</w:t>
            </w:r>
            <w:r>
              <w:rPr>
                <w:rFonts w:hint="eastAsia" w:cstheme="minorBidi"/>
                <w:b w:val="0"/>
                <w:color w:val="000000" w:themeColor="text1"/>
                <w:spacing w:val="-94"/>
                <w14:textFill>
                  <w14:solidFill>
                    <w14:schemeClr w14:val="tx1"/>
                  </w14:solidFill>
                </w14:textFill>
              </w:rPr>
              <w:t>。</w:t>
            </w:r>
            <w:r>
              <w:rPr>
                <w:rFonts w:hint="eastAsia" w:cstheme="minorBidi"/>
                <w:b w:val="0"/>
                <w:color w:val="000000" w:themeColor="text1"/>
                <w14:textFill>
                  <w14:solidFill>
                    <w14:schemeClr w14:val="tx1"/>
                  </w14:solidFill>
                </w14:textFill>
              </w:rPr>
              <w:t>（塔吊自带</w:t>
            </w:r>
            <w:r>
              <w:rPr>
                <w:rFonts w:hint="eastAsia" w:cstheme="minorBidi"/>
                <w:b w:val="0"/>
                <w:color w:val="000000" w:themeColor="text1"/>
                <w:spacing w:val="-5"/>
                <w14:textFill>
                  <w14:solidFill>
                    <w14:schemeClr w14:val="tx1"/>
                  </w14:solidFill>
                </w14:textFill>
              </w:rPr>
              <w:t>）</w:t>
            </w:r>
          </w:p>
        </w:tc>
        <w:tc>
          <w:tcPr>
            <w:tcW w:w="1248" w:type="pct"/>
            <w:gridSpan w:val="3"/>
            <w:shd w:val="clear" w:color="auto" w:fill="FFFFFF"/>
            <w:vAlign w:val="center"/>
          </w:tcPr>
          <w:p w14:paraId="6957B031">
            <w:pPr>
              <w:pStyle w:val="50"/>
              <w:adjustRightInd w:val="0"/>
              <w:snapToGrid w:val="0"/>
              <w:rPr>
                <w:rFonts w:cstheme="minorBidi"/>
                <w:b w:val="0"/>
                <w:color w:val="000000" w:themeColor="text1"/>
                <w14:textFill>
                  <w14:solidFill>
                    <w14:schemeClr w14:val="tx1"/>
                  </w14:solidFill>
                </w14:textFill>
              </w:rPr>
            </w:pPr>
            <w:r>
              <w:rPr>
                <w:rFonts w:hint="eastAsia" w:cstheme="minorBidi"/>
                <w:b w:val="0"/>
                <w:color w:val="000000" w:themeColor="text1"/>
                <w:spacing w:val="5"/>
                <w14:textFill>
                  <w14:solidFill>
                    <w14:schemeClr w14:val="tx1"/>
                  </w14:solidFill>
                </w14:textFill>
              </w:rPr>
              <w:t>每</w:t>
            </w:r>
            <w:r>
              <w:rPr>
                <w:rFonts w:hint="eastAsia" w:cstheme="minorBidi"/>
                <w:b w:val="0"/>
                <w:color w:val="000000" w:themeColor="text1"/>
                <w:spacing w:val="4"/>
                <w14:textFill>
                  <w14:solidFill>
                    <w14:schemeClr w14:val="tx1"/>
                  </w14:solidFill>
                </w14:textFill>
              </w:rPr>
              <w:t>天</w:t>
            </w:r>
          </w:p>
        </w:tc>
      </w:tr>
      <w:tr w14:paraId="03A8A3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11" w:type="pct"/>
          <w:trHeight w:val="23" w:hRule="atLeast"/>
          <w:jc w:val="center"/>
        </w:trPr>
        <w:tc>
          <w:tcPr>
            <w:tcW w:w="923" w:type="pct"/>
            <w:gridSpan w:val="2"/>
            <w:shd w:val="clear" w:color="auto" w:fill="FFFFFF"/>
            <w:vAlign w:val="center"/>
          </w:tcPr>
          <w:p w14:paraId="5CFD0712">
            <w:pPr>
              <w:pStyle w:val="50"/>
              <w:adjustRightInd w:val="0"/>
              <w:snapToGrid w:val="0"/>
              <w:rPr>
                <w:rFonts w:cstheme="minorBidi"/>
                <w:b w:val="0"/>
              </w:rPr>
            </w:pPr>
            <w:r>
              <w:rPr>
                <w:rFonts w:hint="eastAsia" w:cstheme="minorBidi"/>
                <w:b w:val="0"/>
              </w:rPr>
              <w:t>安全保</w:t>
            </w:r>
            <w:r>
              <w:rPr>
                <w:rFonts w:hint="eastAsia" w:cstheme="minorBidi"/>
                <w:b w:val="0"/>
                <w:spacing w:val="7"/>
              </w:rPr>
              <w:t>护装置</w:t>
            </w:r>
          </w:p>
        </w:tc>
        <w:tc>
          <w:tcPr>
            <w:tcW w:w="1251" w:type="pct"/>
            <w:gridSpan w:val="2"/>
            <w:shd w:val="clear" w:color="auto" w:fill="FFFFFF"/>
            <w:vAlign w:val="center"/>
          </w:tcPr>
          <w:p w14:paraId="30C8D2A2">
            <w:pPr>
              <w:pStyle w:val="50"/>
              <w:adjustRightInd w:val="0"/>
              <w:snapToGrid w:val="0"/>
              <w:rPr>
                <w:rFonts w:cstheme="minorBidi"/>
                <w:b w:val="0"/>
              </w:rPr>
            </w:pPr>
            <w:r>
              <w:rPr>
                <w:rFonts w:hint="eastAsia" w:cstheme="minorBidi"/>
                <w:b w:val="0"/>
                <w:spacing w:val="9"/>
              </w:rPr>
              <w:t>1.高度限位，吊钩距起重臂 2m 跳闸； 2.重量与力矩限制：根据性能参数试吊；</w:t>
            </w:r>
          </w:p>
        </w:tc>
        <w:tc>
          <w:tcPr>
            <w:tcW w:w="1565" w:type="pct"/>
            <w:gridSpan w:val="4"/>
            <w:shd w:val="clear" w:color="auto" w:fill="FFFFFF"/>
            <w:vAlign w:val="center"/>
          </w:tcPr>
          <w:p w14:paraId="5E282D83">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9"/>
                <w14:textFill>
                  <w14:solidFill>
                    <w14:schemeClr w14:val="tx1"/>
                  </w14:solidFill>
                </w14:textFill>
              </w:rPr>
              <w:t>1.塔机吊钩到达距离起重臂2m 位置时跳闸。（塔机自带） 2.超重、超力矩塔机不能起</w:t>
            </w:r>
          </w:p>
          <w:p w14:paraId="586391A6">
            <w:pPr>
              <w:pStyle w:val="50"/>
              <w:adjustRightInd w:val="0"/>
              <w:snapToGrid w:val="0"/>
              <w:rPr>
                <w:rFonts w:cstheme="minorBidi"/>
                <w:b w:val="0"/>
                <w:color w:val="000000" w:themeColor="text1"/>
                <w14:textFill>
                  <w14:solidFill>
                    <w14:schemeClr w14:val="tx1"/>
                  </w14:solidFill>
                </w14:textFill>
              </w:rPr>
            </w:pPr>
            <w:r>
              <w:rPr>
                <w:rFonts w:hint="eastAsia" w:cstheme="minorBidi"/>
                <w:b w:val="0"/>
                <w:color w:val="000000" w:themeColor="text1"/>
                <w:spacing w:val="9"/>
                <w14:textFill>
                  <w14:solidFill>
                    <w14:schemeClr w14:val="tx1"/>
                  </w14:solidFill>
                </w14:textFill>
              </w:rPr>
              <w:t>吊（塔机自带）</w:t>
            </w:r>
          </w:p>
        </w:tc>
        <w:tc>
          <w:tcPr>
            <w:tcW w:w="1248" w:type="pct"/>
            <w:gridSpan w:val="3"/>
            <w:shd w:val="clear" w:color="auto" w:fill="FFFFFF"/>
            <w:vAlign w:val="center"/>
          </w:tcPr>
          <w:p w14:paraId="21B440B2">
            <w:pPr>
              <w:pStyle w:val="50"/>
              <w:adjustRightInd w:val="0"/>
              <w:snapToGrid w:val="0"/>
              <w:rPr>
                <w:rFonts w:cstheme="minorBidi"/>
                <w:b w:val="0"/>
                <w:color w:val="000000" w:themeColor="text1"/>
                <w14:textFill>
                  <w14:solidFill>
                    <w14:schemeClr w14:val="tx1"/>
                  </w14:solidFill>
                </w14:textFill>
              </w:rPr>
            </w:pPr>
            <w:r>
              <w:rPr>
                <w:rFonts w:hint="eastAsia" w:cstheme="minorBidi"/>
                <w:b w:val="0"/>
                <w:color w:val="000000" w:themeColor="text1"/>
                <w:spacing w:val="5"/>
                <w14:textFill>
                  <w14:solidFill>
                    <w14:schemeClr w14:val="tx1"/>
                  </w14:solidFill>
                </w14:textFill>
              </w:rPr>
              <w:t>每</w:t>
            </w:r>
            <w:r>
              <w:rPr>
                <w:rFonts w:hint="eastAsia" w:cstheme="minorBidi"/>
                <w:b w:val="0"/>
                <w:color w:val="000000" w:themeColor="text1"/>
                <w:spacing w:val="4"/>
                <w14:textFill>
                  <w14:solidFill>
                    <w14:schemeClr w14:val="tx1"/>
                  </w14:solidFill>
                </w14:textFill>
              </w:rPr>
              <w:t>月</w:t>
            </w:r>
          </w:p>
        </w:tc>
      </w:tr>
      <w:tr w14:paraId="198684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3" w:type="pct"/>
            <w:gridSpan w:val="2"/>
            <w:shd w:val="clear" w:color="auto" w:fill="FFFFFF"/>
            <w:vAlign w:val="center"/>
          </w:tcPr>
          <w:p w14:paraId="3E055637">
            <w:pPr>
              <w:pStyle w:val="50"/>
              <w:adjustRightInd w:val="0"/>
              <w:snapToGrid w:val="0"/>
              <w:rPr>
                <w:rFonts w:cstheme="minorBidi"/>
                <w:b w:val="0"/>
              </w:rPr>
            </w:pPr>
            <w:r>
              <w:rPr>
                <w:rFonts w:hint="eastAsia" w:cstheme="minorBidi"/>
                <w:b w:val="0"/>
                <w:spacing w:val="4"/>
              </w:rPr>
              <w:t>防雷装置</w:t>
            </w:r>
          </w:p>
        </w:tc>
        <w:tc>
          <w:tcPr>
            <w:tcW w:w="1263" w:type="pct"/>
            <w:gridSpan w:val="3"/>
            <w:shd w:val="clear" w:color="auto" w:fill="FFFFFF"/>
            <w:vAlign w:val="center"/>
          </w:tcPr>
          <w:p w14:paraId="45774418">
            <w:pPr>
              <w:pStyle w:val="50"/>
              <w:adjustRightInd w:val="0"/>
              <w:snapToGrid w:val="0"/>
              <w:rPr>
                <w:rFonts w:cstheme="minorBidi"/>
                <w:b w:val="0"/>
                <w:color w:val="000000" w:themeColor="text1"/>
                <w:spacing w:val="5"/>
                <w14:textFill>
                  <w14:solidFill>
                    <w14:schemeClr w14:val="tx1"/>
                  </w14:solidFill>
                </w14:textFill>
              </w:rPr>
            </w:pPr>
            <w:r>
              <w:rPr>
                <w:rFonts w:hint="eastAsia" w:cstheme="minorBidi"/>
                <w:b w:val="0"/>
                <w:color w:val="000000" w:themeColor="text1"/>
                <w:spacing w:val="5"/>
                <w14:textFill>
                  <w14:solidFill>
                    <w14:schemeClr w14:val="tx1"/>
                  </w14:solidFill>
                </w14:textFill>
              </w:rPr>
              <w:t>塔机避雷线与建筑物</w:t>
            </w:r>
          </w:p>
          <w:p w14:paraId="2A1ACF17">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5"/>
                <w14:textFill>
                  <w14:solidFill>
                    <w14:schemeClr w14:val="tx1"/>
                  </w14:solidFill>
                </w14:textFill>
              </w:rPr>
              <w:t>接地相连</w:t>
            </w:r>
          </w:p>
        </w:tc>
        <w:tc>
          <w:tcPr>
            <w:tcW w:w="1565" w:type="pct"/>
            <w:gridSpan w:val="4"/>
            <w:shd w:val="clear" w:color="auto" w:fill="FFFFFF"/>
            <w:vAlign w:val="center"/>
          </w:tcPr>
          <w:p w14:paraId="476D7E7C">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9"/>
                <w14:textFill>
                  <w14:solidFill>
                    <w14:schemeClr w14:val="tx1"/>
                  </w14:solidFill>
                </w14:textFill>
              </w:rPr>
              <w:t>检测避雷电阻，要求电阻在 1Ω之内</w:t>
            </w:r>
          </w:p>
        </w:tc>
        <w:tc>
          <w:tcPr>
            <w:tcW w:w="1248" w:type="pct"/>
            <w:gridSpan w:val="3"/>
            <w:shd w:val="clear" w:color="auto" w:fill="FFFFFF"/>
            <w:vAlign w:val="center"/>
          </w:tcPr>
          <w:p w14:paraId="095F901A">
            <w:pPr>
              <w:pStyle w:val="50"/>
              <w:adjustRightInd w:val="0"/>
              <w:snapToGrid w:val="0"/>
              <w:rPr>
                <w:rFonts w:cstheme="minorBidi"/>
                <w:b w:val="0"/>
              </w:rPr>
            </w:pPr>
            <w:r>
              <w:rPr>
                <w:rFonts w:hint="eastAsia" w:cstheme="minorBidi"/>
                <w:b w:val="0"/>
              </w:rPr>
              <w:t>每次爬升后</w:t>
            </w:r>
          </w:p>
        </w:tc>
      </w:tr>
      <w:tr w14:paraId="654EB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3" w:type="pct"/>
            <w:gridSpan w:val="2"/>
            <w:shd w:val="clear" w:color="auto" w:fill="FFFFFF"/>
            <w:vAlign w:val="center"/>
          </w:tcPr>
          <w:p w14:paraId="3EDA6A24">
            <w:pPr>
              <w:pStyle w:val="50"/>
              <w:adjustRightInd w:val="0"/>
              <w:snapToGrid w:val="0"/>
              <w:rPr>
                <w:rFonts w:cstheme="minorBidi"/>
                <w:b w:val="0"/>
              </w:rPr>
            </w:pPr>
            <w:r>
              <w:rPr>
                <w:rFonts w:hint="eastAsia" w:cstheme="minorBidi"/>
                <w:b w:val="0"/>
              </w:rPr>
              <w:t>钢</w:t>
            </w:r>
            <w:r>
              <w:rPr>
                <w:rFonts w:hint="eastAsia" w:cstheme="minorBidi"/>
                <w:b w:val="0"/>
                <w:spacing w:val="7"/>
              </w:rPr>
              <w:t>丝绳</w:t>
            </w:r>
          </w:p>
        </w:tc>
        <w:tc>
          <w:tcPr>
            <w:tcW w:w="1263" w:type="pct"/>
            <w:gridSpan w:val="3"/>
            <w:shd w:val="clear" w:color="auto" w:fill="FFFFFF"/>
            <w:vAlign w:val="center"/>
          </w:tcPr>
          <w:p w14:paraId="76C6D594">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9"/>
                <w14:textFill>
                  <w14:solidFill>
                    <w14:schemeClr w14:val="tx1"/>
                  </w14:solidFill>
                </w14:textFill>
              </w:rPr>
              <w:t>按钢丝绳标准</w:t>
            </w:r>
          </w:p>
          <w:p w14:paraId="01E0B694">
            <w:pPr>
              <w:pStyle w:val="50"/>
              <w:adjustRightInd w:val="0"/>
              <w:snapToGrid w:val="0"/>
              <w:rPr>
                <w:rFonts w:cstheme="minorBidi"/>
                <w:b w:val="0"/>
                <w:color w:val="000000" w:themeColor="text1"/>
                <w14:textFill>
                  <w14:solidFill>
                    <w14:schemeClr w14:val="tx1"/>
                  </w14:solidFill>
                </w14:textFill>
              </w:rPr>
            </w:pPr>
            <w:r>
              <w:rPr>
                <w:rFonts w:hint="eastAsia" w:cstheme="minorBidi"/>
                <w:b w:val="0"/>
                <w:color w:val="000000" w:themeColor="text1"/>
                <w:spacing w:val="9"/>
                <w14:textFill>
                  <w14:solidFill>
                    <w14:schemeClr w14:val="tx1"/>
                  </w14:solidFill>
                </w14:textFill>
              </w:rPr>
              <w:t>GB8918-2006</w:t>
            </w:r>
          </w:p>
        </w:tc>
        <w:tc>
          <w:tcPr>
            <w:tcW w:w="1565" w:type="pct"/>
            <w:gridSpan w:val="4"/>
            <w:shd w:val="clear" w:color="auto" w:fill="FFFFFF"/>
            <w:vAlign w:val="center"/>
          </w:tcPr>
          <w:p w14:paraId="3329DB7C">
            <w:pPr>
              <w:pStyle w:val="50"/>
              <w:adjustRightInd w:val="0"/>
              <w:snapToGrid w:val="0"/>
              <w:rPr>
                <w:rFonts w:cstheme="minorBidi"/>
                <w:b w:val="0"/>
                <w:color w:val="000000" w:themeColor="text1"/>
                <w14:textFill>
                  <w14:solidFill>
                    <w14:schemeClr w14:val="tx1"/>
                  </w14:solidFill>
                </w14:textFill>
              </w:rPr>
            </w:pPr>
            <w:r>
              <w:rPr>
                <w:rFonts w:hint="eastAsia" w:cstheme="minorBidi"/>
                <w:b w:val="0"/>
                <w:color w:val="000000" w:themeColor="text1"/>
                <w:spacing w:val="3"/>
                <w14:textFill>
                  <w14:solidFill>
                    <w14:schemeClr w14:val="tx1"/>
                  </w14:solidFill>
                </w14:textFill>
              </w:rPr>
              <w:t>肉</w:t>
            </w:r>
            <w:r>
              <w:rPr>
                <w:rFonts w:hint="eastAsia" w:cstheme="minorBidi"/>
                <w:b w:val="0"/>
                <w:color w:val="000000" w:themeColor="text1"/>
                <w:spacing w:val="2"/>
                <w14:textFill>
                  <w14:solidFill>
                    <w14:schemeClr w14:val="tx1"/>
                  </w14:solidFill>
                </w14:textFill>
              </w:rPr>
              <w:t>眼观察</w:t>
            </w:r>
          </w:p>
        </w:tc>
        <w:tc>
          <w:tcPr>
            <w:tcW w:w="1248" w:type="pct"/>
            <w:gridSpan w:val="3"/>
            <w:shd w:val="clear" w:color="auto" w:fill="FFFFFF"/>
            <w:vAlign w:val="center"/>
          </w:tcPr>
          <w:p w14:paraId="61FF2899">
            <w:pPr>
              <w:pStyle w:val="50"/>
              <w:adjustRightInd w:val="0"/>
              <w:snapToGrid w:val="0"/>
              <w:rPr>
                <w:rFonts w:cstheme="minorBidi"/>
                <w:b w:val="0"/>
              </w:rPr>
            </w:pPr>
            <w:r>
              <w:rPr>
                <w:rFonts w:hint="eastAsia" w:cstheme="minorBidi"/>
                <w:b w:val="0"/>
                <w:spacing w:val="5"/>
              </w:rPr>
              <w:t>每</w:t>
            </w:r>
            <w:r>
              <w:rPr>
                <w:rFonts w:hint="eastAsia" w:cstheme="minorBidi"/>
                <w:b w:val="0"/>
                <w:spacing w:val="4"/>
              </w:rPr>
              <w:t>天</w:t>
            </w:r>
          </w:p>
        </w:tc>
      </w:tr>
      <w:tr w14:paraId="5B6B40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3" w:type="pct"/>
            <w:gridSpan w:val="2"/>
            <w:shd w:val="clear" w:color="auto" w:fill="FFFFFF"/>
            <w:vAlign w:val="center"/>
          </w:tcPr>
          <w:p w14:paraId="374CB1BD">
            <w:pPr>
              <w:pStyle w:val="50"/>
              <w:adjustRightInd w:val="0"/>
              <w:snapToGrid w:val="0"/>
              <w:rPr>
                <w:rFonts w:cstheme="minorBidi"/>
                <w:b w:val="0"/>
              </w:rPr>
            </w:pPr>
            <w:r>
              <w:rPr>
                <w:rFonts w:hint="eastAsia" w:cstheme="minorBidi"/>
                <w:b w:val="0"/>
                <w:spacing w:val="4"/>
              </w:rPr>
              <w:t>吊装吊点与吊</w:t>
            </w:r>
            <w:r>
              <w:rPr>
                <w:rFonts w:hint="eastAsia" w:cstheme="minorBidi"/>
                <w:b w:val="0"/>
              </w:rPr>
              <w:t xml:space="preserve"> 装用钢丝绳</w:t>
            </w:r>
          </w:p>
        </w:tc>
        <w:tc>
          <w:tcPr>
            <w:tcW w:w="1263" w:type="pct"/>
            <w:gridSpan w:val="3"/>
            <w:shd w:val="clear" w:color="auto" w:fill="FFFFFF"/>
            <w:vAlign w:val="center"/>
          </w:tcPr>
          <w:p w14:paraId="3203D925">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9"/>
                <w14:textFill>
                  <w14:solidFill>
                    <w14:schemeClr w14:val="tx1"/>
                  </w14:solidFill>
                </w14:textFill>
              </w:rPr>
              <w:t>要求构件吊点选择合 理，吊装钢丝绳满足使</w:t>
            </w:r>
          </w:p>
          <w:p w14:paraId="05B4477F">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9"/>
                <w14:textFill>
                  <w14:solidFill>
                    <w14:schemeClr w14:val="tx1"/>
                  </w14:solidFill>
                </w14:textFill>
              </w:rPr>
              <w:t>用要求。</w:t>
            </w:r>
          </w:p>
        </w:tc>
        <w:tc>
          <w:tcPr>
            <w:tcW w:w="1565" w:type="pct"/>
            <w:gridSpan w:val="4"/>
            <w:shd w:val="clear" w:color="auto" w:fill="FFFFFF"/>
            <w:vAlign w:val="center"/>
          </w:tcPr>
          <w:p w14:paraId="1D881F3A">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9"/>
                <w14:textFill>
                  <w14:solidFill>
                    <w14:schemeClr w14:val="tx1"/>
                  </w14:solidFill>
                </w14:textFill>
              </w:rPr>
              <w:t>专人绑扎构件，吊装钢丝绳 安全系数取 8 倍以上。</w:t>
            </w:r>
          </w:p>
        </w:tc>
        <w:tc>
          <w:tcPr>
            <w:tcW w:w="1248" w:type="pct"/>
            <w:gridSpan w:val="3"/>
            <w:shd w:val="clear" w:color="auto" w:fill="FFFFFF"/>
            <w:vAlign w:val="center"/>
          </w:tcPr>
          <w:p w14:paraId="6C911550">
            <w:pPr>
              <w:pStyle w:val="50"/>
              <w:adjustRightInd w:val="0"/>
              <w:snapToGrid w:val="0"/>
              <w:rPr>
                <w:rFonts w:cstheme="minorBidi"/>
                <w:b w:val="0"/>
                <w:spacing w:val="9"/>
              </w:rPr>
            </w:pPr>
            <w:r>
              <w:rPr>
                <w:rFonts w:hint="eastAsia" w:cstheme="minorBidi"/>
                <w:b w:val="0"/>
                <w:spacing w:val="9"/>
              </w:rPr>
              <w:t>每天</w:t>
            </w:r>
          </w:p>
        </w:tc>
      </w:tr>
      <w:tr w14:paraId="63447C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3" w:type="pct"/>
            <w:gridSpan w:val="2"/>
            <w:shd w:val="clear" w:color="auto" w:fill="FFFFFF"/>
            <w:vAlign w:val="center"/>
          </w:tcPr>
          <w:p w14:paraId="7163F172">
            <w:pPr>
              <w:pStyle w:val="50"/>
              <w:adjustRightInd w:val="0"/>
              <w:snapToGrid w:val="0"/>
              <w:rPr>
                <w:rFonts w:hint="eastAsia" w:eastAsia="宋体" w:cstheme="minorBidi"/>
                <w:b w:val="0"/>
                <w:lang w:eastAsia="zh-CN"/>
              </w:rPr>
            </w:pPr>
            <w:r>
              <w:rPr>
                <w:rFonts w:hint="eastAsia" w:cstheme="minorBidi"/>
                <w:b w:val="0"/>
                <w:spacing w:val="-1"/>
                <w:lang w:val="en-US" w:eastAsia="zh-CN"/>
              </w:rPr>
              <w:t>135</w:t>
            </w:r>
            <w:r>
              <w:rPr>
                <w:rFonts w:hint="eastAsia" w:cstheme="minorBidi"/>
                <w:b w:val="0"/>
                <w:spacing w:val="-1"/>
              </w:rPr>
              <w:t>t</w:t>
            </w:r>
            <w:r>
              <w:rPr>
                <w:rFonts w:hint="eastAsia" w:cstheme="minorBidi"/>
                <w:b w:val="0"/>
                <w:spacing w:val="-13"/>
              </w:rPr>
              <w:t xml:space="preserve"> </w:t>
            </w:r>
            <w:r>
              <w:rPr>
                <w:rFonts w:hint="eastAsia" w:cstheme="minorBidi"/>
                <w:b w:val="0"/>
                <w:spacing w:val="-1"/>
                <w:lang w:eastAsia="zh-CN"/>
              </w:rPr>
              <w:t>汽车吊</w:t>
            </w:r>
          </w:p>
        </w:tc>
        <w:tc>
          <w:tcPr>
            <w:tcW w:w="1263" w:type="pct"/>
            <w:gridSpan w:val="3"/>
            <w:shd w:val="clear" w:color="auto" w:fill="FFFFFF"/>
            <w:vAlign w:val="center"/>
          </w:tcPr>
          <w:p w14:paraId="79C4D1F6">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9"/>
                <w14:textFill>
                  <w14:solidFill>
                    <w14:schemeClr w14:val="tx1"/>
                  </w14:solidFill>
                </w14:textFill>
              </w:rPr>
              <w:t>严禁超力矩</w:t>
            </w:r>
          </w:p>
        </w:tc>
        <w:tc>
          <w:tcPr>
            <w:tcW w:w="1565" w:type="pct"/>
            <w:gridSpan w:val="4"/>
            <w:shd w:val="clear" w:color="auto" w:fill="FFFFFF"/>
            <w:vAlign w:val="center"/>
          </w:tcPr>
          <w:p w14:paraId="4DD47733">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9"/>
                <w14:textFill>
                  <w14:solidFill>
                    <w14:schemeClr w14:val="tx1"/>
                  </w14:solidFill>
                </w14:textFill>
              </w:rPr>
              <w:t>肉眼观察</w:t>
            </w:r>
          </w:p>
        </w:tc>
        <w:tc>
          <w:tcPr>
            <w:tcW w:w="1248" w:type="pct"/>
            <w:gridSpan w:val="3"/>
            <w:shd w:val="clear" w:color="auto" w:fill="FFFFFF"/>
            <w:vAlign w:val="center"/>
          </w:tcPr>
          <w:p w14:paraId="477FA292">
            <w:pPr>
              <w:pStyle w:val="50"/>
              <w:adjustRightInd w:val="0"/>
              <w:snapToGrid w:val="0"/>
              <w:rPr>
                <w:rFonts w:cstheme="minorBidi"/>
                <w:b w:val="0"/>
                <w:spacing w:val="9"/>
              </w:rPr>
            </w:pPr>
            <w:r>
              <w:rPr>
                <w:rFonts w:hint="eastAsia" w:cstheme="minorBidi"/>
                <w:b w:val="0"/>
                <w:spacing w:val="9"/>
              </w:rPr>
              <w:t>塔机安装时</w:t>
            </w:r>
          </w:p>
        </w:tc>
      </w:tr>
      <w:tr w14:paraId="32443F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3" w:type="pct"/>
            <w:gridSpan w:val="2"/>
            <w:shd w:val="clear" w:color="auto" w:fill="FFFFFF"/>
            <w:vAlign w:val="center"/>
          </w:tcPr>
          <w:p w14:paraId="14DCEFBC">
            <w:pPr>
              <w:pStyle w:val="50"/>
              <w:adjustRightInd w:val="0"/>
              <w:snapToGrid w:val="0"/>
              <w:rPr>
                <w:rFonts w:cstheme="minorBidi"/>
                <w:b w:val="0"/>
              </w:rPr>
            </w:pPr>
            <w:r>
              <w:rPr>
                <w:rFonts w:hint="eastAsia" w:cstheme="minorBidi"/>
                <w:b w:val="0"/>
                <w:spacing w:val="7"/>
              </w:rPr>
              <w:t>标</w:t>
            </w:r>
            <w:r>
              <w:rPr>
                <w:rFonts w:hint="eastAsia" w:cstheme="minorBidi"/>
                <w:b w:val="0"/>
                <w:spacing w:val="6"/>
              </w:rPr>
              <w:t>准节</w:t>
            </w:r>
          </w:p>
        </w:tc>
        <w:tc>
          <w:tcPr>
            <w:tcW w:w="1263" w:type="pct"/>
            <w:gridSpan w:val="3"/>
            <w:shd w:val="clear" w:color="auto" w:fill="FFFFFF"/>
            <w:vAlign w:val="center"/>
          </w:tcPr>
          <w:p w14:paraId="4FD02FA0">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9"/>
                <w14:textFill>
                  <w14:solidFill>
                    <w14:schemeClr w14:val="tx1"/>
                  </w14:solidFill>
                </w14:textFill>
              </w:rPr>
              <w:t>标准节主枝，斜撑杆无</w:t>
            </w:r>
          </w:p>
          <w:p w14:paraId="7CA591E6">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9"/>
                <w14:textFill>
                  <w14:solidFill>
                    <w14:schemeClr w14:val="tx1"/>
                  </w14:solidFill>
                </w14:textFill>
              </w:rPr>
              <w:t>裂纹，螺栓连接牢靠</w:t>
            </w:r>
          </w:p>
        </w:tc>
        <w:tc>
          <w:tcPr>
            <w:tcW w:w="1565" w:type="pct"/>
            <w:gridSpan w:val="4"/>
            <w:shd w:val="clear" w:color="auto" w:fill="FFFFFF"/>
            <w:vAlign w:val="center"/>
          </w:tcPr>
          <w:p w14:paraId="6C00A791">
            <w:pPr>
              <w:pStyle w:val="50"/>
              <w:adjustRightInd w:val="0"/>
              <w:snapToGrid w:val="0"/>
              <w:rPr>
                <w:rFonts w:cstheme="minorBidi"/>
                <w:b w:val="0"/>
                <w:color w:val="000000" w:themeColor="text1"/>
                <w:spacing w:val="9"/>
                <w14:textFill>
                  <w14:solidFill>
                    <w14:schemeClr w14:val="tx1"/>
                  </w14:solidFill>
                </w14:textFill>
              </w:rPr>
            </w:pPr>
            <w:r>
              <w:rPr>
                <w:rFonts w:hint="eastAsia" w:cstheme="minorBidi"/>
                <w:b w:val="0"/>
                <w:color w:val="000000" w:themeColor="text1"/>
                <w:spacing w:val="9"/>
                <w14:textFill>
                  <w14:solidFill>
                    <w14:schemeClr w14:val="tx1"/>
                  </w14:solidFill>
                </w14:textFill>
              </w:rPr>
              <w:t>肉眼观察</w:t>
            </w:r>
          </w:p>
        </w:tc>
        <w:tc>
          <w:tcPr>
            <w:tcW w:w="1248" w:type="pct"/>
            <w:gridSpan w:val="3"/>
            <w:shd w:val="clear" w:color="auto" w:fill="FFFFFF"/>
            <w:vAlign w:val="center"/>
          </w:tcPr>
          <w:p w14:paraId="5BFB0400">
            <w:pPr>
              <w:pStyle w:val="50"/>
              <w:adjustRightInd w:val="0"/>
              <w:snapToGrid w:val="0"/>
              <w:rPr>
                <w:rFonts w:cstheme="minorBidi"/>
                <w:b w:val="0"/>
                <w:spacing w:val="9"/>
              </w:rPr>
            </w:pPr>
            <w:r>
              <w:rPr>
                <w:rFonts w:hint="eastAsia" w:cstheme="minorBidi"/>
                <w:b w:val="0"/>
                <w:spacing w:val="9"/>
              </w:rPr>
              <w:t>每天</w:t>
            </w:r>
          </w:p>
        </w:tc>
      </w:tr>
      <w:tr w14:paraId="141040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23" w:type="pct"/>
            <w:gridSpan w:val="2"/>
            <w:shd w:val="clear" w:color="auto" w:fill="FFFFFF"/>
            <w:vAlign w:val="center"/>
          </w:tcPr>
          <w:p w14:paraId="5BAB2448">
            <w:pPr>
              <w:pStyle w:val="50"/>
              <w:adjustRightInd w:val="0"/>
              <w:snapToGrid w:val="0"/>
              <w:rPr>
                <w:rFonts w:cstheme="minorBidi"/>
                <w:b w:val="0"/>
              </w:rPr>
            </w:pPr>
            <w:r>
              <w:rPr>
                <w:rFonts w:hint="eastAsia" w:cstheme="minorBidi"/>
                <w:b w:val="0"/>
              </w:rPr>
              <w:t>塔</w:t>
            </w:r>
            <w:r>
              <w:rPr>
                <w:rFonts w:hint="eastAsia" w:cstheme="minorBidi"/>
                <w:b w:val="0"/>
                <w:spacing w:val="7"/>
              </w:rPr>
              <w:t>吊基础</w:t>
            </w:r>
          </w:p>
        </w:tc>
        <w:tc>
          <w:tcPr>
            <w:tcW w:w="1263" w:type="pct"/>
            <w:gridSpan w:val="3"/>
            <w:shd w:val="clear" w:color="auto" w:fill="FFFFFF"/>
            <w:vAlign w:val="center"/>
          </w:tcPr>
          <w:p w14:paraId="4BB01630">
            <w:pPr>
              <w:pStyle w:val="50"/>
              <w:adjustRightInd w:val="0"/>
              <w:snapToGrid w:val="0"/>
              <w:rPr>
                <w:rFonts w:cstheme="minorBidi"/>
                <w:b w:val="0"/>
                <w:spacing w:val="9"/>
              </w:rPr>
            </w:pPr>
            <w:r>
              <w:rPr>
                <w:rFonts w:hint="eastAsia" w:cstheme="minorBidi"/>
                <w:b w:val="0"/>
                <w:spacing w:val="9"/>
              </w:rPr>
              <w:t>基础无积水，下沉</w:t>
            </w:r>
          </w:p>
        </w:tc>
        <w:tc>
          <w:tcPr>
            <w:tcW w:w="1565" w:type="pct"/>
            <w:gridSpan w:val="4"/>
            <w:shd w:val="clear" w:color="auto" w:fill="FFFFFF"/>
            <w:vAlign w:val="center"/>
          </w:tcPr>
          <w:p w14:paraId="0354CA08">
            <w:pPr>
              <w:pStyle w:val="50"/>
              <w:adjustRightInd w:val="0"/>
              <w:snapToGrid w:val="0"/>
              <w:rPr>
                <w:rFonts w:cstheme="minorBidi"/>
                <w:b w:val="0"/>
                <w:spacing w:val="9"/>
              </w:rPr>
            </w:pPr>
            <w:r>
              <w:rPr>
                <w:rFonts w:hint="eastAsia" w:cstheme="minorBidi"/>
                <w:b w:val="0"/>
                <w:spacing w:val="9"/>
              </w:rPr>
              <w:t>肉眼观察</w:t>
            </w:r>
          </w:p>
        </w:tc>
        <w:tc>
          <w:tcPr>
            <w:tcW w:w="1248" w:type="pct"/>
            <w:gridSpan w:val="3"/>
            <w:shd w:val="clear" w:color="auto" w:fill="FFFFFF"/>
            <w:vAlign w:val="center"/>
          </w:tcPr>
          <w:p w14:paraId="6C89992C">
            <w:pPr>
              <w:pStyle w:val="50"/>
              <w:adjustRightInd w:val="0"/>
              <w:snapToGrid w:val="0"/>
              <w:rPr>
                <w:rFonts w:cstheme="minorBidi"/>
                <w:b w:val="0"/>
                <w:spacing w:val="9"/>
              </w:rPr>
            </w:pPr>
            <w:r>
              <w:rPr>
                <w:rFonts w:hint="eastAsia" w:cstheme="minorBidi"/>
                <w:b w:val="0"/>
                <w:spacing w:val="9"/>
              </w:rPr>
              <w:t>每天</w:t>
            </w:r>
          </w:p>
        </w:tc>
      </w:tr>
    </w:tbl>
    <w:p w14:paraId="102A0146">
      <w:pPr>
        <w:pStyle w:val="4"/>
        <w:bidi w:val="0"/>
        <w:ind w:left="720" w:leftChars="0" w:hanging="720" w:firstLineChars="0"/>
        <w:rPr>
          <w:rFonts w:hint="eastAsia"/>
          <w:b/>
          <w:bCs w:val="0"/>
          <w:lang w:val="en-US" w:eastAsia="zh-CN"/>
        </w:rPr>
      </w:pPr>
      <w:r>
        <w:rPr>
          <w:rFonts w:hint="eastAsia"/>
          <w:b/>
          <w:bCs w:val="0"/>
          <w:lang w:val="en-US" w:eastAsia="zh-CN"/>
        </w:rPr>
        <w:t>电气设备</w:t>
      </w:r>
    </w:p>
    <w:p w14:paraId="5D2367C2">
      <w:pPr>
        <w:ind w:firstLine="480"/>
      </w:pPr>
      <w:r>
        <w:rPr>
          <w:rFonts w:hint="eastAsia"/>
        </w:rPr>
        <w:t>（1）电气部分</w:t>
      </w:r>
    </w:p>
    <w:p w14:paraId="7F9B8BE4">
      <w:pPr>
        <w:ind w:firstLine="480"/>
      </w:pPr>
      <w:r>
        <w:rPr>
          <w:rFonts w:hint="eastAsia"/>
        </w:rPr>
        <w:t>起重机电气系统的设计符合GB3811-2008《起重机设计规范》和GB6067-2010《起重机械安全规程》的各项规定。起重机的电气设备能够保证机械的传动性能、电气的监控及保护性能安全、准确和可靠。在起重机发生紧急情况下，操作人员能够在司机室切断电源,安全停车。</w:t>
      </w:r>
    </w:p>
    <w:p w14:paraId="103C6EDD">
      <w:pPr>
        <w:ind w:firstLine="480"/>
      </w:pPr>
      <w:r>
        <w:rPr>
          <w:rFonts w:hint="eastAsia"/>
        </w:rPr>
        <w:t>（2）供电</w:t>
      </w:r>
    </w:p>
    <w:p w14:paraId="47137AD2">
      <w:pPr>
        <w:ind w:firstLine="480"/>
      </w:pPr>
      <w:r>
        <w:rPr>
          <w:rFonts w:hint="eastAsia"/>
        </w:rPr>
        <w:t>起重机供电电源为三相交流电源,电压380V±10%,频率50HZ。</w:t>
      </w:r>
    </w:p>
    <w:p w14:paraId="7A0F099F">
      <w:pPr>
        <w:ind w:firstLine="480"/>
      </w:pPr>
      <w:r>
        <w:rPr>
          <w:rFonts w:hint="eastAsia"/>
        </w:rPr>
        <w:t>（3）电气保护</w:t>
      </w:r>
    </w:p>
    <w:p w14:paraId="33F9CA47">
      <w:pPr>
        <w:ind w:firstLine="480"/>
      </w:pPr>
      <w:r>
        <w:rPr>
          <w:rFonts w:hint="eastAsia"/>
        </w:rPr>
        <w:t>1）短路及过载保护</w:t>
      </w:r>
    </w:p>
    <w:p w14:paraId="1F00B39A">
      <w:pPr>
        <w:ind w:firstLine="480"/>
      </w:pPr>
      <w:r>
        <w:rPr>
          <w:rFonts w:hint="eastAsia"/>
        </w:rPr>
        <w:t>起重机总受电屏、控制屏进出电源设置断路器、控制回路设置小容量断路器，使各机构在短路，过载等事故状态下，迅速与电源脱离,以达到保护设备及人机安全的目的。</w:t>
      </w:r>
    </w:p>
    <w:p w14:paraId="0A172AE6">
      <w:pPr>
        <w:ind w:firstLine="480"/>
      </w:pPr>
      <w:r>
        <w:rPr>
          <w:rFonts w:hint="eastAsia"/>
        </w:rPr>
        <w:t>2）失压保护</w:t>
      </w:r>
    </w:p>
    <w:p w14:paraId="13A1E6BA">
      <w:pPr>
        <w:ind w:firstLine="480"/>
      </w:pPr>
      <w:r>
        <w:rPr>
          <w:rFonts w:hint="eastAsia"/>
        </w:rPr>
        <w:t>在总受电屏及机构控制屏中，用线路接触器作为失压保护装置，当供电电源中断时,能够自动断开电源。</w:t>
      </w:r>
    </w:p>
    <w:p w14:paraId="6F64221E">
      <w:pPr>
        <w:ind w:firstLine="480"/>
      </w:pPr>
      <w:r>
        <w:rPr>
          <w:rFonts w:hint="eastAsia"/>
        </w:rPr>
        <w:t>3）零位保护</w:t>
      </w:r>
    </w:p>
    <w:p w14:paraId="3B068C57">
      <w:pPr>
        <w:ind w:firstLine="480"/>
      </w:pPr>
      <w:r>
        <w:rPr>
          <w:rFonts w:hint="eastAsia"/>
        </w:rPr>
        <w:t>司机室的联动台凸轮控制器手柄上设有零位连锁，达到零位的目的。即当起重机开始运转前和失压恢复供电时，必须将控制器的手柄置于零位，各机构的电动机才能启动工作。</w:t>
      </w:r>
    </w:p>
    <w:p w14:paraId="05DB86A2">
      <w:pPr>
        <w:ind w:firstLine="480"/>
      </w:pPr>
      <w:r>
        <w:rPr>
          <w:rFonts w:hint="eastAsia"/>
        </w:rPr>
        <w:t>4）紧急断电保护</w:t>
      </w:r>
    </w:p>
    <w:p w14:paraId="32A27F14">
      <w:pPr>
        <w:ind w:firstLine="480"/>
      </w:pPr>
      <w:r>
        <w:rPr>
          <w:rFonts w:hint="eastAsia"/>
        </w:rPr>
        <w:t>司机室内设有紧急断电按钮，当起重机发生紧急情况时，随时方便地切断控制回路电源，从而使主回路断电，确保起重机的安全运行。</w:t>
      </w:r>
    </w:p>
    <w:p w14:paraId="4FFC2123">
      <w:pPr>
        <w:ind w:firstLine="480"/>
      </w:pPr>
      <w:r>
        <w:rPr>
          <w:rFonts w:hint="eastAsia"/>
        </w:rPr>
        <w:t>5）起升,行程限位保护</w:t>
      </w:r>
    </w:p>
    <w:p w14:paraId="7D9C318E">
      <w:pPr>
        <w:ind w:firstLine="480"/>
      </w:pPr>
      <w:r>
        <w:rPr>
          <w:rFonts w:hint="eastAsia"/>
        </w:rPr>
        <w:t>起升采用变频控制，起升机构设有限位开关，可保证吊钩上升到极限位置时切断电源，变幅、回转运行到极限位置时切断控制回路电源，使主回路断电，从而达到减速和停车的目的，确保起重机的安全运行。</w:t>
      </w:r>
    </w:p>
    <w:p w14:paraId="5DCF069F">
      <w:pPr>
        <w:ind w:firstLine="480"/>
      </w:pPr>
      <w:r>
        <w:rPr>
          <w:rFonts w:hint="eastAsia"/>
        </w:rPr>
        <w:t>7）超载保护</w:t>
      </w:r>
    </w:p>
    <w:p w14:paraId="107EC975">
      <w:pPr>
        <w:ind w:firstLine="480"/>
      </w:pPr>
      <w:r>
        <w:rPr>
          <w:rFonts w:hint="eastAsia"/>
        </w:rPr>
        <w:t>起升机构配置超载限制器，具有报警功能，当载荷达到额定起重量的90％时，能发出提示性报警信号，当起重量超过额定起重量时，能自动切断起升动力源，并发出禁止性报警信号。</w:t>
      </w:r>
    </w:p>
    <w:p w14:paraId="71CAC4FD">
      <w:pPr>
        <w:ind w:firstLine="480"/>
      </w:pPr>
      <w:r>
        <w:rPr>
          <w:rFonts w:hint="eastAsia"/>
        </w:rPr>
        <w:t>8）控制柜,端子箱防护等级IP55，端子箱采用下部或侧部进线上部做防雨，槽盖加防脱落装置。</w:t>
      </w:r>
    </w:p>
    <w:p w14:paraId="3843B2EF">
      <w:pPr>
        <w:ind w:firstLine="480"/>
      </w:pPr>
      <w:r>
        <w:rPr>
          <w:rFonts w:hint="eastAsia"/>
        </w:rPr>
        <w:t>（4）起重机的接地</w:t>
      </w:r>
    </w:p>
    <w:p w14:paraId="15F217D4">
      <w:pPr>
        <w:ind w:firstLine="480"/>
      </w:pPr>
      <w:r>
        <w:rPr>
          <w:rFonts w:hint="eastAsia"/>
        </w:rPr>
        <w:t>1）起重机的金属结构及所有电气设备的金属外壳，电缆金属外皮和变压器的低压侧均有可靠的接地。</w:t>
      </w:r>
    </w:p>
    <w:p w14:paraId="0B32B74C">
      <w:pPr>
        <w:ind w:firstLine="480"/>
      </w:pPr>
      <w:r>
        <w:rPr>
          <w:rFonts w:hint="eastAsia"/>
        </w:rPr>
        <w:t>3）起重机上任何一点的接地电阻均不大于4Ω。</w:t>
      </w:r>
    </w:p>
    <w:p w14:paraId="46514386">
      <w:pPr>
        <w:ind w:firstLine="480"/>
      </w:pPr>
      <w:r>
        <w:rPr>
          <w:rFonts w:hint="eastAsia"/>
        </w:rPr>
        <w:t>（5）操纵方式</w:t>
      </w:r>
    </w:p>
    <w:p w14:paraId="654A0EB6">
      <w:pPr>
        <w:ind w:firstLine="480"/>
      </w:pPr>
      <w:r>
        <w:rPr>
          <w:rFonts w:hint="eastAsia"/>
        </w:rPr>
        <w:t>1）司机室设有总电源和控制电源开关状态信号指示灯。</w:t>
      </w:r>
    </w:p>
    <w:p w14:paraId="1BF8598C">
      <w:pPr>
        <w:ind w:firstLine="480"/>
      </w:pPr>
      <w:r>
        <w:rPr>
          <w:rFonts w:hint="eastAsia"/>
        </w:rPr>
        <w:t>2）司机室设置交流220V电源插座及三相380V电源，备接其它电气设备。</w:t>
      </w:r>
    </w:p>
    <w:p w14:paraId="4A46526C">
      <w:pPr>
        <w:ind w:firstLine="480"/>
      </w:pPr>
      <w:r>
        <w:rPr>
          <w:rFonts w:hint="eastAsia"/>
        </w:rPr>
        <w:t>3）司机室设有36V插座，以便于检修作业。</w:t>
      </w:r>
    </w:p>
    <w:p w14:paraId="1E2C0111">
      <w:pPr>
        <w:ind w:firstLine="480"/>
      </w:pPr>
      <w:r>
        <w:rPr>
          <w:rFonts w:hint="eastAsia"/>
        </w:rPr>
        <w:t>4）司机室用交流220V/40W荧光灯具照明，以满足照度不低于200LX的要求。</w:t>
      </w:r>
    </w:p>
    <w:p w14:paraId="36422075">
      <w:pPr>
        <w:ind w:firstLine="480"/>
      </w:pPr>
      <w:r>
        <w:rPr>
          <w:rFonts w:hint="eastAsia"/>
        </w:rPr>
        <w:t>（6）照明信号</w:t>
      </w:r>
    </w:p>
    <w:p w14:paraId="7EDA0CD7">
      <w:pPr>
        <w:ind w:firstLine="480"/>
      </w:pPr>
      <w:r>
        <w:rPr>
          <w:rFonts w:hint="eastAsia"/>
        </w:rPr>
        <w:t>1）照明及信号部分设有专用的隔离变压器。原边进线电压为交流380V，副边出线电压为交流220V，交流36V。交流220V为起重机照明电源；交流36V为起重机安全信号和检修电源。照明变压器从主接触器上端引线，以保证主接触器断电时，照明回路不断电。</w:t>
      </w:r>
    </w:p>
    <w:p w14:paraId="3F0AF696">
      <w:pPr>
        <w:ind w:firstLine="480"/>
      </w:pPr>
      <w:r>
        <w:rPr>
          <w:rFonts w:hint="eastAsia"/>
        </w:rPr>
        <w:t>2）设有报警装置,操作时起提示作用，在司机室通过按钮开关控制。</w:t>
      </w:r>
    </w:p>
    <w:p w14:paraId="3A49CB7D">
      <w:pPr>
        <w:ind w:firstLine="480"/>
      </w:pPr>
      <w:r>
        <w:rPr>
          <w:rFonts w:hint="eastAsia"/>
        </w:rPr>
        <w:t>（7）其它</w:t>
      </w:r>
    </w:p>
    <w:p w14:paraId="2AD64B9B">
      <w:pPr>
        <w:ind w:firstLine="480"/>
      </w:pPr>
      <w:r>
        <w:rPr>
          <w:rFonts w:hint="eastAsia"/>
        </w:rPr>
        <w:t>1）起重机上布线采用截面积不小于2.5 mm²的铜导线。</w:t>
      </w:r>
    </w:p>
    <w:p w14:paraId="1C6755FD">
      <w:pPr>
        <w:ind w:firstLine="480"/>
      </w:pPr>
      <w:r>
        <w:rPr>
          <w:rFonts w:hint="eastAsia"/>
        </w:rPr>
        <w:t>2）总受电屏和各机构控制屏中的布线采用铜导线和铜排。</w:t>
      </w:r>
    </w:p>
    <w:p w14:paraId="245FA4D0">
      <w:pPr>
        <w:pStyle w:val="4"/>
        <w:bidi w:val="0"/>
        <w:ind w:left="720" w:leftChars="0" w:hanging="720" w:firstLineChars="0"/>
        <w:rPr>
          <w:rFonts w:hint="eastAsia"/>
          <w:b/>
          <w:bCs w:val="0"/>
          <w:lang w:val="en-US" w:eastAsia="zh-CN"/>
        </w:rPr>
      </w:pPr>
      <w:r>
        <w:rPr>
          <w:rFonts w:hint="eastAsia"/>
          <w:b/>
          <w:bCs w:val="0"/>
          <w:lang w:val="en-US" w:eastAsia="zh-CN"/>
        </w:rPr>
        <w:t>塔吊防雷安全保证措施</w:t>
      </w:r>
    </w:p>
    <w:p w14:paraId="260D6912">
      <w:pPr>
        <w:ind w:firstLine="480"/>
        <w:rPr>
          <w:rFonts w:hint="eastAsia"/>
        </w:rPr>
      </w:pPr>
      <w:r>
        <w:rPr>
          <w:rFonts w:hint="eastAsia"/>
        </w:rPr>
        <w:t>（1）塔机装有防雷装置。防雷接地电阻实际检测一般不超过</w:t>
      </w:r>
      <w:r>
        <w:t>4</w:t>
      </w:r>
      <w:r>
        <w:rPr>
          <w:rFonts w:hint="eastAsia"/>
        </w:rPr>
        <w:t>Ω，特殊情况遵从安全设计值，允许与其他接地装置共用时，应满足其中最低的要求。</w:t>
      </w:r>
    </w:p>
    <w:p w14:paraId="1AF88CF2">
      <w:pPr>
        <w:ind w:firstLine="480"/>
        <w:rPr>
          <w:rFonts w:hint="eastAsia"/>
        </w:rPr>
      </w:pPr>
      <w:r>
        <w:rPr>
          <w:rFonts w:hint="eastAsia"/>
        </w:rPr>
        <w:t xml:space="preserve">（2）避雷针（带）与引下线的接地装置连接应采用焊接。整体防雷装置应保证完好的电气通路和连接的可靠性（包括跨接线和过度伸缩缝的处理等）。  </w:t>
      </w:r>
    </w:p>
    <w:p w14:paraId="14DF2E73">
      <w:pPr>
        <w:ind w:firstLine="480"/>
        <w:rPr>
          <w:rFonts w:hint="eastAsia"/>
        </w:rPr>
      </w:pPr>
      <w:r>
        <w:rPr>
          <w:rFonts w:hint="eastAsia"/>
        </w:rPr>
        <w:t>（3）对防雷装置应当作为电力设备一样进行预防性试验与检查、检测，保持其良好的保护性能。</w:t>
      </w:r>
    </w:p>
    <w:p w14:paraId="3350220A">
      <w:pPr>
        <w:ind w:firstLine="480"/>
      </w:pPr>
      <w:r>
        <w:rPr>
          <w:rFonts w:hint="eastAsia"/>
        </w:rPr>
        <w:t>（4）对各种防雷装置应按规范标准要求检查整体和器件情况，例如，连接点有无裂纹，引下线上有无闪络或烧损痕迹，腐蚀锈蚀以及与相邻异体的安全距离情况等。</w:t>
      </w:r>
    </w:p>
    <w:p w14:paraId="5EDC8FA1">
      <w:pPr>
        <w:ind w:firstLine="480"/>
        <w:rPr>
          <w:rFonts w:hint="eastAsia"/>
        </w:rPr>
      </w:pPr>
      <w:r>
        <w:rPr>
          <w:rFonts w:hint="eastAsia"/>
        </w:rPr>
        <w:t>（5）防雷接地在安装完成后及时向报当地气象部门或专业机构检验并出具防雷接地检验报告。</w:t>
      </w:r>
    </w:p>
    <w:p w14:paraId="433C6BF4">
      <w:pPr>
        <w:pStyle w:val="4"/>
        <w:bidi w:val="0"/>
        <w:ind w:left="720" w:leftChars="0" w:hanging="720" w:firstLineChars="0"/>
        <w:rPr>
          <w:rFonts w:hint="eastAsia"/>
          <w:b/>
          <w:bCs w:val="0"/>
          <w:lang w:val="en-US" w:eastAsia="zh-CN"/>
        </w:rPr>
      </w:pPr>
      <w:r>
        <w:rPr>
          <w:rFonts w:hint="eastAsia"/>
          <w:b/>
          <w:bCs w:val="0"/>
          <w:lang w:val="en-US" w:eastAsia="zh-CN"/>
        </w:rPr>
        <w:t>强制性条文和具体措施</w:t>
      </w:r>
    </w:p>
    <w:p w14:paraId="0F400E31">
      <w:pPr>
        <w:ind w:firstLine="480"/>
      </w:pPr>
      <w:r>
        <w:rPr>
          <w:rFonts w:hint="eastAsia"/>
        </w:rPr>
        <w:t>（1）应执行的强制性条文</w:t>
      </w:r>
    </w:p>
    <w:p w14:paraId="736F9DC9">
      <w:pPr>
        <w:ind w:firstLine="480"/>
      </w:pPr>
      <w:r>
        <w:rPr>
          <w:rFonts w:hint="eastAsia"/>
        </w:rPr>
        <w:t>起重机行程限位开关动作后，应能自动切断相关电源。起重量限制器的调试，应符合下列要求：起重限制器综合误差，不应大于5%；当载荷达到额定起重量的95%时，应能发出提示性报警信号；当载荷达到额定起重量的110%时，应能自动切断起升机构电动机的电源，并应发出禁止性报警信号。</w:t>
      </w:r>
    </w:p>
    <w:p w14:paraId="5BDF3113">
      <w:pPr>
        <w:ind w:firstLine="480"/>
      </w:pPr>
      <w:r>
        <w:rPr>
          <w:rFonts w:hint="eastAsia"/>
        </w:rPr>
        <w:t>（2）具体措施</w:t>
      </w:r>
    </w:p>
    <w:p w14:paraId="3EC9E685">
      <w:pPr>
        <w:ind w:firstLine="480"/>
      </w:pPr>
      <w:r>
        <w:rPr>
          <w:rFonts w:hint="eastAsia"/>
        </w:rPr>
        <w:t>电气系统的验收作为整机验收的一部分，调试不合格不得投入使用。</w:t>
      </w:r>
    </w:p>
    <w:p w14:paraId="26E91601">
      <w:pPr>
        <w:pStyle w:val="4"/>
        <w:bidi w:val="0"/>
        <w:ind w:left="720" w:leftChars="0" w:hanging="720" w:firstLineChars="0"/>
        <w:rPr>
          <w:rFonts w:hint="eastAsia"/>
          <w:b/>
          <w:bCs w:val="0"/>
          <w:lang w:val="en-US" w:eastAsia="zh-CN"/>
        </w:rPr>
      </w:pPr>
      <w:r>
        <w:rPr>
          <w:rFonts w:hint="eastAsia"/>
          <w:b/>
          <w:bCs w:val="0"/>
          <w:lang w:val="en-US" w:eastAsia="zh-CN"/>
        </w:rPr>
        <w:t>塔吊作业安全技术保证措施</w:t>
      </w:r>
    </w:p>
    <w:p w14:paraId="5FAC1B01">
      <w:pPr>
        <w:ind w:firstLine="480"/>
        <w:rPr>
          <w:rFonts w:hint="eastAsia"/>
        </w:rPr>
      </w:pPr>
      <w:r>
        <w:rPr>
          <w:rFonts w:hint="eastAsia"/>
        </w:rPr>
        <w:t>（1）必须严格执行ZBJ80012-89《塔式起重机操作使用规程》的有关规定 ，司机与起重工必须是按劳动人事部门有关规定进行考核并取得合格证者。</w:t>
      </w:r>
    </w:p>
    <w:p w14:paraId="514CBFC4">
      <w:pPr>
        <w:ind w:firstLine="480"/>
        <w:rPr>
          <w:rFonts w:hint="eastAsia"/>
        </w:rPr>
      </w:pPr>
      <w:r>
        <w:rPr>
          <w:rFonts w:hint="eastAsia"/>
        </w:rPr>
        <w:t>（</w:t>
      </w:r>
      <w:r>
        <w:t>2</w:t>
      </w:r>
      <w:r>
        <w:rPr>
          <w:rFonts w:hint="eastAsia"/>
        </w:rPr>
        <w:t>）司机必须了解所操作塔机的工作原理， 熟悉该塔机的构造及安全装置的功能及其调整方法， 掌握该起重机各项性能的操作方法以及该起重机的维修保养技术。</w:t>
      </w:r>
    </w:p>
    <w:p w14:paraId="50C30D91">
      <w:pPr>
        <w:ind w:firstLine="480"/>
        <w:rPr>
          <w:rFonts w:hint="eastAsia"/>
        </w:rPr>
      </w:pPr>
      <w:r>
        <w:rPr>
          <w:rFonts w:hint="eastAsia"/>
        </w:rPr>
        <w:t>（</w:t>
      </w:r>
      <w:r>
        <w:t>3</w:t>
      </w:r>
      <w:r>
        <w:rPr>
          <w:rFonts w:hint="eastAsia"/>
        </w:rPr>
        <w:t>）严格按本说明书提供的起重特性表操作，严禁超载运行。</w:t>
      </w:r>
    </w:p>
    <w:p w14:paraId="1AB2CA1A">
      <w:pPr>
        <w:ind w:firstLine="480"/>
        <w:rPr>
          <w:rFonts w:hint="eastAsia"/>
        </w:rPr>
      </w:pPr>
      <w:r>
        <w:rPr>
          <w:rFonts w:hint="eastAsia"/>
        </w:rPr>
        <w:t>（</w:t>
      </w:r>
      <w:r>
        <w:t>4</w:t>
      </w:r>
      <w:r>
        <w:rPr>
          <w:rFonts w:hint="eastAsia"/>
        </w:rPr>
        <w:t>）起升机构、回转机构、牵引机构的操作动作要柔和， 由低速到高速逐步转换， 不得将操作手柄从静止(或低速) 猛地向中速或高速位置推进。</w:t>
      </w:r>
    </w:p>
    <w:p w14:paraId="3CEC9691">
      <w:pPr>
        <w:ind w:firstLine="480"/>
        <w:rPr>
          <w:rFonts w:hint="eastAsia"/>
        </w:rPr>
      </w:pPr>
      <w:r>
        <w:rPr>
          <w:rFonts w:hint="eastAsia"/>
        </w:rPr>
        <w:t>（</w:t>
      </w:r>
      <w:r>
        <w:t>5</w:t>
      </w:r>
      <w:r>
        <w:rPr>
          <w:rFonts w:hint="eastAsia"/>
        </w:rPr>
        <w:t>）施工面要设专人指挥塔机作业，与司机联络， 必须规定严格的信号，采用对讲机联络</w:t>
      </w:r>
    </w:p>
    <w:p w14:paraId="3D2ADB89">
      <w:pPr>
        <w:ind w:firstLine="480"/>
        <w:rPr>
          <w:rFonts w:hint="eastAsia"/>
        </w:rPr>
      </w:pPr>
      <w:r>
        <w:rPr>
          <w:rFonts w:hint="eastAsia"/>
        </w:rPr>
        <w:t>（</w:t>
      </w:r>
      <w:r>
        <w:t>6</w:t>
      </w:r>
      <w:r>
        <w:rPr>
          <w:rFonts w:hint="eastAsia"/>
        </w:rPr>
        <w:t>）操作司机发现塔机有异常现象时，应停机切断电源，待查清并排除故障后再使用。</w:t>
      </w:r>
    </w:p>
    <w:p w14:paraId="0DE17FA0">
      <w:pPr>
        <w:ind w:firstLine="480"/>
        <w:rPr>
          <w:rFonts w:hint="eastAsia"/>
        </w:rPr>
      </w:pPr>
      <w:r>
        <w:rPr>
          <w:rFonts w:hint="eastAsia"/>
        </w:rPr>
        <w:t>（</w:t>
      </w:r>
      <w:r>
        <w:t>7</w:t>
      </w:r>
      <w:r>
        <w:rPr>
          <w:rFonts w:hint="eastAsia"/>
        </w:rPr>
        <w:t>）每班工作前，司机必须对塔吊各部件进行日常检查，对各部件进行按规日常保养加油 ，必须逐项检查各安全装置的可靠性，绝不允许在安全装置失灵的情况下勉强作业；</w:t>
      </w:r>
    </w:p>
    <w:p w14:paraId="1BE8A266">
      <w:pPr>
        <w:ind w:firstLine="480"/>
        <w:rPr>
          <w:rFonts w:hint="eastAsia"/>
        </w:rPr>
      </w:pPr>
      <w:r>
        <w:rPr>
          <w:rFonts w:hint="eastAsia"/>
        </w:rPr>
        <w:t>（</w:t>
      </w:r>
      <w:r>
        <w:t>8</w:t>
      </w:r>
      <w:r>
        <w:rPr>
          <w:rFonts w:hint="eastAsia"/>
        </w:rPr>
        <w:t>）不准斜拉斜吊物品，不准抽吊交错挤压物品， 不准起吊埋在地上的物品。</w:t>
      </w:r>
    </w:p>
    <w:p w14:paraId="4595628E">
      <w:pPr>
        <w:ind w:firstLine="480"/>
        <w:rPr>
          <w:rFonts w:hint="eastAsia"/>
        </w:rPr>
      </w:pPr>
      <w:r>
        <w:rPr>
          <w:rFonts w:hint="eastAsia"/>
        </w:rPr>
        <w:t>（</w:t>
      </w:r>
      <w:r>
        <w:t>9</w:t>
      </w:r>
      <w:r>
        <w:rPr>
          <w:rFonts w:hint="eastAsia"/>
        </w:rPr>
        <w:t>）夜间作业，施工现场必须备有充分的照明设施。</w:t>
      </w:r>
    </w:p>
    <w:p w14:paraId="433B4B9D">
      <w:pPr>
        <w:ind w:firstLine="480"/>
        <w:rPr>
          <w:rFonts w:hint="eastAsia"/>
        </w:rPr>
      </w:pPr>
      <w:r>
        <w:rPr>
          <w:rFonts w:hint="eastAsia"/>
        </w:rPr>
        <w:t>（</w:t>
      </w:r>
      <w:r>
        <w:t>10</w:t>
      </w:r>
      <w:r>
        <w:rPr>
          <w:rFonts w:hint="eastAsia"/>
        </w:rPr>
        <w:t>）有物品悬挂在空中时，司机与起重工不得离开工作岗位。</w:t>
      </w:r>
    </w:p>
    <w:p w14:paraId="56DF082E">
      <w:pPr>
        <w:ind w:firstLine="480"/>
        <w:rPr>
          <w:rFonts w:hint="eastAsia"/>
        </w:rPr>
      </w:pPr>
      <w:r>
        <w:rPr>
          <w:rFonts w:hint="eastAsia"/>
        </w:rPr>
        <w:t>（1</w:t>
      </w:r>
      <w:r>
        <w:t>1</w:t>
      </w:r>
      <w:r>
        <w:rPr>
          <w:rFonts w:hint="eastAsia"/>
        </w:rPr>
        <w:t>）指挥的信号、手势、旗号应符合GB5082-85 规定。</w:t>
      </w:r>
    </w:p>
    <w:p w14:paraId="7A6B7B6A">
      <w:pPr>
        <w:ind w:firstLine="480"/>
        <w:rPr>
          <w:rFonts w:hint="eastAsia"/>
        </w:rPr>
      </w:pPr>
      <w:r>
        <w:rPr>
          <w:rFonts w:hint="eastAsia"/>
        </w:rPr>
        <w:t>（1</w:t>
      </w:r>
      <w:r>
        <w:t>2</w:t>
      </w:r>
      <w:r>
        <w:rPr>
          <w:rFonts w:hint="eastAsia"/>
        </w:rPr>
        <w:t>）司机必须认真做好起重机的使用、维修、保养和交接班的记录工作。</w:t>
      </w:r>
    </w:p>
    <w:p w14:paraId="21EFEF43">
      <w:pPr>
        <w:ind w:firstLine="480"/>
        <w:rPr>
          <w:rFonts w:hint="eastAsia"/>
        </w:rPr>
      </w:pPr>
      <w:r>
        <w:rPr>
          <w:rFonts w:hint="eastAsia"/>
        </w:rPr>
        <w:t>（1</w:t>
      </w:r>
      <w:r>
        <w:t>3</w:t>
      </w:r>
      <w:r>
        <w:rPr>
          <w:rFonts w:hint="eastAsia"/>
        </w:rPr>
        <w:t>）塔机在非工作状态时应处于安全状态。即起重臂转到与风向一致，将吊钩提升至超过周围障碍物的高度，将所有手柄回到零位，左控制台的回转制动开关转到松开位置，并将总电源切断。</w:t>
      </w:r>
    </w:p>
    <w:p w14:paraId="71343C52">
      <w:pPr>
        <w:ind w:firstLine="480"/>
        <w:rPr>
          <w:rFonts w:hint="eastAsia"/>
        </w:rPr>
      </w:pPr>
      <w:r>
        <w:rPr>
          <w:rFonts w:hint="eastAsia"/>
        </w:rPr>
        <w:t>（1</w:t>
      </w:r>
      <w:r>
        <w:t>4</w:t>
      </w:r>
      <w:r>
        <w:rPr>
          <w:rFonts w:hint="eastAsia"/>
        </w:rPr>
        <w:t>）在遇大雷雨，暴雨，浓雾或塔机最高处风速超过 20m/s 时，一律停止起重作业。</w:t>
      </w:r>
    </w:p>
    <w:p w14:paraId="5518B120">
      <w:pPr>
        <w:ind w:firstLine="480"/>
        <w:rPr>
          <w:rFonts w:hint="eastAsia"/>
        </w:rPr>
      </w:pPr>
      <w:r>
        <w:rPr>
          <w:rFonts w:hint="eastAsia"/>
        </w:rPr>
        <w:t>（1</w:t>
      </w:r>
      <w:r>
        <w:t>5</w:t>
      </w:r>
      <w:r>
        <w:rPr>
          <w:rFonts w:hint="eastAsia"/>
        </w:rPr>
        <w:t>）严禁司机酒后上机操作</w:t>
      </w:r>
    </w:p>
    <w:p w14:paraId="0B820AFB">
      <w:pPr>
        <w:ind w:firstLine="480"/>
        <w:rPr>
          <w:rFonts w:hint="eastAsia"/>
        </w:rPr>
      </w:pPr>
      <w:r>
        <w:rPr>
          <w:rFonts w:hint="eastAsia"/>
        </w:rPr>
        <w:t>（1</w:t>
      </w:r>
      <w:r>
        <w:t>6</w:t>
      </w:r>
      <w:r>
        <w:rPr>
          <w:rFonts w:hint="eastAsia"/>
        </w:rPr>
        <w:t>）吊钩、吊环有下列情形之一的，应更换：</w:t>
      </w:r>
    </w:p>
    <w:p w14:paraId="186EBDA8">
      <w:pPr>
        <w:ind w:firstLine="480"/>
        <w:rPr>
          <w:rFonts w:hint="eastAsia"/>
        </w:rPr>
      </w:pPr>
      <w:r>
        <w:rPr>
          <w:rFonts w:hint="eastAsia"/>
        </w:rPr>
        <w:t>①表面有裂纹、破口，严禁补焊，应更换。②危险断面及钩颈有永久变形。③挂绳面磨损超过10%。④心轴（销子）磨损超过其直径的3—5%。</w:t>
      </w:r>
    </w:p>
    <w:p w14:paraId="325A0BD3">
      <w:pPr>
        <w:ind w:firstLine="480"/>
        <w:rPr>
          <w:rFonts w:hint="eastAsia"/>
        </w:rPr>
      </w:pPr>
      <w:r>
        <w:rPr>
          <w:rFonts w:hint="eastAsia"/>
        </w:rPr>
        <w:t>（1</w:t>
      </w:r>
      <w:r>
        <w:t>7</w:t>
      </w:r>
      <w:r>
        <w:rPr>
          <w:rFonts w:hint="eastAsia"/>
        </w:rPr>
        <w:t>）起重“十不吊”内容：</w:t>
      </w:r>
    </w:p>
    <w:p w14:paraId="54F6615B">
      <w:pPr>
        <w:ind w:firstLine="480"/>
        <w:rPr>
          <w:rFonts w:hint="eastAsia"/>
        </w:rPr>
      </w:pPr>
      <w:r>
        <w:rPr>
          <w:rFonts w:hint="eastAsia"/>
        </w:rPr>
        <w:t>①指挥信号不明或违章指挥不吊；②载荷不明不吊；③工件捆绑不良不吊；④吊物上面有人不吊；⑤安全装置不灵不吊；⑥光线阴暗视线不清不吊；⑦工件埋在地下不吊；⑧棱角物件无防护措施不吊；⑨斜拉工件不吊；⑩六级以上强风不吊。</w:t>
      </w:r>
    </w:p>
    <w:p w14:paraId="39F005EA">
      <w:pPr>
        <w:pStyle w:val="2"/>
        <w:bidi w:val="0"/>
        <w:ind w:left="432" w:leftChars="0" w:hanging="432" w:firstLineChars="0"/>
        <w:rPr>
          <w:rFonts w:hint="eastAsia"/>
        </w:rPr>
      </w:pPr>
      <w:bookmarkStart w:id="157" w:name="_Toc29849"/>
      <w:bookmarkStart w:id="158" w:name="_Toc3700"/>
      <w:bookmarkStart w:id="159" w:name="_Toc26715"/>
      <w:r>
        <w:rPr>
          <w:rFonts w:hint="eastAsia"/>
        </w:rPr>
        <w:t>施工管理及作业人员配备和分工</w:t>
      </w:r>
      <w:bookmarkEnd w:id="157"/>
      <w:bookmarkEnd w:id="158"/>
      <w:bookmarkEnd w:id="159"/>
    </w:p>
    <w:p w14:paraId="68F8052B">
      <w:pPr>
        <w:pStyle w:val="131"/>
        <w:ind w:firstLine="480"/>
        <w:rPr>
          <w:rFonts w:cs="Times New Roman"/>
        </w:rPr>
      </w:pPr>
      <w:r>
        <w:rPr>
          <w:rFonts w:cs="Times New Roman"/>
        </w:rPr>
        <w:t>为确保承台施工安全、优质、高效、如期地完成，成立以项目经理为首的管理团队进行项目的统筹管理。现场施工主要管理人员由具有丰富施工经验的人员组成，选择专业的施工劳务队伍进行施工。</w:t>
      </w:r>
    </w:p>
    <w:p w14:paraId="5480983E">
      <w:pPr>
        <w:pStyle w:val="3"/>
        <w:bidi w:val="0"/>
        <w:ind w:left="575" w:leftChars="0" w:hanging="575" w:firstLineChars="0"/>
        <w:rPr>
          <w:b/>
          <w:bCs w:val="0"/>
          <w:sz w:val="28"/>
          <w:szCs w:val="28"/>
          <w:lang w:val="en-US" w:eastAsia="zh-CN"/>
        </w:rPr>
      </w:pPr>
      <w:bookmarkStart w:id="160" w:name="_Toc15554"/>
      <w:bookmarkStart w:id="161" w:name="_Toc27257"/>
      <w:bookmarkStart w:id="162" w:name="_Toc122514842"/>
      <w:bookmarkStart w:id="163" w:name="_Toc7272"/>
      <w:bookmarkStart w:id="164" w:name="_Toc51089991"/>
      <w:bookmarkStart w:id="165" w:name="_Toc21450"/>
      <w:r>
        <w:rPr>
          <w:b/>
          <w:bCs w:val="0"/>
          <w:sz w:val="28"/>
          <w:szCs w:val="28"/>
          <w:lang w:val="en-US" w:eastAsia="zh-CN"/>
        </w:rPr>
        <w:t>施工管理人员配备和分工</w:t>
      </w:r>
      <w:bookmarkEnd w:id="160"/>
      <w:bookmarkEnd w:id="161"/>
      <w:bookmarkEnd w:id="162"/>
      <w:bookmarkEnd w:id="163"/>
      <w:bookmarkEnd w:id="164"/>
      <w:bookmarkEnd w:id="165"/>
    </w:p>
    <w:p w14:paraId="6F522D82">
      <w:pPr>
        <w:pStyle w:val="131"/>
        <w:ind w:firstLine="480"/>
        <w:rPr>
          <w:rFonts w:cs="Times New Roman"/>
        </w:rPr>
      </w:pPr>
      <w:r>
        <w:rPr>
          <w:rFonts w:cs="Times New Roman"/>
        </w:rPr>
        <w:t>根据施工安排，施工管理人员配备和分工见</w:t>
      </w:r>
      <w:r>
        <w:rPr>
          <w:rFonts w:cs="Times New Roman"/>
          <w:b/>
          <w:bCs/>
        </w:rPr>
        <w:t>表7.1-1</w:t>
      </w:r>
      <w:r>
        <w:rPr>
          <w:rFonts w:cs="Times New Roman"/>
        </w:rPr>
        <w:t>。</w:t>
      </w:r>
    </w:p>
    <w:p w14:paraId="743EA1BE">
      <w:pPr>
        <w:pStyle w:val="380"/>
        <w:ind w:firstLine="0" w:firstLineChars="0"/>
        <w:rPr>
          <w:rFonts w:hint="default"/>
        </w:rPr>
      </w:pPr>
      <w:r>
        <w:rPr>
          <w:rFonts w:hint="default" w:ascii="Times New Roman" w:hAnsi="Times New Roman" w:eastAsia="宋体" w:cstheme="majorBidi"/>
          <w:b/>
          <w:bCs w:val="0"/>
          <w:kern w:val="2"/>
          <w:sz w:val="21"/>
          <w:szCs w:val="20"/>
          <w:lang w:val="en-US" w:eastAsia="zh-CN" w:bidi="ar-SA"/>
        </w:rPr>
        <w:t xml:space="preserve">表 </w:t>
      </w:r>
      <w:r>
        <w:rPr>
          <w:rFonts w:hint="default" w:ascii="Times New Roman" w:hAnsi="Times New Roman" w:eastAsia="宋体" w:cstheme="majorBidi"/>
          <w:b/>
          <w:bCs w:val="0"/>
          <w:kern w:val="2"/>
          <w:sz w:val="21"/>
          <w:szCs w:val="20"/>
          <w:lang w:val="en-US" w:eastAsia="zh-CN" w:bidi="ar-SA"/>
        </w:rPr>
        <w:fldChar w:fldCharType="begin"/>
      </w:r>
      <w:r>
        <w:rPr>
          <w:rFonts w:hint="default" w:ascii="Times New Roman" w:hAnsi="Times New Roman" w:eastAsia="宋体" w:cstheme="majorBidi"/>
          <w:b/>
          <w:bCs w:val="0"/>
          <w:kern w:val="2"/>
          <w:sz w:val="21"/>
          <w:szCs w:val="20"/>
          <w:lang w:val="en-US" w:eastAsia="zh-CN" w:bidi="ar-SA"/>
        </w:rPr>
        <w:instrText xml:space="preserve"> STYLEREF 2 \s </w:instrText>
      </w:r>
      <w:r>
        <w:rPr>
          <w:rFonts w:hint="default" w:ascii="Times New Roman" w:hAnsi="Times New Roman" w:eastAsia="宋体" w:cstheme="majorBidi"/>
          <w:b/>
          <w:bCs w:val="0"/>
          <w:kern w:val="2"/>
          <w:sz w:val="21"/>
          <w:szCs w:val="20"/>
          <w:lang w:val="en-US" w:eastAsia="zh-CN" w:bidi="ar-SA"/>
        </w:rPr>
        <w:fldChar w:fldCharType="separate"/>
      </w:r>
      <w:r>
        <w:rPr>
          <w:rFonts w:hint="default" w:ascii="Times New Roman" w:hAnsi="Times New Roman" w:eastAsia="宋体" w:cstheme="majorBidi"/>
          <w:b/>
          <w:bCs w:val="0"/>
          <w:kern w:val="2"/>
          <w:sz w:val="21"/>
          <w:szCs w:val="20"/>
          <w:lang w:val="en-US" w:eastAsia="zh-CN" w:bidi="ar-SA"/>
        </w:rPr>
        <w:t>7.1</w:t>
      </w:r>
      <w:r>
        <w:rPr>
          <w:rFonts w:hint="default" w:ascii="Times New Roman" w:hAnsi="Times New Roman" w:eastAsia="宋体" w:cstheme="majorBidi"/>
          <w:b/>
          <w:bCs w:val="0"/>
          <w:kern w:val="2"/>
          <w:sz w:val="21"/>
          <w:szCs w:val="20"/>
          <w:lang w:val="en-US" w:eastAsia="zh-CN" w:bidi="ar-SA"/>
        </w:rPr>
        <w:fldChar w:fldCharType="end"/>
      </w:r>
      <w:r>
        <w:rPr>
          <w:rFonts w:hint="default" w:ascii="Times New Roman" w:hAnsi="Times New Roman" w:eastAsia="宋体" w:cstheme="majorBidi"/>
          <w:b/>
          <w:bCs w:val="0"/>
          <w:kern w:val="2"/>
          <w:sz w:val="21"/>
          <w:szCs w:val="20"/>
          <w:lang w:val="en-US" w:eastAsia="zh-CN" w:bidi="ar-SA"/>
        </w:rPr>
        <w:noBreakHyphen/>
      </w:r>
      <w:r>
        <w:rPr>
          <w:rFonts w:hint="default" w:ascii="Times New Roman" w:hAnsi="Times New Roman" w:eastAsia="宋体" w:cstheme="majorBidi"/>
          <w:b/>
          <w:bCs w:val="0"/>
          <w:kern w:val="2"/>
          <w:sz w:val="21"/>
          <w:szCs w:val="20"/>
          <w:lang w:val="en-US" w:eastAsia="zh-CN" w:bidi="ar-SA"/>
        </w:rPr>
        <w:fldChar w:fldCharType="begin"/>
      </w:r>
      <w:r>
        <w:rPr>
          <w:rFonts w:hint="default" w:ascii="Times New Roman" w:hAnsi="Times New Roman" w:eastAsia="宋体" w:cstheme="majorBidi"/>
          <w:b/>
          <w:bCs w:val="0"/>
          <w:kern w:val="2"/>
          <w:sz w:val="21"/>
          <w:szCs w:val="20"/>
          <w:lang w:val="en-US" w:eastAsia="zh-CN" w:bidi="ar-SA"/>
        </w:rPr>
        <w:instrText xml:space="preserve"> SEQ 表 \* ARABIC \s 2 </w:instrText>
      </w:r>
      <w:r>
        <w:rPr>
          <w:rFonts w:hint="default" w:ascii="Times New Roman" w:hAnsi="Times New Roman" w:eastAsia="宋体" w:cstheme="majorBidi"/>
          <w:b/>
          <w:bCs w:val="0"/>
          <w:kern w:val="2"/>
          <w:sz w:val="21"/>
          <w:szCs w:val="20"/>
          <w:lang w:val="en-US" w:eastAsia="zh-CN" w:bidi="ar-SA"/>
        </w:rPr>
        <w:fldChar w:fldCharType="separate"/>
      </w:r>
      <w:r>
        <w:rPr>
          <w:rFonts w:hint="default" w:ascii="Times New Roman" w:hAnsi="Times New Roman" w:eastAsia="宋体" w:cstheme="majorBidi"/>
          <w:b/>
          <w:bCs w:val="0"/>
          <w:kern w:val="2"/>
          <w:sz w:val="21"/>
          <w:szCs w:val="20"/>
          <w:lang w:val="en-US" w:eastAsia="zh-CN" w:bidi="ar-SA"/>
        </w:rPr>
        <w:t>1</w:t>
      </w:r>
      <w:r>
        <w:rPr>
          <w:rFonts w:hint="default" w:ascii="Times New Roman" w:hAnsi="Times New Roman" w:eastAsia="宋体" w:cstheme="majorBidi"/>
          <w:b/>
          <w:bCs w:val="0"/>
          <w:kern w:val="2"/>
          <w:sz w:val="21"/>
          <w:szCs w:val="20"/>
          <w:lang w:val="en-US" w:eastAsia="zh-CN" w:bidi="ar-SA"/>
        </w:rPr>
        <w:fldChar w:fldCharType="end"/>
      </w:r>
      <w:r>
        <w:rPr>
          <w:rFonts w:hint="default" w:ascii="Times New Roman" w:hAnsi="Times New Roman" w:eastAsia="宋体" w:cstheme="majorBidi"/>
          <w:b/>
          <w:bCs w:val="0"/>
          <w:kern w:val="2"/>
          <w:sz w:val="21"/>
          <w:szCs w:val="20"/>
          <w:lang w:val="en-US" w:eastAsia="zh-CN" w:bidi="ar-SA"/>
        </w:rPr>
        <w:t xml:space="preserve">  施工管理人员配备和分工表</w:t>
      </w:r>
    </w:p>
    <w:tbl>
      <w:tblPr>
        <w:tblStyle w:val="128"/>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344"/>
        <w:gridCol w:w="901"/>
        <w:gridCol w:w="691"/>
        <w:gridCol w:w="4911"/>
        <w:gridCol w:w="759"/>
      </w:tblGrid>
      <w:tr w14:paraId="2A73F9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3" w:type="pct"/>
            <w:shd w:val="clear" w:color="auto" w:fill="auto"/>
            <w:vAlign w:val="center"/>
          </w:tcPr>
          <w:p w14:paraId="5F1806C6">
            <w:pPr>
              <w:pStyle w:val="50"/>
              <w:rPr>
                <w:b/>
              </w:rPr>
            </w:pPr>
            <w:bookmarkStart w:id="166" w:name="_Toc32318"/>
            <w:bookmarkStart w:id="167" w:name="_Toc51089992"/>
            <w:bookmarkStart w:id="168" w:name="_Toc122514843"/>
            <w:r>
              <w:rPr>
                <w:rFonts w:hint="eastAsia"/>
                <w:b/>
              </w:rPr>
              <w:t>序号</w:t>
            </w:r>
          </w:p>
        </w:tc>
        <w:tc>
          <w:tcPr>
            <w:tcW w:w="724" w:type="pct"/>
            <w:shd w:val="clear" w:color="auto" w:fill="auto"/>
            <w:vAlign w:val="center"/>
          </w:tcPr>
          <w:p w14:paraId="37C8C65A">
            <w:pPr>
              <w:pStyle w:val="50"/>
              <w:rPr>
                <w:b/>
              </w:rPr>
            </w:pPr>
            <w:r>
              <w:rPr>
                <w:rFonts w:hint="eastAsia"/>
                <w:b/>
              </w:rPr>
              <w:t>职务</w:t>
            </w:r>
          </w:p>
        </w:tc>
        <w:tc>
          <w:tcPr>
            <w:tcW w:w="484" w:type="pct"/>
            <w:shd w:val="clear" w:color="auto" w:fill="auto"/>
            <w:vAlign w:val="center"/>
          </w:tcPr>
          <w:p w14:paraId="0F8826CE">
            <w:pPr>
              <w:pStyle w:val="50"/>
              <w:rPr>
                <w:rFonts w:hint="eastAsia" w:eastAsia="宋体"/>
                <w:b/>
                <w:lang w:val="en-US" w:eastAsia="zh-CN"/>
              </w:rPr>
            </w:pPr>
            <w:r>
              <w:rPr>
                <w:rFonts w:hint="eastAsia"/>
                <w:b/>
                <w:lang w:val="en-US" w:eastAsia="zh-CN"/>
              </w:rPr>
              <w:t>姓名</w:t>
            </w:r>
          </w:p>
        </w:tc>
        <w:tc>
          <w:tcPr>
            <w:tcW w:w="372" w:type="pct"/>
            <w:shd w:val="clear" w:color="auto" w:fill="auto"/>
            <w:vAlign w:val="center"/>
          </w:tcPr>
          <w:p w14:paraId="2C6E3E2B">
            <w:pPr>
              <w:pStyle w:val="50"/>
              <w:rPr>
                <w:b/>
              </w:rPr>
            </w:pPr>
            <w:r>
              <w:rPr>
                <w:rFonts w:hint="eastAsia"/>
                <w:b/>
              </w:rPr>
              <w:t>人数</w:t>
            </w:r>
          </w:p>
        </w:tc>
        <w:tc>
          <w:tcPr>
            <w:tcW w:w="2645" w:type="pct"/>
            <w:shd w:val="clear" w:color="auto" w:fill="auto"/>
            <w:vAlign w:val="center"/>
          </w:tcPr>
          <w:p w14:paraId="1C53B870">
            <w:pPr>
              <w:pStyle w:val="50"/>
              <w:rPr>
                <w:b/>
              </w:rPr>
            </w:pPr>
            <w:r>
              <w:rPr>
                <w:rFonts w:hint="eastAsia"/>
                <w:b/>
              </w:rPr>
              <w:t>工作职责</w:t>
            </w:r>
          </w:p>
        </w:tc>
        <w:tc>
          <w:tcPr>
            <w:tcW w:w="409" w:type="pct"/>
            <w:shd w:val="clear" w:color="auto" w:fill="auto"/>
            <w:vAlign w:val="center"/>
          </w:tcPr>
          <w:p w14:paraId="52D758BC">
            <w:pPr>
              <w:pStyle w:val="50"/>
              <w:rPr>
                <w:b/>
              </w:rPr>
            </w:pPr>
            <w:r>
              <w:rPr>
                <w:rFonts w:hint="eastAsia"/>
                <w:b/>
              </w:rPr>
              <w:t>备注</w:t>
            </w:r>
          </w:p>
        </w:tc>
      </w:tr>
      <w:tr w14:paraId="4A4F3F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3" w:type="pct"/>
            <w:shd w:val="clear" w:color="auto" w:fill="auto"/>
            <w:vAlign w:val="center"/>
          </w:tcPr>
          <w:p w14:paraId="3E25DF2E">
            <w:pPr>
              <w:pStyle w:val="50"/>
              <w:numPr>
                <w:ilvl w:val="0"/>
                <w:numId w:val="35"/>
              </w:numPr>
            </w:pPr>
          </w:p>
        </w:tc>
        <w:tc>
          <w:tcPr>
            <w:tcW w:w="724" w:type="pct"/>
            <w:shd w:val="clear" w:color="auto" w:fill="auto"/>
            <w:vAlign w:val="center"/>
          </w:tcPr>
          <w:p w14:paraId="4DEFCCCA">
            <w:pPr>
              <w:pStyle w:val="50"/>
              <w:ind w:firstLine="0" w:firstLineChars="0"/>
              <w:rPr>
                <w:rStyle w:val="216"/>
                <w:rFonts w:hint="eastAsia" w:cstheme="minorBidi"/>
                <w:b w:val="0"/>
                <w:i w:val="0"/>
                <w:color w:val="000000"/>
                <w:kern w:val="2"/>
                <w:szCs w:val="21"/>
                <w:lang w:val="en-US" w:eastAsia="zh-CN" w:bidi="ar-SA"/>
              </w:rPr>
            </w:pPr>
            <w:r>
              <w:rPr>
                <w:rStyle w:val="216"/>
                <w:rFonts w:hint="eastAsia" w:cstheme="minorBidi"/>
                <w:b w:val="0"/>
                <w:i w:val="0"/>
                <w:color w:val="000000"/>
                <w:kern w:val="2"/>
                <w:szCs w:val="21"/>
                <w:lang w:val="en-US" w:eastAsia="zh-CN" w:bidi="ar-SA"/>
              </w:rPr>
              <w:t>技术负责人</w:t>
            </w:r>
          </w:p>
        </w:tc>
        <w:tc>
          <w:tcPr>
            <w:tcW w:w="484" w:type="pct"/>
            <w:shd w:val="clear" w:color="auto" w:fill="auto"/>
            <w:vAlign w:val="center"/>
          </w:tcPr>
          <w:p w14:paraId="2BA2A006">
            <w:pPr>
              <w:pStyle w:val="50"/>
              <w:ind w:firstLine="0" w:firstLineChars="0"/>
              <w:rPr>
                <w:rStyle w:val="216"/>
                <w:rFonts w:hint="eastAsia" w:cstheme="minorBidi"/>
                <w:b w:val="0"/>
                <w:i w:val="0"/>
                <w:color w:val="000000"/>
                <w:kern w:val="2"/>
                <w:szCs w:val="21"/>
                <w:lang w:val="en-US" w:eastAsia="zh-CN" w:bidi="ar-SA"/>
              </w:rPr>
            </w:pPr>
            <w:r>
              <w:rPr>
                <w:rStyle w:val="216"/>
                <w:rFonts w:hint="eastAsia" w:cstheme="minorBidi"/>
                <w:b w:val="0"/>
                <w:i w:val="0"/>
                <w:color w:val="000000"/>
                <w:kern w:val="2"/>
                <w:szCs w:val="21"/>
                <w:lang w:val="en-US" w:eastAsia="zh-CN" w:bidi="ar-SA"/>
              </w:rPr>
              <w:t>温涛</w:t>
            </w:r>
          </w:p>
        </w:tc>
        <w:tc>
          <w:tcPr>
            <w:tcW w:w="372" w:type="pct"/>
            <w:shd w:val="clear" w:color="auto" w:fill="auto"/>
            <w:vAlign w:val="center"/>
          </w:tcPr>
          <w:p w14:paraId="03903C80">
            <w:pPr>
              <w:pStyle w:val="50"/>
              <w:ind w:firstLine="0" w:firstLineChars="0"/>
              <w:rPr>
                <w:rStyle w:val="216"/>
                <w:rFonts w:hint="eastAsia" w:cstheme="minorBidi"/>
                <w:b w:val="0"/>
                <w:i w:val="0"/>
                <w:color w:val="000000"/>
                <w:kern w:val="2"/>
                <w:szCs w:val="21"/>
                <w:lang w:val="en-US" w:eastAsia="zh-CN" w:bidi="ar-SA"/>
              </w:rPr>
            </w:pPr>
            <w:r>
              <w:rPr>
                <w:rStyle w:val="216"/>
                <w:rFonts w:hint="eastAsia" w:cstheme="minorBidi"/>
                <w:b w:val="0"/>
                <w:i w:val="0"/>
                <w:color w:val="000000"/>
                <w:kern w:val="2"/>
                <w:szCs w:val="21"/>
                <w:lang w:val="en-US" w:eastAsia="zh-CN" w:bidi="ar-SA"/>
              </w:rPr>
              <w:t>1</w:t>
            </w:r>
          </w:p>
        </w:tc>
        <w:tc>
          <w:tcPr>
            <w:tcW w:w="2645" w:type="pct"/>
            <w:shd w:val="clear" w:color="auto" w:fill="auto"/>
            <w:vAlign w:val="center"/>
          </w:tcPr>
          <w:p w14:paraId="4F6DA92E">
            <w:pPr>
              <w:pStyle w:val="50"/>
              <w:ind w:firstLine="0" w:firstLineChars="0"/>
              <w:rPr>
                <w:rStyle w:val="216"/>
                <w:rFonts w:hint="eastAsia" w:cstheme="minorBidi"/>
                <w:b w:val="0"/>
                <w:i w:val="0"/>
                <w:color w:val="000000"/>
                <w:kern w:val="2"/>
                <w:szCs w:val="21"/>
                <w:lang w:val="en-US" w:eastAsia="zh-CN" w:bidi="ar-SA"/>
              </w:rPr>
            </w:pPr>
            <w:r>
              <w:rPr>
                <w:rStyle w:val="216"/>
                <w:rFonts w:hint="eastAsia" w:cstheme="minorBidi"/>
                <w:b w:val="0"/>
                <w:i w:val="0"/>
                <w:color w:val="000000"/>
                <w:kern w:val="2"/>
                <w:szCs w:val="21"/>
                <w:lang w:val="en-US" w:eastAsia="zh-CN" w:bidi="ar-SA"/>
              </w:rPr>
              <w:t>负责组织人员按安装工艺规程及塔吊使用说明书要求进行作业，负责每日的工作安排，安全交底、工作记录，制止任何违章作业。</w:t>
            </w:r>
          </w:p>
        </w:tc>
        <w:tc>
          <w:tcPr>
            <w:tcW w:w="409" w:type="pct"/>
            <w:shd w:val="clear" w:color="auto" w:fill="auto"/>
            <w:vAlign w:val="center"/>
          </w:tcPr>
          <w:p w14:paraId="3D0029C5">
            <w:pPr>
              <w:pStyle w:val="50"/>
            </w:pPr>
          </w:p>
        </w:tc>
      </w:tr>
      <w:tr w14:paraId="1780AB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3" w:type="pct"/>
            <w:shd w:val="clear" w:color="auto" w:fill="auto"/>
            <w:vAlign w:val="center"/>
          </w:tcPr>
          <w:p w14:paraId="5D36E481">
            <w:pPr>
              <w:pStyle w:val="50"/>
              <w:numPr>
                <w:ilvl w:val="0"/>
                <w:numId w:val="35"/>
              </w:numPr>
            </w:pPr>
          </w:p>
        </w:tc>
        <w:tc>
          <w:tcPr>
            <w:tcW w:w="724" w:type="pct"/>
            <w:shd w:val="clear" w:color="auto" w:fill="auto"/>
            <w:vAlign w:val="center"/>
          </w:tcPr>
          <w:p w14:paraId="1DE91630">
            <w:pPr>
              <w:pStyle w:val="50"/>
              <w:ind w:firstLine="0" w:firstLineChars="0"/>
              <w:rPr>
                <w:rStyle w:val="216"/>
                <w:rFonts w:hint="eastAsia" w:cstheme="minorBidi"/>
                <w:b w:val="0"/>
                <w:i w:val="0"/>
                <w:color w:val="000000"/>
                <w:kern w:val="2"/>
                <w:szCs w:val="21"/>
                <w:lang w:val="en-US" w:eastAsia="zh-CN" w:bidi="ar-SA"/>
              </w:rPr>
            </w:pPr>
            <w:r>
              <w:rPr>
                <w:rStyle w:val="216"/>
                <w:rFonts w:hint="eastAsia" w:cstheme="minorBidi"/>
                <w:b w:val="0"/>
                <w:i w:val="0"/>
                <w:color w:val="000000"/>
                <w:kern w:val="2"/>
                <w:szCs w:val="21"/>
                <w:lang w:val="en-US" w:eastAsia="zh-CN" w:bidi="ar-SA"/>
              </w:rPr>
              <w:t>项目负责人</w:t>
            </w:r>
          </w:p>
        </w:tc>
        <w:tc>
          <w:tcPr>
            <w:tcW w:w="484" w:type="pct"/>
            <w:shd w:val="clear" w:color="auto" w:fill="auto"/>
            <w:vAlign w:val="center"/>
          </w:tcPr>
          <w:p w14:paraId="16C2DDA8">
            <w:pPr>
              <w:pStyle w:val="50"/>
              <w:ind w:firstLine="0" w:firstLineChars="0"/>
              <w:rPr>
                <w:rStyle w:val="216"/>
                <w:rFonts w:hint="eastAsia" w:cstheme="minorBidi"/>
                <w:b w:val="0"/>
                <w:i w:val="0"/>
                <w:color w:val="000000"/>
                <w:kern w:val="2"/>
                <w:szCs w:val="21"/>
                <w:lang w:val="en-US" w:eastAsia="zh-CN" w:bidi="ar-SA"/>
              </w:rPr>
            </w:pPr>
            <w:r>
              <w:rPr>
                <w:rStyle w:val="216"/>
                <w:rFonts w:hint="eastAsia" w:cstheme="minorBidi"/>
                <w:b w:val="0"/>
                <w:i w:val="0"/>
                <w:color w:val="000000"/>
                <w:kern w:val="2"/>
                <w:szCs w:val="21"/>
                <w:lang w:val="en-US" w:eastAsia="zh-CN" w:bidi="ar-SA"/>
              </w:rPr>
              <w:t>吕仕昌</w:t>
            </w:r>
          </w:p>
        </w:tc>
        <w:tc>
          <w:tcPr>
            <w:tcW w:w="372" w:type="pct"/>
            <w:shd w:val="clear" w:color="auto" w:fill="auto"/>
            <w:vAlign w:val="center"/>
          </w:tcPr>
          <w:p w14:paraId="1204E371">
            <w:pPr>
              <w:pStyle w:val="50"/>
              <w:ind w:firstLine="0" w:firstLineChars="0"/>
              <w:rPr>
                <w:rStyle w:val="216"/>
                <w:rFonts w:hint="eastAsia" w:cstheme="minorBidi"/>
                <w:b w:val="0"/>
                <w:i w:val="0"/>
                <w:color w:val="000000"/>
                <w:kern w:val="2"/>
                <w:szCs w:val="21"/>
                <w:lang w:val="en-US" w:eastAsia="zh-CN" w:bidi="ar-SA"/>
              </w:rPr>
            </w:pPr>
            <w:r>
              <w:rPr>
                <w:rStyle w:val="216"/>
                <w:rFonts w:hint="eastAsia" w:cstheme="minorBidi"/>
                <w:b w:val="0"/>
                <w:i w:val="0"/>
                <w:color w:val="000000"/>
                <w:kern w:val="2"/>
                <w:szCs w:val="21"/>
                <w:lang w:val="en-US" w:eastAsia="zh-CN" w:bidi="ar-SA"/>
              </w:rPr>
              <w:t>1</w:t>
            </w:r>
          </w:p>
        </w:tc>
        <w:tc>
          <w:tcPr>
            <w:tcW w:w="2645" w:type="pct"/>
            <w:shd w:val="clear" w:color="auto" w:fill="auto"/>
            <w:vAlign w:val="center"/>
          </w:tcPr>
          <w:p w14:paraId="60961BC6">
            <w:pPr>
              <w:pStyle w:val="50"/>
              <w:ind w:firstLine="0" w:firstLineChars="0"/>
              <w:rPr>
                <w:rStyle w:val="216"/>
                <w:rFonts w:hint="eastAsia" w:cstheme="minorBidi"/>
                <w:b w:val="0"/>
                <w:i w:val="0"/>
                <w:color w:val="000000"/>
                <w:kern w:val="2"/>
                <w:szCs w:val="21"/>
                <w:lang w:val="en-US" w:eastAsia="zh-CN" w:bidi="ar-SA"/>
              </w:rPr>
            </w:pPr>
          </w:p>
        </w:tc>
        <w:tc>
          <w:tcPr>
            <w:tcW w:w="409" w:type="pct"/>
            <w:shd w:val="clear" w:color="auto" w:fill="auto"/>
            <w:vAlign w:val="center"/>
          </w:tcPr>
          <w:p w14:paraId="79B45DD5">
            <w:pPr>
              <w:pStyle w:val="50"/>
            </w:pPr>
          </w:p>
        </w:tc>
      </w:tr>
      <w:tr w14:paraId="2CD83E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63" w:type="pct"/>
            <w:shd w:val="clear" w:color="auto" w:fill="auto"/>
            <w:vAlign w:val="center"/>
          </w:tcPr>
          <w:p w14:paraId="0EBEFE5B">
            <w:pPr>
              <w:pStyle w:val="50"/>
              <w:numPr>
                <w:ilvl w:val="0"/>
                <w:numId w:val="35"/>
              </w:numPr>
            </w:pPr>
          </w:p>
        </w:tc>
        <w:tc>
          <w:tcPr>
            <w:tcW w:w="724" w:type="pct"/>
            <w:shd w:val="clear" w:color="auto" w:fill="auto"/>
            <w:vAlign w:val="center"/>
          </w:tcPr>
          <w:p w14:paraId="3AFCA985">
            <w:pPr>
              <w:pStyle w:val="50"/>
              <w:ind w:firstLine="0" w:firstLineChars="0"/>
              <w:rPr>
                <w:rStyle w:val="216"/>
                <w:rFonts w:hint="eastAsia" w:cstheme="minorBidi"/>
                <w:b w:val="0"/>
                <w:i w:val="0"/>
                <w:color w:val="000000"/>
                <w:kern w:val="2"/>
                <w:szCs w:val="21"/>
                <w:lang w:val="en-US" w:eastAsia="zh-CN" w:bidi="ar-SA"/>
              </w:rPr>
            </w:pPr>
            <w:r>
              <w:rPr>
                <w:rStyle w:val="216"/>
                <w:rFonts w:hint="eastAsia" w:cstheme="minorBidi"/>
                <w:b w:val="0"/>
                <w:i w:val="0"/>
                <w:color w:val="000000"/>
                <w:kern w:val="2"/>
                <w:szCs w:val="21"/>
                <w:lang w:val="en-US" w:eastAsia="zh-CN" w:bidi="ar-SA"/>
              </w:rPr>
              <w:t>现场负责人</w:t>
            </w:r>
          </w:p>
        </w:tc>
        <w:tc>
          <w:tcPr>
            <w:tcW w:w="484" w:type="pct"/>
            <w:shd w:val="clear" w:color="auto" w:fill="auto"/>
            <w:vAlign w:val="center"/>
          </w:tcPr>
          <w:p w14:paraId="502633DC">
            <w:pPr>
              <w:pStyle w:val="50"/>
              <w:ind w:firstLine="0" w:firstLineChars="0"/>
              <w:rPr>
                <w:rStyle w:val="216"/>
                <w:rFonts w:hint="default" w:cstheme="minorBidi"/>
                <w:b w:val="0"/>
                <w:i w:val="0"/>
                <w:color w:val="000000"/>
                <w:kern w:val="2"/>
                <w:szCs w:val="21"/>
                <w:lang w:val="en-US" w:eastAsia="zh-CN" w:bidi="ar-SA"/>
              </w:rPr>
            </w:pPr>
            <w:r>
              <w:rPr>
                <w:rStyle w:val="216"/>
                <w:rFonts w:hint="eastAsia" w:cstheme="minorBidi"/>
                <w:b w:val="0"/>
                <w:i w:val="0"/>
                <w:color w:val="000000"/>
                <w:kern w:val="2"/>
                <w:szCs w:val="21"/>
                <w:lang w:val="en-US" w:eastAsia="zh-CN" w:bidi="ar-SA"/>
              </w:rPr>
              <w:t>罗乾龙</w:t>
            </w:r>
          </w:p>
        </w:tc>
        <w:tc>
          <w:tcPr>
            <w:tcW w:w="372" w:type="pct"/>
            <w:shd w:val="clear" w:color="auto" w:fill="auto"/>
            <w:vAlign w:val="center"/>
          </w:tcPr>
          <w:p w14:paraId="140EBEEE">
            <w:pPr>
              <w:pStyle w:val="50"/>
              <w:ind w:firstLine="0" w:firstLineChars="0"/>
              <w:rPr>
                <w:rStyle w:val="216"/>
                <w:rFonts w:hint="default" w:cstheme="minorBidi"/>
                <w:b w:val="0"/>
                <w:i w:val="0"/>
                <w:color w:val="000000"/>
                <w:kern w:val="2"/>
                <w:szCs w:val="21"/>
                <w:lang w:val="en-US" w:eastAsia="zh-CN" w:bidi="ar-SA"/>
              </w:rPr>
            </w:pPr>
            <w:r>
              <w:rPr>
                <w:rStyle w:val="216"/>
                <w:rFonts w:hint="eastAsia" w:cstheme="minorBidi"/>
                <w:b w:val="0"/>
                <w:i w:val="0"/>
                <w:color w:val="000000"/>
                <w:kern w:val="2"/>
                <w:szCs w:val="21"/>
                <w:lang w:val="en-US" w:eastAsia="zh-CN" w:bidi="ar-SA"/>
              </w:rPr>
              <w:t>1</w:t>
            </w:r>
          </w:p>
        </w:tc>
        <w:tc>
          <w:tcPr>
            <w:tcW w:w="2645" w:type="pct"/>
            <w:shd w:val="clear" w:color="auto" w:fill="auto"/>
            <w:vAlign w:val="center"/>
          </w:tcPr>
          <w:p w14:paraId="08D5B6F4">
            <w:pPr>
              <w:pStyle w:val="50"/>
              <w:ind w:firstLine="0" w:firstLineChars="0"/>
              <w:rPr>
                <w:rStyle w:val="216"/>
                <w:rFonts w:hint="eastAsia" w:cstheme="minorBidi"/>
                <w:b w:val="0"/>
                <w:i w:val="0"/>
                <w:color w:val="000000"/>
                <w:kern w:val="2"/>
                <w:szCs w:val="21"/>
                <w:lang w:val="en-US" w:eastAsia="zh-CN" w:bidi="ar-SA"/>
              </w:rPr>
            </w:pPr>
            <w:r>
              <w:rPr>
                <w:rStyle w:val="216"/>
                <w:rFonts w:hint="eastAsia" w:cstheme="minorBidi"/>
                <w:b w:val="0"/>
                <w:i w:val="0"/>
                <w:color w:val="000000"/>
                <w:kern w:val="2"/>
                <w:szCs w:val="21"/>
                <w:lang w:val="en-US" w:eastAsia="zh-CN" w:bidi="ar-SA"/>
              </w:rPr>
              <w:t>负责现场安拆指导及安全管理</w:t>
            </w:r>
          </w:p>
        </w:tc>
        <w:tc>
          <w:tcPr>
            <w:tcW w:w="409" w:type="pct"/>
            <w:shd w:val="clear" w:color="auto" w:fill="auto"/>
            <w:vAlign w:val="center"/>
          </w:tcPr>
          <w:p w14:paraId="04362B59">
            <w:pPr>
              <w:pStyle w:val="50"/>
            </w:pPr>
          </w:p>
        </w:tc>
      </w:tr>
      <w:tr w14:paraId="472ED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572" w:type="pct"/>
            <w:gridSpan w:val="3"/>
            <w:shd w:val="clear" w:color="auto" w:fill="auto"/>
            <w:vAlign w:val="center"/>
          </w:tcPr>
          <w:p w14:paraId="17FCE416">
            <w:pPr>
              <w:pStyle w:val="50"/>
              <w:rPr>
                <w:rFonts w:hint="eastAsia"/>
              </w:rPr>
            </w:pPr>
            <w:r>
              <w:rPr>
                <w:rFonts w:hint="eastAsia"/>
              </w:rPr>
              <w:t>总计</w:t>
            </w:r>
          </w:p>
        </w:tc>
        <w:tc>
          <w:tcPr>
            <w:tcW w:w="372" w:type="pct"/>
            <w:shd w:val="clear" w:color="auto" w:fill="auto"/>
            <w:vAlign w:val="center"/>
          </w:tcPr>
          <w:p w14:paraId="155D5472">
            <w:pPr>
              <w:pStyle w:val="50"/>
              <w:rPr>
                <w:rFonts w:hint="eastAsia" w:eastAsia="宋体"/>
                <w:lang w:eastAsia="zh-CN"/>
              </w:rPr>
            </w:pPr>
            <w:r>
              <w:rPr>
                <w:rFonts w:hint="eastAsia"/>
                <w:lang w:val="en-US" w:eastAsia="zh-CN"/>
              </w:rPr>
              <w:t>3</w:t>
            </w:r>
          </w:p>
        </w:tc>
        <w:tc>
          <w:tcPr>
            <w:tcW w:w="2645" w:type="pct"/>
            <w:shd w:val="clear" w:color="auto" w:fill="auto"/>
            <w:vAlign w:val="center"/>
          </w:tcPr>
          <w:p w14:paraId="387D4732">
            <w:pPr>
              <w:pStyle w:val="50"/>
            </w:pPr>
          </w:p>
        </w:tc>
        <w:tc>
          <w:tcPr>
            <w:tcW w:w="409" w:type="pct"/>
            <w:shd w:val="clear" w:color="auto" w:fill="auto"/>
            <w:vAlign w:val="center"/>
          </w:tcPr>
          <w:p w14:paraId="39212254">
            <w:pPr>
              <w:pStyle w:val="50"/>
            </w:pPr>
          </w:p>
        </w:tc>
      </w:tr>
    </w:tbl>
    <w:p w14:paraId="375C85CB">
      <w:pPr>
        <w:pStyle w:val="3"/>
        <w:bidi w:val="0"/>
        <w:ind w:left="575" w:leftChars="0" w:hanging="575" w:firstLineChars="0"/>
        <w:rPr>
          <w:b/>
          <w:bCs w:val="0"/>
          <w:sz w:val="28"/>
          <w:szCs w:val="28"/>
          <w:lang w:val="en-US" w:eastAsia="zh-CN"/>
        </w:rPr>
      </w:pPr>
      <w:bookmarkStart w:id="169" w:name="_Toc27611"/>
      <w:bookmarkStart w:id="170" w:name="_Toc17792"/>
      <w:bookmarkStart w:id="171" w:name="_Toc4407"/>
      <w:r>
        <w:rPr>
          <w:b/>
          <w:bCs w:val="0"/>
          <w:sz w:val="28"/>
          <w:szCs w:val="28"/>
          <w:lang w:val="en-US" w:eastAsia="zh-CN"/>
        </w:rPr>
        <w:t>专职安全生产管理人员配备和分工</w:t>
      </w:r>
      <w:bookmarkEnd w:id="166"/>
      <w:bookmarkEnd w:id="167"/>
      <w:bookmarkEnd w:id="168"/>
      <w:bookmarkEnd w:id="169"/>
      <w:bookmarkEnd w:id="170"/>
      <w:bookmarkEnd w:id="171"/>
    </w:p>
    <w:p w14:paraId="015BF427">
      <w:pPr>
        <w:pStyle w:val="131"/>
        <w:ind w:firstLine="480"/>
        <w:rPr>
          <w:rFonts w:cs="Times New Roman"/>
        </w:rPr>
      </w:pPr>
      <w:r>
        <w:rPr>
          <w:rFonts w:cs="Times New Roman"/>
        </w:rPr>
        <w:t>施工专职安全生产管理人员配备和分工见</w:t>
      </w:r>
      <w:r>
        <w:rPr>
          <w:rFonts w:cs="Times New Roman"/>
          <w:b/>
          <w:bCs/>
        </w:rPr>
        <w:t>表7.2-1</w:t>
      </w:r>
      <w:r>
        <w:rPr>
          <w:rFonts w:cs="Times New Roman"/>
        </w:rPr>
        <w:t>。</w:t>
      </w:r>
    </w:p>
    <w:p w14:paraId="414A6E7D">
      <w:pPr>
        <w:pStyle w:val="380"/>
        <w:ind w:firstLine="0" w:firstLineChars="0"/>
        <w:rPr>
          <w:rFonts w:hint="default" w:ascii="Times New Roman" w:hAnsi="Times New Roman" w:eastAsia="宋体" w:cs="Times New Roman"/>
          <w:b w:val="0"/>
          <w:bCs w:val="0"/>
          <w:kern w:val="2"/>
          <w:sz w:val="24"/>
          <w:szCs w:val="22"/>
          <w:lang w:val="en-US" w:eastAsia="zh-CN" w:bidi="ar-SA"/>
        </w:rPr>
      </w:pPr>
      <w:r>
        <w:rPr>
          <w:rFonts w:hint="default" w:ascii="Times New Roman" w:hAnsi="Times New Roman" w:eastAsia="宋体" w:cstheme="majorBidi"/>
          <w:b/>
          <w:bCs w:val="0"/>
          <w:kern w:val="2"/>
          <w:sz w:val="21"/>
          <w:szCs w:val="20"/>
          <w:lang w:val="en-US" w:eastAsia="zh-CN" w:bidi="ar-SA"/>
        </w:rPr>
        <w:t xml:space="preserve">表 </w:t>
      </w:r>
      <w:r>
        <w:rPr>
          <w:rFonts w:hint="default" w:ascii="Times New Roman" w:hAnsi="Times New Roman" w:eastAsia="宋体" w:cstheme="majorBidi"/>
          <w:b/>
          <w:bCs w:val="0"/>
          <w:kern w:val="2"/>
          <w:sz w:val="21"/>
          <w:szCs w:val="20"/>
          <w:lang w:val="en-US" w:eastAsia="zh-CN" w:bidi="ar-SA"/>
        </w:rPr>
        <w:fldChar w:fldCharType="begin"/>
      </w:r>
      <w:r>
        <w:rPr>
          <w:rFonts w:hint="default" w:ascii="Times New Roman" w:hAnsi="Times New Roman" w:eastAsia="宋体" w:cstheme="majorBidi"/>
          <w:b/>
          <w:bCs w:val="0"/>
          <w:kern w:val="2"/>
          <w:sz w:val="21"/>
          <w:szCs w:val="20"/>
          <w:lang w:val="en-US" w:eastAsia="zh-CN" w:bidi="ar-SA"/>
        </w:rPr>
        <w:instrText xml:space="preserve"> STYLEREF 2 \s </w:instrText>
      </w:r>
      <w:r>
        <w:rPr>
          <w:rFonts w:hint="default" w:ascii="Times New Roman" w:hAnsi="Times New Roman" w:eastAsia="宋体" w:cstheme="majorBidi"/>
          <w:b/>
          <w:bCs w:val="0"/>
          <w:kern w:val="2"/>
          <w:sz w:val="21"/>
          <w:szCs w:val="20"/>
          <w:lang w:val="en-US" w:eastAsia="zh-CN" w:bidi="ar-SA"/>
        </w:rPr>
        <w:fldChar w:fldCharType="separate"/>
      </w:r>
      <w:r>
        <w:rPr>
          <w:rFonts w:hint="default" w:ascii="Times New Roman" w:hAnsi="Times New Roman" w:eastAsia="宋体" w:cstheme="majorBidi"/>
          <w:b/>
          <w:bCs w:val="0"/>
          <w:kern w:val="2"/>
          <w:sz w:val="21"/>
          <w:szCs w:val="20"/>
          <w:lang w:val="en-US" w:eastAsia="zh-CN" w:bidi="ar-SA"/>
        </w:rPr>
        <w:t>7.2</w:t>
      </w:r>
      <w:r>
        <w:rPr>
          <w:rFonts w:hint="default" w:ascii="Times New Roman" w:hAnsi="Times New Roman" w:eastAsia="宋体" w:cstheme="majorBidi"/>
          <w:b/>
          <w:bCs w:val="0"/>
          <w:kern w:val="2"/>
          <w:sz w:val="21"/>
          <w:szCs w:val="20"/>
          <w:lang w:val="en-US" w:eastAsia="zh-CN" w:bidi="ar-SA"/>
        </w:rPr>
        <w:fldChar w:fldCharType="end"/>
      </w:r>
      <w:r>
        <w:rPr>
          <w:rFonts w:hint="default" w:ascii="Times New Roman" w:hAnsi="Times New Roman" w:eastAsia="宋体" w:cstheme="majorBidi"/>
          <w:b/>
          <w:bCs w:val="0"/>
          <w:kern w:val="2"/>
          <w:sz w:val="21"/>
          <w:szCs w:val="20"/>
          <w:lang w:val="en-US" w:eastAsia="zh-CN" w:bidi="ar-SA"/>
        </w:rPr>
        <w:noBreakHyphen/>
      </w:r>
      <w:r>
        <w:rPr>
          <w:rFonts w:hint="default" w:ascii="Times New Roman" w:hAnsi="Times New Roman" w:eastAsia="宋体" w:cstheme="majorBidi"/>
          <w:b/>
          <w:bCs w:val="0"/>
          <w:kern w:val="2"/>
          <w:sz w:val="21"/>
          <w:szCs w:val="20"/>
          <w:lang w:val="en-US" w:eastAsia="zh-CN" w:bidi="ar-SA"/>
        </w:rPr>
        <w:fldChar w:fldCharType="begin"/>
      </w:r>
      <w:r>
        <w:rPr>
          <w:rFonts w:hint="default" w:ascii="Times New Roman" w:hAnsi="Times New Roman" w:eastAsia="宋体" w:cstheme="majorBidi"/>
          <w:b/>
          <w:bCs w:val="0"/>
          <w:kern w:val="2"/>
          <w:sz w:val="21"/>
          <w:szCs w:val="20"/>
          <w:lang w:val="en-US" w:eastAsia="zh-CN" w:bidi="ar-SA"/>
        </w:rPr>
        <w:instrText xml:space="preserve"> SEQ 表 \* ARABIC \s 2 </w:instrText>
      </w:r>
      <w:r>
        <w:rPr>
          <w:rFonts w:hint="default" w:ascii="Times New Roman" w:hAnsi="Times New Roman" w:eastAsia="宋体" w:cstheme="majorBidi"/>
          <w:b/>
          <w:bCs w:val="0"/>
          <w:kern w:val="2"/>
          <w:sz w:val="21"/>
          <w:szCs w:val="20"/>
          <w:lang w:val="en-US" w:eastAsia="zh-CN" w:bidi="ar-SA"/>
        </w:rPr>
        <w:fldChar w:fldCharType="separate"/>
      </w:r>
      <w:r>
        <w:rPr>
          <w:rFonts w:hint="default" w:ascii="Times New Roman" w:hAnsi="Times New Roman" w:eastAsia="宋体" w:cstheme="majorBidi"/>
          <w:b/>
          <w:bCs w:val="0"/>
          <w:kern w:val="2"/>
          <w:sz w:val="21"/>
          <w:szCs w:val="20"/>
          <w:lang w:val="en-US" w:eastAsia="zh-CN" w:bidi="ar-SA"/>
        </w:rPr>
        <w:t>1</w:t>
      </w:r>
      <w:r>
        <w:rPr>
          <w:rFonts w:hint="default" w:ascii="Times New Roman" w:hAnsi="Times New Roman" w:eastAsia="宋体" w:cstheme="majorBidi"/>
          <w:b/>
          <w:bCs w:val="0"/>
          <w:kern w:val="2"/>
          <w:sz w:val="21"/>
          <w:szCs w:val="20"/>
          <w:lang w:val="en-US" w:eastAsia="zh-CN" w:bidi="ar-SA"/>
        </w:rPr>
        <w:fldChar w:fldCharType="end"/>
      </w:r>
      <w:r>
        <w:rPr>
          <w:rFonts w:hint="default" w:ascii="Times New Roman" w:hAnsi="Times New Roman" w:eastAsia="宋体" w:cstheme="majorBidi"/>
          <w:b/>
          <w:bCs w:val="0"/>
          <w:kern w:val="2"/>
          <w:sz w:val="21"/>
          <w:szCs w:val="20"/>
          <w:lang w:val="en-US" w:eastAsia="zh-CN" w:bidi="ar-SA"/>
        </w:rPr>
        <w:t xml:space="preserve">  专职安全生产管理人员配备和分工表</w:t>
      </w:r>
    </w:p>
    <w:tbl>
      <w:tblPr>
        <w:tblStyle w:val="128"/>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1319"/>
        <w:gridCol w:w="734"/>
        <w:gridCol w:w="730"/>
        <w:gridCol w:w="4400"/>
        <w:gridCol w:w="1387"/>
      </w:tblGrid>
      <w:tr w14:paraId="025EDB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4" w:type="pct"/>
            <w:shd w:val="clear" w:color="auto" w:fill="auto"/>
            <w:vAlign w:val="center"/>
          </w:tcPr>
          <w:p w14:paraId="5E780340">
            <w:pPr>
              <w:pStyle w:val="50"/>
              <w:rPr>
                <w:b/>
              </w:rPr>
            </w:pPr>
            <w:r>
              <w:rPr>
                <w:rFonts w:hint="eastAsia"/>
                <w:b/>
              </w:rPr>
              <w:t>序号</w:t>
            </w:r>
          </w:p>
        </w:tc>
        <w:tc>
          <w:tcPr>
            <w:tcW w:w="710" w:type="pct"/>
            <w:shd w:val="clear" w:color="auto" w:fill="auto"/>
            <w:vAlign w:val="center"/>
          </w:tcPr>
          <w:p w14:paraId="5024DF92">
            <w:pPr>
              <w:pStyle w:val="50"/>
              <w:rPr>
                <w:b/>
              </w:rPr>
            </w:pPr>
            <w:r>
              <w:rPr>
                <w:rFonts w:hint="eastAsia"/>
                <w:b/>
              </w:rPr>
              <w:t>工种</w:t>
            </w:r>
          </w:p>
        </w:tc>
        <w:tc>
          <w:tcPr>
            <w:tcW w:w="394" w:type="pct"/>
            <w:shd w:val="clear" w:color="auto" w:fill="auto"/>
            <w:vAlign w:val="center"/>
          </w:tcPr>
          <w:p w14:paraId="77DF2057">
            <w:pPr>
              <w:pStyle w:val="50"/>
              <w:rPr>
                <w:rFonts w:hint="eastAsia" w:eastAsia="宋体"/>
                <w:b/>
                <w:lang w:val="en-US" w:eastAsia="zh-CN"/>
              </w:rPr>
            </w:pPr>
            <w:r>
              <w:rPr>
                <w:rFonts w:hint="eastAsia"/>
                <w:b/>
                <w:lang w:val="en-US" w:eastAsia="zh-CN"/>
              </w:rPr>
              <w:t>姓名</w:t>
            </w:r>
          </w:p>
        </w:tc>
        <w:tc>
          <w:tcPr>
            <w:tcW w:w="393" w:type="pct"/>
            <w:shd w:val="clear" w:color="auto" w:fill="auto"/>
            <w:vAlign w:val="center"/>
          </w:tcPr>
          <w:p w14:paraId="1E8658A7">
            <w:pPr>
              <w:pStyle w:val="50"/>
              <w:rPr>
                <w:b/>
              </w:rPr>
            </w:pPr>
            <w:r>
              <w:rPr>
                <w:rFonts w:hint="eastAsia"/>
                <w:b/>
              </w:rPr>
              <w:t>人数</w:t>
            </w:r>
          </w:p>
        </w:tc>
        <w:tc>
          <w:tcPr>
            <w:tcW w:w="2369" w:type="pct"/>
            <w:shd w:val="clear" w:color="auto" w:fill="auto"/>
            <w:vAlign w:val="center"/>
          </w:tcPr>
          <w:p w14:paraId="314984D4">
            <w:pPr>
              <w:pStyle w:val="50"/>
              <w:rPr>
                <w:b/>
              </w:rPr>
            </w:pPr>
            <w:r>
              <w:rPr>
                <w:rFonts w:hint="eastAsia"/>
                <w:b/>
              </w:rPr>
              <w:t>工作职责</w:t>
            </w:r>
          </w:p>
        </w:tc>
        <w:tc>
          <w:tcPr>
            <w:tcW w:w="747" w:type="pct"/>
            <w:shd w:val="clear" w:color="auto" w:fill="auto"/>
            <w:vAlign w:val="center"/>
          </w:tcPr>
          <w:p w14:paraId="0E64352F">
            <w:pPr>
              <w:pStyle w:val="50"/>
              <w:rPr>
                <w:b/>
              </w:rPr>
            </w:pPr>
            <w:r>
              <w:rPr>
                <w:rFonts w:hint="eastAsia"/>
                <w:b/>
              </w:rPr>
              <w:t>备注</w:t>
            </w:r>
          </w:p>
        </w:tc>
      </w:tr>
      <w:tr w14:paraId="2D37F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84" w:type="pct"/>
            <w:shd w:val="clear" w:color="auto" w:fill="auto"/>
            <w:vAlign w:val="center"/>
          </w:tcPr>
          <w:p w14:paraId="2DCD86B4">
            <w:pPr>
              <w:pStyle w:val="50"/>
              <w:numPr>
                <w:ilvl w:val="0"/>
                <w:numId w:val="36"/>
              </w:numPr>
            </w:pPr>
          </w:p>
        </w:tc>
        <w:tc>
          <w:tcPr>
            <w:tcW w:w="710" w:type="pct"/>
            <w:shd w:val="clear" w:color="auto" w:fill="auto"/>
            <w:vAlign w:val="center"/>
          </w:tcPr>
          <w:p w14:paraId="7422CBE0">
            <w:pPr>
              <w:pStyle w:val="50"/>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专职安全管理人员</w:t>
            </w:r>
          </w:p>
        </w:tc>
        <w:tc>
          <w:tcPr>
            <w:tcW w:w="394" w:type="pct"/>
            <w:shd w:val="clear" w:color="auto" w:fill="auto"/>
            <w:vAlign w:val="center"/>
          </w:tcPr>
          <w:p w14:paraId="1A3004E9">
            <w:pPr>
              <w:pStyle w:val="50"/>
              <w:rPr>
                <w:rFonts w:hint="eastAsia" w:ascii="Times New Roman" w:hAnsi="Times New Roman" w:eastAsia="宋体" w:cs="Times New Roman"/>
                <w:b w:val="0"/>
                <w:color w:val="000000"/>
                <w:kern w:val="2"/>
                <w:sz w:val="21"/>
                <w:szCs w:val="21"/>
                <w:lang w:val="en-US" w:eastAsia="zh-CN" w:bidi="ar-SA"/>
              </w:rPr>
            </w:pPr>
            <w:r>
              <w:rPr>
                <w:rFonts w:hint="eastAsia" w:cs="Times New Roman"/>
                <w:b w:val="0"/>
                <w:color w:val="000000"/>
                <w:kern w:val="2"/>
                <w:sz w:val="21"/>
                <w:szCs w:val="21"/>
                <w:lang w:val="en-US" w:eastAsia="zh-CN" w:bidi="ar-SA"/>
              </w:rPr>
              <w:t>白美富</w:t>
            </w:r>
          </w:p>
        </w:tc>
        <w:tc>
          <w:tcPr>
            <w:tcW w:w="393" w:type="pct"/>
            <w:shd w:val="clear" w:color="auto" w:fill="auto"/>
            <w:vAlign w:val="center"/>
          </w:tcPr>
          <w:p w14:paraId="41DB03EE">
            <w:pPr>
              <w:pStyle w:val="50"/>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1</w:t>
            </w:r>
          </w:p>
        </w:tc>
        <w:tc>
          <w:tcPr>
            <w:tcW w:w="2369" w:type="pct"/>
            <w:shd w:val="clear" w:color="auto" w:fill="auto"/>
            <w:vAlign w:val="center"/>
          </w:tcPr>
          <w:p w14:paraId="7D766F28">
            <w:pPr>
              <w:pStyle w:val="50"/>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负责现场安全管理</w:t>
            </w:r>
          </w:p>
        </w:tc>
        <w:tc>
          <w:tcPr>
            <w:tcW w:w="747" w:type="pct"/>
            <w:shd w:val="clear" w:color="auto" w:fill="auto"/>
            <w:vAlign w:val="center"/>
          </w:tcPr>
          <w:p w14:paraId="7877429C">
            <w:pPr>
              <w:pStyle w:val="50"/>
              <w:rPr>
                <w:rFonts w:hint="eastAsia" w:ascii="Times New Roman" w:hAnsi="Times New Roman" w:eastAsia="宋体" w:cs="Times New Roman"/>
                <w:b w:val="0"/>
                <w:color w:val="000000"/>
                <w:kern w:val="2"/>
                <w:sz w:val="21"/>
                <w:szCs w:val="21"/>
                <w:lang w:val="en-US" w:eastAsia="zh-CN" w:bidi="ar-SA"/>
              </w:rPr>
            </w:pPr>
          </w:p>
        </w:tc>
      </w:tr>
      <w:tr w14:paraId="2B938E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89" w:type="pct"/>
            <w:gridSpan w:val="3"/>
            <w:shd w:val="clear" w:color="auto" w:fill="auto"/>
            <w:vAlign w:val="center"/>
          </w:tcPr>
          <w:p w14:paraId="42F30F41">
            <w:pPr>
              <w:pStyle w:val="50"/>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总计</w:t>
            </w:r>
          </w:p>
        </w:tc>
        <w:tc>
          <w:tcPr>
            <w:tcW w:w="393" w:type="pct"/>
            <w:shd w:val="clear" w:color="auto" w:fill="auto"/>
            <w:vAlign w:val="center"/>
          </w:tcPr>
          <w:p w14:paraId="3664C2C1">
            <w:pPr>
              <w:pStyle w:val="50"/>
              <w:rPr>
                <w:rFonts w:hint="eastAsia" w:ascii="Times New Roman" w:hAnsi="Times New Roman" w:eastAsia="宋体" w:cs="Times New Roman"/>
                <w:b w:val="0"/>
                <w:color w:val="000000"/>
                <w:kern w:val="2"/>
                <w:sz w:val="21"/>
                <w:szCs w:val="21"/>
                <w:lang w:val="en-US" w:eastAsia="zh-CN" w:bidi="ar-SA"/>
              </w:rPr>
            </w:pPr>
            <w:r>
              <w:rPr>
                <w:rFonts w:hint="eastAsia" w:ascii="Times New Roman" w:hAnsi="Times New Roman" w:eastAsia="宋体" w:cs="Times New Roman"/>
                <w:b w:val="0"/>
                <w:color w:val="000000"/>
                <w:kern w:val="2"/>
                <w:sz w:val="21"/>
                <w:szCs w:val="21"/>
                <w:lang w:val="en-US" w:eastAsia="zh-CN" w:bidi="ar-SA"/>
              </w:rPr>
              <w:t>1</w:t>
            </w:r>
          </w:p>
        </w:tc>
        <w:tc>
          <w:tcPr>
            <w:tcW w:w="2369" w:type="pct"/>
            <w:shd w:val="clear" w:color="auto" w:fill="auto"/>
            <w:vAlign w:val="center"/>
          </w:tcPr>
          <w:p w14:paraId="20983170">
            <w:pPr>
              <w:pStyle w:val="50"/>
              <w:rPr>
                <w:rFonts w:hint="eastAsia" w:ascii="Times New Roman" w:hAnsi="Times New Roman" w:eastAsia="宋体" w:cs="Times New Roman"/>
                <w:b w:val="0"/>
                <w:color w:val="000000"/>
                <w:kern w:val="2"/>
                <w:sz w:val="21"/>
                <w:szCs w:val="21"/>
                <w:lang w:val="en-US" w:eastAsia="zh-CN" w:bidi="ar-SA"/>
              </w:rPr>
            </w:pPr>
          </w:p>
        </w:tc>
        <w:tc>
          <w:tcPr>
            <w:tcW w:w="747" w:type="pct"/>
            <w:shd w:val="clear" w:color="auto" w:fill="auto"/>
            <w:vAlign w:val="center"/>
          </w:tcPr>
          <w:p w14:paraId="1A316495">
            <w:pPr>
              <w:pStyle w:val="50"/>
              <w:rPr>
                <w:rFonts w:hint="eastAsia" w:ascii="Times New Roman" w:hAnsi="Times New Roman" w:eastAsia="宋体" w:cs="Times New Roman"/>
                <w:b w:val="0"/>
                <w:color w:val="000000"/>
                <w:kern w:val="2"/>
                <w:sz w:val="21"/>
                <w:szCs w:val="21"/>
                <w:lang w:val="en-US" w:eastAsia="zh-CN" w:bidi="ar-SA"/>
              </w:rPr>
            </w:pPr>
          </w:p>
        </w:tc>
      </w:tr>
    </w:tbl>
    <w:p w14:paraId="5093B041">
      <w:pPr>
        <w:pStyle w:val="16"/>
        <w:rPr>
          <w:rFonts w:hint="eastAsia" w:ascii="Times New Roman" w:hAnsi="Times New Roman" w:eastAsia="宋体" w:cs="Times New Roman"/>
          <w:b w:val="0"/>
          <w:bCs w:val="0"/>
          <w:kern w:val="2"/>
          <w:sz w:val="24"/>
          <w:szCs w:val="22"/>
          <w:lang w:val="en-US" w:eastAsia="zh-CN" w:bidi="ar-SA"/>
        </w:rPr>
      </w:pPr>
      <w:r>
        <w:rPr>
          <w:rFonts w:hint="eastAsia" w:ascii="Times New Roman" w:hAnsi="Times New Roman" w:eastAsia="宋体" w:cstheme="majorBidi"/>
          <w:b/>
          <w:bCs w:val="0"/>
          <w:kern w:val="2"/>
          <w:sz w:val="21"/>
          <w:szCs w:val="20"/>
          <w:lang w:val="en-US" w:eastAsia="zh-CN" w:bidi="ar-SA"/>
        </w:rPr>
        <w:t>表 7.2-2安拆专业分包单位管理人员及安拆人员名单汇总表</w:t>
      </w:r>
    </w:p>
    <w:tbl>
      <w:tblPr>
        <w:tblStyle w:val="15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2160"/>
        <w:gridCol w:w="2173"/>
        <w:gridCol w:w="2134"/>
        <w:gridCol w:w="1790"/>
      </w:tblGrid>
      <w:tr w14:paraId="144E0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9286" w:type="dxa"/>
            <w:gridSpan w:val="5"/>
            <w:tcBorders>
              <w:tl2br w:val="nil"/>
            </w:tcBorders>
            <w:shd w:val="clear" w:color="auto" w:fill="FFFFFF"/>
            <w:vAlign w:val="center"/>
          </w:tcPr>
          <w:p w14:paraId="3AA6A92D">
            <w:pPr>
              <w:spacing w:line="240" w:lineRule="auto"/>
              <w:ind w:firstLine="0" w:firstLineChars="0"/>
              <w:jc w:val="center"/>
              <w:rPr>
                <w:rStyle w:val="216"/>
                <w:rFonts w:cstheme="minorBidi"/>
                <w:b/>
                <w:bCs/>
                <w:i w:val="0"/>
                <w:color w:val="000000"/>
              </w:rPr>
            </w:pPr>
            <w:r>
              <w:rPr>
                <w:rStyle w:val="216"/>
                <w:rFonts w:hint="eastAsia" w:cstheme="minorBidi"/>
                <w:b/>
                <w:bCs/>
                <w:i w:val="0"/>
                <w:color w:val="000000"/>
              </w:rPr>
              <w:t>拟投入安全管理人员及技术人员名单</w:t>
            </w:r>
          </w:p>
        </w:tc>
      </w:tr>
      <w:tr w14:paraId="6A2977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015" w:type="dxa"/>
            <w:shd w:val="clear" w:color="auto" w:fill="FFFFFF"/>
            <w:vAlign w:val="center"/>
          </w:tcPr>
          <w:p w14:paraId="7FD20EA4">
            <w:pPr>
              <w:spacing w:line="240" w:lineRule="auto"/>
              <w:ind w:firstLine="0" w:firstLineChars="0"/>
              <w:jc w:val="center"/>
              <w:rPr>
                <w:rStyle w:val="216"/>
                <w:rFonts w:cstheme="minorBidi"/>
                <w:b/>
                <w:bCs/>
                <w:i w:val="0"/>
                <w:color w:val="000000"/>
              </w:rPr>
            </w:pPr>
            <w:r>
              <w:rPr>
                <w:rStyle w:val="216"/>
                <w:rFonts w:hint="eastAsia" w:cstheme="minorBidi"/>
                <w:b/>
                <w:bCs/>
                <w:i w:val="0"/>
                <w:color w:val="000000"/>
              </w:rPr>
              <w:t>姓名</w:t>
            </w:r>
          </w:p>
        </w:tc>
        <w:tc>
          <w:tcPr>
            <w:tcW w:w="2132" w:type="dxa"/>
            <w:shd w:val="clear" w:color="auto" w:fill="FFFFFF"/>
            <w:vAlign w:val="center"/>
          </w:tcPr>
          <w:p w14:paraId="1258CDFC">
            <w:pPr>
              <w:spacing w:line="240" w:lineRule="auto"/>
              <w:ind w:firstLine="0" w:firstLineChars="0"/>
              <w:jc w:val="center"/>
              <w:rPr>
                <w:rStyle w:val="216"/>
                <w:rFonts w:cstheme="minorBidi"/>
                <w:b/>
                <w:bCs/>
                <w:color w:val="000000"/>
              </w:rPr>
            </w:pPr>
            <w:r>
              <w:rPr>
                <w:rStyle w:val="216"/>
                <w:rFonts w:hint="eastAsia" w:cstheme="minorBidi"/>
                <w:b/>
                <w:bCs/>
                <w:color w:val="000000"/>
              </w:rPr>
              <w:t>职务/工种</w:t>
            </w:r>
          </w:p>
        </w:tc>
        <w:tc>
          <w:tcPr>
            <w:tcW w:w="2145" w:type="dxa"/>
            <w:shd w:val="clear" w:color="auto" w:fill="FFFFFF"/>
            <w:vAlign w:val="center"/>
          </w:tcPr>
          <w:p w14:paraId="796E5DCA">
            <w:pPr>
              <w:spacing w:line="240" w:lineRule="auto"/>
              <w:ind w:firstLine="0" w:firstLineChars="0"/>
              <w:jc w:val="center"/>
              <w:rPr>
                <w:rStyle w:val="216"/>
                <w:rFonts w:cstheme="minorBidi"/>
                <w:b/>
                <w:bCs/>
                <w:color w:val="000000"/>
              </w:rPr>
            </w:pPr>
            <w:r>
              <w:rPr>
                <w:rStyle w:val="216"/>
                <w:rFonts w:hint="eastAsia" w:cstheme="minorBidi"/>
                <w:b/>
                <w:bCs/>
                <w:color w:val="000000"/>
              </w:rPr>
              <w:t>身份证号码</w:t>
            </w:r>
          </w:p>
        </w:tc>
        <w:tc>
          <w:tcPr>
            <w:tcW w:w="0" w:type="auto"/>
            <w:shd w:val="clear" w:color="auto" w:fill="FFFFFF"/>
            <w:vAlign w:val="center"/>
          </w:tcPr>
          <w:p w14:paraId="7C5D1395">
            <w:pPr>
              <w:spacing w:line="240" w:lineRule="auto"/>
              <w:ind w:firstLine="0" w:firstLineChars="0"/>
              <w:jc w:val="center"/>
              <w:rPr>
                <w:rStyle w:val="216"/>
                <w:rFonts w:cstheme="minorBidi"/>
                <w:b/>
                <w:bCs/>
                <w:color w:val="000000"/>
              </w:rPr>
            </w:pPr>
            <w:r>
              <w:rPr>
                <w:rStyle w:val="216"/>
                <w:rFonts w:hint="eastAsia" w:cstheme="minorBidi"/>
                <w:b/>
                <w:bCs/>
                <w:color w:val="000000"/>
              </w:rPr>
              <w:t>作业证号</w:t>
            </w:r>
          </w:p>
        </w:tc>
        <w:tc>
          <w:tcPr>
            <w:tcW w:w="1766" w:type="dxa"/>
            <w:shd w:val="clear" w:color="auto" w:fill="FFFFFF"/>
            <w:vAlign w:val="center"/>
          </w:tcPr>
          <w:p w14:paraId="53F56A1C">
            <w:pPr>
              <w:spacing w:line="240" w:lineRule="auto"/>
              <w:ind w:firstLine="0" w:firstLineChars="0"/>
              <w:jc w:val="center"/>
              <w:rPr>
                <w:rStyle w:val="216"/>
                <w:rFonts w:cstheme="minorBidi"/>
                <w:b/>
                <w:bCs/>
                <w:color w:val="000000"/>
              </w:rPr>
            </w:pPr>
            <w:r>
              <w:rPr>
                <w:rStyle w:val="216"/>
                <w:rFonts w:hint="eastAsia" w:cstheme="minorBidi"/>
                <w:b/>
                <w:bCs/>
                <w:color w:val="000000"/>
              </w:rPr>
              <w:t>工作内容</w:t>
            </w:r>
          </w:p>
        </w:tc>
      </w:tr>
      <w:tr w14:paraId="70E6C6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286" w:type="dxa"/>
            <w:gridSpan w:val="5"/>
            <w:shd w:val="clear" w:color="auto" w:fill="FFFFFF"/>
            <w:vAlign w:val="center"/>
          </w:tcPr>
          <w:p w14:paraId="3530A764">
            <w:pPr>
              <w:spacing w:line="240" w:lineRule="auto"/>
              <w:ind w:firstLine="0" w:firstLineChars="0"/>
              <w:jc w:val="center"/>
              <w:rPr>
                <w:rStyle w:val="216"/>
                <w:rFonts w:cstheme="minorBidi"/>
                <w:b w:val="0"/>
                <w:i w:val="0"/>
                <w:color w:val="000000"/>
              </w:rPr>
            </w:pPr>
            <w:r>
              <w:rPr>
                <w:rStyle w:val="216"/>
                <w:rFonts w:hint="eastAsia" w:cstheme="minorBidi"/>
                <w:b w:val="0"/>
                <w:i w:val="0"/>
                <w:color w:val="000000"/>
              </w:rPr>
              <w:t>安拆施工特种设备作业人员</w:t>
            </w:r>
          </w:p>
        </w:tc>
      </w:tr>
      <w:tr w14:paraId="2A50D6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5" w:type="dxa"/>
            <w:shd w:val="clear" w:color="auto" w:fill="FFFFFF"/>
            <w:vAlign w:val="center"/>
          </w:tcPr>
          <w:p w14:paraId="4081D4FA">
            <w:pPr>
              <w:spacing w:line="240" w:lineRule="auto"/>
              <w:ind w:firstLine="0" w:firstLineChars="0"/>
              <w:jc w:val="center"/>
              <w:rPr>
                <w:rStyle w:val="216"/>
                <w:rFonts w:hint="eastAsia" w:eastAsia="宋体" w:cstheme="minorBidi"/>
                <w:b w:val="0"/>
                <w:i w:val="0"/>
                <w:color w:val="000000"/>
                <w:lang w:val="en-US" w:eastAsia="zh-CN"/>
              </w:rPr>
            </w:pPr>
            <w:r>
              <w:rPr>
                <w:rStyle w:val="216"/>
                <w:rFonts w:hint="eastAsia" w:cstheme="minorBidi"/>
                <w:b w:val="0"/>
                <w:i w:val="0"/>
                <w:color w:val="000000"/>
                <w:lang w:val="en-US" w:eastAsia="zh-CN"/>
              </w:rPr>
              <w:t>胡杰</w:t>
            </w:r>
          </w:p>
        </w:tc>
        <w:tc>
          <w:tcPr>
            <w:tcW w:w="2132" w:type="dxa"/>
            <w:shd w:val="clear" w:color="auto" w:fill="FFFFFF"/>
            <w:vAlign w:val="center"/>
          </w:tcPr>
          <w:p w14:paraId="2FCB49A2">
            <w:pPr>
              <w:spacing w:line="240" w:lineRule="auto"/>
              <w:ind w:firstLine="0" w:firstLineChars="0"/>
              <w:jc w:val="center"/>
              <w:rPr>
                <w:rStyle w:val="216"/>
                <w:rFonts w:cstheme="minorBidi"/>
                <w:b w:val="0"/>
                <w:color w:val="000000"/>
              </w:rPr>
            </w:pPr>
            <w:r>
              <w:rPr>
                <w:rStyle w:val="216"/>
                <w:rFonts w:hint="eastAsia" w:cstheme="minorBidi"/>
                <w:b w:val="0"/>
                <w:color w:val="000000"/>
              </w:rPr>
              <w:t>建筑起重机械安装拆卸工（塔式起重机</w:t>
            </w:r>
          </w:p>
        </w:tc>
        <w:tc>
          <w:tcPr>
            <w:tcW w:w="2145" w:type="dxa"/>
            <w:shd w:val="clear" w:color="auto" w:fill="FFFFFF"/>
            <w:vAlign w:val="center"/>
          </w:tcPr>
          <w:p w14:paraId="5998268A">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500384199202280315</w:t>
            </w:r>
          </w:p>
        </w:tc>
        <w:tc>
          <w:tcPr>
            <w:tcW w:w="0" w:type="auto"/>
            <w:shd w:val="clear" w:color="auto" w:fill="FFFFFF"/>
            <w:vAlign w:val="center"/>
          </w:tcPr>
          <w:p w14:paraId="0D6E228D">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渝A082019011037</w:t>
            </w:r>
          </w:p>
        </w:tc>
        <w:tc>
          <w:tcPr>
            <w:tcW w:w="1766" w:type="dxa"/>
            <w:shd w:val="clear" w:color="auto" w:fill="FFFFFF"/>
            <w:vAlign w:val="center"/>
          </w:tcPr>
          <w:p w14:paraId="157A72FA">
            <w:pPr>
              <w:spacing w:line="240" w:lineRule="auto"/>
              <w:ind w:firstLine="0" w:firstLineChars="0"/>
              <w:jc w:val="center"/>
              <w:rPr>
                <w:rStyle w:val="216"/>
                <w:rFonts w:cstheme="minorBidi"/>
                <w:b w:val="0"/>
                <w:color w:val="000000"/>
              </w:rPr>
            </w:pPr>
            <w:r>
              <w:rPr>
                <w:rStyle w:val="216"/>
                <w:rFonts w:hint="eastAsia" w:cstheme="minorBidi"/>
                <w:b w:val="0"/>
                <w:color w:val="000000"/>
              </w:rPr>
              <w:t>负责设备安拆调试及维保</w:t>
            </w:r>
          </w:p>
        </w:tc>
      </w:tr>
      <w:tr w14:paraId="066AAA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5" w:type="dxa"/>
            <w:shd w:val="clear" w:color="auto" w:fill="FFFFFF"/>
            <w:vAlign w:val="center"/>
          </w:tcPr>
          <w:p w14:paraId="7DEBCA52">
            <w:pPr>
              <w:spacing w:line="240" w:lineRule="auto"/>
              <w:ind w:firstLine="0" w:firstLineChars="0"/>
              <w:jc w:val="center"/>
              <w:rPr>
                <w:rStyle w:val="216"/>
                <w:rFonts w:hint="eastAsia" w:eastAsia="宋体" w:cstheme="minorBidi"/>
                <w:b w:val="0"/>
                <w:i w:val="0"/>
                <w:color w:val="000000"/>
                <w:lang w:val="en-US" w:eastAsia="zh-CN"/>
              </w:rPr>
            </w:pPr>
            <w:r>
              <w:rPr>
                <w:rStyle w:val="216"/>
                <w:rFonts w:hint="eastAsia" w:cstheme="minorBidi"/>
                <w:b w:val="0"/>
                <w:i w:val="0"/>
                <w:color w:val="000000"/>
                <w:lang w:val="en-US" w:eastAsia="zh-CN"/>
              </w:rPr>
              <w:t>何小兵</w:t>
            </w:r>
          </w:p>
        </w:tc>
        <w:tc>
          <w:tcPr>
            <w:tcW w:w="2132" w:type="dxa"/>
            <w:shd w:val="clear" w:color="auto" w:fill="FFFFFF"/>
            <w:vAlign w:val="center"/>
          </w:tcPr>
          <w:p w14:paraId="687D5BC2">
            <w:pPr>
              <w:spacing w:line="240" w:lineRule="auto"/>
              <w:ind w:firstLine="0" w:firstLineChars="0"/>
              <w:jc w:val="center"/>
              <w:rPr>
                <w:rStyle w:val="216"/>
                <w:rFonts w:cstheme="minorBidi"/>
                <w:b w:val="0"/>
                <w:color w:val="000000"/>
              </w:rPr>
            </w:pPr>
            <w:r>
              <w:rPr>
                <w:rStyle w:val="216"/>
                <w:rFonts w:hint="eastAsia" w:cstheme="minorBidi"/>
                <w:b w:val="0"/>
                <w:color w:val="000000"/>
              </w:rPr>
              <w:t>建筑起重机械安装拆卸工（塔式起重机）</w:t>
            </w:r>
          </w:p>
        </w:tc>
        <w:tc>
          <w:tcPr>
            <w:tcW w:w="2145" w:type="dxa"/>
            <w:shd w:val="clear" w:color="auto" w:fill="FFFFFF"/>
            <w:vAlign w:val="center"/>
          </w:tcPr>
          <w:p w14:paraId="75CD015C">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513723198610154237</w:t>
            </w:r>
          </w:p>
        </w:tc>
        <w:tc>
          <w:tcPr>
            <w:tcW w:w="0" w:type="auto"/>
            <w:shd w:val="clear" w:color="auto" w:fill="FFFFFF"/>
            <w:vAlign w:val="center"/>
          </w:tcPr>
          <w:p w14:paraId="3A8CC0C8">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川Y082020508699</w:t>
            </w:r>
          </w:p>
        </w:tc>
        <w:tc>
          <w:tcPr>
            <w:tcW w:w="1766" w:type="dxa"/>
            <w:shd w:val="clear" w:color="auto" w:fill="FFFFFF"/>
            <w:vAlign w:val="center"/>
          </w:tcPr>
          <w:p w14:paraId="7CD7AF39">
            <w:pPr>
              <w:spacing w:line="240" w:lineRule="auto"/>
              <w:ind w:firstLine="0" w:firstLineChars="0"/>
              <w:jc w:val="center"/>
              <w:rPr>
                <w:rStyle w:val="216"/>
                <w:rFonts w:cstheme="minorBidi"/>
                <w:b w:val="0"/>
                <w:color w:val="000000"/>
              </w:rPr>
            </w:pPr>
            <w:r>
              <w:rPr>
                <w:rStyle w:val="216"/>
                <w:rFonts w:hint="eastAsia" w:cstheme="minorBidi"/>
                <w:b w:val="0"/>
                <w:color w:val="000000"/>
              </w:rPr>
              <w:t>负责设备安拆调试及维保</w:t>
            </w:r>
          </w:p>
        </w:tc>
      </w:tr>
      <w:tr w14:paraId="1B2A41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5" w:type="dxa"/>
            <w:shd w:val="clear" w:color="auto" w:fill="FFFFFF"/>
            <w:vAlign w:val="center"/>
          </w:tcPr>
          <w:p w14:paraId="713CB6F5">
            <w:pPr>
              <w:spacing w:line="240" w:lineRule="auto"/>
              <w:ind w:firstLine="0" w:firstLineChars="0"/>
              <w:jc w:val="center"/>
              <w:rPr>
                <w:rStyle w:val="216"/>
                <w:rFonts w:hint="eastAsia" w:eastAsia="宋体" w:cstheme="minorBidi"/>
                <w:b w:val="0"/>
                <w:i w:val="0"/>
                <w:color w:val="000000"/>
                <w:lang w:val="en-US" w:eastAsia="zh-CN"/>
              </w:rPr>
            </w:pPr>
            <w:r>
              <w:rPr>
                <w:rStyle w:val="216"/>
                <w:rFonts w:hint="eastAsia" w:cstheme="minorBidi"/>
                <w:b w:val="0"/>
                <w:i w:val="0"/>
                <w:color w:val="000000"/>
                <w:lang w:val="en-US" w:eastAsia="zh-CN"/>
              </w:rPr>
              <w:t>匡彬</w:t>
            </w:r>
          </w:p>
        </w:tc>
        <w:tc>
          <w:tcPr>
            <w:tcW w:w="2132" w:type="dxa"/>
            <w:shd w:val="clear" w:color="auto" w:fill="FFFFFF"/>
            <w:vAlign w:val="center"/>
          </w:tcPr>
          <w:p w14:paraId="683DF3A3">
            <w:pPr>
              <w:spacing w:line="240" w:lineRule="auto"/>
              <w:ind w:firstLine="0" w:firstLineChars="0"/>
              <w:jc w:val="center"/>
              <w:rPr>
                <w:rStyle w:val="216"/>
                <w:rFonts w:cstheme="minorBidi"/>
                <w:b w:val="0"/>
                <w:color w:val="000000"/>
              </w:rPr>
            </w:pPr>
            <w:r>
              <w:rPr>
                <w:rStyle w:val="216"/>
                <w:rFonts w:hint="eastAsia" w:cstheme="minorBidi"/>
                <w:b w:val="0"/>
                <w:color w:val="000000"/>
              </w:rPr>
              <w:t>建筑起重机械安装拆卸工（塔式起重机）</w:t>
            </w:r>
          </w:p>
        </w:tc>
        <w:tc>
          <w:tcPr>
            <w:tcW w:w="2145" w:type="dxa"/>
            <w:shd w:val="clear" w:color="auto" w:fill="FFFFFF"/>
            <w:vAlign w:val="center"/>
          </w:tcPr>
          <w:p w14:paraId="2177D6B3">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522131197411106674</w:t>
            </w:r>
          </w:p>
        </w:tc>
        <w:tc>
          <w:tcPr>
            <w:tcW w:w="0" w:type="auto"/>
            <w:shd w:val="clear" w:color="auto" w:fill="FFFFFF"/>
            <w:vAlign w:val="center"/>
          </w:tcPr>
          <w:p w14:paraId="7E011F6F">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琼D082023038341</w:t>
            </w:r>
          </w:p>
        </w:tc>
        <w:tc>
          <w:tcPr>
            <w:tcW w:w="1766" w:type="dxa"/>
            <w:shd w:val="clear" w:color="auto" w:fill="FFFFFF"/>
            <w:vAlign w:val="center"/>
          </w:tcPr>
          <w:p w14:paraId="412600DD">
            <w:pPr>
              <w:spacing w:line="240" w:lineRule="auto"/>
              <w:ind w:firstLine="0" w:firstLineChars="0"/>
              <w:jc w:val="center"/>
              <w:rPr>
                <w:rStyle w:val="216"/>
                <w:rFonts w:cstheme="minorBidi"/>
                <w:b w:val="0"/>
                <w:color w:val="000000"/>
              </w:rPr>
            </w:pPr>
            <w:r>
              <w:rPr>
                <w:rStyle w:val="216"/>
                <w:rFonts w:hint="eastAsia" w:cstheme="minorBidi"/>
                <w:b w:val="0"/>
                <w:color w:val="000000"/>
              </w:rPr>
              <w:t>负责设备安拆调试及维保</w:t>
            </w:r>
          </w:p>
        </w:tc>
      </w:tr>
      <w:tr w14:paraId="2F8CD0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5" w:type="dxa"/>
            <w:shd w:val="clear" w:color="auto" w:fill="FFFFFF"/>
            <w:vAlign w:val="center"/>
          </w:tcPr>
          <w:p w14:paraId="0A235AAD">
            <w:pPr>
              <w:spacing w:line="240" w:lineRule="auto"/>
              <w:ind w:firstLine="0" w:firstLineChars="0"/>
              <w:jc w:val="center"/>
              <w:rPr>
                <w:rStyle w:val="216"/>
                <w:rFonts w:hint="eastAsia" w:eastAsia="宋体" w:cstheme="minorBidi"/>
                <w:b w:val="0"/>
                <w:i w:val="0"/>
                <w:color w:val="000000"/>
                <w:lang w:val="en-US" w:eastAsia="zh-CN"/>
              </w:rPr>
            </w:pPr>
            <w:r>
              <w:rPr>
                <w:rStyle w:val="216"/>
                <w:rFonts w:hint="eastAsia" w:cstheme="minorBidi"/>
                <w:b w:val="0"/>
                <w:i w:val="0"/>
                <w:color w:val="000000"/>
                <w:lang w:val="en-US" w:eastAsia="zh-CN"/>
              </w:rPr>
              <w:t>方柳</w:t>
            </w:r>
          </w:p>
        </w:tc>
        <w:tc>
          <w:tcPr>
            <w:tcW w:w="2132" w:type="dxa"/>
            <w:shd w:val="clear" w:color="auto" w:fill="FFFFFF"/>
            <w:vAlign w:val="center"/>
          </w:tcPr>
          <w:p w14:paraId="50B124F7">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rPr>
              <w:t>建筑起重机械安装拆卸工（塔式起重机）</w:t>
            </w:r>
          </w:p>
        </w:tc>
        <w:tc>
          <w:tcPr>
            <w:tcW w:w="2145" w:type="dxa"/>
            <w:shd w:val="clear" w:color="auto" w:fill="FFFFFF"/>
            <w:vAlign w:val="center"/>
          </w:tcPr>
          <w:p w14:paraId="53FC6FC4">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500233199502154710</w:t>
            </w:r>
          </w:p>
        </w:tc>
        <w:tc>
          <w:tcPr>
            <w:tcW w:w="0" w:type="auto"/>
            <w:shd w:val="clear" w:color="auto" w:fill="FFFFFF"/>
            <w:vAlign w:val="center"/>
          </w:tcPr>
          <w:p w14:paraId="01D12496">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渝A082023002288</w:t>
            </w:r>
          </w:p>
        </w:tc>
        <w:tc>
          <w:tcPr>
            <w:tcW w:w="1766" w:type="dxa"/>
            <w:shd w:val="clear" w:color="auto" w:fill="FFFFFF"/>
            <w:vAlign w:val="center"/>
          </w:tcPr>
          <w:p w14:paraId="4FCD1906">
            <w:pPr>
              <w:spacing w:line="240" w:lineRule="auto"/>
              <w:ind w:firstLine="0" w:firstLineChars="0"/>
              <w:jc w:val="center"/>
              <w:rPr>
                <w:rStyle w:val="216"/>
                <w:rFonts w:cstheme="minorBidi"/>
                <w:b w:val="0"/>
                <w:color w:val="000000"/>
              </w:rPr>
            </w:pPr>
            <w:r>
              <w:rPr>
                <w:rStyle w:val="216"/>
                <w:rFonts w:hint="eastAsia" w:cstheme="minorBidi"/>
                <w:b w:val="0"/>
                <w:color w:val="000000"/>
              </w:rPr>
              <w:t>负责设备安拆调试及维保</w:t>
            </w:r>
          </w:p>
        </w:tc>
      </w:tr>
      <w:tr w14:paraId="31F629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5" w:type="dxa"/>
            <w:shd w:val="clear" w:color="auto" w:fill="FFFFFF"/>
            <w:vAlign w:val="center"/>
          </w:tcPr>
          <w:p w14:paraId="536BC771">
            <w:pPr>
              <w:spacing w:line="240" w:lineRule="auto"/>
              <w:ind w:firstLine="0" w:firstLineChars="0"/>
              <w:jc w:val="center"/>
              <w:rPr>
                <w:rStyle w:val="216"/>
                <w:rFonts w:hint="eastAsia" w:eastAsia="宋体" w:cstheme="minorBidi"/>
                <w:b w:val="0"/>
                <w:i w:val="0"/>
                <w:color w:val="000000"/>
                <w:lang w:val="en-US" w:eastAsia="zh-CN"/>
              </w:rPr>
            </w:pPr>
            <w:r>
              <w:rPr>
                <w:rStyle w:val="216"/>
                <w:rFonts w:hint="eastAsia" w:cstheme="minorBidi"/>
                <w:b w:val="0"/>
                <w:i w:val="0"/>
                <w:color w:val="000000"/>
                <w:lang w:val="en-US" w:eastAsia="zh-CN"/>
              </w:rPr>
              <w:t>刘云祥</w:t>
            </w:r>
          </w:p>
        </w:tc>
        <w:tc>
          <w:tcPr>
            <w:tcW w:w="2132" w:type="dxa"/>
            <w:shd w:val="clear" w:color="auto" w:fill="FFFFFF"/>
            <w:vAlign w:val="center"/>
          </w:tcPr>
          <w:p w14:paraId="3A61D305">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指挥</w:t>
            </w:r>
          </w:p>
        </w:tc>
        <w:tc>
          <w:tcPr>
            <w:tcW w:w="2145" w:type="dxa"/>
            <w:shd w:val="clear" w:color="auto" w:fill="FFFFFF"/>
            <w:vAlign w:val="center"/>
          </w:tcPr>
          <w:p w14:paraId="0FFD693E">
            <w:pPr>
              <w:spacing w:line="240" w:lineRule="auto"/>
              <w:ind w:firstLine="0" w:firstLineChars="0"/>
              <w:jc w:val="center"/>
              <w:rPr>
                <w:rFonts w:hint="default" w:ascii="Times New Roman" w:hAnsi="Times New Roman" w:eastAsia="宋体" w:cstheme="minorBidi"/>
                <w:b w:val="0"/>
                <w:color w:val="000000"/>
                <w:kern w:val="2"/>
                <w:sz w:val="21"/>
                <w:szCs w:val="21"/>
                <w:lang w:val="en-US" w:eastAsia="zh-CN" w:bidi="ar-SA"/>
              </w:rPr>
            </w:pPr>
            <w:r>
              <w:rPr>
                <w:rStyle w:val="216"/>
                <w:rFonts w:hint="eastAsia" w:cstheme="minorBidi"/>
                <w:b w:val="0"/>
                <w:color w:val="000000"/>
                <w:lang w:val="en-US" w:eastAsia="zh-CN"/>
              </w:rPr>
              <w:t>500381198405126218</w:t>
            </w:r>
          </w:p>
        </w:tc>
        <w:tc>
          <w:tcPr>
            <w:tcW w:w="0" w:type="auto"/>
            <w:shd w:val="clear" w:color="auto" w:fill="FFFFFF"/>
            <w:vAlign w:val="center"/>
          </w:tcPr>
          <w:p w14:paraId="0D8E6805">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500381198405126218</w:t>
            </w:r>
          </w:p>
        </w:tc>
        <w:tc>
          <w:tcPr>
            <w:tcW w:w="1766" w:type="dxa"/>
            <w:shd w:val="clear" w:color="auto" w:fill="FFFFFF"/>
            <w:vAlign w:val="center"/>
          </w:tcPr>
          <w:p w14:paraId="0AD94AA2">
            <w:pPr>
              <w:spacing w:line="240" w:lineRule="auto"/>
              <w:ind w:firstLine="0" w:firstLineChars="0"/>
              <w:jc w:val="center"/>
              <w:rPr>
                <w:rStyle w:val="216"/>
                <w:rFonts w:cstheme="minorBidi"/>
                <w:b w:val="0"/>
                <w:color w:val="000000"/>
              </w:rPr>
            </w:pPr>
            <w:r>
              <w:rPr>
                <w:rStyle w:val="216"/>
                <w:rFonts w:hint="eastAsia" w:cstheme="minorBidi"/>
                <w:b w:val="0"/>
                <w:color w:val="000000"/>
              </w:rPr>
              <w:t>负责设备安拆调试及维保</w:t>
            </w:r>
          </w:p>
        </w:tc>
      </w:tr>
      <w:tr w14:paraId="5DD9D8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5" w:type="dxa"/>
            <w:shd w:val="clear" w:color="auto" w:fill="FFFFFF"/>
            <w:vAlign w:val="center"/>
          </w:tcPr>
          <w:p w14:paraId="5750EF4A">
            <w:pPr>
              <w:spacing w:line="240" w:lineRule="auto"/>
              <w:ind w:firstLine="0" w:firstLineChars="0"/>
              <w:jc w:val="center"/>
              <w:rPr>
                <w:rStyle w:val="216"/>
                <w:rFonts w:hint="eastAsia" w:eastAsia="宋体" w:cstheme="minorBidi"/>
                <w:b w:val="0"/>
                <w:i w:val="0"/>
                <w:color w:val="000000"/>
                <w:lang w:val="en-US" w:eastAsia="zh-CN"/>
              </w:rPr>
            </w:pPr>
            <w:r>
              <w:rPr>
                <w:rStyle w:val="216"/>
                <w:rFonts w:hint="eastAsia" w:cstheme="minorBidi"/>
                <w:b w:val="0"/>
                <w:i w:val="0"/>
                <w:color w:val="000000"/>
                <w:lang w:val="en-US" w:eastAsia="zh-CN"/>
              </w:rPr>
              <w:t>向杰</w:t>
            </w:r>
          </w:p>
        </w:tc>
        <w:tc>
          <w:tcPr>
            <w:tcW w:w="2132" w:type="dxa"/>
            <w:shd w:val="clear" w:color="auto" w:fill="FFFFFF"/>
            <w:vAlign w:val="center"/>
          </w:tcPr>
          <w:p w14:paraId="3E1D55D4">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司索工</w:t>
            </w:r>
          </w:p>
        </w:tc>
        <w:tc>
          <w:tcPr>
            <w:tcW w:w="2145" w:type="dxa"/>
            <w:shd w:val="clear" w:color="auto" w:fill="FFFFFF"/>
            <w:vAlign w:val="center"/>
          </w:tcPr>
          <w:p w14:paraId="1D7E4364">
            <w:pPr>
              <w:spacing w:line="240" w:lineRule="auto"/>
              <w:ind w:firstLine="0" w:firstLineChars="0"/>
              <w:jc w:val="center"/>
              <w:rPr>
                <w:rFonts w:hint="default" w:ascii="Times New Roman" w:hAnsi="Times New Roman" w:eastAsia="宋体" w:cstheme="minorBidi"/>
                <w:b w:val="0"/>
                <w:color w:val="000000"/>
                <w:kern w:val="2"/>
                <w:sz w:val="21"/>
                <w:szCs w:val="21"/>
                <w:lang w:val="en-US" w:eastAsia="zh-CN" w:bidi="ar-SA"/>
              </w:rPr>
            </w:pPr>
            <w:r>
              <w:rPr>
                <w:rStyle w:val="216"/>
                <w:rFonts w:hint="eastAsia" w:cstheme="minorBidi"/>
                <w:b w:val="0"/>
                <w:color w:val="000000"/>
                <w:lang w:val="en-US" w:eastAsia="zh-CN"/>
              </w:rPr>
              <w:t>510525199407268857</w:t>
            </w:r>
          </w:p>
        </w:tc>
        <w:tc>
          <w:tcPr>
            <w:tcW w:w="0" w:type="auto"/>
            <w:shd w:val="clear" w:color="auto" w:fill="FFFFFF"/>
            <w:vAlign w:val="center"/>
          </w:tcPr>
          <w:p w14:paraId="0E192315">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510525199407268857</w:t>
            </w:r>
          </w:p>
        </w:tc>
        <w:tc>
          <w:tcPr>
            <w:tcW w:w="1766" w:type="dxa"/>
            <w:shd w:val="clear" w:color="auto" w:fill="FFFFFF"/>
            <w:vAlign w:val="center"/>
          </w:tcPr>
          <w:p w14:paraId="66E5F9EF">
            <w:pPr>
              <w:spacing w:line="240" w:lineRule="auto"/>
              <w:ind w:firstLine="0" w:firstLineChars="0"/>
              <w:jc w:val="center"/>
              <w:rPr>
                <w:rStyle w:val="216"/>
                <w:rFonts w:cstheme="minorBidi"/>
                <w:b w:val="0"/>
                <w:color w:val="000000"/>
              </w:rPr>
            </w:pPr>
            <w:r>
              <w:rPr>
                <w:rStyle w:val="216"/>
                <w:rFonts w:hint="eastAsia" w:cstheme="minorBidi"/>
                <w:b w:val="0"/>
                <w:color w:val="000000"/>
              </w:rPr>
              <w:t>负责设备安拆调试及维保</w:t>
            </w:r>
          </w:p>
        </w:tc>
      </w:tr>
      <w:tr w14:paraId="40E1EE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5" w:type="dxa"/>
            <w:shd w:val="clear" w:color="auto" w:fill="FFFFFF"/>
            <w:vAlign w:val="center"/>
          </w:tcPr>
          <w:p w14:paraId="68B3FB79">
            <w:pPr>
              <w:spacing w:line="240" w:lineRule="auto"/>
              <w:ind w:firstLine="0" w:firstLineChars="0"/>
              <w:jc w:val="center"/>
              <w:rPr>
                <w:rStyle w:val="216"/>
                <w:rFonts w:hint="eastAsia" w:eastAsia="宋体" w:cstheme="minorBidi"/>
                <w:b w:val="0"/>
                <w:i w:val="0"/>
                <w:color w:val="000000"/>
                <w:lang w:val="en-US" w:eastAsia="zh-CN"/>
              </w:rPr>
            </w:pPr>
            <w:r>
              <w:rPr>
                <w:rStyle w:val="216"/>
                <w:rFonts w:hint="eastAsia" w:cstheme="minorBidi"/>
                <w:b w:val="0"/>
                <w:i w:val="0"/>
                <w:color w:val="000000"/>
                <w:lang w:val="en-US" w:eastAsia="zh-CN"/>
              </w:rPr>
              <w:t>张云桥</w:t>
            </w:r>
          </w:p>
        </w:tc>
        <w:tc>
          <w:tcPr>
            <w:tcW w:w="2132" w:type="dxa"/>
            <w:shd w:val="clear" w:color="auto" w:fill="FFFFFF"/>
            <w:vAlign w:val="center"/>
          </w:tcPr>
          <w:p w14:paraId="77248EA1">
            <w:pPr>
              <w:spacing w:line="240" w:lineRule="auto"/>
              <w:ind w:firstLine="0" w:firstLineChars="0"/>
              <w:jc w:val="center"/>
              <w:rPr>
                <w:rStyle w:val="216"/>
                <w:rFonts w:cstheme="minorBidi"/>
                <w:b w:val="0"/>
                <w:color w:val="000000"/>
              </w:rPr>
            </w:pPr>
            <w:r>
              <w:rPr>
                <w:rStyle w:val="216"/>
                <w:rFonts w:hint="eastAsia" w:cstheme="minorBidi"/>
                <w:b w:val="0"/>
                <w:color w:val="000000"/>
                <w:lang w:val="en-US" w:eastAsia="zh-CN"/>
              </w:rPr>
              <w:t>塔机司机</w:t>
            </w:r>
          </w:p>
        </w:tc>
        <w:tc>
          <w:tcPr>
            <w:tcW w:w="2145" w:type="dxa"/>
            <w:shd w:val="clear" w:color="auto" w:fill="FFFFFF"/>
            <w:vAlign w:val="center"/>
          </w:tcPr>
          <w:p w14:paraId="4BFE17B6">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511524198803036070</w:t>
            </w:r>
          </w:p>
        </w:tc>
        <w:tc>
          <w:tcPr>
            <w:tcW w:w="0" w:type="auto"/>
            <w:shd w:val="clear" w:color="auto" w:fill="FFFFFF"/>
            <w:vAlign w:val="center"/>
          </w:tcPr>
          <w:p w14:paraId="1AD45656">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川A052021703645</w:t>
            </w:r>
          </w:p>
        </w:tc>
        <w:tc>
          <w:tcPr>
            <w:tcW w:w="1766" w:type="dxa"/>
            <w:shd w:val="clear" w:color="auto" w:fill="FFFFFF"/>
            <w:vAlign w:val="center"/>
          </w:tcPr>
          <w:p w14:paraId="02664BCB">
            <w:pPr>
              <w:spacing w:line="240" w:lineRule="auto"/>
              <w:ind w:firstLine="0" w:firstLineChars="0"/>
              <w:jc w:val="center"/>
              <w:rPr>
                <w:rStyle w:val="216"/>
                <w:rFonts w:cstheme="minorBidi"/>
                <w:b w:val="0"/>
                <w:color w:val="000000"/>
              </w:rPr>
            </w:pPr>
            <w:r>
              <w:rPr>
                <w:rStyle w:val="216"/>
                <w:rFonts w:hint="eastAsia" w:cstheme="minorBidi"/>
                <w:b w:val="0"/>
                <w:color w:val="000000"/>
              </w:rPr>
              <w:t>负责设备安拆调试及维保</w:t>
            </w:r>
          </w:p>
        </w:tc>
      </w:tr>
      <w:tr w14:paraId="662E61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5" w:type="dxa"/>
            <w:shd w:val="clear" w:color="auto" w:fill="FFFFFF"/>
            <w:vAlign w:val="center"/>
          </w:tcPr>
          <w:p w14:paraId="3187FF31">
            <w:pPr>
              <w:spacing w:line="240" w:lineRule="auto"/>
              <w:ind w:firstLine="0" w:firstLineChars="0"/>
              <w:jc w:val="center"/>
              <w:rPr>
                <w:rStyle w:val="216"/>
                <w:rFonts w:cstheme="minorBidi"/>
                <w:b w:val="0"/>
                <w:i w:val="0"/>
                <w:color w:val="000000"/>
              </w:rPr>
            </w:pPr>
          </w:p>
        </w:tc>
        <w:tc>
          <w:tcPr>
            <w:tcW w:w="2132" w:type="dxa"/>
            <w:shd w:val="clear" w:color="auto" w:fill="FFFFFF"/>
            <w:vAlign w:val="center"/>
          </w:tcPr>
          <w:p w14:paraId="294F6B3F">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汽车吊司机</w:t>
            </w:r>
          </w:p>
        </w:tc>
        <w:tc>
          <w:tcPr>
            <w:tcW w:w="2145" w:type="dxa"/>
            <w:shd w:val="clear" w:color="auto" w:fill="FFFFFF"/>
            <w:vAlign w:val="center"/>
          </w:tcPr>
          <w:p w14:paraId="3405351C">
            <w:pPr>
              <w:spacing w:line="240" w:lineRule="auto"/>
              <w:ind w:firstLine="0" w:firstLineChars="0"/>
              <w:jc w:val="center"/>
              <w:rPr>
                <w:rStyle w:val="216"/>
                <w:rFonts w:cstheme="minorBidi"/>
                <w:b w:val="0"/>
                <w:color w:val="000000"/>
              </w:rPr>
            </w:pPr>
          </w:p>
        </w:tc>
        <w:tc>
          <w:tcPr>
            <w:tcW w:w="0" w:type="auto"/>
            <w:shd w:val="clear" w:color="auto" w:fill="FFFFFF"/>
            <w:vAlign w:val="center"/>
          </w:tcPr>
          <w:p w14:paraId="7EB375C1">
            <w:pPr>
              <w:spacing w:line="240" w:lineRule="auto"/>
              <w:ind w:firstLine="0" w:firstLineChars="0"/>
              <w:jc w:val="center"/>
              <w:rPr>
                <w:rStyle w:val="216"/>
                <w:rFonts w:cstheme="minorBidi"/>
                <w:b w:val="0"/>
                <w:color w:val="000000"/>
              </w:rPr>
            </w:pPr>
          </w:p>
        </w:tc>
        <w:tc>
          <w:tcPr>
            <w:tcW w:w="1766" w:type="dxa"/>
            <w:shd w:val="clear" w:color="auto" w:fill="FFFFFF"/>
            <w:vAlign w:val="center"/>
          </w:tcPr>
          <w:p w14:paraId="3C1FDEE4">
            <w:pPr>
              <w:spacing w:line="240" w:lineRule="auto"/>
              <w:ind w:firstLine="0" w:firstLineChars="0"/>
              <w:jc w:val="center"/>
              <w:rPr>
                <w:rStyle w:val="216"/>
                <w:rFonts w:cstheme="minorBidi"/>
                <w:b w:val="0"/>
                <w:color w:val="000000"/>
              </w:rPr>
            </w:pPr>
            <w:r>
              <w:rPr>
                <w:rStyle w:val="216"/>
                <w:rFonts w:hint="eastAsia" w:cstheme="minorBidi"/>
                <w:b w:val="0"/>
                <w:color w:val="000000"/>
              </w:rPr>
              <w:t>负责设备安拆调试及维保</w:t>
            </w:r>
          </w:p>
        </w:tc>
      </w:tr>
      <w:tr w14:paraId="49E61C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15" w:type="dxa"/>
            <w:shd w:val="clear" w:color="auto" w:fill="FFFFFF"/>
            <w:vAlign w:val="center"/>
          </w:tcPr>
          <w:p w14:paraId="448EFC4A">
            <w:pPr>
              <w:spacing w:line="240" w:lineRule="auto"/>
              <w:ind w:firstLine="0" w:firstLineChars="0"/>
              <w:jc w:val="center"/>
              <w:rPr>
                <w:rStyle w:val="216"/>
                <w:rFonts w:hint="default" w:eastAsia="宋体" w:cstheme="minorBidi"/>
                <w:b w:val="0"/>
                <w:i w:val="0"/>
                <w:color w:val="000000"/>
                <w:lang w:val="en-US" w:eastAsia="zh-CN"/>
              </w:rPr>
            </w:pPr>
            <w:r>
              <w:rPr>
                <w:rStyle w:val="216"/>
                <w:rFonts w:hint="eastAsia" w:cstheme="minorBidi"/>
                <w:b w:val="0"/>
                <w:i w:val="0"/>
                <w:color w:val="000000"/>
                <w:lang w:val="en-US" w:eastAsia="zh-CN"/>
              </w:rPr>
              <w:t>熊登</w:t>
            </w:r>
          </w:p>
        </w:tc>
        <w:tc>
          <w:tcPr>
            <w:tcW w:w="2132" w:type="dxa"/>
            <w:shd w:val="clear" w:color="auto" w:fill="FFFFFF"/>
            <w:vAlign w:val="center"/>
          </w:tcPr>
          <w:p w14:paraId="7C888F8F">
            <w:pPr>
              <w:spacing w:line="240" w:lineRule="auto"/>
              <w:ind w:firstLine="0" w:firstLineChars="0"/>
              <w:jc w:val="center"/>
              <w:rPr>
                <w:rStyle w:val="216"/>
                <w:rFonts w:cstheme="minorBidi"/>
                <w:b w:val="0"/>
                <w:color w:val="000000"/>
              </w:rPr>
            </w:pPr>
            <w:r>
              <w:rPr>
                <w:rStyle w:val="216"/>
                <w:rFonts w:hint="eastAsia" w:cstheme="minorBidi"/>
                <w:b w:val="0"/>
                <w:color w:val="000000"/>
              </w:rPr>
              <w:t>建筑电工（维保人员）</w:t>
            </w:r>
          </w:p>
        </w:tc>
        <w:tc>
          <w:tcPr>
            <w:tcW w:w="2145" w:type="dxa"/>
            <w:shd w:val="clear" w:color="auto" w:fill="FFFFFF"/>
            <w:vAlign w:val="center"/>
          </w:tcPr>
          <w:p w14:paraId="6224A99F">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500381198611031519</w:t>
            </w:r>
          </w:p>
        </w:tc>
        <w:tc>
          <w:tcPr>
            <w:tcW w:w="0" w:type="auto"/>
            <w:shd w:val="clear" w:color="auto" w:fill="FFFFFF"/>
            <w:vAlign w:val="center"/>
          </w:tcPr>
          <w:p w14:paraId="6AD7B1D9">
            <w:pPr>
              <w:spacing w:line="240" w:lineRule="auto"/>
              <w:ind w:firstLine="0" w:firstLineChars="0"/>
              <w:jc w:val="center"/>
              <w:rPr>
                <w:rStyle w:val="216"/>
                <w:rFonts w:hint="default" w:eastAsia="宋体" w:cstheme="minorBidi"/>
                <w:b w:val="0"/>
                <w:color w:val="000000"/>
                <w:lang w:val="en-US" w:eastAsia="zh-CN"/>
              </w:rPr>
            </w:pPr>
            <w:r>
              <w:rPr>
                <w:rStyle w:val="216"/>
                <w:rFonts w:hint="eastAsia" w:cstheme="minorBidi"/>
                <w:b w:val="0"/>
                <w:color w:val="000000"/>
                <w:lang w:val="en-US" w:eastAsia="zh-CN"/>
              </w:rPr>
              <w:t>琼D012023038090</w:t>
            </w:r>
          </w:p>
        </w:tc>
        <w:tc>
          <w:tcPr>
            <w:tcW w:w="1766" w:type="dxa"/>
            <w:shd w:val="clear" w:color="auto" w:fill="FFFFFF"/>
            <w:vAlign w:val="center"/>
          </w:tcPr>
          <w:p w14:paraId="04E108A7">
            <w:pPr>
              <w:spacing w:line="240" w:lineRule="auto"/>
              <w:ind w:firstLine="0" w:firstLineChars="0"/>
              <w:jc w:val="center"/>
              <w:rPr>
                <w:rStyle w:val="216"/>
                <w:rFonts w:cstheme="minorBidi"/>
                <w:b w:val="0"/>
                <w:color w:val="000000"/>
              </w:rPr>
            </w:pPr>
            <w:r>
              <w:rPr>
                <w:rStyle w:val="216"/>
                <w:rFonts w:hint="eastAsia" w:cstheme="minorBidi"/>
                <w:b w:val="0"/>
                <w:color w:val="000000"/>
              </w:rPr>
              <w:t>负责设备安拆电气调试及维保</w:t>
            </w:r>
          </w:p>
        </w:tc>
      </w:tr>
    </w:tbl>
    <w:p w14:paraId="7C6D0597">
      <w:pPr>
        <w:ind w:firstLine="480"/>
        <w:rPr>
          <w:rFonts w:hint="eastAsia"/>
        </w:rPr>
      </w:pPr>
    </w:p>
    <w:p w14:paraId="164A29FD">
      <w:pPr>
        <w:pStyle w:val="2"/>
        <w:bidi w:val="0"/>
        <w:ind w:left="432" w:leftChars="0" w:hanging="432" w:firstLineChars="0"/>
        <w:rPr>
          <w:rFonts w:hint="eastAsia"/>
        </w:rPr>
      </w:pPr>
      <w:bookmarkStart w:id="172" w:name="_Toc27892"/>
      <w:bookmarkStart w:id="173" w:name="_Toc11755"/>
      <w:bookmarkStart w:id="174" w:name="_Toc29554"/>
      <w:r>
        <w:rPr>
          <w:rFonts w:hint="eastAsia"/>
        </w:rPr>
        <w:t>验收要求</w:t>
      </w:r>
      <w:bookmarkEnd w:id="172"/>
      <w:bookmarkEnd w:id="173"/>
      <w:bookmarkEnd w:id="174"/>
    </w:p>
    <w:p w14:paraId="4D757341">
      <w:pPr>
        <w:pStyle w:val="3"/>
        <w:bidi w:val="0"/>
        <w:ind w:left="575" w:leftChars="0" w:hanging="575" w:firstLineChars="0"/>
        <w:rPr>
          <w:b/>
          <w:bCs w:val="0"/>
          <w:sz w:val="28"/>
          <w:szCs w:val="28"/>
        </w:rPr>
      </w:pPr>
      <w:bookmarkStart w:id="175" w:name="_Toc18735"/>
      <w:bookmarkStart w:id="176" w:name="_Toc14808"/>
      <w:bookmarkStart w:id="177" w:name="_Toc28720"/>
      <w:r>
        <w:rPr>
          <w:rFonts w:hint="eastAsia"/>
          <w:b/>
          <w:bCs w:val="0"/>
          <w:sz w:val="28"/>
          <w:szCs w:val="28"/>
        </w:rPr>
        <w:t>验收标准</w:t>
      </w:r>
      <w:bookmarkEnd w:id="175"/>
      <w:bookmarkEnd w:id="176"/>
      <w:bookmarkEnd w:id="177"/>
    </w:p>
    <w:p w14:paraId="16E3D72E">
      <w:pPr>
        <w:ind w:firstLine="480"/>
      </w:pPr>
      <w:r>
        <w:rPr>
          <w:rFonts w:hint="eastAsia"/>
        </w:rPr>
        <w:t>《建筑施工塔式起重机安装、使用、拆卸安全技术规程》（JGJ 196-2010）</w:t>
      </w:r>
    </w:p>
    <w:p w14:paraId="74639731">
      <w:pPr>
        <w:ind w:firstLine="480"/>
      </w:pPr>
      <w:r>
        <w:rPr>
          <w:rFonts w:hint="eastAsia"/>
        </w:rPr>
        <w:t>《塔式起重机》（GB/T 5031-2019）</w:t>
      </w:r>
    </w:p>
    <w:p w14:paraId="2FC05634">
      <w:pPr>
        <w:ind w:firstLine="480"/>
      </w:pPr>
      <w:r>
        <w:rPr>
          <w:rFonts w:hint="eastAsia"/>
        </w:rPr>
        <w:t>《塔式起重机混凝土基础工程技术规程》（JGJ/T187-2009）</w:t>
      </w:r>
    </w:p>
    <w:p w14:paraId="3E593E1F">
      <w:pPr>
        <w:ind w:firstLine="480"/>
      </w:pPr>
      <w:r>
        <w:rPr>
          <w:rFonts w:hint="eastAsia"/>
        </w:rPr>
        <w:t>《起重机钢丝绳保养、维护、检验和报废》（</w:t>
      </w:r>
      <w:r>
        <w:t>GB/T 5972-2016</w:t>
      </w:r>
      <w:r>
        <w:rPr>
          <w:rFonts w:hint="eastAsia"/>
        </w:rPr>
        <w:t>）</w:t>
      </w:r>
    </w:p>
    <w:p w14:paraId="21639ED8">
      <w:pPr>
        <w:ind w:firstLine="480"/>
      </w:pPr>
      <w:r>
        <w:rPr>
          <w:rFonts w:hint="eastAsia"/>
        </w:rPr>
        <w:t>《施工现场机械设备检查技术规程》（JGJ 160-2016）</w:t>
      </w:r>
    </w:p>
    <w:p w14:paraId="7B7D1D3D">
      <w:pPr>
        <w:ind w:firstLine="480"/>
      </w:pPr>
      <w:r>
        <w:rPr>
          <w:rFonts w:hint="eastAsia"/>
        </w:rPr>
        <w:t>《起重机械超载保护装置》（GB/T 12602-2020）</w:t>
      </w:r>
    </w:p>
    <w:p w14:paraId="4F393277">
      <w:pPr>
        <w:ind w:firstLine="480"/>
      </w:pPr>
      <w:r>
        <w:rPr>
          <w:rFonts w:hint="eastAsia"/>
        </w:rPr>
        <w:t>《机械安全 机械电气设备 第1部分</w:t>
      </w:r>
      <w:r>
        <w:t>-</w:t>
      </w:r>
      <w:r>
        <w:rPr>
          <w:rFonts w:hint="eastAsia"/>
        </w:rPr>
        <w:t>通用技术条件》（</w:t>
      </w:r>
      <w:r>
        <w:t>GB 5226.1-2002</w:t>
      </w:r>
      <w:r>
        <w:rPr>
          <w:rFonts w:hint="eastAsia"/>
        </w:rPr>
        <w:t>）</w:t>
      </w:r>
    </w:p>
    <w:p w14:paraId="1DEB1A75">
      <w:pPr>
        <w:ind w:firstLine="480"/>
      </w:pPr>
      <w:r>
        <w:rPr>
          <w:rFonts w:hint="eastAsia"/>
        </w:rPr>
        <w:t>《塔式起重机安全规程》（GB 5144-2006）</w:t>
      </w:r>
    </w:p>
    <w:p w14:paraId="6A36AD83">
      <w:pPr>
        <w:ind w:firstLine="480"/>
      </w:pPr>
      <w:r>
        <w:rPr>
          <w:rFonts w:hint="eastAsia"/>
        </w:rPr>
        <w:t>《塔式起重机设计规范》（GB/T 13752-2017）</w:t>
      </w:r>
    </w:p>
    <w:p w14:paraId="237C358E">
      <w:pPr>
        <w:pStyle w:val="3"/>
        <w:bidi w:val="0"/>
        <w:ind w:left="575" w:leftChars="0" w:hanging="575" w:firstLineChars="0"/>
        <w:rPr>
          <w:b/>
          <w:bCs w:val="0"/>
          <w:sz w:val="28"/>
          <w:szCs w:val="28"/>
        </w:rPr>
      </w:pPr>
      <w:bookmarkStart w:id="178" w:name="_Toc29048"/>
      <w:bookmarkStart w:id="179" w:name="_Toc13784"/>
      <w:bookmarkStart w:id="180" w:name="_Toc30420"/>
      <w:r>
        <w:rPr>
          <w:rFonts w:hint="eastAsia"/>
          <w:b/>
          <w:bCs w:val="0"/>
          <w:sz w:val="28"/>
          <w:szCs w:val="28"/>
        </w:rPr>
        <w:t>验收程序和使用登记备案程序</w:t>
      </w:r>
      <w:bookmarkEnd w:id="178"/>
      <w:bookmarkEnd w:id="179"/>
      <w:bookmarkEnd w:id="180"/>
    </w:p>
    <w:p w14:paraId="5730CDC2">
      <w:pPr>
        <w:pStyle w:val="4"/>
        <w:bidi w:val="0"/>
        <w:ind w:left="720" w:leftChars="0" w:hanging="720" w:firstLineChars="0"/>
        <w:rPr>
          <w:rFonts w:hint="eastAsia"/>
          <w:b/>
          <w:bCs w:val="0"/>
          <w:lang w:val="en-US" w:eastAsia="zh-CN"/>
        </w:rPr>
      </w:pPr>
      <w:r>
        <w:rPr>
          <w:rFonts w:hint="eastAsia"/>
          <w:b/>
          <w:bCs w:val="0"/>
          <w:lang w:val="en-US" w:eastAsia="zh-CN"/>
        </w:rPr>
        <w:t>塔吊的检验验收</w:t>
      </w:r>
    </w:p>
    <w:p w14:paraId="490F1C2D">
      <w:pPr>
        <w:ind w:firstLine="480"/>
      </w:pPr>
      <w:r>
        <w:rPr>
          <w:rFonts w:hint="eastAsia"/>
        </w:rPr>
        <w:t>1、检验验收前，用户应当按照设备操作规程要求，完成塔吊的安装、调试、考核，并根据技术要求安装完成塔吊检验标志。</w:t>
      </w:r>
    </w:p>
    <w:p w14:paraId="1339EF59">
      <w:pPr>
        <w:ind w:firstLine="480"/>
      </w:pPr>
      <w:r>
        <w:rPr>
          <w:rFonts w:hint="eastAsia"/>
        </w:rPr>
        <w:t>2、经技术人员验收塔吊安装质量，确认吊物、索具、限位器、安全钳、安全装置等安装质量符合要求后，可以进行检验验收。</w:t>
      </w:r>
    </w:p>
    <w:p w14:paraId="177C129A">
      <w:pPr>
        <w:ind w:firstLine="480"/>
      </w:pPr>
      <w:r>
        <w:rPr>
          <w:rFonts w:hint="eastAsia"/>
        </w:rPr>
        <w:t>3、检验验收实施前，用户应当提供塔吊设备的技术参数、设备型号、出厂日期、出厂编号、安装地点等相关信息。</w:t>
      </w:r>
    </w:p>
    <w:p w14:paraId="7AA1D92E">
      <w:pPr>
        <w:ind w:firstLine="480"/>
      </w:pPr>
      <w:r>
        <w:rPr>
          <w:rFonts w:hint="eastAsia"/>
        </w:rPr>
        <w:t>4、检验验收实施时，用户应当提供技术人员必要的检验工具、检验标准件等。</w:t>
      </w:r>
    </w:p>
    <w:p w14:paraId="0775D51E">
      <w:pPr>
        <w:ind w:firstLine="480"/>
      </w:pPr>
      <w:r>
        <w:rPr>
          <w:rFonts w:hint="eastAsia"/>
        </w:rPr>
        <w:t>5、实施检验验收时，用户应当按照相关技术规范和标准要求，对塔吊进行实物检查、操作检查、抗震检查、力学性能检查、液压检查、电气检查、限位器检查、控制系统检查等，确认塔吊设备各项技术性能及结构、安全装置等符合要求后，可以进行检验验收。</w:t>
      </w:r>
    </w:p>
    <w:p w14:paraId="094EA12E">
      <w:pPr>
        <w:ind w:firstLine="480"/>
      </w:pPr>
      <w:r>
        <w:rPr>
          <w:rFonts w:hint="eastAsia"/>
        </w:rPr>
        <w:t>6、检验验收完毕后，用户应当完成检验验收证书，交付给技术人员签字确认。</w:t>
      </w:r>
    </w:p>
    <w:p w14:paraId="66CDEE19">
      <w:pPr>
        <w:pStyle w:val="4"/>
        <w:bidi w:val="0"/>
        <w:ind w:left="720" w:leftChars="0" w:hanging="720" w:firstLineChars="0"/>
        <w:rPr>
          <w:rFonts w:hint="eastAsia"/>
          <w:b/>
          <w:bCs w:val="0"/>
          <w:lang w:val="en-US" w:eastAsia="zh-CN"/>
        </w:rPr>
      </w:pPr>
      <w:r>
        <w:rPr>
          <w:rFonts w:hint="eastAsia"/>
          <w:b/>
          <w:bCs w:val="0"/>
          <w:lang w:val="en-US" w:eastAsia="zh-CN"/>
        </w:rPr>
        <w:t>使用登记备案程序</w:t>
      </w:r>
    </w:p>
    <w:p w14:paraId="23CA004A">
      <w:pPr>
        <w:ind w:firstLine="480"/>
      </w:pPr>
      <w:r>
        <w:rPr>
          <w:rFonts w:hint="eastAsia"/>
        </w:rPr>
        <w:t>1、用户应当按照有关规定，按照要求填写塔吊使用登记表，并填写安装地点、塔吊型号、出厂日期、出厂编号、经营单位等相关信息。</w:t>
      </w:r>
    </w:p>
    <w:p w14:paraId="773210F1">
      <w:pPr>
        <w:ind w:firstLine="480"/>
      </w:pPr>
      <w:r>
        <w:rPr>
          <w:rFonts w:hint="eastAsia"/>
        </w:rPr>
        <w:t>2、用户应当提供塔吊检验验收证书，经营单位安全生产许可证，塔吊安全操作规程、技术规程等文件。</w:t>
      </w:r>
    </w:p>
    <w:p w14:paraId="62A7B923">
      <w:pPr>
        <w:ind w:firstLine="480"/>
      </w:pPr>
      <w:r>
        <w:rPr>
          <w:rFonts w:hint="eastAsia"/>
        </w:rPr>
        <w:t>3、用户应当按照有关规定，定期对塔吊设备进行安全检查，并将检查结果记录在案。</w:t>
      </w:r>
    </w:p>
    <w:p w14:paraId="7E81D1B0">
      <w:pPr>
        <w:ind w:firstLine="480"/>
        <w:rPr>
          <w:rFonts w:hint="eastAsia"/>
        </w:rPr>
      </w:pPr>
      <w:r>
        <w:rPr>
          <w:rFonts w:hint="eastAsia"/>
        </w:rPr>
        <w:t>4、将塔吊使用登记表及相关文件上报监督管理部门审核备案，完成使用登记备案。</w:t>
      </w:r>
    </w:p>
    <w:p w14:paraId="2DD7E1FE">
      <w:pPr>
        <w:pStyle w:val="3"/>
        <w:bidi w:val="0"/>
        <w:ind w:left="575" w:leftChars="0" w:hanging="575" w:firstLineChars="0"/>
        <w:rPr>
          <w:b/>
          <w:bCs w:val="0"/>
          <w:sz w:val="28"/>
          <w:szCs w:val="28"/>
        </w:rPr>
      </w:pPr>
      <w:bookmarkStart w:id="181" w:name="_Toc19454"/>
      <w:bookmarkStart w:id="182" w:name="_Toc30613"/>
      <w:bookmarkStart w:id="183" w:name="_Toc30393"/>
      <w:r>
        <w:rPr>
          <w:rFonts w:hint="eastAsia"/>
          <w:b/>
          <w:bCs w:val="0"/>
          <w:sz w:val="28"/>
          <w:szCs w:val="28"/>
        </w:rPr>
        <w:t>验收内容</w:t>
      </w:r>
      <w:bookmarkEnd w:id="181"/>
      <w:bookmarkEnd w:id="182"/>
      <w:bookmarkEnd w:id="183"/>
    </w:p>
    <w:p w14:paraId="2DD9A7B9">
      <w:pPr>
        <w:pStyle w:val="4"/>
        <w:bidi w:val="0"/>
        <w:ind w:left="720" w:leftChars="0" w:hanging="720" w:firstLineChars="0"/>
        <w:rPr>
          <w:rFonts w:hint="eastAsia"/>
          <w:b/>
          <w:bCs w:val="0"/>
          <w:lang w:val="en-US" w:eastAsia="zh-CN"/>
        </w:rPr>
      </w:pPr>
      <w:r>
        <w:rPr>
          <w:rFonts w:hint="eastAsia"/>
          <w:b/>
          <w:bCs w:val="0"/>
          <w:lang w:val="en-US" w:eastAsia="zh-CN"/>
        </w:rPr>
        <w:t>安装单位自检验收</w:t>
      </w:r>
    </w:p>
    <w:p w14:paraId="17516EBB">
      <w:pPr>
        <w:pStyle w:val="16"/>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8.3.1</w:t>
      </w:r>
      <w:r>
        <w:fldChar w:fldCharType="end"/>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t>1</w:t>
      </w:r>
      <w:r>
        <w:fldChar w:fldCharType="end"/>
      </w:r>
      <w:r>
        <w:rPr>
          <w:rFonts w:hint="eastAsia"/>
        </w:rPr>
        <w:t>塔吊安装自检表</w:t>
      </w:r>
    </w:p>
    <w:tbl>
      <w:tblPr>
        <w:tblStyle w:val="42"/>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80"/>
        <w:gridCol w:w="1717"/>
        <w:gridCol w:w="3056"/>
        <w:gridCol w:w="1026"/>
        <w:gridCol w:w="15"/>
        <w:gridCol w:w="1603"/>
        <w:gridCol w:w="1116"/>
      </w:tblGrid>
      <w:tr w14:paraId="110C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5FE4F263">
            <w:pPr>
              <w:pStyle w:val="50"/>
            </w:pPr>
            <w:r>
              <w:rPr>
                <w:rFonts w:hint="eastAsia"/>
              </w:rPr>
              <w:t>工程名称</w:t>
            </w:r>
          </w:p>
        </w:tc>
        <w:tc>
          <w:tcPr>
            <w:tcW w:w="5979" w:type="dxa"/>
            <w:gridSpan w:val="4"/>
            <w:vAlign w:val="center"/>
          </w:tcPr>
          <w:p w14:paraId="2B3BC482">
            <w:pPr>
              <w:pStyle w:val="50"/>
            </w:pPr>
          </w:p>
        </w:tc>
        <w:tc>
          <w:tcPr>
            <w:tcW w:w="1618" w:type="dxa"/>
            <w:gridSpan w:val="2"/>
            <w:vAlign w:val="center"/>
          </w:tcPr>
          <w:p w14:paraId="01C50A3A">
            <w:pPr>
              <w:pStyle w:val="50"/>
              <w:rPr>
                <w:rFonts w:ascii="宋体" w:hAnsi="宋体"/>
              </w:rPr>
            </w:pPr>
            <w:r>
              <w:rPr>
                <w:rFonts w:hint="eastAsia" w:ascii="宋体" w:hAnsi="宋体"/>
              </w:rPr>
              <w:t>施工地址</w:t>
            </w:r>
          </w:p>
        </w:tc>
        <w:tc>
          <w:tcPr>
            <w:tcW w:w="1116" w:type="dxa"/>
            <w:vAlign w:val="center"/>
          </w:tcPr>
          <w:p w14:paraId="11120FD1">
            <w:pPr>
              <w:pStyle w:val="50"/>
              <w:rPr>
                <w:rFonts w:ascii="宋体" w:hAnsi="宋体"/>
              </w:rPr>
            </w:pPr>
            <w:r>
              <w:rPr>
                <w:rFonts w:hint="eastAsia" w:ascii="宋体" w:hAnsi="宋体"/>
              </w:rPr>
              <w:t>项目工地</w:t>
            </w:r>
          </w:p>
        </w:tc>
      </w:tr>
      <w:tr w14:paraId="79B72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41B43C44">
            <w:pPr>
              <w:pStyle w:val="50"/>
              <w:rPr>
                <w:rFonts w:ascii="宋体" w:hAnsi="宋体"/>
              </w:rPr>
            </w:pPr>
            <w:r>
              <w:rPr>
                <w:rFonts w:hint="eastAsia" w:ascii="宋体" w:hAnsi="宋体"/>
              </w:rPr>
              <w:t>出租单位</w:t>
            </w:r>
          </w:p>
        </w:tc>
        <w:tc>
          <w:tcPr>
            <w:tcW w:w="8713" w:type="dxa"/>
            <w:gridSpan w:val="7"/>
            <w:vAlign w:val="center"/>
          </w:tcPr>
          <w:p w14:paraId="16EE65C6">
            <w:pPr>
              <w:pStyle w:val="50"/>
              <w:rPr>
                <w:rFonts w:hint="eastAsia" w:ascii="宋体" w:hAnsi="宋体" w:eastAsia="宋体"/>
                <w:lang w:eastAsia="zh-CN"/>
              </w:rPr>
            </w:pPr>
            <w:r>
              <w:rPr>
                <w:rFonts w:hint="eastAsia" w:ascii="宋体" w:hAnsi="宋体"/>
                <w:lang w:eastAsia="zh-CN"/>
              </w:rPr>
              <w:t>四川科斗文智能装备有限公司</w:t>
            </w:r>
          </w:p>
        </w:tc>
      </w:tr>
      <w:tr w14:paraId="3B5A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667171B5">
            <w:pPr>
              <w:pStyle w:val="50"/>
              <w:rPr>
                <w:rFonts w:ascii="宋体" w:hAnsi="宋体"/>
              </w:rPr>
            </w:pPr>
            <w:r>
              <w:rPr>
                <w:rFonts w:hint="eastAsia" w:ascii="宋体" w:hAnsi="宋体"/>
              </w:rPr>
              <w:t>型号</w:t>
            </w:r>
          </w:p>
        </w:tc>
        <w:tc>
          <w:tcPr>
            <w:tcW w:w="1897" w:type="dxa"/>
            <w:gridSpan w:val="2"/>
            <w:vAlign w:val="center"/>
          </w:tcPr>
          <w:p w14:paraId="4D2D2CC9">
            <w:pPr>
              <w:pStyle w:val="50"/>
              <w:rPr>
                <w:rFonts w:ascii="宋体" w:hAnsi="宋体"/>
              </w:rPr>
            </w:pPr>
          </w:p>
        </w:tc>
        <w:tc>
          <w:tcPr>
            <w:tcW w:w="3056" w:type="dxa"/>
            <w:vAlign w:val="center"/>
          </w:tcPr>
          <w:p w14:paraId="7B6D95C9">
            <w:pPr>
              <w:pStyle w:val="50"/>
              <w:rPr>
                <w:rFonts w:ascii="宋体" w:hAnsi="宋体"/>
              </w:rPr>
            </w:pPr>
            <w:r>
              <w:rPr>
                <w:rFonts w:hint="eastAsia" w:ascii="宋体" w:hAnsi="宋体"/>
              </w:rPr>
              <w:t>设备编号</w:t>
            </w:r>
          </w:p>
        </w:tc>
        <w:tc>
          <w:tcPr>
            <w:tcW w:w="1041" w:type="dxa"/>
            <w:gridSpan w:val="2"/>
            <w:vAlign w:val="center"/>
          </w:tcPr>
          <w:p w14:paraId="2BECE006">
            <w:pPr>
              <w:pStyle w:val="50"/>
              <w:rPr>
                <w:rFonts w:ascii="宋体" w:hAnsi="宋体"/>
              </w:rPr>
            </w:pPr>
          </w:p>
        </w:tc>
        <w:tc>
          <w:tcPr>
            <w:tcW w:w="1603" w:type="dxa"/>
            <w:vAlign w:val="center"/>
          </w:tcPr>
          <w:p w14:paraId="143D84A3">
            <w:pPr>
              <w:pStyle w:val="50"/>
              <w:rPr>
                <w:rFonts w:ascii="宋体" w:hAnsi="宋体"/>
              </w:rPr>
            </w:pPr>
            <w:r>
              <w:rPr>
                <w:rFonts w:hint="eastAsia" w:ascii="宋体" w:hAnsi="宋体"/>
              </w:rPr>
              <w:t>施工高度</w:t>
            </w:r>
          </w:p>
        </w:tc>
        <w:tc>
          <w:tcPr>
            <w:tcW w:w="1116" w:type="dxa"/>
            <w:vAlign w:val="center"/>
          </w:tcPr>
          <w:p w14:paraId="7A73E6D2">
            <w:pPr>
              <w:pStyle w:val="50"/>
              <w:rPr>
                <w:rFonts w:ascii="宋体" w:hAnsi="宋体"/>
              </w:rPr>
            </w:pPr>
          </w:p>
        </w:tc>
      </w:tr>
      <w:tr w14:paraId="4C8C0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08" w:type="dxa"/>
            <w:vAlign w:val="center"/>
          </w:tcPr>
          <w:p w14:paraId="5922C4FF">
            <w:pPr>
              <w:pStyle w:val="50"/>
              <w:rPr>
                <w:rFonts w:ascii="宋体" w:hAnsi="宋体"/>
              </w:rPr>
            </w:pPr>
            <w:r>
              <w:rPr>
                <w:rFonts w:hint="eastAsia" w:ascii="宋体" w:hAnsi="宋体"/>
              </w:rPr>
              <w:t>附墙个数</w:t>
            </w:r>
          </w:p>
        </w:tc>
        <w:tc>
          <w:tcPr>
            <w:tcW w:w="1897" w:type="dxa"/>
            <w:gridSpan w:val="2"/>
            <w:vAlign w:val="center"/>
          </w:tcPr>
          <w:p w14:paraId="35C2CA04">
            <w:pPr>
              <w:pStyle w:val="50"/>
              <w:rPr>
                <w:rFonts w:ascii="宋体" w:hAnsi="宋体"/>
              </w:rPr>
            </w:pPr>
          </w:p>
        </w:tc>
        <w:tc>
          <w:tcPr>
            <w:tcW w:w="3056" w:type="dxa"/>
            <w:vAlign w:val="center"/>
          </w:tcPr>
          <w:p w14:paraId="69CBD9FE">
            <w:pPr>
              <w:pStyle w:val="50"/>
              <w:rPr>
                <w:rFonts w:ascii="宋体" w:hAnsi="宋体"/>
              </w:rPr>
            </w:pPr>
            <w:r>
              <w:rPr>
                <w:rFonts w:hint="eastAsia" w:ascii="宋体" w:hAnsi="宋体"/>
              </w:rPr>
              <w:t>最大载重量</w:t>
            </w:r>
          </w:p>
        </w:tc>
        <w:tc>
          <w:tcPr>
            <w:tcW w:w="1041" w:type="dxa"/>
            <w:gridSpan w:val="2"/>
            <w:vAlign w:val="center"/>
          </w:tcPr>
          <w:p w14:paraId="06C14397">
            <w:pPr>
              <w:pStyle w:val="50"/>
              <w:rPr>
                <w:rFonts w:ascii="宋体" w:hAnsi="宋体"/>
              </w:rPr>
            </w:pPr>
            <w:r>
              <w:rPr>
                <w:rFonts w:hint="eastAsia" w:ascii="宋体" w:hAnsi="宋体"/>
              </w:rPr>
              <w:t>吨</w:t>
            </w:r>
          </w:p>
        </w:tc>
        <w:tc>
          <w:tcPr>
            <w:tcW w:w="1603" w:type="dxa"/>
            <w:vAlign w:val="center"/>
          </w:tcPr>
          <w:p w14:paraId="37864B0D">
            <w:pPr>
              <w:pStyle w:val="50"/>
              <w:rPr>
                <w:rFonts w:ascii="宋体" w:hAnsi="宋体"/>
              </w:rPr>
            </w:pPr>
            <w:r>
              <w:rPr>
                <w:rFonts w:hint="eastAsia" w:ascii="宋体" w:hAnsi="宋体"/>
              </w:rPr>
              <w:t>检查日期</w:t>
            </w:r>
          </w:p>
        </w:tc>
        <w:tc>
          <w:tcPr>
            <w:tcW w:w="1116" w:type="dxa"/>
            <w:vAlign w:val="center"/>
          </w:tcPr>
          <w:p w14:paraId="67E6077D">
            <w:pPr>
              <w:pStyle w:val="50"/>
              <w:rPr>
                <w:rFonts w:ascii="宋体" w:hAnsi="宋体"/>
              </w:rPr>
            </w:pPr>
          </w:p>
        </w:tc>
      </w:tr>
      <w:tr w14:paraId="48192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6787" w:type="dxa"/>
            <w:gridSpan w:val="5"/>
            <w:vAlign w:val="center"/>
          </w:tcPr>
          <w:p w14:paraId="2FA0A45B">
            <w:pPr>
              <w:pStyle w:val="50"/>
              <w:rPr>
                <w:rFonts w:ascii="宋体" w:hAnsi="宋体"/>
              </w:rPr>
            </w:pPr>
            <w:r>
              <w:rPr>
                <w:rFonts w:hint="eastAsia" w:ascii="宋体" w:hAnsi="宋体"/>
              </w:rPr>
              <w:t>检       查      内      容</w:t>
            </w:r>
          </w:p>
        </w:tc>
        <w:tc>
          <w:tcPr>
            <w:tcW w:w="1618" w:type="dxa"/>
            <w:gridSpan w:val="2"/>
            <w:vAlign w:val="center"/>
          </w:tcPr>
          <w:p w14:paraId="76D72EA1">
            <w:pPr>
              <w:pStyle w:val="50"/>
              <w:rPr>
                <w:rFonts w:ascii="宋体" w:hAnsi="宋体"/>
              </w:rPr>
            </w:pPr>
            <w:r>
              <w:rPr>
                <w:rFonts w:hint="eastAsia" w:ascii="宋体" w:hAnsi="宋体"/>
              </w:rPr>
              <w:t>参照标准</w:t>
            </w:r>
          </w:p>
        </w:tc>
        <w:tc>
          <w:tcPr>
            <w:tcW w:w="1116" w:type="dxa"/>
            <w:vAlign w:val="center"/>
          </w:tcPr>
          <w:p w14:paraId="79EADC4F">
            <w:pPr>
              <w:pStyle w:val="50"/>
              <w:rPr>
                <w:rFonts w:ascii="宋体" w:hAnsi="宋体"/>
              </w:rPr>
            </w:pPr>
            <w:r>
              <w:rPr>
                <w:rFonts w:hint="eastAsia" w:ascii="宋体" w:hAnsi="宋体"/>
              </w:rPr>
              <w:t>检查结果</w:t>
            </w:r>
          </w:p>
        </w:tc>
      </w:tr>
      <w:tr w14:paraId="0576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restart"/>
            <w:vAlign w:val="center"/>
          </w:tcPr>
          <w:p w14:paraId="05F99826">
            <w:pPr>
              <w:pStyle w:val="50"/>
              <w:rPr>
                <w:rFonts w:ascii="宋体" w:hAnsi="宋体"/>
              </w:rPr>
            </w:pPr>
            <w:r>
              <w:rPr>
                <w:rFonts w:hint="eastAsia" w:ascii="宋体" w:hAnsi="宋体"/>
              </w:rPr>
              <w:t>（一）基</w:t>
            </w:r>
          </w:p>
          <w:p w14:paraId="27F033F7">
            <w:pPr>
              <w:pStyle w:val="50"/>
              <w:rPr>
                <w:rFonts w:ascii="宋体" w:hAnsi="宋体"/>
              </w:rPr>
            </w:pPr>
            <w:r>
              <w:rPr>
                <w:rFonts w:hint="eastAsia" w:ascii="宋体" w:hAnsi="宋体"/>
              </w:rPr>
              <w:t>础</w:t>
            </w:r>
          </w:p>
        </w:tc>
        <w:tc>
          <w:tcPr>
            <w:tcW w:w="5799" w:type="dxa"/>
            <w:gridSpan w:val="3"/>
            <w:vAlign w:val="center"/>
          </w:tcPr>
          <w:p w14:paraId="6618BF04">
            <w:pPr>
              <w:pStyle w:val="50"/>
              <w:jc w:val="both"/>
              <w:rPr>
                <w:rFonts w:ascii="宋体" w:hAnsi="宋体" w:eastAsia="仿宋_GB2312"/>
              </w:rPr>
            </w:pPr>
            <w:r>
              <w:rPr>
                <w:rFonts w:hint="eastAsia" w:ascii="宋体" w:hAnsi="宋体" w:eastAsia="仿宋_GB2312"/>
              </w:rPr>
              <w:t>1.稳定性；</w:t>
            </w:r>
          </w:p>
        </w:tc>
        <w:tc>
          <w:tcPr>
            <w:tcW w:w="1618" w:type="dxa"/>
            <w:gridSpan w:val="2"/>
            <w:vMerge w:val="restart"/>
            <w:vAlign w:val="center"/>
          </w:tcPr>
          <w:p w14:paraId="6C079667">
            <w:pPr>
              <w:pStyle w:val="50"/>
              <w:rPr>
                <w:rFonts w:ascii="宋体" w:hAnsi="宋体" w:eastAsia="仿宋_GB2312"/>
              </w:rPr>
            </w:pPr>
            <w:r>
              <w:rPr>
                <w:rFonts w:hint="eastAsia" w:ascii="宋体" w:hAnsi="宋体" w:eastAsia="仿宋_GB2312"/>
              </w:rPr>
              <w:t>JBJ/T187-2009</w:t>
            </w:r>
          </w:p>
        </w:tc>
        <w:tc>
          <w:tcPr>
            <w:tcW w:w="1116" w:type="dxa"/>
            <w:vAlign w:val="center"/>
          </w:tcPr>
          <w:p w14:paraId="298004ED">
            <w:pPr>
              <w:pStyle w:val="50"/>
              <w:rPr>
                <w:rFonts w:ascii="宋体" w:hAnsi="宋体" w:eastAsia="仿宋_GB2312"/>
              </w:rPr>
            </w:pPr>
          </w:p>
        </w:tc>
      </w:tr>
      <w:tr w14:paraId="5D159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743C5C72">
            <w:pPr>
              <w:pStyle w:val="50"/>
              <w:rPr>
                <w:rFonts w:ascii="宋体" w:hAnsi="宋体"/>
              </w:rPr>
            </w:pPr>
          </w:p>
        </w:tc>
        <w:tc>
          <w:tcPr>
            <w:tcW w:w="5799" w:type="dxa"/>
            <w:gridSpan w:val="3"/>
            <w:vAlign w:val="center"/>
          </w:tcPr>
          <w:p w14:paraId="696BD6DB">
            <w:pPr>
              <w:pStyle w:val="50"/>
              <w:jc w:val="both"/>
              <w:rPr>
                <w:rFonts w:ascii="宋体" w:hAnsi="宋体" w:eastAsia="仿宋_GB2312"/>
              </w:rPr>
            </w:pPr>
            <w:r>
              <w:rPr>
                <w:rFonts w:hint="eastAsia" w:ascii="宋体" w:hAnsi="宋体" w:eastAsia="仿宋_GB2312"/>
              </w:rPr>
              <w:t>2.排水措施；</w:t>
            </w:r>
          </w:p>
        </w:tc>
        <w:tc>
          <w:tcPr>
            <w:tcW w:w="1618" w:type="dxa"/>
            <w:gridSpan w:val="2"/>
            <w:vMerge w:val="continue"/>
            <w:vAlign w:val="center"/>
          </w:tcPr>
          <w:p w14:paraId="7E1A08A0">
            <w:pPr>
              <w:pStyle w:val="50"/>
              <w:rPr>
                <w:rFonts w:ascii="宋体" w:hAnsi="宋体" w:eastAsia="仿宋_GB2312"/>
              </w:rPr>
            </w:pPr>
          </w:p>
        </w:tc>
        <w:tc>
          <w:tcPr>
            <w:tcW w:w="1116" w:type="dxa"/>
            <w:vAlign w:val="center"/>
          </w:tcPr>
          <w:p w14:paraId="0C125A08">
            <w:pPr>
              <w:pStyle w:val="50"/>
              <w:rPr>
                <w:rFonts w:ascii="宋体" w:hAnsi="宋体" w:eastAsia="仿宋_GB2312"/>
              </w:rPr>
            </w:pPr>
          </w:p>
        </w:tc>
      </w:tr>
      <w:tr w14:paraId="2A306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0A2CD8D2">
            <w:pPr>
              <w:pStyle w:val="50"/>
              <w:rPr>
                <w:rFonts w:ascii="宋体" w:hAnsi="宋体"/>
              </w:rPr>
            </w:pPr>
          </w:p>
        </w:tc>
        <w:tc>
          <w:tcPr>
            <w:tcW w:w="5799" w:type="dxa"/>
            <w:gridSpan w:val="3"/>
            <w:vAlign w:val="center"/>
          </w:tcPr>
          <w:p w14:paraId="11804C87">
            <w:pPr>
              <w:pStyle w:val="50"/>
              <w:jc w:val="both"/>
              <w:rPr>
                <w:rFonts w:ascii="宋体" w:hAnsi="宋体" w:eastAsia="仿宋_GB2312"/>
              </w:rPr>
            </w:pPr>
            <w:r>
              <w:rPr>
                <w:rFonts w:hint="eastAsia" w:ascii="宋体" w:hAnsi="宋体" w:eastAsia="仿宋_GB2312"/>
              </w:rPr>
              <w:t>3.沉降量不大于50mm。</w:t>
            </w:r>
          </w:p>
        </w:tc>
        <w:tc>
          <w:tcPr>
            <w:tcW w:w="1618" w:type="dxa"/>
            <w:gridSpan w:val="2"/>
            <w:vMerge w:val="continue"/>
            <w:vAlign w:val="center"/>
          </w:tcPr>
          <w:p w14:paraId="0391A004">
            <w:pPr>
              <w:pStyle w:val="50"/>
              <w:rPr>
                <w:rFonts w:ascii="宋体" w:hAnsi="宋体" w:eastAsia="仿宋_GB2312"/>
              </w:rPr>
            </w:pPr>
          </w:p>
        </w:tc>
        <w:tc>
          <w:tcPr>
            <w:tcW w:w="1116" w:type="dxa"/>
            <w:vAlign w:val="center"/>
          </w:tcPr>
          <w:p w14:paraId="063DE410">
            <w:pPr>
              <w:pStyle w:val="50"/>
              <w:rPr>
                <w:rFonts w:ascii="宋体" w:hAnsi="宋体" w:eastAsia="仿宋_GB2312"/>
              </w:rPr>
            </w:pPr>
          </w:p>
        </w:tc>
      </w:tr>
      <w:tr w14:paraId="6EB0F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0" w:hRule="atLeast"/>
          <w:jc w:val="center"/>
        </w:trPr>
        <w:tc>
          <w:tcPr>
            <w:tcW w:w="988" w:type="dxa"/>
            <w:gridSpan w:val="2"/>
            <w:vMerge w:val="restart"/>
            <w:vAlign w:val="center"/>
          </w:tcPr>
          <w:p w14:paraId="6741423D">
            <w:pPr>
              <w:pStyle w:val="50"/>
              <w:rPr>
                <w:rFonts w:ascii="宋体" w:hAnsi="宋体"/>
              </w:rPr>
            </w:pPr>
            <w:r>
              <w:rPr>
                <w:rFonts w:hint="eastAsia" w:ascii="宋体" w:hAnsi="宋体"/>
              </w:rPr>
              <w:t>（二）塔</w:t>
            </w:r>
          </w:p>
          <w:p w14:paraId="00107383">
            <w:pPr>
              <w:pStyle w:val="50"/>
              <w:rPr>
                <w:rFonts w:ascii="宋体" w:hAnsi="宋体"/>
              </w:rPr>
            </w:pPr>
            <w:r>
              <w:rPr>
                <w:rFonts w:hint="eastAsia" w:ascii="宋体" w:hAnsi="宋体"/>
              </w:rPr>
              <w:t>身</w:t>
            </w:r>
          </w:p>
          <w:p w14:paraId="2265EBA7">
            <w:pPr>
              <w:pStyle w:val="50"/>
              <w:rPr>
                <w:rFonts w:ascii="宋体" w:hAnsi="宋体"/>
              </w:rPr>
            </w:pPr>
            <w:r>
              <w:rPr>
                <w:rFonts w:hint="eastAsia" w:ascii="宋体" w:hAnsi="宋体"/>
              </w:rPr>
              <w:t>结</w:t>
            </w:r>
          </w:p>
          <w:p w14:paraId="146F8374">
            <w:pPr>
              <w:pStyle w:val="50"/>
              <w:rPr>
                <w:rFonts w:ascii="宋体" w:hAnsi="宋体"/>
              </w:rPr>
            </w:pPr>
            <w:r>
              <w:rPr>
                <w:rFonts w:hint="eastAsia" w:ascii="宋体" w:hAnsi="宋体"/>
              </w:rPr>
              <w:t>构</w:t>
            </w:r>
          </w:p>
        </w:tc>
        <w:tc>
          <w:tcPr>
            <w:tcW w:w="5799" w:type="dxa"/>
            <w:gridSpan w:val="3"/>
            <w:vAlign w:val="center"/>
          </w:tcPr>
          <w:p w14:paraId="6358FA10">
            <w:pPr>
              <w:pStyle w:val="50"/>
              <w:jc w:val="both"/>
              <w:rPr>
                <w:rFonts w:ascii="宋体" w:hAnsi="宋体" w:eastAsia="仿宋_GB2312"/>
              </w:rPr>
            </w:pPr>
            <w:r>
              <w:rPr>
                <w:rFonts w:hint="eastAsia" w:ascii="宋体" w:hAnsi="宋体" w:eastAsia="仿宋_GB2312"/>
              </w:rPr>
              <w:t>1.结构无变形、开焊、裂纹；</w:t>
            </w:r>
          </w:p>
        </w:tc>
        <w:tc>
          <w:tcPr>
            <w:tcW w:w="1618" w:type="dxa"/>
            <w:gridSpan w:val="2"/>
            <w:vMerge w:val="restart"/>
            <w:vAlign w:val="center"/>
          </w:tcPr>
          <w:p w14:paraId="24EF1189">
            <w:pPr>
              <w:pStyle w:val="50"/>
              <w:rPr>
                <w:rFonts w:ascii="宋体" w:hAnsi="宋体" w:eastAsia="仿宋_GB2312"/>
              </w:rPr>
            </w:pPr>
            <w:r>
              <w:rPr>
                <w:rFonts w:ascii="宋体" w:hAnsi="宋体" w:eastAsia="仿宋_GB2312"/>
              </w:rPr>
              <w:t>GBT5031-2008</w:t>
            </w:r>
          </w:p>
          <w:p w14:paraId="0459505E">
            <w:pPr>
              <w:pStyle w:val="50"/>
              <w:rPr>
                <w:rFonts w:ascii="宋体" w:hAnsi="宋体" w:eastAsia="仿宋_GB2312"/>
              </w:rPr>
            </w:pPr>
            <w:r>
              <w:rPr>
                <w:rFonts w:hint="eastAsia" w:ascii="宋体" w:hAnsi="宋体" w:eastAsia="仿宋_GB2312"/>
              </w:rPr>
              <w:t>JGJ160-2008</w:t>
            </w:r>
          </w:p>
        </w:tc>
        <w:tc>
          <w:tcPr>
            <w:tcW w:w="1116" w:type="dxa"/>
            <w:vAlign w:val="center"/>
          </w:tcPr>
          <w:p w14:paraId="29702367">
            <w:pPr>
              <w:pStyle w:val="50"/>
              <w:rPr>
                <w:rFonts w:ascii="宋体" w:hAnsi="宋体"/>
              </w:rPr>
            </w:pPr>
          </w:p>
        </w:tc>
      </w:tr>
      <w:tr w14:paraId="31AD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155D2BB4">
            <w:pPr>
              <w:pStyle w:val="50"/>
              <w:rPr>
                <w:rFonts w:ascii="宋体" w:hAnsi="宋体"/>
              </w:rPr>
            </w:pPr>
          </w:p>
        </w:tc>
        <w:tc>
          <w:tcPr>
            <w:tcW w:w="5799" w:type="dxa"/>
            <w:gridSpan w:val="3"/>
            <w:vAlign w:val="center"/>
          </w:tcPr>
          <w:p w14:paraId="07BE6EB0">
            <w:pPr>
              <w:pStyle w:val="50"/>
              <w:jc w:val="both"/>
              <w:rPr>
                <w:rFonts w:ascii="宋体" w:hAnsi="宋体" w:eastAsia="仿宋_GB2312"/>
              </w:rPr>
            </w:pPr>
            <w:r>
              <w:rPr>
                <w:rFonts w:hint="eastAsia" w:ascii="宋体" w:hAnsi="宋体" w:eastAsia="仿宋_GB2312"/>
              </w:rPr>
              <w:t>2.过渡节、销轴、高强度螺栓等零部件配置齐全、无松动、缺损、无严重锈蚀；</w:t>
            </w:r>
          </w:p>
        </w:tc>
        <w:tc>
          <w:tcPr>
            <w:tcW w:w="1618" w:type="dxa"/>
            <w:gridSpan w:val="2"/>
            <w:vMerge w:val="continue"/>
            <w:vAlign w:val="center"/>
          </w:tcPr>
          <w:p w14:paraId="7089CD4E">
            <w:pPr>
              <w:pStyle w:val="50"/>
              <w:rPr>
                <w:rFonts w:ascii="宋体" w:hAnsi="宋体" w:eastAsia="仿宋_GB2312"/>
              </w:rPr>
            </w:pPr>
          </w:p>
        </w:tc>
        <w:tc>
          <w:tcPr>
            <w:tcW w:w="1116" w:type="dxa"/>
            <w:vAlign w:val="center"/>
          </w:tcPr>
          <w:p w14:paraId="4A6DEE75">
            <w:pPr>
              <w:pStyle w:val="50"/>
              <w:rPr>
                <w:rFonts w:ascii="宋体" w:hAnsi="宋体"/>
              </w:rPr>
            </w:pPr>
          </w:p>
        </w:tc>
      </w:tr>
      <w:tr w14:paraId="3265D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53A817DC">
            <w:pPr>
              <w:pStyle w:val="50"/>
              <w:rPr>
                <w:rFonts w:ascii="宋体" w:hAnsi="宋体"/>
              </w:rPr>
            </w:pPr>
          </w:p>
        </w:tc>
        <w:tc>
          <w:tcPr>
            <w:tcW w:w="5799" w:type="dxa"/>
            <w:gridSpan w:val="3"/>
            <w:vAlign w:val="center"/>
          </w:tcPr>
          <w:p w14:paraId="687C8478">
            <w:pPr>
              <w:pStyle w:val="50"/>
              <w:jc w:val="both"/>
              <w:rPr>
                <w:rFonts w:ascii="宋体" w:hAnsi="宋体" w:eastAsia="仿宋_GB2312"/>
              </w:rPr>
            </w:pPr>
            <w:r>
              <w:rPr>
                <w:rFonts w:hint="eastAsia" w:ascii="宋体" w:hAnsi="宋体" w:eastAsia="仿宋_GB2312"/>
              </w:rPr>
              <w:t>3.垂直度≤3‰；</w:t>
            </w:r>
          </w:p>
        </w:tc>
        <w:tc>
          <w:tcPr>
            <w:tcW w:w="1618" w:type="dxa"/>
            <w:gridSpan w:val="2"/>
            <w:vMerge w:val="continue"/>
            <w:vAlign w:val="center"/>
          </w:tcPr>
          <w:p w14:paraId="0C1559C6">
            <w:pPr>
              <w:pStyle w:val="50"/>
              <w:rPr>
                <w:rFonts w:ascii="宋体" w:hAnsi="宋体" w:eastAsia="仿宋_GB2312"/>
              </w:rPr>
            </w:pPr>
          </w:p>
        </w:tc>
        <w:tc>
          <w:tcPr>
            <w:tcW w:w="1116" w:type="dxa"/>
            <w:vAlign w:val="center"/>
          </w:tcPr>
          <w:p w14:paraId="37CE52FA">
            <w:pPr>
              <w:pStyle w:val="50"/>
              <w:rPr>
                <w:rFonts w:ascii="宋体" w:hAnsi="宋体"/>
              </w:rPr>
            </w:pPr>
          </w:p>
        </w:tc>
      </w:tr>
      <w:tr w14:paraId="6B138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78CE25FB">
            <w:pPr>
              <w:pStyle w:val="50"/>
              <w:rPr>
                <w:rFonts w:ascii="宋体" w:hAnsi="宋体"/>
              </w:rPr>
            </w:pPr>
          </w:p>
        </w:tc>
        <w:tc>
          <w:tcPr>
            <w:tcW w:w="5799" w:type="dxa"/>
            <w:gridSpan w:val="3"/>
            <w:vAlign w:val="center"/>
          </w:tcPr>
          <w:p w14:paraId="6EB2E816">
            <w:pPr>
              <w:pStyle w:val="50"/>
              <w:jc w:val="both"/>
              <w:rPr>
                <w:rFonts w:ascii="宋体" w:hAnsi="宋体" w:eastAsia="仿宋_GB2312"/>
              </w:rPr>
            </w:pPr>
            <w:r>
              <w:rPr>
                <w:rFonts w:hint="eastAsia" w:ascii="宋体" w:hAnsi="宋体" w:eastAsia="仿宋_GB2312"/>
              </w:rPr>
              <w:t>4.爬梯设置防护圈应符合国家标准；</w:t>
            </w:r>
          </w:p>
        </w:tc>
        <w:tc>
          <w:tcPr>
            <w:tcW w:w="1618" w:type="dxa"/>
            <w:gridSpan w:val="2"/>
            <w:vMerge w:val="continue"/>
            <w:vAlign w:val="center"/>
          </w:tcPr>
          <w:p w14:paraId="1525BD89">
            <w:pPr>
              <w:pStyle w:val="50"/>
              <w:rPr>
                <w:rFonts w:ascii="宋体" w:hAnsi="宋体" w:eastAsia="仿宋_GB2312"/>
              </w:rPr>
            </w:pPr>
          </w:p>
        </w:tc>
        <w:tc>
          <w:tcPr>
            <w:tcW w:w="1116" w:type="dxa"/>
            <w:vAlign w:val="center"/>
          </w:tcPr>
          <w:p w14:paraId="5840871B">
            <w:pPr>
              <w:pStyle w:val="50"/>
              <w:rPr>
                <w:rFonts w:ascii="宋体" w:hAnsi="宋体"/>
              </w:rPr>
            </w:pPr>
          </w:p>
        </w:tc>
      </w:tr>
      <w:tr w14:paraId="1B03F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5B78C7BF">
            <w:pPr>
              <w:pStyle w:val="50"/>
              <w:rPr>
                <w:rFonts w:ascii="宋体" w:hAnsi="宋体"/>
              </w:rPr>
            </w:pPr>
          </w:p>
        </w:tc>
        <w:tc>
          <w:tcPr>
            <w:tcW w:w="5799" w:type="dxa"/>
            <w:gridSpan w:val="3"/>
            <w:vAlign w:val="center"/>
          </w:tcPr>
          <w:p w14:paraId="5DAF3EC9">
            <w:pPr>
              <w:pStyle w:val="50"/>
              <w:jc w:val="both"/>
              <w:rPr>
                <w:rFonts w:ascii="宋体" w:hAnsi="宋体" w:eastAsia="仿宋_GB2312"/>
              </w:rPr>
            </w:pPr>
            <w:r>
              <w:rPr>
                <w:rFonts w:hint="eastAsia" w:ascii="宋体" w:hAnsi="宋体" w:eastAsia="仿宋_GB2312"/>
              </w:rPr>
              <w:t>5.开口销不得用金属丝等代替。</w:t>
            </w:r>
          </w:p>
        </w:tc>
        <w:tc>
          <w:tcPr>
            <w:tcW w:w="1618" w:type="dxa"/>
            <w:gridSpan w:val="2"/>
            <w:vMerge w:val="continue"/>
            <w:vAlign w:val="center"/>
          </w:tcPr>
          <w:p w14:paraId="716B7130">
            <w:pPr>
              <w:pStyle w:val="50"/>
              <w:rPr>
                <w:rFonts w:ascii="宋体" w:hAnsi="宋体" w:eastAsia="仿宋_GB2312"/>
              </w:rPr>
            </w:pPr>
          </w:p>
        </w:tc>
        <w:tc>
          <w:tcPr>
            <w:tcW w:w="1116" w:type="dxa"/>
            <w:vAlign w:val="center"/>
          </w:tcPr>
          <w:p w14:paraId="2588DBF4">
            <w:pPr>
              <w:pStyle w:val="50"/>
              <w:rPr>
                <w:rFonts w:ascii="宋体" w:hAnsi="宋体"/>
              </w:rPr>
            </w:pPr>
          </w:p>
        </w:tc>
      </w:tr>
      <w:tr w14:paraId="3E8BB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 w:hRule="atLeast"/>
          <w:jc w:val="center"/>
        </w:trPr>
        <w:tc>
          <w:tcPr>
            <w:tcW w:w="988" w:type="dxa"/>
            <w:gridSpan w:val="2"/>
            <w:vMerge w:val="restart"/>
            <w:vAlign w:val="center"/>
          </w:tcPr>
          <w:p w14:paraId="52CABE27">
            <w:pPr>
              <w:pStyle w:val="50"/>
              <w:rPr>
                <w:rFonts w:ascii="宋体" w:hAnsi="宋体"/>
              </w:rPr>
            </w:pPr>
            <w:r>
              <w:rPr>
                <w:rFonts w:hint="eastAsia" w:ascii="宋体" w:hAnsi="宋体"/>
              </w:rPr>
              <w:t>（三）钢</w:t>
            </w:r>
          </w:p>
          <w:p w14:paraId="3CD65438">
            <w:pPr>
              <w:pStyle w:val="50"/>
              <w:rPr>
                <w:rFonts w:ascii="宋体" w:hAnsi="宋体"/>
              </w:rPr>
            </w:pPr>
            <w:r>
              <w:rPr>
                <w:rFonts w:hint="eastAsia" w:ascii="宋体" w:hAnsi="宋体"/>
              </w:rPr>
              <w:t>丝</w:t>
            </w:r>
          </w:p>
          <w:p w14:paraId="07D6ACE8">
            <w:pPr>
              <w:pStyle w:val="50"/>
              <w:rPr>
                <w:rFonts w:ascii="宋体" w:hAnsi="宋体"/>
              </w:rPr>
            </w:pPr>
            <w:r>
              <w:rPr>
                <w:rFonts w:hint="eastAsia" w:ascii="宋体" w:hAnsi="宋体"/>
              </w:rPr>
              <w:t>绳</w:t>
            </w:r>
          </w:p>
        </w:tc>
        <w:tc>
          <w:tcPr>
            <w:tcW w:w="5799" w:type="dxa"/>
            <w:gridSpan w:val="3"/>
            <w:vAlign w:val="center"/>
          </w:tcPr>
          <w:p w14:paraId="748501F0">
            <w:pPr>
              <w:pStyle w:val="50"/>
              <w:jc w:val="both"/>
              <w:rPr>
                <w:rFonts w:ascii="宋体" w:hAnsi="宋体" w:eastAsia="仿宋_GB2312"/>
              </w:rPr>
            </w:pPr>
            <w:r>
              <w:rPr>
                <w:rFonts w:hint="eastAsia" w:ascii="宋体" w:hAnsi="宋体" w:eastAsia="仿宋_GB2312"/>
              </w:rPr>
              <w:t>1.完好、无断股；</w:t>
            </w:r>
          </w:p>
        </w:tc>
        <w:tc>
          <w:tcPr>
            <w:tcW w:w="1618" w:type="dxa"/>
            <w:gridSpan w:val="2"/>
            <w:vMerge w:val="restart"/>
            <w:vAlign w:val="center"/>
          </w:tcPr>
          <w:p w14:paraId="4DB785F6">
            <w:pPr>
              <w:pStyle w:val="50"/>
              <w:rPr>
                <w:rFonts w:ascii="宋体" w:hAnsi="宋体" w:eastAsia="仿宋_GB2312"/>
              </w:rPr>
            </w:pPr>
            <w:r>
              <w:rPr>
                <w:rFonts w:ascii="宋体" w:hAnsi="宋体" w:eastAsia="仿宋_GB2312"/>
              </w:rPr>
              <w:t>GBT5972-2016</w:t>
            </w:r>
          </w:p>
          <w:p w14:paraId="3E356F9A">
            <w:pPr>
              <w:pStyle w:val="50"/>
              <w:rPr>
                <w:rFonts w:ascii="宋体" w:hAnsi="宋体" w:eastAsia="仿宋_GB2312"/>
              </w:rPr>
            </w:pPr>
            <w:r>
              <w:rPr>
                <w:rFonts w:hint="eastAsia" w:ascii="宋体" w:hAnsi="宋体" w:eastAsia="仿宋_GB2312"/>
              </w:rPr>
              <w:t>JGJ160-2008</w:t>
            </w:r>
          </w:p>
        </w:tc>
        <w:tc>
          <w:tcPr>
            <w:tcW w:w="1116" w:type="dxa"/>
            <w:vAlign w:val="center"/>
          </w:tcPr>
          <w:p w14:paraId="61AC7F5A">
            <w:pPr>
              <w:pStyle w:val="50"/>
              <w:rPr>
                <w:rFonts w:ascii="宋体" w:hAnsi="宋体"/>
              </w:rPr>
            </w:pPr>
          </w:p>
        </w:tc>
      </w:tr>
      <w:tr w14:paraId="2AC1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3416AC81">
            <w:pPr>
              <w:pStyle w:val="50"/>
              <w:rPr>
                <w:rFonts w:ascii="宋体" w:hAnsi="宋体"/>
              </w:rPr>
            </w:pPr>
          </w:p>
        </w:tc>
        <w:tc>
          <w:tcPr>
            <w:tcW w:w="5799" w:type="dxa"/>
            <w:gridSpan w:val="3"/>
            <w:vAlign w:val="center"/>
          </w:tcPr>
          <w:p w14:paraId="70CF4A28">
            <w:pPr>
              <w:pStyle w:val="50"/>
              <w:jc w:val="both"/>
              <w:rPr>
                <w:rFonts w:ascii="宋体" w:hAnsi="宋体" w:eastAsia="仿宋_GB2312"/>
              </w:rPr>
            </w:pPr>
            <w:r>
              <w:rPr>
                <w:rFonts w:hint="eastAsia" w:ascii="宋体" w:hAnsi="宋体" w:eastAsia="仿宋_GB2312"/>
              </w:rPr>
              <w:t>2.断丝不超过10％；</w:t>
            </w:r>
          </w:p>
        </w:tc>
        <w:tc>
          <w:tcPr>
            <w:tcW w:w="1618" w:type="dxa"/>
            <w:gridSpan w:val="2"/>
            <w:vMerge w:val="continue"/>
            <w:vAlign w:val="center"/>
          </w:tcPr>
          <w:p w14:paraId="3551C4DD">
            <w:pPr>
              <w:pStyle w:val="50"/>
              <w:rPr>
                <w:rFonts w:ascii="宋体" w:hAnsi="宋体" w:eastAsia="仿宋_GB2312"/>
              </w:rPr>
            </w:pPr>
          </w:p>
        </w:tc>
        <w:tc>
          <w:tcPr>
            <w:tcW w:w="1116" w:type="dxa"/>
            <w:vAlign w:val="center"/>
          </w:tcPr>
          <w:p w14:paraId="6408B1A6">
            <w:pPr>
              <w:pStyle w:val="50"/>
              <w:rPr>
                <w:rFonts w:ascii="宋体" w:hAnsi="宋体"/>
              </w:rPr>
            </w:pPr>
          </w:p>
        </w:tc>
      </w:tr>
      <w:tr w14:paraId="0CE9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26601F9A">
            <w:pPr>
              <w:pStyle w:val="50"/>
              <w:rPr>
                <w:rFonts w:ascii="宋体" w:hAnsi="宋体"/>
              </w:rPr>
            </w:pPr>
          </w:p>
        </w:tc>
        <w:tc>
          <w:tcPr>
            <w:tcW w:w="5799" w:type="dxa"/>
            <w:gridSpan w:val="3"/>
            <w:vAlign w:val="center"/>
          </w:tcPr>
          <w:p w14:paraId="0BE7135D">
            <w:pPr>
              <w:pStyle w:val="50"/>
              <w:jc w:val="both"/>
              <w:rPr>
                <w:rFonts w:ascii="宋体" w:hAnsi="宋体" w:eastAsia="仿宋_GB2312"/>
              </w:rPr>
            </w:pPr>
            <w:r>
              <w:rPr>
                <w:rFonts w:hint="eastAsia" w:ascii="宋体" w:hAnsi="宋体" w:eastAsia="仿宋_GB2312"/>
              </w:rPr>
              <w:t>3.型号、规格、长度符合本机说明书规定；</w:t>
            </w:r>
          </w:p>
        </w:tc>
        <w:tc>
          <w:tcPr>
            <w:tcW w:w="1618" w:type="dxa"/>
            <w:gridSpan w:val="2"/>
            <w:vMerge w:val="continue"/>
            <w:vAlign w:val="center"/>
          </w:tcPr>
          <w:p w14:paraId="02F43C8B">
            <w:pPr>
              <w:pStyle w:val="50"/>
              <w:rPr>
                <w:rFonts w:ascii="宋体" w:hAnsi="宋体" w:eastAsia="仿宋_GB2312"/>
              </w:rPr>
            </w:pPr>
          </w:p>
        </w:tc>
        <w:tc>
          <w:tcPr>
            <w:tcW w:w="1116" w:type="dxa"/>
            <w:vAlign w:val="center"/>
          </w:tcPr>
          <w:p w14:paraId="33798102">
            <w:pPr>
              <w:pStyle w:val="50"/>
              <w:rPr>
                <w:rFonts w:ascii="宋体" w:hAnsi="宋体"/>
              </w:rPr>
            </w:pPr>
          </w:p>
        </w:tc>
      </w:tr>
      <w:tr w14:paraId="1B0B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1B7BF442">
            <w:pPr>
              <w:pStyle w:val="50"/>
              <w:rPr>
                <w:rFonts w:ascii="宋体" w:hAnsi="宋体"/>
              </w:rPr>
            </w:pPr>
          </w:p>
        </w:tc>
        <w:tc>
          <w:tcPr>
            <w:tcW w:w="5799" w:type="dxa"/>
            <w:gridSpan w:val="3"/>
            <w:vAlign w:val="center"/>
          </w:tcPr>
          <w:p w14:paraId="1440DB36">
            <w:pPr>
              <w:pStyle w:val="50"/>
              <w:jc w:val="both"/>
              <w:rPr>
                <w:rFonts w:ascii="宋体" w:hAnsi="宋体" w:eastAsia="仿宋_GB2312"/>
              </w:rPr>
            </w:pPr>
            <w:r>
              <w:rPr>
                <w:rFonts w:hint="eastAsia" w:ascii="宋体" w:hAnsi="宋体" w:eastAsia="仿宋_GB2312"/>
              </w:rPr>
              <w:t>4.固定绳卡数量与绳径匹配，卡间距为6-7倍绳径；</w:t>
            </w:r>
          </w:p>
        </w:tc>
        <w:tc>
          <w:tcPr>
            <w:tcW w:w="1618" w:type="dxa"/>
            <w:gridSpan w:val="2"/>
            <w:vMerge w:val="continue"/>
            <w:vAlign w:val="center"/>
          </w:tcPr>
          <w:p w14:paraId="49F33206">
            <w:pPr>
              <w:pStyle w:val="50"/>
              <w:rPr>
                <w:rFonts w:ascii="宋体" w:hAnsi="宋体" w:eastAsia="仿宋_GB2312"/>
              </w:rPr>
            </w:pPr>
          </w:p>
        </w:tc>
        <w:tc>
          <w:tcPr>
            <w:tcW w:w="1116" w:type="dxa"/>
            <w:vAlign w:val="center"/>
          </w:tcPr>
          <w:p w14:paraId="091BE1DA">
            <w:pPr>
              <w:pStyle w:val="50"/>
              <w:rPr>
                <w:rFonts w:ascii="宋体" w:hAnsi="宋体"/>
              </w:rPr>
            </w:pPr>
          </w:p>
        </w:tc>
      </w:tr>
      <w:tr w14:paraId="3DC03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131308E8">
            <w:pPr>
              <w:pStyle w:val="50"/>
              <w:rPr>
                <w:rFonts w:ascii="宋体" w:hAnsi="宋体"/>
              </w:rPr>
            </w:pPr>
          </w:p>
        </w:tc>
        <w:tc>
          <w:tcPr>
            <w:tcW w:w="5799" w:type="dxa"/>
            <w:gridSpan w:val="3"/>
            <w:vAlign w:val="center"/>
          </w:tcPr>
          <w:p w14:paraId="714762BA">
            <w:pPr>
              <w:pStyle w:val="50"/>
              <w:jc w:val="both"/>
              <w:rPr>
                <w:rFonts w:ascii="宋体" w:hAnsi="宋体" w:eastAsia="仿宋_GB2312"/>
              </w:rPr>
            </w:pPr>
            <w:r>
              <w:rPr>
                <w:rFonts w:hint="eastAsia" w:ascii="宋体" w:hAnsi="宋体" w:eastAsia="仿宋_GB2312"/>
              </w:rPr>
              <w:t>5.钢绳磨损量不超过钢丝绳的10%；</w:t>
            </w:r>
          </w:p>
        </w:tc>
        <w:tc>
          <w:tcPr>
            <w:tcW w:w="1618" w:type="dxa"/>
            <w:gridSpan w:val="2"/>
            <w:vMerge w:val="continue"/>
            <w:vAlign w:val="center"/>
          </w:tcPr>
          <w:p w14:paraId="2A18FF97">
            <w:pPr>
              <w:pStyle w:val="50"/>
              <w:rPr>
                <w:rFonts w:ascii="宋体" w:hAnsi="宋体" w:eastAsia="仿宋_GB2312"/>
              </w:rPr>
            </w:pPr>
          </w:p>
        </w:tc>
        <w:tc>
          <w:tcPr>
            <w:tcW w:w="1116" w:type="dxa"/>
            <w:vAlign w:val="center"/>
          </w:tcPr>
          <w:p w14:paraId="0B44D11A">
            <w:pPr>
              <w:pStyle w:val="50"/>
              <w:rPr>
                <w:rFonts w:ascii="宋体" w:hAnsi="宋体"/>
              </w:rPr>
            </w:pPr>
          </w:p>
        </w:tc>
      </w:tr>
      <w:tr w14:paraId="35957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1DAAF0F9">
            <w:pPr>
              <w:pStyle w:val="50"/>
              <w:rPr>
                <w:rFonts w:ascii="宋体" w:hAnsi="宋体"/>
              </w:rPr>
            </w:pPr>
          </w:p>
        </w:tc>
        <w:tc>
          <w:tcPr>
            <w:tcW w:w="5799" w:type="dxa"/>
            <w:gridSpan w:val="3"/>
            <w:vAlign w:val="center"/>
          </w:tcPr>
          <w:p w14:paraId="487298AD">
            <w:pPr>
              <w:pStyle w:val="50"/>
              <w:jc w:val="both"/>
              <w:rPr>
                <w:rFonts w:ascii="宋体" w:hAnsi="宋体" w:eastAsia="仿宋_GB2312"/>
              </w:rPr>
            </w:pPr>
            <w:r>
              <w:rPr>
                <w:rFonts w:hint="eastAsia" w:ascii="宋体" w:hAnsi="宋体" w:eastAsia="仿宋_GB2312"/>
              </w:rPr>
              <w:t>6.捆绑起重索具符合要求。</w:t>
            </w:r>
          </w:p>
        </w:tc>
        <w:tc>
          <w:tcPr>
            <w:tcW w:w="1618" w:type="dxa"/>
            <w:gridSpan w:val="2"/>
            <w:vMerge w:val="continue"/>
            <w:vAlign w:val="center"/>
          </w:tcPr>
          <w:p w14:paraId="6CC0F5BF">
            <w:pPr>
              <w:pStyle w:val="50"/>
              <w:rPr>
                <w:rFonts w:ascii="宋体" w:hAnsi="宋体" w:eastAsia="仿宋_GB2312"/>
              </w:rPr>
            </w:pPr>
          </w:p>
        </w:tc>
        <w:tc>
          <w:tcPr>
            <w:tcW w:w="1116" w:type="dxa"/>
            <w:vAlign w:val="center"/>
          </w:tcPr>
          <w:p w14:paraId="03AAF9B4">
            <w:pPr>
              <w:pStyle w:val="50"/>
              <w:rPr>
                <w:rFonts w:ascii="宋体" w:hAnsi="宋体"/>
              </w:rPr>
            </w:pPr>
          </w:p>
        </w:tc>
      </w:tr>
      <w:tr w14:paraId="029EA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 w:hRule="atLeast"/>
          <w:jc w:val="center"/>
        </w:trPr>
        <w:tc>
          <w:tcPr>
            <w:tcW w:w="988" w:type="dxa"/>
            <w:gridSpan w:val="2"/>
            <w:vMerge w:val="restart"/>
            <w:vAlign w:val="center"/>
          </w:tcPr>
          <w:p w14:paraId="6B48794B">
            <w:pPr>
              <w:pStyle w:val="50"/>
              <w:rPr>
                <w:rFonts w:ascii="宋体" w:hAnsi="宋体"/>
              </w:rPr>
            </w:pPr>
            <w:r>
              <w:rPr>
                <w:rFonts w:hint="eastAsia" w:ascii="宋体" w:hAnsi="宋体"/>
              </w:rPr>
              <w:t>（四）吊</w:t>
            </w:r>
          </w:p>
          <w:p w14:paraId="52765FDF">
            <w:pPr>
              <w:pStyle w:val="50"/>
              <w:rPr>
                <w:rFonts w:ascii="宋体" w:hAnsi="宋体"/>
              </w:rPr>
            </w:pPr>
            <w:r>
              <w:rPr>
                <w:rFonts w:hint="eastAsia" w:ascii="宋体" w:hAnsi="宋体"/>
              </w:rPr>
              <w:t>钩</w:t>
            </w:r>
          </w:p>
        </w:tc>
        <w:tc>
          <w:tcPr>
            <w:tcW w:w="5799" w:type="dxa"/>
            <w:gridSpan w:val="3"/>
            <w:vAlign w:val="center"/>
          </w:tcPr>
          <w:p w14:paraId="3B508785">
            <w:pPr>
              <w:pStyle w:val="50"/>
              <w:jc w:val="both"/>
              <w:rPr>
                <w:rFonts w:ascii="宋体" w:hAnsi="宋体" w:eastAsia="仿宋_GB2312"/>
              </w:rPr>
            </w:pPr>
            <w:r>
              <w:rPr>
                <w:rFonts w:hint="eastAsia" w:ascii="宋体" w:hAnsi="宋体" w:eastAsia="仿宋_GB2312"/>
              </w:rPr>
              <w:t>1.无裂纹、变形、严重磨损；</w:t>
            </w:r>
          </w:p>
        </w:tc>
        <w:tc>
          <w:tcPr>
            <w:tcW w:w="1618" w:type="dxa"/>
            <w:gridSpan w:val="2"/>
            <w:vMerge w:val="restart"/>
            <w:vAlign w:val="center"/>
          </w:tcPr>
          <w:p w14:paraId="3DFDDD8B">
            <w:pPr>
              <w:pStyle w:val="50"/>
              <w:rPr>
                <w:rFonts w:ascii="宋体" w:hAnsi="宋体" w:eastAsia="仿宋_GB2312"/>
              </w:rPr>
            </w:pPr>
            <w:r>
              <w:rPr>
                <w:rFonts w:ascii="宋体" w:hAnsi="宋体" w:eastAsia="仿宋_GB2312"/>
              </w:rPr>
              <w:t>GBT5031-2008</w:t>
            </w:r>
          </w:p>
          <w:p w14:paraId="34544855">
            <w:pPr>
              <w:pStyle w:val="50"/>
              <w:rPr>
                <w:rFonts w:ascii="宋体" w:hAnsi="宋体" w:eastAsia="仿宋_GB2312"/>
              </w:rPr>
            </w:pPr>
            <w:r>
              <w:rPr>
                <w:rFonts w:hint="eastAsia" w:ascii="宋体" w:hAnsi="宋体" w:eastAsia="仿宋_GB2312"/>
              </w:rPr>
              <w:t>JGJ160-2008</w:t>
            </w:r>
          </w:p>
        </w:tc>
        <w:tc>
          <w:tcPr>
            <w:tcW w:w="1116" w:type="dxa"/>
            <w:vAlign w:val="center"/>
          </w:tcPr>
          <w:p w14:paraId="05F92F18">
            <w:pPr>
              <w:pStyle w:val="50"/>
              <w:rPr>
                <w:rFonts w:ascii="宋体" w:hAnsi="宋体"/>
              </w:rPr>
            </w:pPr>
          </w:p>
        </w:tc>
      </w:tr>
      <w:tr w14:paraId="10912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88" w:type="dxa"/>
            <w:gridSpan w:val="2"/>
            <w:vMerge w:val="continue"/>
            <w:vAlign w:val="center"/>
          </w:tcPr>
          <w:p w14:paraId="7B153C2A">
            <w:pPr>
              <w:pStyle w:val="50"/>
              <w:rPr>
                <w:rFonts w:ascii="宋体" w:hAnsi="宋体"/>
              </w:rPr>
            </w:pPr>
          </w:p>
        </w:tc>
        <w:tc>
          <w:tcPr>
            <w:tcW w:w="5799" w:type="dxa"/>
            <w:gridSpan w:val="3"/>
            <w:vAlign w:val="center"/>
          </w:tcPr>
          <w:p w14:paraId="0D352D86">
            <w:pPr>
              <w:pStyle w:val="50"/>
              <w:jc w:val="both"/>
              <w:rPr>
                <w:rFonts w:ascii="宋体" w:hAnsi="宋体" w:eastAsia="仿宋_GB2312"/>
              </w:rPr>
            </w:pPr>
            <w:r>
              <w:rPr>
                <w:rFonts w:hint="eastAsia" w:ascii="宋体" w:hAnsi="宋体" w:eastAsia="仿宋_GB2312"/>
              </w:rPr>
              <w:t>2.钩身无补焊、钻孔现象；</w:t>
            </w:r>
          </w:p>
        </w:tc>
        <w:tc>
          <w:tcPr>
            <w:tcW w:w="1618" w:type="dxa"/>
            <w:gridSpan w:val="2"/>
            <w:vMerge w:val="continue"/>
            <w:vAlign w:val="center"/>
          </w:tcPr>
          <w:p w14:paraId="1AD07FB8">
            <w:pPr>
              <w:pStyle w:val="50"/>
              <w:rPr>
                <w:rFonts w:ascii="宋体" w:hAnsi="宋体" w:eastAsia="仿宋_GB2312"/>
              </w:rPr>
            </w:pPr>
          </w:p>
        </w:tc>
        <w:tc>
          <w:tcPr>
            <w:tcW w:w="1116" w:type="dxa"/>
            <w:vAlign w:val="center"/>
          </w:tcPr>
          <w:p w14:paraId="011D07C7">
            <w:pPr>
              <w:pStyle w:val="50"/>
              <w:rPr>
                <w:rFonts w:ascii="宋体" w:hAnsi="宋体"/>
              </w:rPr>
            </w:pPr>
          </w:p>
        </w:tc>
      </w:tr>
      <w:tr w14:paraId="377C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0C4CB5E6">
            <w:pPr>
              <w:pStyle w:val="50"/>
              <w:rPr>
                <w:rFonts w:ascii="宋体" w:hAnsi="宋体"/>
              </w:rPr>
            </w:pPr>
          </w:p>
        </w:tc>
        <w:tc>
          <w:tcPr>
            <w:tcW w:w="5799" w:type="dxa"/>
            <w:gridSpan w:val="3"/>
            <w:vAlign w:val="center"/>
          </w:tcPr>
          <w:p w14:paraId="2CC0F37D">
            <w:pPr>
              <w:pStyle w:val="50"/>
              <w:jc w:val="both"/>
              <w:rPr>
                <w:rFonts w:ascii="宋体" w:hAnsi="宋体" w:eastAsia="仿宋_GB2312"/>
              </w:rPr>
            </w:pPr>
            <w:r>
              <w:rPr>
                <w:rFonts w:hint="eastAsia" w:ascii="宋体" w:hAnsi="宋体" w:eastAsia="仿宋_GB2312"/>
              </w:rPr>
              <w:t>3.具有防脱装置;</w:t>
            </w:r>
          </w:p>
        </w:tc>
        <w:tc>
          <w:tcPr>
            <w:tcW w:w="1618" w:type="dxa"/>
            <w:gridSpan w:val="2"/>
            <w:vMerge w:val="continue"/>
            <w:vAlign w:val="center"/>
          </w:tcPr>
          <w:p w14:paraId="16A922E6">
            <w:pPr>
              <w:pStyle w:val="50"/>
              <w:rPr>
                <w:rFonts w:ascii="宋体" w:hAnsi="宋体" w:eastAsia="仿宋_GB2312"/>
              </w:rPr>
            </w:pPr>
          </w:p>
        </w:tc>
        <w:tc>
          <w:tcPr>
            <w:tcW w:w="1116" w:type="dxa"/>
            <w:vAlign w:val="center"/>
          </w:tcPr>
          <w:p w14:paraId="64DBDE5E">
            <w:pPr>
              <w:pStyle w:val="50"/>
              <w:rPr>
                <w:rFonts w:ascii="宋体" w:hAnsi="宋体"/>
              </w:rPr>
            </w:pPr>
          </w:p>
        </w:tc>
      </w:tr>
      <w:tr w14:paraId="3464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716E55F9">
            <w:pPr>
              <w:pStyle w:val="50"/>
              <w:rPr>
                <w:rFonts w:ascii="宋体" w:hAnsi="宋体"/>
              </w:rPr>
            </w:pPr>
          </w:p>
        </w:tc>
        <w:tc>
          <w:tcPr>
            <w:tcW w:w="5799" w:type="dxa"/>
            <w:gridSpan w:val="3"/>
            <w:vAlign w:val="center"/>
          </w:tcPr>
          <w:p w14:paraId="2A55DFF4">
            <w:pPr>
              <w:pStyle w:val="50"/>
              <w:jc w:val="both"/>
              <w:rPr>
                <w:rFonts w:ascii="宋体" w:hAnsi="宋体" w:eastAsia="仿宋_GB2312"/>
              </w:rPr>
            </w:pPr>
            <w:r>
              <w:rPr>
                <w:rFonts w:hint="eastAsia" w:ascii="宋体" w:hAnsi="宋体" w:eastAsia="仿宋_GB2312"/>
              </w:rPr>
              <w:t>4.挂绳处截面磨损量不超过原高度的10%；</w:t>
            </w:r>
          </w:p>
        </w:tc>
        <w:tc>
          <w:tcPr>
            <w:tcW w:w="1618" w:type="dxa"/>
            <w:gridSpan w:val="2"/>
            <w:vMerge w:val="continue"/>
            <w:vAlign w:val="center"/>
          </w:tcPr>
          <w:p w14:paraId="146B3C25">
            <w:pPr>
              <w:pStyle w:val="50"/>
              <w:rPr>
                <w:rFonts w:ascii="宋体" w:hAnsi="宋体" w:eastAsia="仿宋_GB2312"/>
              </w:rPr>
            </w:pPr>
          </w:p>
        </w:tc>
        <w:tc>
          <w:tcPr>
            <w:tcW w:w="1116" w:type="dxa"/>
            <w:vAlign w:val="center"/>
          </w:tcPr>
          <w:p w14:paraId="070C15B1">
            <w:pPr>
              <w:pStyle w:val="50"/>
              <w:rPr>
                <w:rFonts w:ascii="宋体" w:hAnsi="宋体"/>
              </w:rPr>
            </w:pPr>
          </w:p>
        </w:tc>
      </w:tr>
      <w:tr w14:paraId="2290A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988" w:type="dxa"/>
            <w:gridSpan w:val="2"/>
            <w:vMerge w:val="restart"/>
            <w:vAlign w:val="center"/>
          </w:tcPr>
          <w:p w14:paraId="485B2311">
            <w:pPr>
              <w:pStyle w:val="50"/>
              <w:rPr>
                <w:rFonts w:ascii="宋体" w:hAnsi="宋体"/>
              </w:rPr>
            </w:pPr>
            <w:r>
              <w:rPr>
                <w:rFonts w:hint="eastAsia" w:ascii="宋体" w:hAnsi="宋体"/>
              </w:rPr>
              <w:t>（五）高度限位</w:t>
            </w:r>
          </w:p>
        </w:tc>
        <w:tc>
          <w:tcPr>
            <w:tcW w:w="5799" w:type="dxa"/>
            <w:gridSpan w:val="3"/>
            <w:vAlign w:val="center"/>
          </w:tcPr>
          <w:p w14:paraId="3F280CF6">
            <w:pPr>
              <w:pStyle w:val="50"/>
              <w:jc w:val="both"/>
              <w:rPr>
                <w:rFonts w:ascii="宋体" w:hAnsi="宋体" w:eastAsia="仿宋_GB2312"/>
              </w:rPr>
            </w:pPr>
            <w:r>
              <w:rPr>
                <w:rFonts w:hint="eastAsia" w:ascii="宋体" w:hAnsi="宋体" w:eastAsia="仿宋_GB2312"/>
              </w:rPr>
              <w:t>1.吊钩顶部距起重臂下端800mm，能立即停止起升，但有向下、向内变幅运动；</w:t>
            </w:r>
          </w:p>
        </w:tc>
        <w:tc>
          <w:tcPr>
            <w:tcW w:w="1618" w:type="dxa"/>
            <w:gridSpan w:val="2"/>
            <w:vMerge w:val="restart"/>
            <w:vAlign w:val="center"/>
          </w:tcPr>
          <w:p w14:paraId="7158052A">
            <w:pPr>
              <w:pStyle w:val="50"/>
              <w:rPr>
                <w:rFonts w:ascii="宋体" w:hAnsi="宋体" w:eastAsia="仿宋_GB2312"/>
              </w:rPr>
            </w:pPr>
            <w:r>
              <w:rPr>
                <w:rFonts w:ascii="宋体" w:hAnsi="宋体" w:eastAsia="仿宋_GB2312"/>
              </w:rPr>
              <w:t>GBT5031-2008</w:t>
            </w:r>
          </w:p>
        </w:tc>
        <w:tc>
          <w:tcPr>
            <w:tcW w:w="1116" w:type="dxa"/>
            <w:vAlign w:val="center"/>
          </w:tcPr>
          <w:p w14:paraId="394CCFFF">
            <w:pPr>
              <w:pStyle w:val="50"/>
              <w:rPr>
                <w:rFonts w:ascii="宋体" w:hAnsi="宋体"/>
              </w:rPr>
            </w:pPr>
          </w:p>
        </w:tc>
      </w:tr>
      <w:tr w14:paraId="276D4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9" w:hRule="atLeast"/>
          <w:jc w:val="center"/>
        </w:trPr>
        <w:tc>
          <w:tcPr>
            <w:tcW w:w="988" w:type="dxa"/>
            <w:gridSpan w:val="2"/>
            <w:vMerge w:val="continue"/>
            <w:vAlign w:val="center"/>
          </w:tcPr>
          <w:p w14:paraId="74066738">
            <w:pPr>
              <w:pStyle w:val="50"/>
              <w:rPr>
                <w:rFonts w:ascii="宋体" w:hAnsi="宋体"/>
              </w:rPr>
            </w:pPr>
          </w:p>
        </w:tc>
        <w:tc>
          <w:tcPr>
            <w:tcW w:w="5799" w:type="dxa"/>
            <w:gridSpan w:val="3"/>
            <w:vAlign w:val="center"/>
          </w:tcPr>
          <w:p w14:paraId="54794830">
            <w:pPr>
              <w:pStyle w:val="50"/>
              <w:jc w:val="both"/>
              <w:rPr>
                <w:rFonts w:ascii="宋体" w:hAnsi="宋体" w:eastAsia="仿宋_GB2312"/>
              </w:rPr>
            </w:pPr>
            <w:r>
              <w:rPr>
                <w:rFonts w:hint="eastAsia" w:ascii="宋体" w:hAnsi="宋体" w:eastAsia="仿宋_GB2312"/>
              </w:rPr>
              <w:t>2.吊钩不能再下降或卷筒上钢丝绳只剩3圈时，应能立即停止下降运动；</w:t>
            </w:r>
          </w:p>
        </w:tc>
        <w:tc>
          <w:tcPr>
            <w:tcW w:w="1618" w:type="dxa"/>
            <w:gridSpan w:val="2"/>
            <w:vMerge w:val="continue"/>
            <w:vAlign w:val="center"/>
          </w:tcPr>
          <w:p w14:paraId="402C3AAC">
            <w:pPr>
              <w:pStyle w:val="50"/>
              <w:rPr>
                <w:rFonts w:ascii="宋体" w:hAnsi="宋体" w:eastAsia="仿宋_GB2312"/>
              </w:rPr>
            </w:pPr>
          </w:p>
        </w:tc>
        <w:tc>
          <w:tcPr>
            <w:tcW w:w="1116" w:type="dxa"/>
            <w:vAlign w:val="center"/>
          </w:tcPr>
          <w:p w14:paraId="4FB02FEB">
            <w:pPr>
              <w:pStyle w:val="50"/>
              <w:rPr>
                <w:rFonts w:ascii="宋体" w:hAnsi="宋体"/>
              </w:rPr>
            </w:pPr>
          </w:p>
        </w:tc>
      </w:tr>
      <w:tr w14:paraId="24C41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988" w:type="dxa"/>
            <w:gridSpan w:val="2"/>
            <w:vMerge w:val="continue"/>
            <w:vAlign w:val="center"/>
          </w:tcPr>
          <w:p w14:paraId="0724726A">
            <w:pPr>
              <w:pStyle w:val="50"/>
              <w:rPr>
                <w:rFonts w:ascii="宋体" w:hAnsi="宋体"/>
              </w:rPr>
            </w:pPr>
          </w:p>
        </w:tc>
        <w:tc>
          <w:tcPr>
            <w:tcW w:w="5799" w:type="dxa"/>
            <w:gridSpan w:val="3"/>
            <w:vAlign w:val="center"/>
          </w:tcPr>
          <w:p w14:paraId="306EF518">
            <w:pPr>
              <w:pStyle w:val="50"/>
              <w:jc w:val="both"/>
              <w:rPr>
                <w:rFonts w:ascii="宋体" w:hAnsi="宋体" w:eastAsia="仿宋_GB2312"/>
              </w:rPr>
            </w:pPr>
            <w:r>
              <w:rPr>
                <w:rFonts w:hint="eastAsia" w:ascii="宋体" w:hAnsi="宋体" w:eastAsia="仿宋_GB2312"/>
              </w:rPr>
              <w:t>3.钢丝绳松弛可能造成卷筒上钢丝绳乱绳或反卷，设置下限位。</w:t>
            </w:r>
          </w:p>
        </w:tc>
        <w:tc>
          <w:tcPr>
            <w:tcW w:w="1618" w:type="dxa"/>
            <w:gridSpan w:val="2"/>
            <w:vMerge w:val="continue"/>
            <w:vAlign w:val="center"/>
          </w:tcPr>
          <w:p w14:paraId="4F57A6E0">
            <w:pPr>
              <w:pStyle w:val="50"/>
              <w:rPr>
                <w:rFonts w:ascii="宋体" w:hAnsi="宋体" w:eastAsia="仿宋_GB2312"/>
              </w:rPr>
            </w:pPr>
          </w:p>
        </w:tc>
        <w:tc>
          <w:tcPr>
            <w:tcW w:w="1116" w:type="dxa"/>
            <w:vAlign w:val="center"/>
          </w:tcPr>
          <w:p w14:paraId="42CCE705">
            <w:pPr>
              <w:pStyle w:val="50"/>
              <w:rPr>
                <w:rFonts w:ascii="宋体" w:hAnsi="宋体"/>
              </w:rPr>
            </w:pPr>
          </w:p>
        </w:tc>
      </w:tr>
      <w:tr w14:paraId="2580A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88" w:type="dxa"/>
            <w:gridSpan w:val="2"/>
            <w:vMerge w:val="restart"/>
            <w:vAlign w:val="center"/>
          </w:tcPr>
          <w:p w14:paraId="7C586F88">
            <w:pPr>
              <w:pStyle w:val="50"/>
              <w:rPr>
                <w:rFonts w:ascii="宋体" w:hAnsi="宋体"/>
              </w:rPr>
            </w:pPr>
            <w:r>
              <w:rPr>
                <w:rFonts w:hint="eastAsia" w:ascii="宋体" w:hAnsi="宋体"/>
              </w:rPr>
              <w:t>（六）幅度限位装置</w:t>
            </w:r>
          </w:p>
        </w:tc>
        <w:tc>
          <w:tcPr>
            <w:tcW w:w="5799" w:type="dxa"/>
            <w:gridSpan w:val="3"/>
            <w:vAlign w:val="center"/>
          </w:tcPr>
          <w:p w14:paraId="69467D45">
            <w:pPr>
              <w:pStyle w:val="50"/>
              <w:jc w:val="both"/>
              <w:rPr>
                <w:rFonts w:ascii="宋体" w:hAnsi="宋体" w:eastAsia="仿宋_GB2312"/>
              </w:rPr>
            </w:pPr>
            <w:r>
              <w:rPr>
                <w:rFonts w:hint="eastAsia" w:ascii="宋体" w:hAnsi="宋体" w:eastAsia="仿宋_GB2312"/>
              </w:rPr>
              <w:t>1.小车前后两端应设置限位开关和缓冲装置；</w:t>
            </w:r>
          </w:p>
        </w:tc>
        <w:tc>
          <w:tcPr>
            <w:tcW w:w="1618" w:type="dxa"/>
            <w:gridSpan w:val="2"/>
            <w:vMerge w:val="restart"/>
            <w:vAlign w:val="center"/>
          </w:tcPr>
          <w:p w14:paraId="5FBA8712">
            <w:pPr>
              <w:pStyle w:val="50"/>
              <w:rPr>
                <w:rFonts w:ascii="宋体" w:hAnsi="宋体" w:eastAsia="仿宋_GB2312"/>
              </w:rPr>
            </w:pPr>
            <w:r>
              <w:rPr>
                <w:rFonts w:ascii="宋体" w:hAnsi="宋体" w:eastAsia="仿宋_GB2312"/>
              </w:rPr>
              <w:t>GBT5031-2008</w:t>
            </w:r>
          </w:p>
        </w:tc>
        <w:tc>
          <w:tcPr>
            <w:tcW w:w="1116" w:type="dxa"/>
            <w:vAlign w:val="center"/>
          </w:tcPr>
          <w:p w14:paraId="2942D729">
            <w:pPr>
              <w:pStyle w:val="50"/>
              <w:rPr>
                <w:rFonts w:ascii="宋体" w:hAnsi="宋体"/>
              </w:rPr>
            </w:pPr>
          </w:p>
        </w:tc>
      </w:tr>
      <w:tr w14:paraId="6D60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jc w:val="center"/>
        </w:trPr>
        <w:tc>
          <w:tcPr>
            <w:tcW w:w="988" w:type="dxa"/>
            <w:gridSpan w:val="2"/>
            <w:vMerge w:val="continue"/>
            <w:vAlign w:val="center"/>
          </w:tcPr>
          <w:p w14:paraId="66FC5372">
            <w:pPr>
              <w:pStyle w:val="50"/>
              <w:rPr>
                <w:rFonts w:ascii="宋体" w:hAnsi="宋体"/>
              </w:rPr>
            </w:pPr>
          </w:p>
        </w:tc>
        <w:tc>
          <w:tcPr>
            <w:tcW w:w="5799" w:type="dxa"/>
            <w:gridSpan w:val="3"/>
            <w:vAlign w:val="center"/>
          </w:tcPr>
          <w:p w14:paraId="34D42129">
            <w:pPr>
              <w:pStyle w:val="50"/>
              <w:jc w:val="both"/>
              <w:rPr>
                <w:rFonts w:ascii="宋体" w:hAnsi="宋体" w:eastAsia="仿宋_GB2312"/>
              </w:rPr>
            </w:pPr>
            <w:r>
              <w:rPr>
                <w:rFonts w:hint="eastAsia" w:ascii="宋体" w:hAnsi="宋体" w:eastAsia="仿宋_GB2312"/>
              </w:rPr>
              <w:t>2.限位开关距小车停车时其端部缓冲装置最小距离200mm。</w:t>
            </w:r>
          </w:p>
        </w:tc>
        <w:tc>
          <w:tcPr>
            <w:tcW w:w="1618" w:type="dxa"/>
            <w:gridSpan w:val="2"/>
            <w:vMerge w:val="continue"/>
            <w:vAlign w:val="center"/>
          </w:tcPr>
          <w:p w14:paraId="71751531">
            <w:pPr>
              <w:pStyle w:val="50"/>
              <w:rPr>
                <w:rFonts w:ascii="宋体" w:hAnsi="宋体" w:eastAsia="仿宋_GB2312"/>
              </w:rPr>
            </w:pPr>
          </w:p>
        </w:tc>
        <w:tc>
          <w:tcPr>
            <w:tcW w:w="1116" w:type="dxa"/>
            <w:vAlign w:val="center"/>
          </w:tcPr>
          <w:p w14:paraId="2F8ED034">
            <w:pPr>
              <w:pStyle w:val="50"/>
              <w:rPr>
                <w:rFonts w:ascii="宋体" w:hAnsi="宋体"/>
              </w:rPr>
            </w:pPr>
          </w:p>
        </w:tc>
      </w:tr>
      <w:tr w14:paraId="09E65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5E903AF9">
            <w:pPr>
              <w:pStyle w:val="50"/>
              <w:rPr>
                <w:rFonts w:ascii="宋体" w:hAnsi="宋体"/>
              </w:rPr>
            </w:pPr>
            <w:r>
              <w:rPr>
                <w:rFonts w:hint="eastAsia" w:ascii="宋体" w:hAnsi="宋体"/>
              </w:rPr>
              <w:t>（七）力矩限制器</w:t>
            </w:r>
          </w:p>
        </w:tc>
        <w:tc>
          <w:tcPr>
            <w:tcW w:w="5799" w:type="dxa"/>
            <w:gridSpan w:val="3"/>
            <w:vAlign w:val="center"/>
          </w:tcPr>
          <w:p w14:paraId="66D2DCE5">
            <w:pPr>
              <w:pStyle w:val="50"/>
              <w:jc w:val="both"/>
              <w:rPr>
                <w:rFonts w:ascii="宋体" w:hAnsi="宋体" w:eastAsia="仿宋_GB2312"/>
              </w:rPr>
            </w:pPr>
            <w:r>
              <w:rPr>
                <w:rFonts w:hint="eastAsia" w:ascii="宋体" w:hAnsi="宋体" w:eastAsia="仿宋_GB2312"/>
              </w:rPr>
              <w:t>1.应设置力矩限制器；</w:t>
            </w:r>
          </w:p>
        </w:tc>
        <w:tc>
          <w:tcPr>
            <w:tcW w:w="1618" w:type="dxa"/>
            <w:gridSpan w:val="2"/>
            <w:vMerge w:val="restart"/>
            <w:vAlign w:val="center"/>
          </w:tcPr>
          <w:p w14:paraId="07CE765B">
            <w:pPr>
              <w:pStyle w:val="50"/>
              <w:rPr>
                <w:rFonts w:ascii="宋体" w:hAnsi="宋体" w:eastAsia="仿宋_GB2312"/>
              </w:rPr>
            </w:pPr>
            <w:r>
              <w:rPr>
                <w:rFonts w:ascii="宋体" w:hAnsi="宋体" w:eastAsia="仿宋_GB2312"/>
              </w:rPr>
              <w:t>GB12602-2020</w:t>
            </w:r>
          </w:p>
        </w:tc>
        <w:tc>
          <w:tcPr>
            <w:tcW w:w="1116" w:type="dxa"/>
            <w:vAlign w:val="center"/>
          </w:tcPr>
          <w:p w14:paraId="0699FF62">
            <w:pPr>
              <w:pStyle w:val="50"/>
              <w:rPr>
                <w:rFonts w:ascii="宋体" w:hAnsi="宋体"/>
              </w:rPr>
            </w:pPr>
          </w:p>
        </w:tc>
      </w:tr>
      <w:tr w14:paraId="1810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232C0D4A">
            <w:pPr>
              <w:pStyle w:val="50"/>
              <w:rPr>
                <w:rFonts w:ascii="宋体" w:hAnsi="宋体"/>
              </w:rPr>
            </w:pPr>
          </w:p>
        </w:tc>
        <w:tc>
          <w:tcPr>
            <w:tcW w:w="5799" w:type="dxa"/>
            <w:gridSpan w:val="3"/>
            <w:vAlign w:val="center"/>
          </w:tcPr>
          <w:p w14:paraId="5CC47123">
            <w:pPr>
              <w:pStyle w:val="50"/>
              <w:jc w:val="both"/>
              <w:rPr>
                <w:rFonts w:ascii="宋体" w:hAnsi="宋体" w:eastAsia="仿宋_GB2312"/>
              </w:rPr>
            </w:pPr>
            <w:r>
              <w:rPr>
                <w:rFonts w:hint="eastAsia" w:ascii="宋体" w:hAnsi="宋体" w:eastAsia="仿宋_GB2312"/>
              </w:rPr>
              <w:t>2.起重量达到90%-95%时，能发出报警信号；</w:t>
            </w:r>
          </w:p>
        </w:tc>
        <w:tc>
          <w:tcPr>
            <w:tcW w:w="1618" w:type="dxa"/>
            <w:gridSpan w:val="2"/>
            <w:vMerge w:val="continue"/>
            <w:vAlign w:val="center"/>
          </w:tcPr>
          <w:p w14:paraId="7650D05F">
            <w:pPr>
              <w:pStyle w:val="50"/>
              <w:rPr>
                <w:rFonts w:ascii="宋体" w:hAnsi="宋体" w:eastAsia="仿宋_GB2312"/>
              </w:rPr>
            </w:pPr>
          </w:p>
        </w:tc>
        <w:tc>
          <w:tcPr>
            <w:tcW w:w="1116" w:type="dxa"/>
            <w:vAlign w:val="center"/>
          </w:tcPr>
          <w:p w14:paraId="6E9876F0">
            <w:pPr>
              <w:pStyle w:val="50"/>
              <w:rPr>
                <w:rFonts w:ascii="宋体" w:hAnsi="宋体"/>
              </w:rPr>
            </w:pPr>
          </w:p>
        </w:tc>
      </w:tr>
      <w:tr w14:paraId="7A3C4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988" w:type="dxa"/>
            <w:gridSpan w:val="2"/>
            <w:vMerge w:val="continue"/>
            <w:vAlign w:val="center"/>
          </w:tcPr>
          <w:p w14:paraId="59AFF75A">
            <w:pPr>
              <w:pStyle w:val="50"/>
              <w:rPr>
                <w:rFonts w:ascii="宋体" w:hAnsi="宋体"/>
              </w:rPr>
            </w:pPr>
          </w:p>
        </w:tc>
        <w:tc>
          <w:tcPr>
            <w:tcW w:w="5799" w:type="dxa"/>
            <w:gridSpan w:val="3"/>
            <w:vAlign w:val="center"/>
          </w:tcPr>
          <w:p w14:paraId="6D12B81C">
            <w:pPr>
              <w:pStyle w:val="50"/>
              <w:jc w:val="both"/>
              <w:rPr>
                <w:rFonts w:ascii="宋体" w:hAnsi="宋体" w:eastAsia="仿宋_GB2312"/>
              </w:rPr>
            </w:pPr>
            <w:r>
              <w:rPr>
                <w:rFonts w:hint="eastAsia" w:ascii="宋体" w:hAnsi="宋体" w:eastAsia="仿宋_GB2312"/>
              </w:rPr>
              <w:t>3.起重量达到105%-110%时，能停止向不安全方向继续动作。</w:t>
            </w:r>
          </w:p>
        </w:tc>
        <w:tc>
          <w:tcPr>
            <w:tcW w:w="1618" w:type="dxa"/>
            <w:gridSpan w:val="2"/>
            <w:vMerge w:val="continue"/>
            <w:vAlign w:val="center"/>
          </w:tcPr>
          <w:p w14:paraId="2F90B1D3">
            <w:pPr>
              <w:pStyle w:val="50"/>
              <w:rPr>
                <w:rFonts w:ascii="宋体" w:hAnsi="宋体" w:eastAsia="仿宋_GB2312"/>
              </w:rPr>
            </w:pPr>
          </w:p>
        </w:tc>
        <w:tc>
          <w:tcPr>
            <w:tcW w:w="1116" w:type="dxa"/>
            <w:vAlign w:val="center"/>
          </w:tcPr>
          <w:p w14:paraId="52C92C30">
            <w:pPr>
              <w:pStyle w:val="50"/>
              <w:rPr>
                <w:rFonts w:ascii="宋体" w:hAnsi="宋体"/>
              </w:rPr>
            </w:pPr>
          </w:p>
        </w:tc>
      </w:tr>
      <w:tr w14:paraId="6A3F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5" w:hRule="atLeast"/>
          <w:jc w:val="center"/>
        </w:trPr>
        <w:tc>
          <w:tcPr>
            <w:tcW w:w="988" w:type="dxa"/>
            <w:gridSpan w:val="2"/>
            <w:vMerge w:val="continue"/>
            <w:vAlign w:val="center"/>
          </w:tcPr>
          <w:p w14:paraId="16452007">
            <w:pPr>
              <w:pStyle w:val="50"/>
              <w:rPr>
                <w:rFonts w:ascii="宋体" w:hAnsi="宋体"/>
              </w:rPr>
            </w:pPr>
          </w:p>
        </w:tc>
        <w:tc>
          <w:tcPr>
            <w:tcW w:w="5799" w:type="dxa"/>
            <w:gridSpan w:val="3"/>
            <w:vAlign w:val="center"/>
          </w:tcPr>
          <w:p w14:paraId="06EB5E5A">
            <w:pPr>
              <w:pStyle w:val="50"/>
              <w:jc w:val="both"/>
              <w:rPr>
                <w:rFonts w:ascii="宋体" w:hAnsi="宋体" w:eastAsia="仿宋_GB2312"/>
              </w:rPr>
            </w:pPr>
            <w:r>
              <w:rPr>
                <w:rFonts w:hint="eastAsia" w:ascii="宋体" w:hAnsi="宋体" w:eastAsia="仿宋_GB2312"/>
              </w:rPr>
              <w:t>4.力矩限制器综合误差不超过±8%。</w:t>
            </w:r>
          </w:p>
        </w:tc>
        <w:tc>
          <w:tcPr>
            <w:tcW w:w="1618" w:type="dxa"/>
            <w:gridSpan w:val="2"/>
            <w:vMerge w:val="continue"/>
            <w:vAlign w:val="center"/>
          </w:tcPr>
          <w:p w14:paraId="4CEFBA6D">
            <w:pPr>
              <w:pStyle w:val="50"/>
              <w:rPr>
                <w:rFonts w:ascii="宋体" w:hAnsi="宋体" w:eastAsia="仿宋_GB2312"/>
              </w:rPr>
            </w:pPr>
          </w:p>
        </w:tc>
        <w:tc>
          <w:tcPr>
            <w:tcW w:w="1116" w:type="dxa"/>
            <w:vAlign w:val="center"/>
          </w:tcPr>
          <w:p w14:paraId="4DE1185F">
            <w:pPr>
              <w:pStyle w:val="50"/>
              <w:rPr>
                <w:rFonts w:ascii="宋体" w:hAnsi="宋体"/>
              </w:rPr>
            </w:pPr>
          </w:p>
        </w:tc>
      </w:tr>
      <w:tr w14:paraId="2D6A2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restart"/>
            <w:vAlign w:val="center"/>
          </w:tcPr>
          <w:p w14:paraId="56A4C8B8">
            <w:pPr>
              <w:pStyle w:val="50"/>
              <w:rPr>
                <w:rFonts w:ascii="宋体" w:hAnsi="宋体"/>
              </w:rPr>
            </w:pPr>
            <w:r>
              <w:rPr>
                <w:rFonts w:hint="eastAsia" w:ascii="宋体" w:hAnsi="宋体"/>
              </w:rPr>
              <w:t>（八）附</w:t>
            </w:r>
          </w:p>
          <w:p w14:paraId="4699BE73">
            <w:pPr>
              <w:pStyle w:val="50"/>
              <w:rPr>
                <w:rFonts w:ascii="宋体" w:hAnsi="宋体"/>
              </w:rPr>
            </w:pPr>
            <w:r>
              <w:rPr>
                <w:rFonts w:hint="eastAsia" w:ascii="宋体" w:hAnsi="宋体"/>
              </w:rPr>
              <w:t>着</w:t>
            </w:r>
          </w:p>
          <w:p w14:paraId="30E28E3D">
            <w:pPr>
              <w:pStyle w:val="50"/>
              <w:rPr>
                <w:rFonts w:ascii="宋体" w:hAnsi="宋体"/>
              </w:rPr>
            </w:pPr>
            <w:r>
              <w:rPr>
                <w:rFonts w:hint="eastAsia" w:ascii="宋体" w:hAnsi="宋体"/>
              </w:rPr>
              <w:t>架</w:t>
            </w:r>
          </w:p>
        </w:tc>
        <w:tc>
          <w:tcPr>
            <w:tcW w:w="5799" w:type="dxa"/>
            <w:gridSpan w:val="3"/>
            <w:vAlign w:val="center"/>
          </w:tcPr>
          <w:p w14:paraId="79F58881">
            <w:pPr>
              <w:pStyle w:val="50"/>
              <w:jc w:val="both"/>
              <w:rPr>
                <w:rFonts w:ascii="宋体" w:hAnsi="宋体" w:eastAsia="仿宋_GB2312"/>
              </w:rPr>
            </w:pPr>
            <w:r>
              <w:rPr>
                <w:rFonts w:hint="eastAsia" w:ascii="宋体" w:hAnsi="宋体" w:eastAsia="仿宋_GB2312"/>
              </w:rPr>
              <w:t>1.框架、附着杆安装正确、牢固；无开焊、变形、裂纹；</w:t>
            </w:r>
          </w:p>
        </w:tc>
        <w:tc>
          <w:tcPr>
            <w:tcW w:w="1618" w:type="dxa"/>
            <w:gridSpan w:val="2"/>
            <w:vMerge w:val="restart"/>
            <w:vAlign w:val="center"/>
          </w:tcPr>
          <w:p w14:paraId="7AE18C9D">
            <w:pPr>
              <w:pStyle w:val="50"/>
              <w:rPr>
                <w:rFonts w:ascii="宋体" w:hAnsi="宋体" w:eastAsia="仿宋_GB2312"/>
              </w:rPr>
            </w:pPr>
            <w:r>
              <w:rPr>
                <w:rFonts w:hint="eastAsia" w:ascii="宋体" w:hAnsi="宋体" w:eastAsia="仿宋_GB2312"/>
              </w:rPr>
              <w:t>JGJ196-2010</w:t>
            </w:r>
          </w:p>
        </w:tc>
        <w:tc>
          <w:tcPr>
            <w:tcW w:w="1116" w:type="dxa"/>
            <w:vAlign w:val="center"/>
          </w:tcPr>
          <w:p w14:paraId="096C7C54">
            <w:pPr>
              <w:pStyle w:val="50"/>
              <w:rPr>
                <w:rFonts w:ascii="宋体" w:hAnsi="宋体"/>
              </w:rPr>
            </w:pPr>
          </w:p>
        </w:tc>
      </w:tr>
      <w:tr w14:paraId="253E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55D6E4C7">
            <w:pPr>
              <w:pStyle w:val="50"/>
              <w:rPr>
                <w:rFonts w:ascii="宋体" w:hAnsi="宋体"/>
              </w:rPr>
            </w:pPr>
          </w:p>
        </w:tc>
        <w:tc>
          <w:tcPr>
            <w:tcW w:w="5799" w:type="dxa"/>
            <w:gridSpan w:val="3"/>
            <w:vAlign w:val="center"/>
          </w:tcPr>
          <w:p w14:paraId="1514E41E">
            <w:pPr>
              <w:pStyle w:val="50"/>
              <w:jc w:val="both"/>
              <w:rPr>
                <w:rFonts w:ascii="宋体" w:hAnsi="宋体" w:eastAsia="仿宋_GB2312"/>
              </w:rPr>
            </w:pPr>
            <w:r>
              <w:rPr>
                <w:rFonts w:hint="eastAsia" w:ascii="宋体" w:hAnsi="宋体" w:eastAsia="仿宋_GB2312"/>
              </w:rPr>
              <w:t>2.各处螺栓、轴销齐全牢固；</w:t>
            </w:r>
          </w:p>
        </w:tc>
        <w:tc>
          <w:tcPr>
            <w:tcW w:w="1618" w:type="dxa"/>
            <w:gridSpan w:val="2"/>
            <w:vMerge w:val="continue"/>
            <w:vAlign w:val="center"/>
          </w:tcPr>
          <w:p w14:paraId="21DFC922">
            <w:pPr>
              <w:pStyle w:val="50"/>
              <w:rPr>
                <w:rFonts w:ascii="宋体" w:hAnsi="宋体" w:eastAsia="仿宋_GB2312"/>
              </w:rPr>
            </w:pPr>
          </w:p>
        </w:tc>
        <w:tc>
          <w:tcPr>
            <w:tcW w:w="1116" w:type="dxa"/>
            <w:vAlign w:val="center"/>
          </w:tcPr>
          <w:p w14:paraId="5DDA3E58">
            <w:pPr>
              <w:pStyle w:val="50"/>
              <w:rPr>
                <w:rFonts w:ascii="宋体" w:hAnsi="宋体"/>
              </w:rPr>
            </w:pPr>
          </w:p>
        </w:tc>
      </w:tr>
      <w:tr w14:paraId="2C31D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355D096F">
            <w:pPr>
              <w:pStyle w:val="50"/>
              <w:rPr>
                <w:rFonts w:ascii="宋体" w:hAnsi="宋体"/>
              </w:rPr>
            </w:pPr>
          </w:p>
        </w:tc>
        <w:tc>
          <w:tcPr>
            <w:tcW w:w="5799" w:type="dxa"/>
            <w:gridSpan w:val="3"/>
            <w:vAlign w:val="center"/>
          </w:tcPr>
          <w:p w14:paraId="7BFB1674">
            <w:pPr>
              <w:pStyle w:val="50"/>
              <w:jc w:val="both"/>
              <w:rPr>
                <w:rFonts w:ascii="宋体" w:hAnsi="宋体" w:eastAsia="仿宋_GB2312"/>
              </w:rPr>
            </w:pPr>
            <w:r>
              <w:rPr>
                <w:rFonts w:hint="eastAsia" w:ascii="宋体" w:hAnsi="宋体" w:eastAsia="仿宋_GB2312"/>
              </w:rPr>
              <w:t>3.间距、数量、安装固定符合说明书要求；</w:t>
            </w:r>
          </w:p>
        </w:tc>
        <w:tc>
          <w:tcPr>
            <w:tcW w:w="1618" w:type="dxa"/>
            <w:gridSpan w:val="2"/>
            <w:vMerge w:val="continue"/>
            <w:vAlign w:val="center"/>
          </w:tcPr>
          <w:p w14:paraId="01ADE26F">
            <w:pPr>
              <w:pStyle w:val="50"/>
              <w:rPr>
                <w:rFonts w:ascii="宋体" w:hAnsi="宋体" w:eastAsia="仿宋_GB2312"/>
              </w:rPr>
            </w:pPr>
          </w:p>
        </w:tc>
        <w:tc>
          <w:tcPr>
            <w:tcW w:w="1116" w:type="dxa"/>
            <w:vAlign w:val="center"/>
          </w:tcPr>
          <w:p w14:paraId="47962F9F">
            <w:pPr>
              <w:pStyle w:val="50"/>
              <w:rPr>
                <w:rFonts w:ascii="宋体" w:hAnsi="宋体"/>
              </w:rPr>
            </w:pPr>
          </w:p>
        </w:tc>
      </w:tr>
      <w:tr w14:paraId="3AAC3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5A67157D">
            <w:pPr>
              <w:pStyle w:val="50"/>
              <w:rPr>
                <w:rFonts w:ascii="宋体" w:hAnsi="宋体"/>
              </w:rPr>
            </w:pPr>
          </w:p>
        </w:tc>
        <w:tc>
          <w:tcPr>
            <w:tcW w:w="5799" w:type="dxa"/>
            <w:gridSpan w:val="3"/>
            <w:vAlign w:val="center"/>
          </w:tcPr>
          <w:p w14:paraId="2F156259">
            <w:pPr>
              <w:pStyle w:val="50"/>
              <w:jc w:val="both"/>
              <w:rPr>
                <w:rFonts w:ascii="宋体" w:hAnsi="宋体" w:eastAsia="仿宋_GB2312"/>
              </w:rPr>
            </w:pPr>
            <w:r>
              <w:rPr>
                <w:rFonts w:hint="eastAsia" w:ascii="宋体" w:hAnsi="宋体" w:eastAsia="仿宋_GB2312"/>
              </w:rPr>
              <w:t>4.架体不得擅自改动。</w:t>
            </w:r>
          </w:p>
        </w:tc>
        <w:tc>
          <w:tcPr>
            <w:tcW w:w="1618" w:type="dxa"/>
            <w:gridSpan w:val="2"/>
            <w:vMerge w:val="continue"/>
            <w:vAlign w:val="center"/>
          </w:tcPr>
          <w:p w14:paraId="461E1102">
            <w:pPr>
              <w:pStyle w:val="50"/>
              <w:rPr>
                <w:rFonts w:ascii="宋体" w:hAnsi="宋体" w:eastAsia="仿宋_GB2312"/>
              </w:rPr>
            </w:pPr>
          </w:p>
        </w:tc>
        <w:tc>
          <w:tcPr>
            <w:tcW w:w="1116" w:type="dxa"/>
            <w:vAlign w:val="center"/>
          </w:tcPr>
          <w:p w14:paraId="1997DBF9">
            <w:pPr>
              <w:pStyle w:val="50"/>
              <w:rPr>
                <w:rFonts w:ascii="宋体" w:hAnsi="宋体"/>
              </w:rPr>
            </w:pPr>
          </w:p>
        </w:tc>
      </w:tr>
      <w:tr w14:paraId="07D4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restart"/>
            <w:vAlign w:val="center"/>
          </w:tcPr>
          <w:p w14:paraId="3B875F3A">
            <w:pPr>
              <w:pStyle w:val="50"/>
              <w:rPr>
                <w:rFonts w:ascii="宋体" w:hAnsi="宋体"/>
              </w:rPr>
            </w:pPr>
            <w:r>
              <w:rPr>
                <w:rFonts w:hint="eastAsia" w:ascii="宋体" w:hAnsi="宋体"/>
              </w:rPr>
              <w:t>（九）电</w:t>
            </w:r>
          </w:p>
          <w:p w14:paraId="54B12DD6">
            <w:pPr>
              <w:pStyle w:val="50"/>
              <w:rPr>
                <w:rFonts w:ascii="宋体" w:hAnsi="宋体"/>
              </w:rPr>
            </w:pPr>
            <w:r>
              <w:rPr>
                <w:rFonts w:hint="eastAsia" w:ascii="宋体" w:hAnsi="宋体"/>
              </w:rPr>
              <w:t>气</w:t>
            </w:r>
          </w:p>
        </w:tc>
        <w:tc>
          <w:tcPr>
            <w:tcW w:w="5799" w:type="dxa"/>
            <w:gridSpan w:val="3"/>
            <w:vAlign w:val="center"/>
          </w:tcPr>
          <w:p w14:paraId="4DA0E803">
            <w:pPr>
              <w:pStyle w:val="50"/>
              <w:jc w:val="both"/>
              <w:rPr>
                <w:rFonts w:ascii="宋体" w:hAnsi="宋体" w:eastAsia="仿宋_GB2312"/>
              </w:rPr>
            </w:pPr>
            <w:r>
              <w:rPr>
                <w:rFonts w:hint="eastAsia" w:ascii="宋体" w:hAnsi="宋体" w:eastAsia="仿宋_GB2312"/>
              </w:rPr>
              <w:t>1.电缆无破损，无老化；</w:t>
            </w:r>
          </w:p>
        </w:tc>
        <w:tc>
          <w:tcPr>
            <w:tcW w:w="1618" w:type="dxa"/>
            <w:gridSpan w:val="2"/>
            <w:vMerge w:val="restart"/>
            <w:vAlign w:val="center"/>
          </w:tcPr>
          <w:p w14:paraId="1CB31639">
            <w:pPr>
              <w:pStyle w:val="50"/>
              <w:rPr>
                <w:rFonts w:ascii="宋体" w:hAnsi="宋体" w:eastAsia="仿宋_GB2312"/>
              </w:rPr>
            </w:pPr>
            <w:r>
              <w:rPr>
                <w:rFonts w:hint="eastAsia" w:ascii="宋体" w:hAnsi="宋体" w:eastAsia="仿宋_GB2312"/>
              </w:rPr>
              <w:t>GB5226</w:t>
            </w:r>
            <w:r>
              <w:rPr>
                <w:rFonts w:ascii="宋体" w:hAnsi="宋体" w:eastAsia="仿宋_GB2312"/>
              </w:rPr>
              <w:t>.1</w:t>
            </w:r>
            <w:r>
              <w:rPr>
                <w:rFonts w:hint="eastAsia" w:ascii="宋体" w:hAnsi="宋体" w:eastAsia="仿宋_GB2312"/>
              </w:rPr>
              <w:t>-2002</w:t>
            </w:r>
          </w:p>
          <w:p w14:paraId="07EA1BEA">
            <w:pPr>
              <w:pStyle w:val="50"/>
              <w:rPr>
                <w:rFonts w:ascii="宋体" w:hAnsi="宋体" w:eastAsia="仿宋_GB2312"/>
              </w:rPr>
            </w:pPr>
            <w:r>
              <w:rPr>
                <w:rFonts w:hint="eastAsia" w:ascii="宋体" w:hAnsi="宋体" w:eastAsia="仿宋_GB2312"/>
              </w:rPr>
              <w:t>JGJ160-2008</w:t>
            </w:r>
          </w:p>
          <w:p w14:paraId="0B523EB8">
            <w:pPr>
              <w:pStyle w:val="50"/>
              <w:rPr>
                <w:rFonts w:ascii="宋体" w:hAnsi="宋体" w:eastAsia="仿宋_GB2312"/>
              </w:rPr>
            </w:pPr>
            <w:r>
              <w:rPr>
                <w:rFonts w:hint="eastAsia" w:ascii="宋体" w:hAnsi="宋体" w:eastAsia="仿宋_GB2312"/>
              </w:rPr>
              <w:t>GBT5031-2008</w:t>
            </w:r>
          </w:p>
        </w:tc>
        <w:tc>
          <w:tcPr>
            <w:tcW w:w="1116" w:type="dxa"/>
            <w:vAlign w:val="center"/>
          </w:tcPr>
          <w:p w14:paraId="25ECC461">
            <w:pPr>
              <w:pStyle w:val="50"/>
              <w:rPr>
                <w:rFonts w:ascii="宋体" w:hAnsi="宋体"/>
              </w:rPr>
            </w:pPr>
          </w:p>
        </w:tc>
      </w:tr>
      <w:tr w14:paraId="0525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 w:hRule="atLeast"/>
          <w:jc w:val="center"/>
        </w:trPr>
        <w:tc>
          <w:tcPr>
            <w:tcW w:w="988" w:type="dxa"/>
            <w:gridSpan w:val="2"/>
            <w:vMerge w:val="continue"/>
            <w:vAlign w:val="center"/>
          </w:tcPr>
          <w:p w14:paraId="5EC33711">
            <w:pPr>
              <w:pStyle w:val="50"/>
              <w:rPr>
                <w:rFonts w:ascii="宋体" w:hAnsi="宋体"/>
              </w:rPr>
            </w:pPr>
          </w:p>
        </w:tc>
        <w:tc>
          <w:tcPr>
            <w:tcW w:w="5799" w:type="dxa"/>
            <w:gridSpan w:val="3"/>
            <w:vAlign w:val="center"/>
          </w:tcPr>
          <w:p w14:paraId="6C797036">
            <w:pPr>
              <w:pStyle w:val="50"/>
              <w:jc w:val="both"/>
              <w:rPr>
                <w:rFonts w:ascii="宋体" w:hAnsi="宋体" w:eastAsia="仿宋_GB2312"/>
              </w:rPr>
            </w:pPr>
            <w:r>
              <w:rPr>
                <w:rFonts w:hint="eastAsia" w:ascii="宋体" w:hAnsi="宋体" w:eastAsia="仿宋_GB2312"/>
              </w:rPr>
              <w:t>2.各接地、接零保护装置符合要求；</w:t>
            </w:r>
          </w:p>
        </w:tc>
        <w:tc>
          <w:tcPr>
            <w:tcW w:w="1618" w:type="dxa"/>
            <w:gridSpan w:val="2"/>
            <w:vMerge w:val="continue"/>
            <w:vAlign w:val="center"/>
          </w:tcPr>
          <w:p w14:paraId="40618C6C">
            <w:pPr>
              <w:pStyle w:val="50"/>
              <w:rPr>
                <w:rFonts w:ascii="宋体" w:hAnsi="宋体" w:eastAsia="仿宋_GB2312"/>
              </w:rPr>
            </w:pPr>
          </w:p>
        </w:tc>
        <w:tc>
          <w:tcPr>
            <w:tcW w:w="1116" w:type="dxa"/>
            <w:vAlign w:val="center"/>
          </w:tcPr>
          <w:p w14:paraId="2A3A1FC7">
            <w:pPr>
              <w:pStyle w:val="50"/>
              <w:rPr>
                <w:rFonts w:ascii="宋体" w:hAnsi="宋体"/>
              </w:rPr>
            </w:pPr>
          </w:p>
        </w:tc>
      </w:tr>
      <w:tr w14:paraId="09C9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667A238E">
            <w:pPr>
              <w:pStyle w:val="50"/>
              <w:rPr>
                <w:rFonts w:ascii="宋体" w:hAnsi="宋体"/>
              </w:rPr>
            </w:pPr>
          </w:p>
        </w:tc>
        <w:tc>
          <w:tcPr>
            <w:tcW w:w="5799" w:type="dxa"/>
            <w:gridSpan w:val="3"/>
            <w:vAlign w:val="center"/>
          </w:tcPr>
          <w:p w14:paraId="3060F44D">
            <w:pPr>
              <w:pStyle w:val="50"/>
              <w:jc w:val="both"/>
              <w:rPr>
                <w:rFonts w:ascii="宋体" w:hAnsi="宋体" w:eastAsia="仿宋_GB2312"/>
              </w:rPr>
            </w:pPr>
            <w:r>
              <w:rPr>
                <w:rFonts w:hint="eastAsia" w:ascii="宋体" w:hAnsi="宋体" w:eastAsia="仿宋_GB2312"/>
              </w:rPr>
              <w:t>3.开关等配电装置齐全有效；</w:t>
            </w:r>
          </w:p>
        </w:tc>
        <w:tc>
          <w:tcPr>
            <w:tcW w:w="1618" w:type="dxa"/>
            <w:gridSpan w:val="2"/>
            <w:vMerge w:val="continue"/>
            <w:vAlign w:val="center"/>
          </w:tcPr>
          <w:p w14:paraId="37F7C01D">
            <w:pPr>
              <w:pStyle w:val="50"/>
              <w:rPr>
                <w:rFonts w:ascii="宋体" w:hAnsi="宋体" w:eastAsia="仿宋_GB2312"/>
              </w:rPr>
            </w:pPr>
          </w:p>
        </w:tc>
        <w:tc>
          <w:tcPr>
            <w:tcW w:w="1116" w:type="dxa"/>
            <w:vAlign w:val="center"/>
          </w:tcPr>
          <w:p w14:paraId="496292CD">
            <w:pPr>
              <w:pStyle w:val="50"/>
              <w:rPr>
                <w:rFonts w:ascii="宋体" w:hAnsi="宋体"/>
              </w:rPr>
            </w:pPr>
          </w:p>
        </w:tc>
      </w:tr>
      <w:tr w14:paraId="5835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65985FC1">
            <w:pPr>
              <w:pStyle w:val="50"/>
              <w:rPr>
                <w:rFonts w:ascii="宋体" w:hAnsi="宋体"/>
              </w:rPr>
            </w:pPr>
          </w:p>
        </w:tc>
        <w:tc>
          <w:tcPr>
            <w:tcW w:w="5799" w:type="dxa"/>
            <w:gridSpan w:val="3"/>
            <w:vAlign w:val="center"/>
          </w:tcPr>
          <w:p w14:paraId="71AE3D96">
            <w:pPr>
              <w:pStyle w:val="50"/>
              <w:jc w:val="both"/>
              <w:rPr>
                <w:rFonts w:ascii="宋体" w:hAnsi="宋体" w:eastAsia="仿宋_GB2312"/>
              </w:rPr>
            </w:pPr>
            <w:r>
              <w:rPr>
                <w:rFonts w:hint="eastAsia" w:ascii="宋体" w:hAnsi="宋体" w:eastAsia="仿宋_GB2312"/>
              </w:rPr>
              <w:t>4.绝缘良好；</w:t>
            </w:r>
          </w:p>
        </w:tc>
        <w:tc>
          <w:tcPr>
            <w:tcW w:w="1618" w:type="dxa"/>
            <w:gridSpan w:val="2"/>
            <w:vMerge w:val="continue"/>
            <w:vAlign w:val="center"/>
          </w:tcPr>
          <w:p w14:paraId="51DC8D73">
            <w:pPr>
              <w:pStyle w:val="50"/>
              <w:rPr>
                <w:rFonts w:ascii="宋体" w:hAnsi="宋体" w:eastAsia="仿宋_GB2312"/>
              </w:rPr>
            </w:pPr>
          </w:p>
        </w:tc>
        <w:tc>
          <w:tcPr>
            <w:tcW w:w="1116" w:type="dxa"/>
            <w:vAlign w:val="center"/>
          </w:tcPr>
          <w:p w14:paraId="65CBA665">
            <w:pPr>
              <w:pStyle w:val="50"/>
              <w:rPr>
                <w:rFonts w:ascii="宋体" w:hAnsi="宋体"/>
              </w:rPr>
            </w:pPr>
          </w:p>
        </w:tc>
      </w:tr>
      <w:tr w14:paraId="6BCDD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475E66DA">
            <w:pPr>
              <w:pStyle w:val="50"/>
              <w:rPr>
                <w:rFonts w:ascii="宋体" w:hAnsi="宋体"/>
              </w:rPr>
            </w:pPr>
          </w:p>
        </w:tc>
        <w:tc>
          <w:tcPr>
            <w:tcW w:w="5799" w:type="dxa"/>
            <w:gridSpan w:val="3"/>
            <w:vAlign w:val="center"/>
          </w:tcPr>
          <w:p w14:paraId="6DFC8E1C">
            <w:pPr>
              <w:pStyle w:val="50"/>
              <w:jc w:val="both"/>
              <w:rPr>
                <w:rFonts w:ascii="宋体" w:hAnsi="宋体" w:eastAsia="仿宋_GB2312"/>
              </w:rPr>
            </w:pPr>
            <w:r>
              <w:rPr>
                <w:rFonts w:hint="eastAsia" w:ascii="宋体" w:hAnsi="宋体" w:eastAsia="仿宋_GB2312"/>
              </w:rPr>
              <w:t>5.接闪器、避雷等接地装置良好,；</w:t>
            </w:r>
          </w:p>
        </w:tc>
        <w:tc>
          <w:tcPr>
            <w:tcW w:w="1618" w:type="dxa"/>
            <w:gridSpan w:val="2"/>
            <w:vMerge w:val="continue"/>
            <w:vAlign w:val="center"/>
          </w:tcPr>
          <w:p w14:paraId="54B13B1C">
            <w:pPr>
              <w:pStyle w:val="50"/>
              <w:rPr>
                <w:rFonts w:ascii="宋体" w:hAnsi="宋体" w:eastAsia="仿宋_GB2312"/>
              </w:rPr>
            </w:pPr>
          </w:p>
        </w:tc>
        <w:tc>
          <w:tcPr>
            <w:tcW w:w="1116" w:type="dxa"/>
            <w:vAlign w:val="center"/>
          </w:tcPr>
          <w:p w14:paraId="077C7985">
            <w:pPr>
              <w:pStyle w:val="50"/>
              <w:rPr>
                <w:rFonts w:ascii="宋体" w:hAnsi="宋体"/>
              </w:rPr>
            </w:pPr>
          </w:p>
        </w:tc>
      </w:tr>
      <w:tr w14:paraId="1F025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jc w:val="center"/>
        </w:trPr>
        <w:tc>
          <w:tcPr>
            <w:tcW w:w="988" w:type="dxa"/>
            <w:gridSpan w:val="2"/>
            <w:vMerge w:val="continue"/>
            <w:vAlign w:val="center"/>
          </w:tcPr>
          <w:p w14:paraId="71B795DD">
            <w:pPr>
              <w:pStyle w:val="50"/>
              <w:rPr>
                <w:rFonts w:ascii="宋体" w:hAnsi="宋体"/>
              </w:rPr>
            </w:pPr>
          </w:p>
        </w:tc>
        <w:tc>
          <w:tcPr>
            <w:tcW w:w="5799" w:type="dxa"/>
            <w:gridSpan w:val="3"/>
            <w:vAlign w:val="center"/>
          </w:tcPr>
          <w:p w14:paraId="54D2EA33">
            <w:pPr>
              <w:pStyle w:val="50"/>
              <w:jc w:val="both"/>
              <w:rPr>
                <w:rFonts w:ascii="宋体" w:hAnsi="宋体" w:eastAsia="仿宋_GB2312"/>
              </w:rPr>
            </w:pPr>
            <w:r>
              <w:rPr>
                <w:rFonts w:hint="eastAsia" w:ascii="宋体" w:hAnsi="宋体" w:eastAsia="仿宋_GB2312"/>
              </w:rPr>
              <w:t>6.动力电路和控制电路对地绝缘值不超过0.5兆欧；</w:t>
            </w:r>
          </w:p>
        </w:tc>
        <w:tc>
          <w:tcPr>
            <w:tcW w:w="1618" w:type="dxa"/>
            <w:gridSpan w:val="2"/>
            <w:vMerge w:val="continue"/>
            <w:vAlign w:val="center"/>
          </w:tcPr>
          <w:p w14:paraId="1B7EB04D">
            <w:pPr>
              <w:pStyle w:val="50"/>
              <w:rPr>
                <w:rFonts w:ascii="宋体" w:hAnsi="宋体" w:eastAsia="仿宋_GB2312"/>
              </w:rPr>
            </w:pPr>
          </w:p>
        </w:tc>
        <w:tc>
          <w:tcPr>
            <w:tcW w:w="1116" w:type="dxa"/>
            <w:vAlign w:val="center"/>
          </w:tcPr>
          <w:p w14:paraId="058FE4F4">
            <w:pPr>
              <w:pStyle w:val="50"/>
              <w:rPr>
                <w:rFonts w:ascii="宋体" w:hAnsi="宋体"/>
              </w:rPr>
            </w:pPr>
          </w:p>
        </w:tc>
      </w:tr>
      <w:tr w14:paraId="39129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3" w:hRule="atLeast"/>
          <w:jc w:val="center"/>
        </w:trPr>
        <w:tc>
          <w:tcPr>
            <w:tcW w:w="988" w:type="dxa"/>
            <w:gridSpan w:val="2"/>
            <w:vMerge w:val="restart"/>
            <w:vAlign w:val="center"/>
          </w:tcPr>
          <w:p w14:paraId="0F81330A">
            <w:pPr>
              <w:pStyle w:val="50"/>
              <w:rPr>
                <w:rFonts w:ascii="宋体" w:hAnsi="宋体"/>
              </w:rPr>
            </w:pPr>
            <w:r>
              <w:rPr>
                <w:rFonts w:hint="eastAsia" w:ascii="宋体" w:hAnsi="宋体"/>
              </w:rPr>
              <w:t>（十）机构油类</w:t>
            </w:r>
          </w:p>
        </w:tc>
        <w:tc>
          <w:tcPr>
            <w:tcW w:w="5799" w:type="dxa"/>
            <w:gridSpan w:val="3"/>
            <w:vAlign w:val="center"/>
          </w:tcPr>
          <w:p w14:paraId="20DB6EFF">
            <w:pPr>
              <w:pStyle w:val="50"/>
              <w:jc w:val="both"/>
              <w:rPr>
                <w:rFonts w:ascii="宋体" w:hAnsi="宋体" w:eastAsia="仿宋_GB2312"/>
              </w:rPr>
            </w:pPr>
            <w:r>
              <w:rPr>
                <w:rFonts w:hint="eastAsia" w:ascii="宋体" w:hAnsi="宋体" w:eastAsia="仿宋_GB2312"/>
              </w:rPr>
              <w:t>1.减速机、卷扬机、回转机构、液压顶升系统部件齐全、工作正常；</w:t>
            </w:r>
          </w:p>
        </w:tc>
        <w:tc>
          <w:tcPr>
            <w:tcW w:w="1618" w:type="dxa"/>
            <w:gridSpan w:val="2"/>
            <w:vMerge w:val="restart"/>
            <w:vAlign w:val="center"/>
          </w:tcPr>
          <w:p w14:paraId="23A2FBF8">
            <w:pPr>
              <w:pStyle w:val="50"/>
              <w:rPr>
                <w:rFonts w:ascii="宋体" w:hAnsi="宋体" w:eastAsia="仿宋_GB2312"/>
              </w:rPr>
            </w:pPr>
            <w:r>
              <w:rPr>
                <w:rFonts w:ascii="宋体" w:hAnsi="宋体" w:eastAsia="仿宋_GB2312"/>
              </w:rPr>
              <w:t>GBT5031-2008</w:t>
            </w:r>
          </w:p>
          <w:p w14:paraId="4CAE0740">
            <w:pPr>
              <w:pStyle w:val="50"/>
              <w:rPr>
                <w:rFonts w:ascii="宋体" w:hAnsi="宋体" w:eastAsia="仿宋_GB2312"/>
              </w:rPr>
            </w:pPr>
            <w:r>
              <w:rPr>
                <w:rFonts w:hint="eastAsia" w:ascii="宋体" w:hAnsi="宋体" w:eastAsia="仿宋_GB2312"/>
              </w:rPr>
              <w:t>JGJ160-2008</w:t>
            </w:r>
          </w:p>
        </w:tc>
        <w:tc>
          <w:tcPr>
            <w:tcW w:w="1116" w:type="dxa"/>
            <w:vAlign w:val="center"/>
          </w:tcPr>
          <w:p w14:paraId="2C9BEA72">
            <w:pPr>
              <w:pStyle w:val="50"/>
              <w:rPr>
                <w:rFonts w:ascii="宋体" w:hAnsi="宋体"/>
              </w:rPr>
            </w:pPr>
          </w:p>
        </w:tc>
      </w:tr>
      <w:tr w14:paraId="376F2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988" w:type="dxa"/>
            <w:gridSpan w:val="2"/>
            <w:vMerge w:val="continue"/>
            <w:vAlign w:val="center"/>
          </w:tcPr>
          <w:p w14:paraId="12DEE524">
            <w:pPr>
              <w:pStyle w:val="50"/>
              <w:rPr>
                <w:rFonts w:ascii="宋体" w:hAnsi="宋体"/>
              </w:rPr>
            </w:pPr>
          </w:p>
        </w:tc>
        <w:tc>
          <w:tcPr>
            <w:tcW w:w="5799" w:type="dxa"/>
            <w:gridSpan w:val="3"/>
            <w:vAlign w:val="center"/>
          </w:tcPr>
          <w:p w14:paraId="4FC9D6FF">
            <w:pPr>
              <w:pStyle w:val="50"/>
              <w:jc w:val="both"/>
              <w:rPr>
                <w:rFonts w:ascii="宋体" w:hAnsi="宋体" w:eastAsia="仿宋_GB2312"/>
              </w:rPr>
            </w:pPr>
            <w:r>
              <w:rPr>
                <w:rFonts w:hint="eastAsia" w:ascii="宋体" w:hAnsi="宋体" w:eastAsia="仿宋_GB2312"/>
              </w:rPr>
              <w:t>2.传动部位有防护罩；</w:t>
            </w:r>
          </w:p>
        </w:tc>
        <w:tc>
          <w:tcPr>
            <w:tcW w:w="1618" w:type="dxa"/>
            <w:gridSpan w:val="2"/>
            <w:vMerge w:val="continue"/>
            <w:vAlign w:val="center"/>
          </w:tcPr>
          <w:p w14:paraId="3E167C23">
            <w:pPr>
              <w:pStyle w:val="50"/>
              <w:rPr>
                <w:rFonts w:ascii="宋体" w:hAnsi="宋体" w:eastAsia="仿宋_GB2312"/>
              </w:rPr>
            </w:pPr>
          </w:p>
        </w:tc>
        <w:tc>
          <w:tcPr>
            <w:tcW w:w="1116" w:type="dxa"/>
            <w:vAlign w:val="center"/>
          </w:tcPr>
          <w:p w14:paraId="3DA508BB">
            <w:pPr>
              <w:pStyle w:val="50"/>
              <w:rPr>
                <w:rFonts w:ascii="宋体" w:hAnsi="宋体"/>
              </w:rPr>
            </w:pPr>
          </w:p>
        </w:tc>
      </w:tr>
      <w:tr w14:paraId="1DBBA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continue"/>
            <w:vAlign w:val="center"/>
          </w:tcPr>
          <w:p w14:paraId="4ABCE67A">
            <w:pPr>
              <w:pStyle w:val="50"/>
              <w:rPr>
                <w:rFonts w:ascii="宋体" w:hAnsi="宋体"/>
              </w:rPr>
            </w:pPr>
          </w:p>
        </w:tc>
        <w:tc>
          <w:tcPr>
            <w:tcW w:w="5799" w:type="dxa"/>
            <w:gridSpan w:val="3"/>
            <w:vAlign w:val="center"/>
          </w:tcPr>
          <w:p w14:paraId="7F74ECE0">
            <w:pPr>
              <w:pStyle w:val="50"/>
              <w:jc w:val="both"/>
              <w:rPr>
                <w:rFonts w:ascii="宋体" w:hAnsi="宋体" w:eastAsia="仿宋_GB2312"/>
              </w:rPr>
            </w:pPr>
            <w:r>
              <w:rPr>
                <w:rFonts w:hint="eastAsia" w:ascii="宋体" w:hAnsi="宋体" w:eastAsia="仿宋_GB2312"/>
              </w:rPr>
              <w:t>3.油箱有足够容量；</w:t>
            </w:r>
          </w:p>
        </w:tc>
        <w:tc>
          <w:tcPr>
            <w:tcW w:w="1618" w:type="dxa"/>
            <w:gridSpan w:val="2"/>
            <w:vMerge w:val="continue"/>
            <w:vAlign w:val="center"/>
          </w:tcPr>
          <w:p w14:paraId="11BAC1A5">
            <w:pPr>
              <w:pStyle w:val="50"/>
              <w:rPr>
                <w:rFonts w:ascii="宋体" w:hAnsi="宋体" w:eastAsia="仿宋_GB2312"/>
              </w:rPr>
            </w:pPr>
          </w:p>
        </w:tc>
        <w:tc>
          <w:tcPr>
            <w:tcW w:w="1116" w:type="dxa"/>
            <w:vAlign w:val="center"/>
          </w:tcPr>
          <w:p w14:paraId="3BBC80C4">
            <w:pPr>
              <w:pStyle w:val="50"/>
              <w:rPr>
                <w:rFonts w:ascii="宋体" w:hAnsi="宋体"/>
              </w:rPr>
            </w:pPr>
          </w:p>
        </w:tc>
      </w:tr>
      <w:tr w14:paraId="1BD22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1C9A6B14">
            <w:pPr>
              <w:pStyle w:val="50"/>
              <w:rPr>
                <w:rFonts w:ascii="宋体" w:hAnsi="宋体"/>
              </w:rPr>
            </w:pPr>
          </w:p>
        </w:tc>
        <w:tc>
          <w:tcPr>
            <w:tcW w:w="5799" w:type="dxa"/>
            <w:gridSpan w:val="3"/>
            <w:vAlign w:val="center"/>
          </w:tcPr>
          <w:p w14:paraId="7F664B91">
            <w:pPr>
              <w:pStyle w:val="50"/>
              <w:jc w:val="both"/>
              <w:rPr>
                <w:rFonts w:ascii="宋体" w:hAnsi="宋体" w:eastAsia="仿宋_GB2312"/>
              </w:rPr>
            </w:pPr>
            <w:r>
              <w:rPr>
                <w:rFonts w:hint="eastAsia" w:ascii="宋体" w:hAnsi="宋体" w:eastAsia="仿宋_GB2312"/>
              </w:rPr>
              <w:t>4.油路无泄露、堵塞现象。</w:t>
            </w:r>
          </w:p>
        </w:tc>
        <w:tc>
          <w:tcPr>
            <w:tcW w:w="1618" w:type="dxa"/>
            <w:gridSpan w:val="2"/>
            <w:vMerge w:val="continue"/>
            <w:vAlign w:val="center"/>
          </w:tcPr>
          <w:p w14:paraId="40250094">
            <w:pPr>
              <w:pStyle w:val="50"/>
              <w:rPr>
                <w:rFonts w:ascii="宋体" w:hAnsi="宋体" w:eastAsia="仿宋_GB2312"/>
              </w:rPr>
            </w:pPr>
          </w:p>
        </w:tc>
        <w:tc>
          <w:tcPr>
            <w:tcW w:w="1116" w:type="dxa"/>
            <w:vAlign w:val="center"/>
          </w:tcPr>
          <w:p w14:paraId="70CAAD9E">
            <w:pPr>
              <w:pStyle w:val="50"/>
              <w:rPr>
                <w:rFonts w:ascii="宋体" w:hAnsi="宋体"/>
              </w:rPr>
            </w:pPr>
          </w:p>
        </w:tc>
      </w:tr>
      <w:tr w14:paraId="3B8DE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119A0E6B">
            <w:pPr>
              <w:pStyle w:val="50"/>
              <w:rPr>
                <w:rFonts w:ascii="宋体" w:hAnsi="宋体"/>
              </w:rPr>
            </w:pPr>
            <w:r>
              <w:rPr>
                <w:rFonts w:hint="eastAsia" w:ascii="宋体" w:hAnsi="宋体"/>
              </w:rPr>
              <w:t>十一</w:t>
            </w:r>
          </w:p>
          <w:p w14:paraId="42D8301C">
            <w:pPr>
              <w:pStyle w:val="50"/>
              <w:rPr>
                <w:rFonts w:ascii="宋体" w:hAnsi="宋体"/>
              </w:rPr>
            </w:pPr>
            <w:r>
              <w:rPr>
                <w:rFonts w:hint="eastAsia" w:ascii="宋体" w:hAnsi="宋体"/>
              </w:rPr>
              <w:t>制</w:t>
            </w:r>
          </w:p>
          <w:p w14:paraId="106A90A6">
            <w:pPr>
              <w:pStyle w:val="50"/>
              <w:rPr>
                <w:rFonts w:ascii="宋体" w:hAnsi="宋体"/>
              </w:rPr>
            </w:pPr>
            <w:r>
              <w:rPr>
                <w:rFonts w:hint="eastAsia" w:ascii="宋体" w:hAnsi="宋体"/>
              </w:rPr>
              <w:t>动</w:t>
            </w:r>
          </w:p>
          <w:p w14:paraId="5C100942">
            <w:pPr>
              <w:pStyle w:val="50"/>
              <w:rPr>
                <w:rFonts w:ascii="宋体" w:hAnsi="宋体"/>
              </w:rPr>
            </w:pPr>
            <w:r>
              <w:rPr>
                <w:rFonts w:hint="eastAsia" w:ascii="宋体" w:hAnsi="宋体"/>
              </w:rPr>
              <w:t>器</w:t>
            </w:r>
          </w:p>
        </w:tc>
        <w:tc>
          <w:tcPr>
            <w:tcW w:w="5799" w:type="dxa"/>
            <w:gridSpan w:val="3"/>
            <w:vAlign w:val="center"/>
          </w:tcPr>
          <w:p w14:paraId="03AADD1D">
            <w:pPr>
              <w:pStyle w:val="50"/>
              <w:jc w:val="both"/>
              <w:rPr>
                <w:rFonts w:ascii="宋体" w:hAnsi="宋体" w:eastAsia="仿宋_GB2312"/>
              </w:rPr>
            </w:pPr>
            <w:r>
              <w:rPr>
                <w:rFonts w:hint="eastAsia" w:ascii="宋体" w:hAnsi="宋体" w:eastAsia="仿宋_GB2312"/>
              </w:rPr>
              <w:t>1.无可见裂纹;</w:t>
            </w:r>
          </w:p>
        </w:tc>
        <w:tc>
          <w:tcPr>
            <w:tcW w:w="1618" w:type="dxa"/>
            <w:gridSpan w:val="2"/>
            <w:vMerge w:val="restart"/>
            <w:vAlign w:val="center"/>
          </w:tcPr>
          <w:p w14:paraId="4F9006B2">
            <w:pPr>
              <w:pStyle w:val="50"/>
              <w:rPr>
                <w:rFonts w:ascii="宋体" w:hAnsi="宋体" w:eastAsia="仿宋_GB2312"/>
              </w:rPr>
            </w:pPr>
            <w:r>
              <w:rPr>
                <w:rFonts w:ascii="宋体" w:hAnsi="宋体" w:eastAsia="仿宋_GB2312"/>
              </w:rPr>
              <w:t>GB5144-2006</w:t>
            </w:r>
          </w:p>
          <w:p w14:paraId="4CA2EDA2">
            <w:pPr>
              <w:pStyle w:val="50"/>
              <w:rPr>
                <w:rFonts w:ascii="宋体" w:hAnsi="宋体" w:eastAsia="仿宋_GB2312"/>
              </w:rPr>
            </w:pPr>
            <w:r>
              <w:rPr>
                <w:rFonts w:hint="eastAsia" w:ascii="宋体" w:hAnsi="宋体" w:eastAsia="仿宋_GB2312"/>
              </w:rPr>
              <w:t>JGJ160-2008</w:t>
            </w:r>
          </w:p>
        </w:tc>
        <w:tc>
          <w:tcPr>
            <w:tcW w:w="1116" w:type="dxa"/>
            <w:vAlign w:val="center"/>
          </w:tcPr>
          <w:p w14:paraId="2FBBE9EC">
            <w:pPr>
              <w:pStyle w:val="50"/>
              <w:rPr>
                <w:rFonts w:ascii="宋体" w:hAnsi="宋体"/>
              </w:rPr>
            </w:pPr>
          </w:p>
        </w:tc>
      </w:tr>
      <w:tr w14:paraId="178AE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5" w:hRule="atLeast"/>
          <w:jc w:val="center"/>
        </w:trPr>
        <w:tc>
          <w:tcPr>
            <w:tcW w:w="988" w:type="dxa"/>
            <w:gridSpan w:val="2"/>
            <w:vMerge w:val="continue"/>
            <w:vAlign w:val="center"/>
          </w:tcPr>
          <w:p w14:paraId="2E54F104">
            <w:pPr>
              <w:pStyle w:val="50"/>
              <w:rPr>
                <w:rFonts w:ascii="宋体" w:hAnsi="宋体"/>
              </w:rPr>
            </w:pPr>
          </w:p>
        </w:tc>
        <w:tc>
          <w:tcPr>
            <w:tcW w:w="5799" w:type="dxa"/>
            <w:gridSpan w:val="3"/>
            <w:vAlign w:val="center"/>
          </w:tcPr>
          <w:p w14:paraId="18DFA272">
            <w:pPr>
              <w:pStyle w:val="50"/>
              <w:jc w:val="both"/>
              <w:rPr>
                <w:rFonts w:ascii="宋体" w:hAnsi="宋体" w:eastAsia="仿宋_GB2312"/>
              </w:rPr>
            </w:pPr>
            <w:r>
              <w:rPr>
                <w:rFonts w:hint="eastAsia" w:ascii="宋体" w:hAnsi="宋体" w:eastAsia="仿宋_GB2312"/>
              </w:rPr>
              <w:t>2.制动块摩擦衬垫磨损量未达原厚度的50%;</w:t>
            </w:r>
          </w:p>
        </w:tc>
        <w:tc>
          <w:tcPr>
            <w:tcW w:w="1618" w:type="dxa"/>
            <w:gridSpan w:val="2"/>
            <w:vMerge w:val="continue"/>
            <w:vAlign w:val="center"/>
          </w:tcPr>
          <w:p w14:paraId="53E1AD49">
            <w:pPr>
              <w:pStyle w:val="50"/>
              <w:rPr>
                <w:rFonts w:ascii="宋体" w:hAnsi="宋体" w:eastAsia="仿宋_GB2312"/>
              </w:rPr>
            </w:pPr>
          </w:p>
        </w:tc>
        <w:tc>
          <w:tcPr>
            <w:tcW w:w="1116" w:type="dxa"/>
            <w:vAlign w:val="center"/>
          </w:tcPr>
          <w:p w14:paraId="6E3B6E83">
            <w:pPr>
              <w:pStyle w:val="50"/>
              <w:rPr>
                <w:rFonts w:ascii="宋体" w:hAnsi="宋体"/>
              </w:rPr>
            </w:pPr>
          </w:p>
        </w:tc>
      </w:tr>
      <w:tr w14:paraId="760EF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continue"/>
            <w:vAlign w:val="center"/>
          </w:tcPr>
          <w:p w14:paraId="61CBF289">
            <w:pPr>
              <w:pStyle w:val="50"/>
              <w:rPr>
                <w:rFonts w:ascii="宋体" w:hAnsi="宋体"/>
              </w:rPr>
            </w:pPr>
          </w:p>
        </w:tc>
        <w:tc>
          <w:tcPr>
            <w:tcW w:w="5799" w:type="dxa"/>
            <w:gridSpan w:val="3"/>
            <w:vAlign w:val="center"/>
          </w:tcPr>
          <w:p w14:paraId="6976183A">
            <w:pPr>
              <w:pStyle w:val="50"/>
              <w:jc w:val="both"/>
              <w:rPr>
                <w:rFonts w:ascii="宋体" w:hAnsi="宋体" w:eastAsia="仿宋_GB2312"/>
              </w:rPr>
            </w:pPr>
            <w:r>
              <w:rPr>
                <w:rFonts w:hint="eastAsia" w:ascii="宋体" w:hAnsi="宋体" w:eastAsia="仿宋_GB2312"/>
              </w:rPr>
              <w:t>3.制动轮表面磨损量未达1.5 mm ~2mm;</w:t>
            </w:r>
          </w:p>
        </w:tc>
        <w:tc>
          <w:tcPr>
            <w:tcW w:w="1618" w:type="dxa"/>
            <w:gridSpan w:val="2"/>
            <w:vMerge w:val="continue"/>
            <w:vAlign w:val="center"/>
          </w:tcPr>
          <w:p w14:paraId="6E2FBEED">
            <w:pPr>
              <w:pStyle w:val="50"/>
              <w:rPr>
                <w:rFonts w:ascii="宋体" w:hAnsi="宋体" w:eastAsia="仿宋_GB2312"/>
              </w:rPr>
            </w:pPr>
          </w:p>
        </w:tc>
        <w:tc>
          <w:tcPr>
            <w:tcW w:w="1116" w:type="dxa"/>
            <w:vAlign w:val="center"/>
          </w:tcPr>
          <w:p w14:paraId="246194CA">
            <w:pPr>
              <w:pStyle w:val="50"/>
              <w:rPr>
                <w:rFonts w:ascii="宋体" w:hAnsi="宋体"/>
              </w:rPr>
            </w:pPr>
          </w:p>
        </w:tc>
      </w:tr>
      <w:tr w14:paraId="22CDC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 w:hRule="atLeast"/>
          <w:jc w:val="center"/>
        </w:trPr>
        <w:tc>
          <w:tcPr>
            <w:tcW w:w="988" w:type="dxa"/>
            <w:gridSpan w:val="2"/>
            <w:vMerge w:val="continue"/>
            <w:vAlign w:val="center"/>
          </w:tcPr>
          <w:p w14:paraId="020941BD">
            <w:pPr>
              <w:pStyle w:val="50"/>
              <w:rPr>
                <w:rFonts w:ascii="宋体" w:hAnsi="宋体"/>
              </w:rPr>
            </w:pPr>
          </w:p>
        </w:tc>
        <w:tc>
          <w:tcPr>
            <w:tcW w:w="5799" w:type="dxa"/>
            <w:gridSpan w:val="3"/>
            <w:vAlign w:val="center"/>
          </w:tcPr>
          <w:p w14:paraId="309581A4">
            <w:pPr>
              <w:pStyle w:val="50"/>
              <w:jc w:val="both"/>
              <w:rPr>
                <w:rFonts w:ascii="宋体" w:hAnsi="宋体" w:eastAsia="仿宋_GB2312"/>
              </w:rPr>
            </w:pPr>
            <w:r>
              <w:rPr>
                <w:rFonts w:hint="eastAsia" w:ascii="宋体" w:hAnsi="宋体" w:eastAsia="仿宋_GB2312"/>
              </w:rPr>
              <w:t>4.弹簧未出现塑性变形;</w:t>
            </w:r>
          </w:p>
        </w:tc>
        <w:tc>
          <w:tcPr>
            <w:tcW w:w="1618" w:type="dxa"/>
            <w:gridSpan w:val="2"/>
            <w:vMerge w:val="continue"/>
            <w:vAlign w:val="center"/>
          </w:tcPr>
          <w:p w14:paraId="414C1D08">
            <w:pPr>
              <w:pStyle w:val="50"/>
              <w:rPr>
                <w:rFonts w:ascii="宋体" w:hAnsi="宋体" w:eastAsia="仿宋_GB2312"/>
              </w:rPr>
            </w:pPr>
          </w:p>
        </w:tc>
        <w:tc>
          <w:tcPr>
            <w:tcW w:w="1116" w:type="dxa"/>
            <w:vAlign w:val="center"/>
          </w:tcPr>
          <w:p w14:paraId="7129C4E3">
            <w:pPr>
              <w:pStyle w:val="50"/>
              <w:rPr>
                <w:rFonts w:ascii="宋体" w:hAnsi="宋体"/>
              </w:rPr>
            </w:pPr>
          </w:p>
        </w:tc>
      </w:tr>
      <w:tr w14:paraId="5E36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88" w:type="dxa"/>
            <w:gridSpan w:val="2"/>
            <w:vMerge w:val="restart"/>
            <w:vAlign w:val="center"/>
          </w:tcPr>
          <w:p w14:paraId="712AF600">
            <w:pPr>
              <w:pStyle w:val="50"/>
              <w:rPr>
                <w:rFonts w:ascii="仿宋_GB2312" w:hAnsi="宋体"/>
              </w:rPr>
            </w:pPr>
            <w:r>
              <w:rPr>
                <w:rFonts w:hint="eastAsia" w:ascii="仿宋_GB2312" w:hAnsi="宋体"/>
              </w:rPr>
              <w:t>十二</w:t>
            </w:r>
          </w:p>
          <w:p w14:paraId="45A6CB23">
            <w:pPr>
              <w:pStyle w:val="50"/>
              <w:rPr>
                <w:rFonts w:ascii="仿宋_GB2312" w:hAnsi="宋体"/>
              </w:rPr>
            </w:pPr>
            <w:r>
              <w:rPr>
                <w:rFonts w:hint="eastAsia" w:ascii="仿宋_GB2312" w:hAnsi="宋体"/>
              </w:rPr>
              <w:t>安</w:t>
            </w:r>
          </w:p>
          <w:p w14:paraId="64BA99EB">
            <w:pPr>
              <w:pStyle w:val="50"/>
              <w:rPr>
                <w:rFonts w:ascii="仿宋_GB2312" w:hAnsi="宋体"/>
              </w:rPr>
            </w:pPr>
            <w:r>
              <w:rPr>
                <w:rFonts w:hint="eastAsia" w:ascii="仿宋_GB2312" w:hAnsi="宋体"/>
              </w:rPr>
              <w:t>全</w:t>
            </w:r>
          </w:p>
          <w:p w14:paraId="21978E1C">
            <w:pPr>
              <w:pStyle w:val="50"/>
              <w:rPr>
                <w:rFonts w:ascii="仿宋_GB2312" w:hAnsi="宋体"/>
              </w:rPr>
            </w:pPr>
            <w:r>
              <w:rPr>
                <w:rFonts w:hint="eastAsia" w:ascii="仿宋_GB2312" w:hAnsi="宋体"/>
              </w:rPr>
              <w:t>距</w:t>
            </w:r>
          </w:p>
          <w:p w14:paraId="746AB584">
            <w:pPr>
              <w:pStyle w:val="50"/>
              <w:rPr>
                <w:rFonts w:ascii="仿宋_GB2312" w:hAnsi="宋体"/>
              </w:rPr>
            </w:pPr>
            <w:r>
              <w:rPr>
                <w:rFonts w:hint="eastAsia" w:ascii="仿宋_GB2312" w:hAnsi="宋体"/>
              </w:rPr>
              <w:t>离</w:t>
            </w:r>
          </w:p>
        </w:tc>
        <w:tc>
          <w:tcPr>
            <w:tcW w:w="5799" w:type="dxa"/>
            <w:gridSpan w:val="3"/>
            <w:vAlign w:val="center"/>
          </w:tcPr>
          <w:p w14:paraId="1342D578">
            <w:pPr>
              <w:pStyle w:val="50"/>
              <w:jc w:val="both"/>
              <w:rPr>
                <w:rFonts w:ascii="仿宋_GB2312" w:hAnsi="宋体" w:eastAsia="仿宋_GB2312"/>
              </w:rPr>
            </w:pPr>
            <w:r>
              <w:rPr>
                <w:rFonts w:hint="eastAsia" w:ascii="仿宋_GB2312" w:hAnsi="宋体" w:eastAsia="仿宋_GB2312"/>
              </w:rPr>
              <w:t>1.与建筑物周围施工设施之间距离≥0.5米；</w:t>
            </w:r>
          </w:p>
        </w:tc>
        <w:tc>
          <w:tcPr>
            <w:tcW w:w="1618" w:type="dxa"/>
            <w:gridSpan w:val="2"/>
            <w:vMerge w:val="restart"/>
            <w:vAlign w:val="center"/>
          </w:tcPr>
          <w:p w14:paraId="263DB324">
            <w:pPr>
              <w:pStyle w:val="50"/>
              <w:rPr>
                <w:rFonts w:ascii="仿宋_GB2312" w:hAnsi="宋体" w:eastAsia="仿宋_GB2312"/>
              </w:rPr>
            </w:pPr>
            <w:r>
              <w:rPr>
                <w:rFonts w:hint="eastAsia" w:ascii="宋体" w:hAnsi="宋体" w:eastAsia="仿宋_GB2312"/>
              </w:rPr>
              <w:t>JGJ196-2010</w:t>
            </w:r>
          </w:p>
          <w:p w14:paraId="27E483A5">
            <w:pPr>
              <w:pStyle w:val="50"/>
              <w:rPr>
                <w:rFonts w:ascii="仿宋_GB2312" w:hAnsi="宋体" w:eastAsia="仿宋_GB2312"/>
              </w:rPr>
            </w:pPr>
            <w:r>
              <w:rPr>
                <w:rFonts w:hint="eastAsia" w:ascii="宋体" w:hAnsi="宋体" w:eastAsia="仿宋_GB2312"/>
              </w:rPr>
              <w:t>JGJ160-2008</w:t>
            </w:r>
          </w:p>
        </w:tc>
        <w:tc>
          <w:tcPr>
            <w:tcW w:w="1116" w:type="dxa"/>
            <w:vAlign w:val="center"/>
          </w:tcPr>
          <w:p w14:paraId="1DDE0940">
            <w:pPr>
              <w:pStyle w:val="50"/>
              <w:rPr>
                <w:rFonts w:ascii="宋体" w:hAnsi="宋体"/>
              </w:rPr>
            </w:pPr>
          </w:p>
        </w:tc>
      </w:tr>
      <w:tr w14:paraId="4E155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988" w:type="dxa"/>
            <w:gridSpan w:val="2"/>
            <w:vMerge w:val="continue"/>
            <w:vAlign w:val="center"/>
          </w:tcPr>
          <w:p w14:paraId="4DC5375C">
            <w:pPr>
              <w:pStyle w:val="50"/>
              <w:rPr>
                <w:rFonts w:ascii="仿宋_GB2312" w:hAnsi="宋体"/>
              </w:rPr>
            </w:pPr>
          </w:p>
        </w:tc>
        <w:tc>
          <w:tcPr>
            <w:tcW w:w="5799" w:type="dxa"/>
            <w:gridSpan w:val="3"/>
            <w:vAlign w:val="center"/>
          </w:tcPr>
          <w:p w14:paraId="1D76F1CF">
            <w:pPr>
              <w:pStyle w:val="50"/>
              <w:jc w:val="both"/>
              <w:rPr>
                <w:rFonts w:ascii="仿宋_GB2312" w:hAnsi="宋体" w:eastAsia="仿宋_GB2312"/>
              </w:rPr>
            </w:pPr>
            <w:r>
              <w:rPr>
                <w:rFonts w:hint="eastAsia" w:ascii="仿宋_GB2312" w:hAnsi="宋体" w:eastAsia="仿宋_GB2312"/>
              </w:rPr>
              <w:t>2.多塔作业相互间应符合要求，有防碰撞措施；</w:t>
            </w:r>
          </w:p>
        </w:tc>
        <w:tc>
          <w:tcPr>
            <w:tcW w:w="1618" w:type="dxa"/>
            <w:gridSpan w:val="2"/>
            <w:vMerge w:val="continue"/>
            <w:vAlign w:val="center"/>
          </w:tcPr>
          <w:p w14:paraId="6BB35859">
            <w:pPr>
              <w:pStyle w:val="50"/>
              <w:rPr>
                <w:rFonts w:ascii="宋体" w:hAnsi="宋体" w:eastAsia="仿宋_GB2312"/>
              </w:rPr>
            </w:pPr>
          </w:p>
        </w:tc>
        <w:tc>
          <w:tcPr>
            <w:tcW w:w="1116" w:type="dxa"/>
            <w:vAlign w:val="center"/>
          </w:tcPr>
          <w:p w14:paraId="50194D27">
            <w:pPr>
              <w:pStyle w:val="50"/>
              <w:rPr>
                <w:rFonts w:ascii="宋体" w:hAnsi="宋体"/>
              </w:rPr>
            </w:pPr>
          </w:p>
        </w:tc>
      </w:tr>
      <w:tr w14:paraId="52258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0" w:hRule="atLeast"/>
          <w:jc w:val="center"/>
        </w:trPr>
        <w:tc>
          <w:tcPr>
            <w:tcW w:w="988" w:type="dxa"/>
            <w:gridSpan w:val="2"/>
            <w:vMerge w:val="continue"/>
            <w:vAlign w:val="center"/>
          </w:tcPr>
          <w:p w14:paraId="4F5CE767">
            <w:pPr>
              <w:pStyle w:val="50"/>
              <w:rPr>
                <w:rFonts w:ascii="仿宋_GB2312" w:hAnsi="宋体"/>
              </w:rPr>
            </w:pPr>
          </w:p>
        </w:tc>
        <w:tc>
          <w:tcPr>
            <w:tcW w:w="5799" w:type="dxa"/>
            <w:gridSpan w:val="3"/>
            <w:vAlign w:val="center"/>
          </w:tcPr>
          <w:p w14:paraId="57B17FBC">
            <w:pPr>
              <w:pStyle w:val="50"/>
              <w:jc w:val="both"/>
              <w:rPr>
                <w:rFonts w:ascii="仿宋_GB2312" w:hAnsi="宋体" w:eastAsia="仿宋_GB2312"/>
              </w:rPr>
            </w:pPr>
            <w:r>
              <w:rPr>
                <w:rFonts w:hint="eastAsia" w:ascii="仿宋_GB2312" w:hAnsi="宋体" w:eastAsia="仿宋_GB2312"/>
              </w:rPr>
              <w:t>3.各部位与外电线路保持安全距离，达不到要求的必须按规定采取防护措施，防护措施应达到电业部门规定要求。</w:t>
            </w:r>
          </w:p>
        </w:tc>
        <w:tc>
          <w:tcPr>
            <w:tcW w:w="1618" w:type="dxa"/>
            <w:gridSpan w:val="2"/>
            <w:vMerge w:val="continue"/>
            <w:vAlign w:val="center"/>
          </w:tcPr>
          <w:p w14:paraId="40039855">
            <w:pPr>
              <w:pStyle w:val="50"/>
              <w:rPr>
                <w:rFonts w:ascii="宋体" w:hAnsi="宋体" w:eastAsia="仿宋_GB2312"/>
              </w:rPr>
            </w:pPr>
          </w:p>
        </w:tc>
        <w:tc>
          <w:tcPr>
            <w:tcW w:w="1116" w:type="dxa"/>
            <w:vAlign w:val="center"/>
          </w:tcPr>
          <w:p w14:paraId="1E1B41EB">
            <w:pPr>
              <w:pStyle w:val="50"/>
              <w:rPr>
                <w:rFonts w:ascii="宋体" w:hAnsi="宋体"/>
              </w:rPr>
            </w:pPr>
          </w:p>
        </w:tc>
      </w:tr>
      <w:tr w14:paraId="1F38A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atLeast"/>
          <w:jc w:val="center"/>
        </w:trPr>
        <w:tc>
          <w:tcPr>
            <w:tcW w:w="988" w:type="dxa"/>
            <w:gridSpan w:val="2"/>
            <w:vMerge w:val="restart"/>
            <w:vAlign w:val="center"/>
          </w:tcPr>
          <w:p w14:paraId="7F56243E">
            <w:pPr>
              <w:pStyle w:val="50"/>
              <w:rPr>
                <w:rFonts w:ascii="仿宋_GB2312" w:hAnsi="宋体"/>
              </w:rPr>
            </w:pPr>
            <w:r>
              <w:rPr>
                <w:rFonts w:hint="eastAsia" w:ascii="仿宋_GB2312" w:hAnsi="宋体"/>
              </w:rPr>
              <w:t>十三</w:t>
            </w:r>
          </w:p>
          <w:p w14:paraId="0AC00669">
            <w:pPr>
              <w:pStyle w:val="50"/>
              <w:rPr>
                <w:rFonts w:ascii="仿宋_GB2312" w:hAnsi="宋体"/>
              </w:rPr>
            </w:pPr>
            <w:r>
              <w:rPr>
                <w:rFonts w:hint="eastAsia" w:ascii="仿宋_GB2312" w:hAnsi="宋体"/>
              </w:rPr>
              <w:t>卷</w:t>
            </w:r>
          </w:p>
          <w:p w14:paraId="1A8016D4">
            <w:pPr>
              <w:pStyle w:val="50"/>
              <w:rPr>
                <w:rFonts w:ascii="仿宋_GB2312" w:hAnsi="宋体"/>
              </w:rPr>
            </w:pPr>
            <w:r>
              <w:rPr>
                <w:rFonts w:hint="eastAsia" w:ascii="仿宋_GB2312" w:hAnsi="宋体"/>
              </w:rPr>
              <w:t>筒</w:t>
            </w:r>
          </w:p>
          <w:p w14:paraId="095F258A">
            <w:pPr>
              <w:pStyle w:val="50"/>
              <w:rPr>
                <w:rFonts w:ascii="仿宋_GB2312" w:hAnsi="宋体"/>
              </w:rPr>
            </w:pPr>
            <w:r>
              <w:rPr>
                <w:rFonts w:hint="eastAsia" w:ascii="仿宋_GB2312" w:hAnsi="宋体"/>
              </w:rPr>
              <w:t>滑</w:t>
            </w:r>
          </w:p>
          <w:p w14:paraId="0171683C">
            <w:pPr>
              <w:pStyle w:val="50"/>
              <w:rPr>
                <w:rFonts w:ascii="仿宋_GB2312" w:hAnsi="宋体"/>
              </w:rPr>
            </w:pPr>
            <w:r>
              <w:rPr>
                <w:rFonts w:hint="eastAsia" w:ascii="仿宋_GB2312" w:hAnsi="宋体"/>
              </w:rPr>
              <w:t>轮</w:t>
            </w:r>
          </w:p>
        </w:tc>
        <w:tc>
          <w:tcPr>
            <w:tcW w:w="5799" w:type="dxa"/>
            <w:gridSpan w:val="3"/>
            <w:vAlign w:val="center"/>
          </w:tcPr>
          <w:p w14:paraId="62B8CDB2">
            <w:pPr>
              <w:pStyle w:val="50"/>
              <w:jc w:val="both"/>
              <w:rPr>
                <w:rFonts w:ascii="仿宋_GB2312" w:hAnsi="宋体" w:eastAsia="仿宋_GB2312"/>
              </w:rPr>
            </w:pPr>
            <w:r>
              <w:rPr>
                <w:rFonts w:hint="eastAsia" w:ascii="仿宋_GB2312" w:hAnsi="宋体" w:eastAsia="仿宋_GB2312"/>
              </w:rPr>
              <w:t>1.卷筒两侧边沿的高度大于钢丝绳直径2倍；</w:t>
            </w:r>
          </w:p>
        </w:tc>
        <w:tc>
          <w:tcPr>
            <w:tcW w:w="1618" w:type="dxa"/>
            <w:gridSpan w:val="2"/>
            <w:vMerge w:val="restart"/>
            <w:vAlign w:val="center"/>
          </w:tcPr>
          <w:p w14:paraId="3D03ADAA">
            <w:pPr>
              <w:pStyle w:val="50"/>
              <w:rPr>
                <w:rFonts w:ascii="宋体" w:hAnsi="宋体" w:eastAsia="仿宋_GB2312"/>
              </w:rPr>
            </w:pPr>
            <w:r>
              <w:rPr>
                <w:rFonts w:hint="eastAsia" w:ascii="宋体" w:hAnsi="宋体" w:eastAsia="仿宋_GB2312"/>
              </w:rPr>
              <w:t>GBT13752</w:t>
            </w:r>
            <w:r>
              <w:rPr>
                <w:rFonts w:ascii="宋体" w:hAnsi="宋体" w:eastAsia="仿宋_GB2312"/>
              </w:rPr>
              <w:t>-2017</w:t>
            </w:r>
          </w:p>
          <w:p w14:paraId="01273884">
            <w:pPr>
              <w:pStyle w:val="50"/>
              <w:rPr>
                <w:rFonts w:ascii="仿宋_GB2312" w:hAnsi="宋体" w:eastAsia="仿宋_GB2312"/>
              </w:rPr>
            </w:pPr>
            <w:r>
              <w:rPr>
                <w:rFonts w:hint="eastAsia" w:ascii="宋体" w:hAnsi="宋体" w:eastAsia="仿宋_GB2312"/>
              </w:rPr>
              <w:t>JGJ160-2008</w:t>
            </w:r>
          </w:p>
        </w:tc>
        <w:tc>
          <w:tcPr>
            <w:tcW w:w="1116" w:type="dxa"/>
            <w:vAlign w:val="center"/>
          </w:tcPr>
          <w:p w14:paraId="6857E5FB">
            <w:pPr>
              <w:pStyle w:val="50"/>
              <w:rPr>
                <w:rFonts w:ascii="宋体" w:hAnsi="宋体"/>
              </w:rPr>
            </w:pPr>
          </w:p>
        </w:tc>
      </w:tr>
      <w:tr w14:paraId="7446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988" w:type="dxa"/>
            <w:gridSpan w:val="2"/>
            <w:vMerge w:val="continue"/>
            <w:vAlign w:val="center"/>
          </w:tcPr>
          <w:p w14:paraId="620CD385">
            <w:pPr>
              <w:pStyle w:val="50"/>
              <w:rPr>
                <w:rFonts w:ascii="仿宋_GB2312" w:hAnsi="宋体"/>
              </w:rPr>
            </w:pPr>
          </w:p>
        </w:tc>
        <w:tc>
          <w:tcPr>
            <w:tcW w:w="5799" w:type="dxa"/>
            <w:gridSpan w:val="3"/>
            <w:vAlign w:val="center"/>
          </w:tcPr>
          <w:p w14:paraId="2F9A129C">
            <w:pPr>
              <w:pStyle w:val="50"/>
              <w:jc w:val="both"/>
              <w:rPr>
                <w:rFonts w:ascii="仿宋_GB2312" w:hAnsi="宋体" w:eastAsia="仿宋_GB2312"/>
              </w:rPr>
            </w:pPr>
            <w:r>
              <w:rPr>
                <w:rFonts w:hint="eastAsia" w:ascii="仿宋_GB2312" w:hAnsi="宋体" w:eastAsia="仿宋_GB2312"/>
              </w:rPr>
              <w:t>2.卷筒上的钢丝绳至少保留3圈；</w:t>
            </w:r>
          </w:p>
        </w:tc>
        <w:tc>
          <w:tcPr>
            <w:tcW w:w="1618" w:type="dxa"/>
            <w:gridSpan w:val="2"/>
            <w:vMerge w:val="continue"/>
            <w:vAlign w:val="center"/>
          </w:tcPr>
          <w:p w14:paraId="1A5E6683">
            <w:pPr>
              <w:pStyle w:val="50"/>
              <w:rPr>
                <w:rFonts w:ascii="仿宋_GB2312" w:hAnsi="宋体" w:eastAsia="仿宋_GB2312"/>
              </w:rPr>
            </w:pPr>
          </w:p>
        </w:tc>
        <w:tc>
          <w:tcPr>
            <w:tcW w:w="1116" w:type="dxa"/>
            <w:vAlign w:val="center"/>
          </w:tcPr>
          <w:p w14:paraId="45AF8698">
            <w:pPr>
              <w:pStyle w:val="50"/>
              <w:rPr>
                <w:rFonts w:ascii="宋体" w:hAnsi="宋体"/>
              </w:rPr>
            </w:pPr>
          </w:p>
        </w:tc>
      </w:tr>
      <w:tr w14:paraId="0A1DC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0" w:hRule="atLeast"/>
          <w:jc w:val="center"/>
        </w:trPr>
        <w:tc>
          <w:tcPr>
            <w:tcW w:w="988" w:type="dxa"/>
            <w:gridSpan w:val="2"/>
            <w:vMerge w:val="continue"/>
            <w:vAlign w:val="center"/>
          </w:tcPr>
          <w:p w14:paraId="19972874">
            <w:pPr>
              <w:pStyle w:val="50"/>
              <w:rPr>
                <w:rFonts w:ascii="仿宋_GB2312" w:hAnsi="宋体"/>
              </w:rPr>
            </w:pPr>
          </w:p>
        </w:tc>
        <w:tc>
          <w:tcPr>
            <w:tcW w:w="5799" w:type="dxa"/>
            <w:gridSpan w:val="3"/>
            <w:vAlign w:val="center"/>
          </w:tcPr>
          <w:p w14:paraId="25830A83">
            <w:pPr>
              <w:pStyle w:val="50"/>
              <w:jc w:val="both"/>
              <w:rPr>
                <w:rFonts w:ascii="仿宋_GB2312" w:hAnsi="宋体" w:eastAsia="仿宋_GB2312"/>
              </w:rPr>
            </w:pPr>
            <w:r>
              <w:rPr>
                <w:rFonts w:hint="eastAsia" w:ascii="仿宋_GB2312" w:hAnsi="宋体" w:eastAsia="仿宋_GB2312"/>
              </w:rPr>
              <w:t>3.滑轮应设有防绳跳槽装置，且与滑轮最外沿间隙不得超过钢丝绳直径的20％；</w:t>
            </w:r>
          </w:p>
        </w:tc>
        <w:tc>
          <w:tcPr>
            <w:tcW w:w="1618" w:type="dxa"/>
            <w:gridSpan w:val="2"/>
            <w:vMerge w:val="continue"/>
            <w:vAlign w:val="center"/>
          </w:tcPr>
          <w:p w14:paraId="7F0A1ED3">
            <w:pPr>
              <w:pStyle w:val="50"/>
              <w:rPr>
                <w:rFonts w:ascii="宋体" w:hAnsi="宋体" w:eastAsia="仿宋_GB2312"/>
              </w:rPr>
            </w:pPr>
          </w:p>
        </w:tc>
        <w:tc>
          <w:tcPr>
            <w:tcW w:w="1116" w:type="dxa"/>
            <w:vAlign w:val="center"/>
          </w:tcPr>
          <w:p w14:paraId="07D1C53A">
            <w:pPr>
              <w:pStyle w:val="50"/>
              <w:rPr>
                <w:rFonts w:ascii="宋体" w:hAnsi="宋体"/>
              </w:rPr>
            </w:pPr>
          </w:p>
        </w:tc>
      </w:tr>
      <w:tr w14:paraId="2F641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88" w:type="dxa"/>
            <w:gridSpan w:val="2"/>
            <w:vMerge w:val="continue"/>
            <w:vAlign w:val="center"/>
          </w:tcPr>
          <w:p w14:paraId="14E6106A">
            <w:pPr>
              <w:pStyle w:val="50"/>
              <w:rPr>
                <w:rFonts w:ascii="仿宋_GB2312" w:hAnsi="宋体"/>
              </w:rPr>
            </w:pPr>
          </w:p>
        </w:tc>
        <w:tc>
          <w:tcPr>
            <w:tcW w:w="5799" w:type="dxa"/>
            <w:gridSpan w:val="3"/>
            <w:vAlign w:val="center"/>
          </w:tcPr>
          <w:p w14:paraId="7A5F5CE1">
            <w:pPr>
              <w:pStyle w:val="50"/>
              <w:jc w:val="both"/>
              <w:rPr>
                <w:rFonts w:ascii="仿宋_GB2312" w:hAnsi="宋体" w:eastAsia="仿宋_GB2312"/>
              </w:rPr>
            </w:pPr>
            <w:r>
              <w:rPr>
                <w:rFonts w:hint="eastAsia" w:ascii="仿宋_GB2312" w:hAnsi="宋体" w:eastAsia="仿宋_GB2312"/>
              </w:rPr>
              <w:t>4.滑轮转动灵活、无卡塞现象。</w:t>
            </w:r>
          </w:p>
        </w:tc>
        <w:tc>
          <w:tcPr>
            <w:tcW w:w="1618" w:type="dxa"/>
            <w:gridSpan w:val="2"/>
            <w:vMerge w:val="continue"/>
            <w:vAlign w:val="center"/>
          </w:tcPr>
          <w:p w14:paraId="7E85EB34">
            <w:pPr>
              <w:pStyle w:val="50"/>
              <w:rPr>
                <w:rFonts w:ascii="宋体" w:hAnsi="宋体" w:eastAsia="仿宋_GB2312"/>
              </w:rPr>
            </w:pPr>
          </w:p>
        </w:tc>
        <w:tc>
          <w:tcPr>
            <w:tcW w:w="1116" w:type="dxa"/>
            <w:vAlign w:val="center"/>
          </w:tcPr>
          <w:p w14:paraId="69E984D6">
            <w:pPr>
              <w:pStyle w:val="50"/>
              <w:rPr>
                <w:rFonts w:ascii="宋体" w:hAnsi="宋体"/>
              </w:rPr>
            </w:pPr>
          </w:p>
        </w:tc>
      </w:tr>
      <w:tr w14:paraId="63A42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41" w:hRule="atLeast"/>
          <w:jc w:val="center"/>
        </w:trPr>
        <w:tc>
          <w:tcPr>
            <w:tcW w:w="988" w:type="dxa"/>
            <w:gridSpan w:val="2"/>
            <w:vAlign w:val="center"/>
          </w:tcPr>
          <w:p w14:paraId="23B3B872">
            <w:pPr>
              <w:pStyle w:val="50"/>
              <w:rPr>
                <w:rFonts w:ascii="宋体" w:hAnsi="宋体"/>
              </w:rPr>
            </w:pPr>
            <w:r>
              <w:rPr>
                <w:rFonts w:hint="eastAsia" w:ascii="宋体" w:hAnsi="宋体"/>
              </w:rPr>
              <w:t>十四</w:t>
            </w:r>
          </w:p>
          <w:p w14:paraId="44393387">
            <w:pPr>
              <w:pStyle w:val="50"/>
              <w:rPr>
                <w:rFonts w:ascii="宋体" w:hAnsi="宋体"/>
              </w:rPr>
            </w:pPr>
            <w:r>
              <w:rPr>
                <w:rFonts w:hint="eastAsia" w:ascii="宋体" w:hAnsi="宋体"/>
              </w:rPr>
              <w:t>持证上岗</w:t>
            </w:r>
          </w:p>
        </w:tc>
        <w:tc>
          <w:tcPr>
            <w:tcW w:w="5799" w:type="dxa"/>
            <w:gridSpan w:val="3"/>
            <w:vAlign w:val="center"/>
          </w:tcPr>
          <w:p w14:paraId="6755B97A">
            <w:pPr>
              <w:pStyle w:val="50"/>
              <w:jc w:val="both"/>
              <w:rPr>
                <w:rFonts w:ascii="宋体" w:hAnsi="宋体" w:eastAsia="仿宋_GB2312"/>
              </w:rPr>
            </w:pPr>
            <w:r>
              <w:rPr>
                <w:rFonts w:hint="eastAsia" w:ascii="宋体" w:hAnsi="宋体" w:eastAsia="仿宋_GB2312"/>
              </w:rPr>
              <w:t>1.使用过程中塔吊司机必须持证上岗。</w:t>
            </w:r>
          </w:p>
        </w:tc>
        <w:tc>
          <w:tcPr>
            <w:tcW w:w="1618" w:type="dxa"/>
            <w:gridSpan w:val="2"/>
            <w:vAlign w:val="center"/>
          </w:tcPr>
          <w:p w14:paraId="1285C2C8">
            <w:pPr>
              <w:pStyle w:val="50"/>
              <w:rPr>
                <w:rFonts w:ascii="宋体" w:hAnsi="宋体" w:eastAsia="仿宋_GB2312"/>
              </w:rPr>
            </w:pPr>
            <w:r>
              <w:rPr>
                <w:rFonts w:ascii="宋体" w:hAnsi="宋体" w:eastAsia="仿宋_GB2312"/>
              </w:rPr>
              <w:t>JGJ196-2010</w:t>
            </w:r>
          </w:p>
        </w:tc>
        <w:tc>
          <w:tcPr>
            <w:tcW w:w="1116" w:type="dxa"/>
            <w:vAlign w:val="center"/>
          </w:tcPr>
          <w:p w14:paraId="691DE002">
            <w:pPr>
              <w:pStyle w:val="50"/>
              <w:rPr>
                <w:rFonts w:ascii="宋体" w:hAnsi="宋体"/>
              </w:rPr>
            </w:pPr>
          </w:p>
        </w:tc>
      </w:tr>
      <w:tr w14:paraId="36A8F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0" w:hRule="atLeast"/>
          <w:jc w:val="center"/>
        </w:trPr>
        <w:tc>
          <w:tcPr>
            <w:tcW w:w="808" w:type="dxa"/>
            <w:tcBorders>
              <w:bottom w:val="single" w:color="auto" w:sz="4" w:space="0"/>
            </w:tcBorders>
            <w:vAlign w:val="center"/>
          </w:tcPr>
          <w:p w14:paraId="54FF4B15">
            <w:pPr>
              <w:pStyle w:val="50"/>
              <w:rPr>
                <w:rFonts w:ascii="宋体" w:hAnsi="宋体"/>
              </w:rPr>
            </w:pPr>
            <w:r>
              <w:rPr>
                <w:rFonts w:hint="eastAsia" w:ascii="宋体" w:hAnsi="宋体"/>
              </w:rPr>
              <w:t>十五</w:t>
            </w:r>
          </w:p>
          <w:p w14:paraId="62FD82DB">
            <w:pPr>
              <w:pStyle w:val="50"/>
              <w:rPr>
                <w:rFonts w:ascii="宋体" w:hAnsi="宋体"/>
              </w:rPr>
            </w:pPr>
            <w:r>
              <w:rPr>
                <w:rFonts w:hint="eastAsia" w:ascii="宋体" w:hAnsi="宋体"/>
              </w:rPr>
              <w:t>检查结论及整改措施</w:t>
            </w:r>
          </w:p>
        </w:tc>
        <w:tc>
          <w:tcPr>
            <w:tcW w:w="8713" w:type="dxa"/>
            <w:gridSpan w:val="7"/>
            <w:tcBorders>
              <w:bottom w:val="single" w:color="auto" w:sz="4" w:space="0"/>
            </w:tcBorders>
            <w:vAlign w:val="center"/>
          </w:tcPr>
          <w:p w14:paraId="0C7C6C20">
            <w:pPr>
              <w:pStyle w:val="50"/>
              <w:rPr>
                <w:rFonts w:ascii="宋体" w:hAnsi="宋体"/>
              </w:rPr>
            </w:pPr>
          </w:p>
          <w:p w14:paraId="0BB7CB12">
            <w:pPr>
              <w:pStyle w:val="50"/>
              <w:rPr>
                <w:rFonts w:ascii="宋体" w:hAnsi="宋体"/>
              </w:rPr>
            </w:pPr>
          </w:p>
          <w:p w14:paraId="7CFF9423">
            <w:pPr>
              <w:pStyle w:val="50"/>
              <w:rPr>
                <w:rFonts w:ascii="宋体" w:hAnsi="宋体"/>
              </w:rPr>
            </w:pPr>
          </w:p>
        </w:tc>
      </w:tr>
    </w:tbl>
    <w:p w14:paraId="5577AC9F">
      <w:pPr>
        <w:pStyle w:val="4"/>
        <w:bidi w:val="0"/>
        <w:ind w:left="720" w:leftChars="0" w:hanging="720" w:firstLineChars="0"/>
        <w:rPr>
          <w:rFonts w:hint="eastAsia"/>
          <w:b/>
          <w:bCs w:val="0"/>
          <w:lang w:val="en-US" w:eastAsia="zh-CN"/>
        </w:rPr>
      </w:pPr>
      <w:r>
        <w:rPr>
          <w:rFonts w:hint="eastAsia"/>
          <w:b/>
          <w:bCs w:val="0"/>
          <w:lang w:val="en-US" w:eastAsia="zh-CN"/>
        </w:rPr>
        <w:t>联合验收</w:t>
      </w:r>
    </w:p>
    <w:p w14:paraId="0AF98CDF">
      <w:pPr>
        <w:ind w:firstLine="480"/>
      </w:pPr>
      <w:r>
        <w:rPr>
          <w:rFonts w:hint="eastAsia"/>
        </w:rPr>
        <w:t>塔式起重机安装工程验收内容详见</w:t>
      </w:r>
    </w:p>
    <w:p w14:paraId="08CC9F21">
      <w:pPr>
        <w:pStyle w:val="16"/>
      </w:pPr>
      <w:r>
        <w:rPr>
          <w:rFonts w:hint="eastAsia"/>
        </w:rPr>
        <w:t xml:space="preserve">表 </w:t>
      </w:r>
      <w:r>
        <w:fldChar w:fldCharType="begin"/>
      </w:r>
      <w:r>
        <w:instrText xml:space="preserve"> </w:instrText>
      </w:r>
      <w:r>
        <w:rPr>
          <w:rFonts w:hint="eastAsia"/>
        </w:rPr>
        <w:instrText xml:space="preserve">STYLEREF 3 \s</w:instrText>
      </w:r>
      <w:r>
        <w:instrText xml:space="preserve"> </w:instrText>
      </w:r>
      <w:r>
        <w:fldChar w:fldCharType="separate"/>
      </w:r>
      <w:r>
        <w:t>8.3.2</w:t>
      </w:r>
      <w:r>
        <w:fldChar w:fldCharType="end"/>
      </w:r>
      <w:r>
        <w:noBreakHyphen/>
      </w:r>
      <w:r>
        <w:fldChar w:fldCharType="begin"/>
      </w:r>
      <w:r>
        <w:instrText xml:space="preserve"> </w:instrText>
      </w:r>
      <w:r>
        <w:rPr>
          <w:rFonts w:hint="eastAsia"/>
        </w:rPr>
        <w:instrText xml:space="preserve">SEQ 表 \* ARABIC \s 3</w:instrText>
      </w:r>
      <w:r>
        <w:instrText xml:space="preserve"> </w:instrText>
      </w:r>
      <w:r>
        <w:fldChar w:fldCharType="separate"/>
      </w:r>
      <w:r>
        <w:t>1</w:t>
      </w:r>
      <w:r>
        <w:fldChar w:fldCharType="end"/>
      </w:r>
      <w:r>
        <w:rPr>
          <w:rFonts w:hint="eastAsia"/>
        </w:rPr>
        <w:t>塔式起重机工程验收内容</w:t>
      </w:r>
    </w:p>
    <w:tbl>
      <w:tblPr>
        <w:tblStyle w:val="42"/>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666"/>
        <w:gridCol w:w="594"/>
        <w:gridCol w:w="1440"/>
        <w:gridCol w:w="1082"/>
        <w:gridCol w:w="435"/>
        <w:gridCol w:w="1902"/>
        <w:gridCol w:w="1103"/>
        <w:gridCol w:w="1092"/>
      </w:tblGrid>
      <w:tr w14:paraId="5F19B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5B7C2DFD">
            <w:pPr>
              <w:pStyle w:val="50"/>
            </w:pPr>
            <w:r>
              <w:rPr>
                <w:rFonts w:hint="eastAsia"/>
              </w:rPr>
              <w:t>工程名称</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7E940F3A">
            <w:pPr>
              <w:pStyle w:val="50"/>
            </w:pPr>
          </w:p>
        </w:tc>
        <w:tc>
          <w:tcPr>
            <w:tcW w:w="1902" w:type="dxa"/>
            <w:tcBorders>
              <w:top w:val="single" w:color="auto" w:sz="4" w:space="0"/>
              <w:left w:val="single" w:color="auto" w:sz="4" w:space="0"/>
              <w:bottom w:val="single" w:color="auto" w:sz="4" w:space="0"/>
              <w:right w:val="single" w:color="auto" w:sz="4" w:space="0"/>
            </w:tcBorders>
            <w:vAlign w:val="center"/>
          </w:tcPr>
          <w:p w14:paraId="6526E6D9">
            <w:pPr>
              <w:pStyle w:val="50"/>
            </w:pPr>
            <w:r>
              <w:rPr>
                <w:rFonts w:hint="eastAsia"/>
              </w:rPr>
              <w:t>安装日期</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754E8673">
            <w:pPr>
              <w:pStyle w:val="50"/>
            </w:pPr>
          </w:p>
        </w:tc>
      </w:tr>
      <w:tr w14:paraId="533F9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0A9A9EBA">
            <w:pPr>
              <w:pStyle w:val="50"/>
            </w:pPr>
            <w:r>
              <w:rPr>
                <w:rFonts w:hint="eastAsia"/>
              </w:rPr>
              <w:t>建机一体化企业</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5D90BC01">
            <w:pPr>
              <w:pStyle w:val="50"/>
            </w:pPr>
          </w:p>
        </w:tc>
        <w:tc>
          <w:tcPr>
            <w:tcW w:w="1902" w:type="dxa"/>
            <w:tcBorders>
              <w:top w:val="single" w:color="auto" w:sz="4" w:space="0"/>
              <w:left w:val="single" w:color="auto" w:sz="4" w:space="0"/>
              <w:bottom w:val="single" w:color="auto" w:sz="4" w:space="0"/>
              <w:right w:val="single" w:color="auto" w:sz="4" w:space="0"/>
            </w:tcBorders>
            <w:vAlign w:val="center"/>
          </w:tcPr>
          <w:p w14:paraId="56E451ED">
            <w:pPr>
              <w:pStyle w:val="50"/>
            </w:pPr>
            <w:r>
              <w:rPr>
                <w:rFonts w:hint="eastAsia"/>
              </w:rPr>
              <w:t>安装资质编号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0CDBE662">
            <w:pPr>
              <w:pStyle w:val="50"/>
            </w:pPr>
          </w:p>
        </w:tc>
      </w:tr>
      <w:tr w14:paraId="00F4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1A3EDD9C">
            <w:pPr>
              <w:pStyle w:val="50"/>
            </w:pPr>
            <w:r>
              <w:rPr>
                <w:rFonts w:hint="eastAsia"/>
              </w:rPr>
              <w:t>制造厂家</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71EB7572">
            <w:pPr>
              <w:pStyle w:val="50"/>
            </w:pPr>
          </w:p>
        </w:tc>
        <w:tc>
          <w:tcPr>
            <w:tcW w:w="1902" w:type="dxa"/>
            <w:tcBorders>
              <w:top w:val="single" w:color="auto" w:sz="4" w:space="0"/>
              <w:left w:val="single" w:color="auto" w:sz="4" w:space="0"/>
              <w:bottom w:val="single" w:color="auto" w:sz="4" w:space="0"/>
              <w:right w:val="single" w:color="auto" w:sz="4" w:space="0"/>
            </w:tcBorders>
            <w:vAlign w:val="center"/>
          </w:tcPr>
          <w:p w14:paraId="01270992">
            <w:pPr>
              <w:pStyle w:val="50"/>
            </w:pPr>
            <w:r>
              <w:rPr>
                <w:rFonts w:hint="eastAsia"/>
              </w:rPr>
              <w:t>使用单位</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0C5A0B19">
            <w:pPr>
              <w:pStyle w:val="50"/>
            </w:pPr>
          </w:p>
        </w:tc>
      </w:tr>
      <w:tr w14:paraId="5718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390063C6">
            <w:pPr>
              <w:pStyle w:val="50"/>
            </w:pPr>
            <w:r>
              <w:rPr>
                <w:rFonts w:hint="eastAsia"/>
              </w:rPr>
              <w:t>规格型号</w:t>
            </w:r>
          </w:p>
        </w:tc>
        <w:tc>
          <w:tcPr>
            <w:tcW w:w="3551" w:type="dxa"/>
            <w:gridSpan w:val="4"/>
            <w:tcBorders>
              <w:top w:val="single" w:color="auto" w:sz="4" w:space="0"/>
              <w:left w:val="single" w:color="auto" w:sz="4" w:space="0"/>
              <w:bottom w:val="single" w:color="auto" w:sz="4" w:space="0"/>
              <w:right w:val="single" w:color="auto" w:sz="4" w:space="0"/>
            </w:tcBorders>
            <w:vAlign w:val="center"/>
          </w:tcPr>
          <w:p w14:paraId="0D17DDB4">
            <w:pPr>
              <w:pStyle w:val="50"/>
            </w:pPr>
          </w:p>
        </w:tc>
        <w:tc>
          <w:tcPr>
            <w:tcW w:w="1902" w:type="dxa"/>
            <w:tcBorders>
              <w:top w:val="single" w:color="auto" w:sz="4" w:space="0"/>
              <w:left w:val="single" w:color="auto" w:sz="4" w:space="0"/>
              <w:bottom w:val="single" w:color="auto" w:sz="4" w:space="0"/>
              <w:right w:val="single" w:color="auto" w:sz="4" w:space="0"/>
            </w:tcBorders>
            <w:vAlign w:val="center"/>
          </w:tcPr>
          <w:p w14:paraId="20207727">
            <w:pPr>
              <w:pStyle w:val="50"/>
            </w:pPr>
            <w:r>
              <w:rPr>
                <w:rFonts w:hint="eastAsia"/>
              </w:rPr>
              <w:t>备案编号</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55CB7531">
            <w:pPr>
              <w:pStyle w:val="50"/>
            </w:pPr>
          </w:p>
        </w:tc>
      </w:tr>
      <w:tr w14:paraId="3C06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5DB96846">
            <w:pPr>
              <w:pStyle w:val="50"/>
            </w:pPr>
            <w:r>
              <w:rPr>
                <w:rFonts w:hint="eastAsia"/>
              </w:rPr>
              <w:t>初始安装高度</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20C92AB">
            <w:pPr>
              <w:pStyle w:val="50"/>
            </w:pPr>
          </w:p>
        </w:tc>
        <w:tc>
          <w:tcPr>
            <w:tcW w:w="1517" w:type="dxa"/>
            <w:gridSpan w:val="2"/>
            <w:tcBorders>
              <w:top w:val="single" w:color="auto" w:sz="4" w:space="0"/>
              <w:left w:val="single" w:color="auto" w:sz="4" w:space="0"/>
              <w:bottom w:val="single" w:color="auto" w:sz="4" w:space="0"/>
              <w:right w:val="single" w:color="auto" w:sz="4" w:space="0"/>
            </w:tcBorders>
            <w:vAlign w:val="center"/>
          </w:tcPr>
          <w:p w14:paraId="66679259">
            <w:pPr>
              <w:pStyle w:val="50"/>
            </w:pPr>
            <w:r>
              <w:rPr>
                <w:rFonts w:hint="eastAsia"/>
              </w:rPr>
              <w:t>本次自检高度</w:t>
            </w:r>
          </w:p>
        </w:tc>
        <w:tc>
          <w:tcPr>
            <w:tcW w:w="1902" w:type="dxa"/>
            <w:tcBorders>
              <w:top w:val="single" w:color="auto" w:sz="4" w:space="0"/>
              <w:left w:val="single" w:color="auto" w:sz="4" w:space="0"/>
              <w:bottom w:val="single" w:color="auto" w:sz="4" w:space="0"/>
              <w:right w:val="single" w:color="auto" w:sz="4" w:space="0"/>
            </w:tcBorders>
            <w:vAlign w:val="center"/>
          </w:tcPr>
          <w:p w14:paraId="4653E9AE">
            <w:pPr>
              <w:pStyle w:val="50"/>
            </w:pPr>
          </w:p>
        </w:tc>
        <w:tc>
          <w:tcPr>
            <w:tcW w:w="1103" w:type="dxa"/>
            <w:tcBorders>
              <w:top w:val="single" w:color="auto" w:sz="4" w:space="0"/>
              <w:left w:val="single" w:color="auto" w:sz="4" w:space="0"/>
              <w:bottom w:val="single" w:color="auto" w:sz="4" w:space="0"/>
              <w:right w:val="single" w:color="auto" w:sz="4" w:space="0"/>
            </w:tcBorders>
            <w:vAlign w:val="center"/>
          </w:tcPr>
          <w:p w14:paraId="1541F4D9">
            <w:pPr>
              <w:pStyle w:val="50"/>
            </w:pPr>
            <w:r>
              <w:rPr>
                <w:rFonts w:hint="eastAsia"/>
              </w:rPr>
              <w:t>计划安装</w:t>
            </w:r>
          </w:p>
          <w:p w14:paraId="3A6EE29D">
            <w:pPr>
              <w:pStyle w:val="50"/>
            </w:pPr>
            <w:r>
              <w:rPr>
                <w:rFonts w:hint="eastAsia"/>
              </w:rPr>
              <w:t>高度</w:t>
            </w:r>
          </w:p>
        </w:tc>
        <w:tc>
          <w:tcPr>
            <w:tcW w:w="1092" w:type="dxa"/>
            <w:tcBorders>
              <w:top w:val="single" w:color="auto" w:sz="4" w:space="0"/>
              <w:left w:val="single" w:color="auto" w:sz="4" w:space="0"/>
              <w:bottom w:val="single" w:color="auto" w:sz="4" w:space="0"/>
              <w:right w:val="single" w:color="auto" w:sz="4" w:space="0"/>
            </w:tcBorders>
            <w:vAlign w:val="center"/>
          </w:tcPr>
          <w:p w14:paraId="691CCB40">
            <w:pPr>
              <w:pStyle w:val="50"/>
            </w:pPr>
          </w:p>
        </w:tc>
      </w:tr>
      <w:tr w14:paraId="01B15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852" w:type="dxa"/>
            <w:gridSpan w:val="2"/>
            <w:tcBorders>
              <w:top w:val="single" w:color="auto" w:sz="4" w:space="0"/>
              <w:left w:val="single" w:color="auto" w:sz="4" w:space="0"/>
              <w:bottom w:val="single" w:color="auto" w:sz="4" w:space="0"/>
              <w:right w:val="single" w:color="auto" w:sz="4" w:space="0"/>
            </w:tcBorders>
            <w:vAlign w:val="center"/>
          </w:tcPr>
          <w:p w14:paraId="7B408289">
            <w:pPr>
              <w:pStyle w:val="50"/>
            </w:pPr>
            <w:r>
              <w:rPr>
                <w:rFonts w:hint="eastAsia"/>
              </w:rPr>
              <w:t>检查结果</w:t>
            </w:r>
          </w:p>
          <w:p w14:paraId="6C38CFEA">
            <w:pPr>
              <w:pStyle w:val="50"/>
            </w:pPr>
            <w:r>
              <w:rPr>
                <w:rFonts w:hint="eastAsia"/>
              </w:rPr>
              <w:t>代号说明</w:t>
            </w:r>
          </w:p>
        </w:tc>
        <w:tc>
          <w:tcPr>
            <w:tcW w:w="7648" w:type="dxa"/>
            <w:gridSpan w:val="7"/>
            <w:tcBorders>
              <w:top w:val="single" w:color="auto" w:sz="4" w:space="0"/>
              <w:left w:val="single" w:color="auto" w:sz="4" w:space="0"/>
              <w:bottom w:val="single" w:color="auto" w:sz="4" w:space="0"/>
              <w:right w:val="single" w:color="auto" w:sz="4" w:space="0"/>
            </w:tcBorders>
            <w:vAlign w:val="center"/>
          </w:tcPr>
          <w:p w14:paraId="0D908AB8">
            <w:pPr>
              <w:pStyle w:val="50"/>
            </w:pPr>
            <w:r>
              <w:rPr>
                <w:rFonts w:hint="eastAsia"/>
              </w:rPr>
              <w:t>“√”=合格  “○”=整改后合格  “×”=不合格  “/”=无此项</w:t>
            </w:r>
          </w:p>
        </w:tc>
      </w:tr>
      <w:tr w14:paraId="2FFD3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51912F23">
            <w:pPr>
              <w:pStyle w:val="50"/>
            </w:pPr>
            <w:r>
              <w:rPr>
                <w:rFonts w:hint="eastAsia"/>
              </w:rPr>
              <w:t>名称</w:t>
            </w:r>
          </w:p>
        </w:tc>
        <w:tc>
          <w:tcPr>
            <w:tcW w:w="666" w:type="dxa"/>
            <w:tcBorders>
              <w:top w:val="single" w:color="auto" w:sz="4" w:space="0"/>
              <w:left w:val="single" w:color="auto" w:sz="4" w:space="0"/>
              <w:bottom w:val="single" w:color="auto" w:sz="4" w:space="0"/>
              <w:right w:val="single" w:color="auto" w:sz="4" w:space="0"/>
            </w:tcBorders>
            <w:vAlign w:val="center"/>
          </w:tcPr>
          <w:p w14:paraId="396CE6AA">
            <w:pPr>
              <w:pStyle w:val="50"/>
            </w:pPr>
            <w:r>
              <w:rPr>
                <w:rFonts w:hint="eastAsia"/>
              </w:rPr>
              <w:t>序号</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49DB566">
            <w:pPr>
              <w:pStyle w:val="50"/>
            </w:pPr>
            <w:r>
              <w:rPr>
                <w:rFonts w:hint="eastAsia"/>
              </w:rPr>
              <w:t>检查项目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7E8CEB5">
            <w:pPr>
              <w:pStyle w:val="50"/>
            </w:pPr>
            <w:r>
              <w:rPr>
                <w:rFonts w:hint="eastAsia"/>
              </w:rPr>
              <w:t>要求</w:t>
            </w:r>
          </w:p>
        </w:tc>
        <w:tc>
          <w:tcPr>
            <w:tcW w:w="1103" w:type="dxa"/>
            <w:tcBorders>
              <w:top w:val="single" w:color="auto" w:sz="4" w:space="0"/>
              <w:left w:val="single" w:color="auto" w:sz="4" w:space="0"/>
              <w:bottom w:val="single" w:color="auto" w:sz="4" w:space="0"/>
              <w:right w:val="single" w:color="auto" w:sz="4" w:space="0"/>
            </w:tcBorders>
            <w:vAlign w:val="center"/>
          </w:tcPr>
          <w:p w14:paraId="666D57C8">
            <w:pPr>
              <w:pStyle w:val="50"/>
            </w:pPr>
            <w:r>
              <w:rPr>
                <w:rFonts w:hint="eastAsia"/>
              </w:rPr>
              <w:t>检查结果</w:t>
            </w:r>
          </w:p>
        </w:tc>
        <w:tc>
          <w:tcPr>
            <w:tcW w:w="1092" w:type="dxa"/>
            <w:tcBorders>
              <w:top w:val="single" w:color="auto" w:sz="4" w:space="0"/>
              <w:left w:val="single" w:color="auto" w:sz="4" w:space="0"/>
              <w:bottom w:val="single" w:color="auto" w:sz="4" w:space="0"/>
              <w:right w:val="single" w:color="auto" w:sz="4" w:space="0"/>
            </w:tcBorders>
            <w:vAlign w:val="center"/>
          </w:tcPr>
          <w:p w14:paraId="20E25CDA">
            <w:pPr>
              <w:pStyle w:val="50"/>
            </w:pPr>
            <w:r>
              <w:rPr>
                <w:rFonts w:hint="eastAsia"/>
              </w:rPr>
              <w:t>备注</w:t>
            </w:r>
          </w:p>
        </w:tc>
      </w:tr>
      <w:tr w14:paraId="45CD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6D5095EF">
            <w:pPr>
              <w:pStyle w:val="50"/>
            </w:pPr>
            <w:r>
              <w:rPr>
                <w:rFonts w:hint="eastAsia"/>
              </w:rPr>
              <w:t>资料</w:t>
            </w:r>
          </w:p>
        </w:tc>
        <w:tc>
          <w:tcPr>
            <w:tcW w:w="666" w:type="dxa"/>
            <w:tcBorders>
              <w:top w:val="single" w:color="auto" w:sz="4" w:space="0"/>
              <w:left w:val="single" w:color="auto" w:sz="4" w:space="0"/>
              <w:bottom w:val="single" w:color="auto" w:sz="4" w:space="0"/>
              <w:right w:val="single" w:color="auto" w:sz="4" w:space="0"/>
            </w:tcBorders>
            <w:vAlign w:val="center"/>
          </w:tcPr>
          <w:p w14:paraId="00AA6120">
            <w:pPr>
              <w:pStyle w:val="50"/>
            </w:pPr>
            <w:r>
              <w:rPr>
                <w:rFonts w:hint="eastAsia"/>
              </w:rPr>
              <w:t>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19C1CC0">
            <w:pPr>
              <w:pStyle w:val="50"/>
            </w:pPr>
            <w:r>
              <w:rPr>
                <w:rFonts w:hint="eastAsia"/>
              </w:rPr>
              <w:t>基础验收表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FDA2A60">
            <w:pPr>
              <w:pStyle w:val="50"/>
            </w:pPr>
            <w:r>
              <w:rPr>
                <w:rFonts w:hint="eastAsia"/>
              </w:rPr>
              <w:t>检查或实测记录、应附资料及签章齐全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3541EA75">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2B07BE82">
            <w:pPr>
              <w:pStyle w:val="50"/>
            </w:pPr>
          </w:p>
        </w:tc>
      </w:tr>
      <w:tr w14:paraId="1E845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35889C3">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60A66BFD">
            <w:pPr>
              <w:pStyle w:val="50"/>
            </w:pPr>
            <w:r>
              <w:rPr>
                <w:rFonts w:hint="eastAsia"/>
              </w:rPr>
              <w:t>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A0BEBBB">
            <w:pPr>
              <w:pStyle w:val="50"/>
            </w:pPr>
            <w:r>
              <w:rPr>
                <w:rFonts w:hint="eastAsia"/>
              </w:rPr>
              <w:t>安装方案、安全技术交底记录</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10CD1C9">
            <w:pPr>
              <w:pStyle w:val="50"/>
            </w:pPr>
            <w:r>
              <w:rPr>
                <w:rFonts w:hint="eastAsia"/>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213988AD">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6FB9FDBC">
            <w:pPr>
              <w:pStyle w:val="50"/>
            </w:pPr>
          </w:p>
        </w:tc>
      </w:tr>
      <w:tr w14:paraId="06A8D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44C29F5">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7AF5B1C7">
            <w:pPr>
              <w:pStyle w:val="50"/>
            </w:pPr>
            <w:r>
              <w:rPr>
                <w:rFonts w:hint="eastAsia"/>
              </w:rPr>
              <w:t>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3B6B2A7">
            <w:pPr>
              <w:pStyle w:val="50"/>
            </w:pPr>
            <w:r>
              <w:rPr>
                <w:rFonts w:hint="eastAsia"/>
              </w:rPr>
              <w:t>塔式起重机进场检查核验表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4DBD9A4">
            <w:pPr>
              <w:pStyle w:val="50"/>
            </w:pPr>
            <w:r>
              <w:rPr>
                <w:rFonts w:hint="eastAsia"/>
              </w:rPr>
              <w:t>内容及签章齐全</w:t>
            </w:r>
          </w:p>
        </w:tc>
        <w:tc>
          <w:tcPr>
            <w:tcW w:w="1103" w:type="dxa"/>
            <w:tcBorders>
              <w:top w:val="single" w:color="auto" w:sz="4" w:space="0"/>
              <w:left w:val="single" w:color="auto" w:sz="4" w:space="0"/>
              <w:bottom w:val="single" w:color="auto" w:sz="4" w:space="0"/>
              <w:right w:val="single" w:color="auto" w:sz="4" w:space="0"/>
            </w:tcBorders>
            <w:vAlign w:val="center"/>
          </w:tcPr>
          <w:p w14:paraId="7DEADF7B">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46D989BF">
            <w:pPr>
              <w:pStyle w:val="50"/>
            </w:pPr>
          </w:p>
        </w:tc>
      </w:tr>
      <w:tr w14:paraId="146B3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62F5C845">
            <w:pPr>
              <w:pStyle w:val="50"/>
            </w:pPr>
            <w:r>
              <w:rPr>
                <w:rFonts w:hint="eastAsia"/>
              </w:rPr>
              <w:t>基础</w:t>
            </w:r>
          </w:p>
        </w:tc>
        <w:tc>
          <w:tcPr>
            <w:tcW w:w="666" w:type="dxa"/>
            <w:tcBorders>
              <w:top w:val="single" w:color="auto" w:sz="4" w:space="0"/>
              <w:left w:val="single" w:color="auto" w:sz="4" w:space="0"/>
              <w:bottom w:val="single" w:color="auto" w:sz="4" w:space="0"/>
              <w:right w:val="single" w:color="auto" w:sz="4" w:space="0"/>
            </w:tcBorders>
            <w:vAlign w:val="center"/>
          </w:tcPr>
          <w:p w14:paraId="47FE1FC1">
            <w:pPr>
              <w:pStyle w:val="50"/>
            </w:pPr>
            <w:r>
              <w:rPr>
                <w:rFonts w:hint="eastAsia"/>
              </w:rPr>
              <w:t>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9C685AD">
            <w:pPr>
              <w:pStyle w:val="50"/>
            </w:pPr>
            <w:r>
              <w:rPr>
                <w:rFonts w:hint="eastAsia"/>
              </w:rPr>
              <w:t>塔式起重机底架水平度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9F7680C">
            <w:pPr>
              <w:pStyle w:val="50"/>
            </w:pPr>
            <w:r>
              <w:rPr>
                <w:rFonts w:hint="eastAsia"/>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5B3E350B">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2D9BAF4B">
            <w:pPr>
              <w:pStyle w:val="50"/>
            </w:pPr>
          </w:p>
        </w:tc>
      </w:tr>
      <w:tr w14:paraId="0A00B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CBA43EC">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238A4487">
            <w:pPr>
              <w:pStyle w:val="50"/>
            </w:pPr>
            <w:r>
              <w:rPr>
                <w:rFonts w:hint="eastAsia"/>
              </w:rPr>
              <w:t>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79AA26B">
            <w:pPr>
              <w:pStyle w:val="50"/>
            </w:pPr>
            <w:r>
              <w:rPr>
                <w:rFonts w:hint="eastAsia"/>
              </w:rPr>
              <w:t>行走式塔式起重机导轨的水平度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E740D99">
            <w:pPr>
              <w:pStyle w:val="50"/>
            </w:pPr>
            <w:r>
              <w:rPr>
                <w:rFonts w:hint="eastAsia"/>
              </w:rPr>
              <w:t>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584B11A7">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7AC635C8">
            <w:pPr>
              <w:pStyle w:val="50"/>
            </w:pPr>
          </w:p>
        </w:tc>
      </w:tr>
      <w:tr w14:paraId="4F43B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8332856">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43208EB4">
            <w:pPr>
              <w:pStyle w:val="50"/>
            </w:pPr>
            <w:r>
              <w:rPr>
                <w:rFonts w:hint="eastAsia"/>
              </w:rPr>
              <w:t>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CCCFD7E">
            <w:pPr>
              <w:pStyle w:val="50"/>
            </w:pPr>
            <w:r>
              <w:rPr>
                <w:rFonts w:hint="eastAsia"/>
              </w:rPr>
              <w:t>塔式起重机接地装置的设置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E8B3AEB">
            <w:pPr>
              <w:pStyle w:val="50"/>
            </w:pPr>
            <w:r>
              <w:rPr>
                <w:rFonts w:hint="eastAsia"/>
              </w:rPr>
              <w:t>符合规范要求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5A746889">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BBD3BD2">
            <w:pPr>
              <w:pStyle w:val="50"/>
            </w:pPr>
          </w:p>
        </w:tc>
      </w:tr>
      <w:tr w14:paraId="56DE7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A30CFA6">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0D3A5F3A">
            <w:pPr>
              <w:pStyle w:val="50"/>
            </w:pPr>
            <w:r>
              <w:rPr>
                <w:rFonts w:hint="eastAsia"/>
              </w:rPr>
              <w:t>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E7D58C2">
            <w:pPr>
              <w:pStyle w:val="50"/>
            </w:pPr>
            <w:r>
              <w:rPr>
                <w:rFonts w:hint="eastAsia"/>
              </w:rPr>
              <w:t>排水措施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5055119">
            <w:pPr>
              <w:pStyle w:val="50"/>
            </w:pPr>
            <w:r>
              <w:rPr>
                <w:rFonts w:hint="eastAsia"/>
              </w:rPr>
              <w:t>有排水措施，且无积水</w:t>
            </w:r>
          </w:p>
        </w:tc>
        <w:tc>
          <w:tcPr>
            <w:tcW w:w="1103" w:type="dxa"/>
            <w:tcBorders>
              <w:top w:val="single" w:color="auto" w:sz="4" w:space="0"/>
              <w:left w:val="single" w:color="auto" w:sz="4" w:space="0"/>
              <w:bottom w:val="single" w:color="auto" w:sz="4" w:space="0"/>
              <w:right w:val="single" w:color="auto" w:sz="4" w:space="0"/>
            </w:tcBorders>
            <w:vAlign w:val="center"/>
          </w:tcPr>
          <w:p w14:paraId="36DE3709">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5A2A261D">
            <w:pPr>
              <w:pStyle w:val="50"/>
            </w:pPr>
          </w:p>
        </w:tc>
      </w:tr>
      <w:tr w14:paraId="25F3B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1B544C28">
            <w:pPr>
              <w:pStyle w:val="50"/>
            </w:pPr>
            <w:r>
              <w:rPr>
                <w:rFonts w:hint="eastAsia"/>
              </w:rPr>
              <w:t>标识与环境</w:t>
            </w:r>
          </w:p>
        </w:tc>
        <w:tc>
          <w:tcPr>
            <w:tcW w:w="666" w:type="dxa"/>
            <w:tcBorders>
              <w:top w:val="single" w:color="auto" w:sz="4" w:space="0"/>
              <w:left w:val="single" w:color="auto" w:sz="4" w:space="0"/>
              <w:bottom w:val="single" w:color="auto" w:sz="4" w:space="0"/>
              <w:right w:val="single" w:color="auto" w:sz="4" w:space="0"/>
            </w:tcBorders>
            <w:vAlign w:val="center"/>
          </w:tcPr>
          <w:p w14:paraId="2E37B1BE">
            <w:pPr>
              <w:pStyle w:val="50"/>
            </w:pPr>
            <w:r>
              <w:rPr>
                <w:rFonts w:hint="eastAsia"/>
              </w:rPr>
              <w:t>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DCAF373">
            <w:pPr>
              <w:pStyle w:val="50"/>
            </w:pPr>
            <w:r>
              <w:rPr>
                <w:rFonts w:hint="eastAsia"/>
              </w:rPr>
              <w:t>产品标牌</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45557D6">
            <w:pPr>
              <w:pStyle w:val="50"/>
            </w:pPr>
            <w:r>
              <w:rPr>
                <w:rFonts w:hint="eastAsia"/>
              </w:rPr>
              <w:t>符合使用说明书和规范要求</w:t>
            </w:r>
          </w:p>
        </w:tc>
        <w:tc>
          <w:tcPr>
            <w:tcW w:w="1103" w:type="dxa"/>
            <w:tcBorders>
              <w:top w:val="single" w:color="auto" w:sz="4" w:space="0"/>
              <w:left w:val="single" w:color="auto" w:sz="4" w:space="0"/>
              <w:bottom w:val="single" w:color="auto" w:sz="4" w:space="0"/>
              <w:right w:val="single" w:color="auto" w:sz="4" w:space="0"/>
            </w:tcBorders>
            <w:vAlign w:val="center"/>
          </w:tcPr>
          <w:p w14:paraId="0976DB32">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43A08CE">
            <w:pPr>
              <w:pStyle w:val="50"/>
            </w:pPr>
          </w:p>
        </w:tc>
      </w:tr>
      <w:tr w14:paraId="7BA73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6366BE5">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629DDFB6">
            <w:pPr>
              <w:pStyle w:val="50"/>
            </w:pPr>
            <w:r>
              <w:rPr>
                <w:rFonts w:hint="eastAsia"/>
              </w:rPr>
              <w:t>9*</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0BC88F90">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塔式起重机与周围环境关系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08AC6F4">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尾部与建(构)筑物及施工设施之间的距离不小于0.6m</w:t>
            </w:r>
          </w:p>
        </w:tc>
        <w:tc>
          <w:tcPr>
            <w:tcW w:w="1103" w:type="dxa"/>
            <w:tcBorders>
              <w:top w:val="single" w:color="auto" w:sz="4" w:space="0"/>
              <w:left w:val="single" w:color="auto" w:sz="4" w:space="0"/>
              <w:bottom w:val="single" w:color="auto" w:sz="4" w:space="0"/>
              <w:right w:val="single" w:color="auto" w:sz="4" w:space="0"/>
            </w:tcBorders>
            <w:vAlign w:val="center"/>
          </w:tcPr>
          <w:p w14:paraId="6875B952">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61AF3129">
            <w:pPr>
              <w:pStyle w:val="50"/>
            </w:pPr>
          </w:p>
        </w:tc>
      </w:tr>
      <w:tr w14:paraId="75C83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0935B7C">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3A3436FA">
            <w:pPr>
              <w:pStyle w:val="50"/>
            </w:pPr>
            <w:r>
              <w:rPr>
                <w:rFonts w:hint="eastAsia"/>
              </w:rPr>
              <w:t>10*</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30220FEF">
            <w:pPr>
              <w:pStyle w:val="50"/>
              <w:rPr>
                <w:color w:val="000000" w:themeColor="text1"/>
                <w14:textFill>
                  <w14:solidFill>
                    <w14:schemeClr w14:val="tx1"/>
                  </w14:solidFill>
                </w14:textFill>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7D869E7">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两台塔式起重机之间的最小架设距离应保证处于低位塔式起重机的起重臂端部与另一塔式起重机的塔身之间至少有2m的距离；处于高位塔式起重机的最低位置的部件与低位塔式起重机中处于最高位置部件之间的垂直距离不应小于2m</w:t>
            </w:r>
          </w:p>
        </w:tc>
        <w:tc>
          <w:tcPr>
            <w:tcW w:w="1103" w:type="dxa"/>
            <w:tcBorders>
              <w:top w:val="single" w:color="auto" w:sz="4" w:space="0"/>
              <w:left w:val="single" w:color="auto" w:sz="4" w:space="0"/>
              <w:bottom w:val="single" w:color="auto" w:sz="4" w:space="0"/>
              <w:right w:val="single" w:color="auto" w:sz="4" w:space="0"/>
            </w:tcBorders>
            <w:vAlign w:val="center"/>
          </w:tcPr>
          <w:p w14:paraId="3768EC79">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3D53DAE">
            <w:pPr>
              <w:pStyle w:val="50"/>
            </w:pPr>
          </w:p>
        </w:tc>
      </w:tr>
      <w:tr w14:paraId="6762F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A75D43D">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3238EA85">
            <w:pPr>
              <w:pStyle w:val="50"/>
            </w:pPr>
            <w:r>
              <w:rPr>
                <w:rFonts w:hint="eastAsia"/>
              </w:rPr>
              <w:t>11*</w:t>
            </w: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283AC72B">
            <w:pPr>
              <w:pStyle w:val="50"/>
              <w:rPr>
                <w:color w:val="000000" w:themeColor="text1"/>
                <w14:textFill>
                  <w14:solidFill>
                    <w14:schemeClr w14:val="tx1"/>
                  </w14:solidFill>
                </w14:textFill>
              </w:rPr>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CBF3888">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与输电线的距离应不小于《施工现场临时用电安全技术规范》JGJ46的规定</w:t>
            </w:r>
          </w:p>
        </w:tc>
        <w:tc>
          <w:tcPr>
            <w:tcW w:w="1103" w:type="dxa"/>
            <w:tcBorders>
              <w:top w:val="single" w:color="auto" w:sz="4" w:space="0"/>
              <w:left w:val="single" w:color="auto" w:sz="4" w:space="0"/>
              <w:bottom w:val="single" w:color="auto" w:sz="4" w:space="0"/>
              <w:right w:val="single" w:color="auto" w:sz="4" w:space="0"/>
            </w:tcBorders>
            <w:vAlign w:val="center"/>
          </w:tcPr>
          <w:p w14:paraId="1D519D16">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0C3F2B4A">
            <w:pPr>
              <w:pStyle w:val="50"/>
            </w:pPr>
          </w:p>
        </w:tc>
      </w:tr>
      <w:tr w14:paraId="095B1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3832F935">
            <w:pPr>
              <w:pStyle w:val="50"/>
            </w:pPr>
          </w:p>
          <w:p w14:paraId="62ED0863">
            <w:pPr>
              <w:pStyle w:val="50"/>
            </w:pPr>
          </w:p>
          <w:p w14:paraId="38BC5A4E">
            <w:pPr>
              <w:pStyle w:val="50"/>
            </w:pPr>
          </w:p>
          <w:p w14:paraId="6427558F">
            <w:pPr>
              <w:pStyle w:val="50"/>
            </w:pPr>
            <w:r>
              <w:rPr>
                <w:rFonts w:hint="eastAsia"/>
              </w:rPr>
              <w:t>金属结构件</w:t>
            </w:r>
          </w:p>
          <w:p w14:paraId="5AF03E3A">
            <w:pPr>
              <w:pStyle w:val="50"/>
            </w:pPr>
          </w:p>
          <w:p w14:paraId="3C1D3A5B">
            <w:pPr>
              <w:pStyle w:val="50"/>
            </w:pPr>
          </w:p>
          <w:p w14:paraId="4EA32EF4">
            <w:pPr>
              <w:pStyle w:val="50"/>
            </w:pPr>
          </w:p>
          <w:p w14:paraId="6BC00F83">
            <w:pPr>
              <w:pStyle w:val="50"/>
            </w:pPr>
          </w:p>
          <w:p w14:paraId="060CEC5E">
            <w:pPr>
              <w:pStyle w:val="50"/>
            </w:pPr>
          </w:p>
          <w:p w14:paraId="5AFCC8B5">
            <w:pPr>
              <w:pStyle w:val="50"/>
            </w:pPr>
          </w:p>
          <w:p w14:paraId="04405DC2">
            <w:pPr>
              <w:pStyle w:val="50"/>
            </w:pPr>
          </w:p>
          <w:p w14:paraId="43800DFD">
            <w:pPr>
              <w:pStyle w:val="50"/>
            </w:pPr>
          </w:p>
          <w:p w14:paraId="6DBDB159">
            <w:pPr>
              <w:pStyle w:val="50"/>
            </w:pPr>
            <w:r>
              <w:rPr>
                <w:rFonts w:hint="eastAsia"/>
              </w:rPr>
              <w:t>金属结构件</w:t>
            </w:r>
          </w:p>
        </w:tc>
        <w:tc>
          <w:tcPr>
            <w:tcW w:w="666" w:type="dxa"/>
            <w:tcBorders>
              <w:top w:val="single" w:color="auto" w:sz="4" w:space="0"/>
              <w:left w:val="single" w:color="auto" w:sz="4" w:space="0"/>
              <w:bottom w:val="single" w:color="auto" w:sz="4" w:space="0"/>
              <w:right w:val="single" w:color="auto" w:sz="4" w:space="0"/>
            </w:tcBorders>
            <w:vAlign w:val="center"/>
          </w:tcPr>
          <w:p w14:paraId="2F7F2290">
            <w:pPr>
              <w:pStyle w:val="50"/>
            </w:pPr>
            <w:r>
              <w:rPr>
                <w:rFonts w:hint="eastAsia"/>
              </w:rPr>
              <w:t>12*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D0E91A9">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主要结构件</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CE1B55A">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无可见裂纹和明显变形</w:t>
            </w:r>
          </w:p>
        </w:tc>
        <w:tc>
          <w:tcPr>
            <w:tcW w:w="1103" w:type="dxa"/>
            <w:tcBorders>
              <w:top w:val="single" w:color="auto" w:sz="4" w:space="0"/>
              <w:left w:val="single" w:color="auto" w:sz="4" w:space="0"/>
              <w:bottom w:val="single" w:color="auto" w:sz="4" w:space="0"/>
              <w:right w:val="single" w:color="auto" w:sz="4" w:space="0"/>
            </w:tcBorders>
            <w:vAlign w:val="center"/>
          </w:tcPr>
          <w:p w14:paraId="56D17C1C">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48BC3BC">
            <w:pPr>
              <w:pStyle w:val="50"/>
            </w:pPr>
          </w:p>
        </w:tc>
      </w:tr>
      <w:tr w14:paraId="0C396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4B37B926">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42D37658">
            <w:pPr>
              <w:pStyle w:val="50"/>
            </w:pPr>
            <w:r>
              <w:rPr>
                <w:rFonts w:hint="eastAsia"/>
              </w:rPr>
              <w:t>13*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0CA0CE1">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主要连接螺栓</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BB8AB35">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齐全，规格和预紧力达到使用说明书要求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79045776">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77242BAE">
            <w:pPr>
              <w:pStyle w:val="50"/>
            </w:pPr>
          </w:p>
        </w:tc>
      </w:tr>
      <w:tr w14:paraId="3A2D1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FB38195">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29780BBC">
            <w:pPr>
              <w:pStyle w:val="50"/>
            </w:pPr>
            <w:r>
              <w:rPr>
                <w:rFonts w:hint="eastAsia"/>
              </w:rPr>
              <w:t>14*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5441810">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主要连接销轴</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CD39BD9">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销轴符合出厂要求，连接可靠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0DCAD7DD">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2AEA4DF7">
            <w:pPr>
              <w:pStyle w:val="50"/>
            </w:pPr>
          </w:p>
        </w:tc>
      </w:tr>
      <w:tr w14:paraId="2C0B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71A0FF5">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6CEA2482">
            <w:pPr>
              <w:pStyle w:val="50"/>
            </w:pPr>
            <w:r>
              <w:rPr>
                <w:rFonts w:hint="eastAsia"/>
              </w:rPr>
              <w:t>15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21C1445">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过道、平台、栏杆、踏板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DB087BE">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4884CA02">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55C1074E">
            <w:pPr>
              <w:pStyle w:val="50"/>
            </w:pPr>
          </w:p>
        </w:tc>
      </w:tr>
      <w:tr w14:paraId="7395D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AC798B8">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72DDEA10">
            <w:pPr>
              <w:pStyle w:val="50"/>
            </w:pPr>
            <w:r>
              <w:rPr>
                <w:rFonts w:hint="eastAsia"/>
              </w:rPr>
              <w:t>16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5E32FEB">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梯子、护圈、休息平台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1411774">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符合《塔式起重机安全规程》（GB5144-2006）的规定</w:t>
            </w:r>
          </w:p>
        </w:tc>
        <w:tc>
          <w:tcPr>
            <w:tcW w:w="1103" w:type="dxa"/>
            <w:tcBorders>
              <w:top w:val="single" w:color="auto" w:sz="4" w:space="0"/>
              <w:left w:val="single" w:color="auto" w:sz="4" w:space="0"/>
              <w:bottom w:val="single" w:color="auto" w:sz="4" w:space="0"/>
              <w:right w:val="single" w:color="auto" w:sz="4" w:space="0"/>
            </w:tcBorders>
            <w:vAlign w:val="center"/>
          </w:tcPr>
          <w:p w14:paraId="041BAECE">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209C28F1">
            <w:pPr>
              <w:pStyle w:val="50"/>
            </w:pPr>
          </w:p>
        </w:tc>
      </w:tr>
      <w:tr w14:paraId="78AF5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669A482">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369FF07D">
            <w:pPr>
              <w:pStyle w:val="50"/>
            </w:pPr>
            <w:r>
              <w:rPr>
                <w:rFonts w:hint="eastAsia"/>
              </w:rPr>
              <w:t>17*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A2FEDF9">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塔身高度</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E7A2F58">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塔身独立状态下的高度符合使用说明书要求</w:t>
            </w:r>
          </w:p>
        </w:tc>
        <w:tc>
          <w:tcPr>
            <w:tcW w:w="1103" w:type="dxa"/>
            <w:tcBorders>
              <w:top w:val="single" w:color="auto" w:sz="4" w:space="0"/>
              <w:left w:val="single" w:color="auto" w:sz="4" w:space="0"/>
              <w:bottom w:val="single" w:color="auto" w:sz="4" w:space="0"/>
              <w:right w:val="single" w:color="auto" w:sz="4" w:space="0"/>
            </w:tcBorders>
            <w:vAlign w:val="center"/>
          </w:tcPr>
          <w:p w14:paraId="47C0CEE2">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086672C7">
            <w:pPr>
              <w:pStyle w:val="50"/>
            </w:pPr>
          </w:p>
        </w:tc>
      </w:tr>
      <w:tr w14:paraId="65FE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9C965FE">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5584DE7A">
            <w:pPr>
              <w:pStyle w:val="50"/>
            </w:pPr>
            <w:r>
              <w:rPr>
                <w:rFonts w:hint="eastAsia"/>
              </w:rPr>
              <w:t>18*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947F7CE">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平衡重、压重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5B1F0A6">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平衡重、压重的重量与位置符合使用说明书要求，且安装牢固。</w:t>
            </w:r>
          </w:p>
        </w:tc>
        <w:tc>
          <w:tcPr>
            <w:tcW w:w="1103" w:type="dxa"/>
            <w:tcBorders>
              <w:top w:val="single" w:color="auto" w:sz="4" w:space="0"/>
              <w:left w:val="single" w:color="auto" w:sz="4" w:space="0"/>
              <w:bottom w:val="single" w:color="auto" w:sz="4" w:space="0"/>
              <w:right w:val="single" w:color="auto" w:sz="4" w:space="0"/>
            </w:tcBorders>
            <w:vAlign w:val="center"/>
          </w:tcPr>
          <w:p w14:paraId="4D232B4A">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01B4DF5A">
            <w:pPr>
              <w:pStyle w:val="50"/>
            </w:pPr>
          </w:p>
        </w:tc>
      </w:tr>
      <w:tr w14:paraId="18A79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693563B">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03A593A6">
            <w:pPr>
              <w:pStyle w:val="50"/>
            </w:pPr>
            <w:r>
              <w:rPr>
                <w:rFonts w:hint="eastAsia"/>
              </w:rPr>
              <w:t>19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3087F88">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塔身垂直度偏差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9003889">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在空载、风速不大于3m/s状态下，塔身独立状态的轴心线对支承面的垂直度≤4／1000</w:t>
            </w:r>
          </w:p>
        </w:tc>
        <w:tc>
          <w:tcPr>
            <w:tcW w:w="1103" w:type="dxa"/>
            <w:tcBorders>
              <w:top w:val="single" w:color="auto" w:sz="4" w:space="0"/>
              <w:left w:val="single" w:color="auto" w:sz="4" w:space="0"/>
              <w:bottom w:val="single" w:color="auto" w:sz="4" w:space="0"/>
              <w:right w:val="single" w:color="auto" w:sz="4" w:space="0"/>
            </w:tcBorders>
            <w:vAlign w:val="center"/>
          </w:tcPr>
          <w:p w14:paraId="7AD1391A">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48B00F5F">
            <w:pPr>
              <w:pStyle w:val="50"/>
            </w:pPr>
          </w:p>
        </w:tc>
      </w:tr>
      <w:tr w14:paraId="0A2EE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9E2F674">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358F996C">
            <w:pPr>
              <w:pStyle w:val="50"/>
            </w:pPr>
            <w:r>
              <w:rPr>
                <w:rFonts w:hint="eastAsia"/>
              </w:rPr>
              <w:t>20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BFEC16C">
            <w:pPr>
              <w:pStyle w:val="50"/>
              <w:rPr>
                <w:color w:val="000000" w:themeColor="text1"/>
                <w14:textFill>
                  <w14:solidFill>
                    <w14:schemeClr w14:val="tx1"/>
                  </w14:solidFill>
                </w14:textFill>
              </w:rPr>
            </w:pPr>
            <w:r>
              <w:rPr>
                <w:rFonts w:hint="eastAsia"/>
                <w:color w:val="000000" w:themeColor="text1"/>
                <w:spacing w:val="-11"/>
                <w14:textFill>
                  <w14:solidFill>
                    <w14:schemeClr w14:val="tx1"/>
                  </w14:solidFill>
                </w14:textFill>
              </w:rPr>
              <w:t>内爬式塔式起重机的爬升框与支承钢梁、支承钢梁与建筑结构之间的连接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F03D7D0">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76D564F9">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15442BC7">
            <w:pPr>
              <w:pStyle w:val="50"/>
            </w:pPr>
          </w:p>
        </w:tc>
      </w:tr>
      <w:tr w14:paraId="688CC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8415A1A">
            <w:pPr>
              <w:pStyle w:val="50"/>
            </w:pPr>
            <w:r>
              <w:rPr>
                <w:rFonts w:hint="eastAsia"/>
              </w:rPr>
              <w:t>爬升与回转</w:t>
            </w:r>
          </w:p>
        </w:tc>
        <w:tc>
          <w:tcPr>
            <w:tcW w:w="666" w:type="dxa"/>
            <w:tcBorders>
              <w:top w:val="single" w:color="auto" w:sz="4" w:space="0"/>
              <w:left w:val="single" w:color="auto" w:sz="4" w:space="0"/>
              <w:bottom w:val="single" w:color="auto" w:sz="4" w:space="0"/>
              <w:right w:val="single" w:color="auto" w:sz="4" w:space="0"/>
            </w:tcBorders>
            <w:vAlign w:val="center"/>
          </w:tcPr>
          <w:p w14:paraId="14078289">
            <w:pPr>
              <w:pStyle w:val="50"/>
            </w:pPr>
            <w:r>
              <w:rPr>
                <w:rFonts w:hint="eastAsia"/>
              </w:rPr>
              <w:t>21*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DEE9C5F">
            <w:pPr>
              <w:pStyle w:val="50"/>
            </w:pPr>
            <w:r>
              <w:rPr>
                <w:rFonts w:hint="eastAsia"/>
              </w:rPr>
              <w:t>平衡阀或液压锁与油缸间连接</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C83A929">
            <w:pPr>
              <w:pStyle w:val="50"/>
            </w:pPr>
            <w:r>
              <w:rPr>
                <w:rFonts w:hint="eastAsia"/>
              </w:rPr>
              <w:t>设平衡阀或液压锁，且与油缸用硬管连接</w:t>
            </w:r>
          </w:p>
        </w:tc>
        <w:tc>
          <w:tcPr>
            <w:tcW w:w="1103" w:type="dxa"/>
            <w:tcBorders>
              <w:top w:val="single" w:color="auto" w:sz="4" w:space="0"/>
              <w:left w:val="single" w:color="auto" w:sz="4" w:space="0"/>
              <w:bottom w:val="single" w:color="auto" w:sz="4" w:space="0"/>
              <w:right w:val="single" w:color="auto" w:sz="4" w:space="0"/>
            </w:tcBorders>
            <w:vAlign w:val="center"/>
          </w:tcPr>
          <w:p w14:paraId="0832BE36">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4DD63861">
            <w:pPr>
              <w:pStyle w:val="50"/>
            </w:pPr>
          </w:p>
        </w:tc>
      </w:tr>
      <w:tr w14:paraId="70222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4960AE3">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46A15C60">
            <w:pPr>
              <w:pStyle w:val="50"/>
            </w:pPr>
            <w:r>
              <w:rPr>
                <w:rFonts w:hint="eastAsia"/>
              </w:rPr>
              <w:t>22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AC4BD5F">
            <w:pPr>
              <w:pStyle w:val="50"/>
            </w:pPr>
            <w:r>
              <w:rPr>
                <w:rFonts w:hint="eastAsia"/>
              </w:rPr>
              <w:t>爬升装置防脱功能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70B1CC4">
            <w:pPr>
              <w:pStyle w:val="50"/>
            </w:pPr>
            <w:r>
              <w:rPr>
                <w:rFonts w:hint="eastAsia"/>
              </w:rPr>
              <w:t>自升式塔式起重在正常加节、降节作业时，具有可靠的防止爬升装置在塔身支承中或油缸端头从其连接结构中自行(非人为操作)脱出的功能</w:t>
            </w:r>
          </w:p>
        </w:tc>
        <w:tc>
          <w:tcPr>
            <w:tcW w:w="1103" w:type="dxa"/>
            <w:tcBorders>
              <w:top w:val="single" w:color="auto" w:sz="4" w:space="0"/>
              <w:left w:val="single" w:color="auto" w:sz="4" w:space="0"/>
              <w:bottom w:val="single" w:color="auto" w:sz="4" w:space="0"/>
              <w:right w:val="single" w:color="auto" w:sz="4" w:space="0"/>
            </w:tcBorders>
            <w:vAlign w:val="center"/>
          </w:tcPr>
          <w:p w14:paraId="05FB698C">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725FB7D6">
            <w:pPr>
              <w:pStyle w:val="50"/>
            </w:pPr>
          </w:p>
        </w:tc>
      </w:tr>
      <w:tr w14:paraId="2BFBA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80F52DD">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304F303C">
            <w:pPr>
              <w:pStyle w:val="50"/>
            </w:pPr>
            <w:r>
              <w:rPr>
                <w:rFonts w:hint="eastAsia"/>
              </w:rPr>
              <w:t>23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9845329">
            <w:pPr>
              <w:pStyle w:val="50"/>
            </w:pPr>
            <w:r>
              <w:rPr>
                <w:rFonts w:hint="eastAsia"/>
              </w:rPr>
              <w:t>回转限位器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C5A06C0">
            <w:pPr>
              <w:pStyle w:val="50"/>
            </w:pPr>
            <w:r>
              <w:rPr>
                <w:rFonts w:hint="eastAsia"/>
              </w:rPr>
              <w:t>对回转处不设集电器供电的塔式起重机，设置正反两个方向回转限位开关。开关动作时臂架旋转角度不大于±540°</w:t>
            </w:r>
          </w:p>
        </w:tc>
        <w:tc>
          <w:tcPr>
            <w:tcW w:w="1103" w:type="dxa"/>
            <w:tcBorders>
              <w:top w:val="single" w:color="auto" w:sz="4" w:space="0"/>
              <w:left w:val="single" w:color="auto" w:sz="4" w:space="0"/>
              <w:bottom w:val="single" w:color="auto" w:sz="4" w:space="0"/>
              <w:right w:val="single" w:color="auto" w:sz="4" w:space="0"/>
            </w:tcBorders>
            <w:vAlign w:val="center"/>
          </w:tcPr>
          <w:p w14:paraId="3E07582B">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58A19E19">
            <w:pPr>
              <w:pStyle w:val="50"/>
            </w:pPr>
          </w:p>
        </w:tc>
      </w:tr>
      <w:tr w14:paraId="71AD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6662A42D">
            <w:pPr>
              <w:pStyle w:val="50"/>
            </w:pPr>
            <w:r>
              <w:rPr>
                <w:rFonts w:hint="eastAsia"/>
              </w:rPr>
              <w:t>起升系统</w:t>
            </w:r>
          </w:p>
        </w:tc>
        <w:tc>
          <w:tcPr>
            <w:tcW w:w="666" w:type="dxa"/>
            <w:tcBorders>
              <w:top w:val="single" w:color="auto" w:sz="4" w:space="0"/>
              <w:left w:val="single" w:color="auto" w:sz="4" w:space="0"/>
              <w:bottom w:val="single" w:color="auto" w:sz="4" w:space="0"/>
              <w:right w:val="single" w:color="auto" w:sz="4" w:space="0"/>
            </w:tcBorders>
            <w:vAlign w:val="center"/>
          </w:tcPr>
          <w:p w14:paraId="79D95993">
            <w:pPr>
              <w:pStyle w:val="50"/>
            </w:pPr>
            <w:r>
              <w:rPr>
                <w:rFonts w:hint="eastAsia"/>
              </w:rPr>
              <w:t>24*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143EB24">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起重力矩限制器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C09DE61">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灵敏可靠，限制值＜额定载荷ll0％，且显示误差≤±5%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29BD7363">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1C0BE1C1">
            <w:pPr>
              <w:pStyle w:val="50"/>
            </w:pPr>
          </w:p>
        </w:tc>
      </w:tr>
      <w:tr w14:paraId="00EF8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B2452A4">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03A82E07">
            <w:pPr>
              <w:pStyle w:val="50"/>
            </w:pPr>
            <w:r>
              <w:rPr>
                <w:rFonts w:hint="eastAsia"/>
              </w:rPr>
              <w:t>25*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EEDEE05">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起升高度限位</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13FBB09">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对动臂变幅和小车变幅的塔式起重机，当吊钩装置顶部升至起重臂下端的最小距离为800mm处时，能立即停止起升运动</w:t>
            </w:r>
          </w:p>
        </w:tc>
        <w:tc>
          <w:tcPr>
            <w:tcW w:w="1103" w:type="dxa"/>
            <w:tcBorders>
              <w:top w:val="single" w:color="auto" w:sz="4" w:space="0"/>
              <w:left w:val="single" w:color="auto" w:sz="4" w:space="0"/>
              <w:bottom w:val="single" w:color="auto" w:sz="4" w:space="0"/>
              <w:right w:val="single" w:color="auto" w:sz="4" w:space="0"/>
            </w:tcBorders>
            <w:vAlign w:val="center"/>
          </w:tcPr>
          <w:p w14:paraId="0D7247A7">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2E280293">
            <w:pPr>
              <w:pStyle w:val="50"/>
            </w:pPr>
          </w:p>
        </w:tc>
      </w:tr>
      <w:tr w14:paraId="554A3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68F8333">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7C5CE988">
            <w:pPr>
              <w:pStyle w:val="50"/>
            </w:pPr>
            <w:r>
              <w:rPr>
                <w:rFonts w:hint="eastAsia"/>
              </w:rPr>
              <w:t>26*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CA2A221">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起重量限制器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78AF07A">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灵敏可靠，限制值＜额定载荷110％，且显示误差≤±5％</w:t>
            </w:r>
          </w:p>
        </w:tc>
        <w:tc>
          <w:tcPr>
            <w:tcW w:w="1103" w:type="dxa"/>
            <w:tcBorders>
              <w:top w:val="single" w:color="auto" w:sz="4" w:space="0"/>
              <w:left w:val="single" w:color="auto" w:sz="4" w:space="0"/>
              <w:bottom w:val="single" w:color="auto" w:sz="4" w:space="0"/>
              <w:right w:val="single" w:color="auto" w:sz="4" w:space="0"/>
            </w:tcBorders>
            <w:vAlign w:val="center"/>
          </w:tcPr>
          <w:p w14:paraId="58C86959">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191630F8">
            <w:pPr>
              <w:pStyle w:val="50"/>
            </w:pPr>
          </w:p>
        </w:tc>
      </w:tr>
      <w:tr w14:paraId="6B853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3B5AFDC">
            <w:pPr>
              <w:pStyle w:val="50"/>
            </w:pPr>
            <w:r>
              <w:rPr>
                <w:rFonts w:hint="eastAsia"/>
              </w:rPr>
              <w:t>变幅系统</w:t>
            </w:r>
          </w:p>
        </w:tc>
        <w:tc>
          <w:tcPr>
            <w:tcW w:w="666" w:type="dxa"/>
            <w:tcBorders>
              <w:top w:val="single" w:color="auto" w:sz="4" w:space="0"/>
              <w:left w:val="single" w:color="auto" w:sz="4" w:space="0"/>
              <w:bottom w:val="single" w:color="auto" w:sz="4" w:space="0"/>
              <w:right w:val="single" w:color="auto" w:sz="4" w:space="0"/>
            </w:tcBorders>
            <w:vAlign w:val="center"/>
          </w:tcPr>
          <w:p w14:paraId="7FC59ED9">
            <w:pPr>
              <w:pStyle w:val="50"/>
            </w:pPr>
            <w:r>
              <w:rPr>
                <w:rFonts w:hint="eastAsia"/>
              </w:rPr>
              <w:t>27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EC65D28">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小车断绳保护装置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29E5D1A">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双向均设置</w:t>
            </w:r>
          </w:p>
        </w:tc>
        <w:tc>
          <w:tcPr>
            <w:tcW w:w="1103" w:type="dxa"/>
            <w:tcBorders>
              <w:top w:val="single" w:color="auto" w:sz="4" w:space="0"/>
              <w:left w:val="single" w:color="auto" w:sz="4" w:space="0"/>
              <w:bottom w:val="single" w:color="auto" w:sz="4" w:space="0"/>
              <w:right w:val="single" w:color="auto" w:sz="4" w:space="0"/>
            </w:tcBorders>
            <w:vAlign w:val="center"/>
          </w:tcPr>
          <w:p w14:paraId="22383B01">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57B282C">
            <w:pPr>
              <w:pStyle w:val="50"/>
            </w:pPr>
          </w:p>
        </w:tc>
      </w:tr>
      <w:tr w14:paraId="207AB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AC69C6C">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79E73DCF">
            <w:pPr>
              <w:pStyle w:val="50"/>
            </w:pPr>
            <w:r>
              <w:rPr>
                <w:rFonts w:hint="eastAsia"/>
              </w:rPr>
              <w:t>28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11A90E9">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小车断轴保护装置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4EE575A">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齐全，设置位置合理</w:t>
            </w:r>
          </w:p>
        </w:tc>
        <w:tc>
          <w:tcPr>
            <w:tcW w:w="1103" w:type="dxa"/>
            <w:tcBorders>
              <w:top w:val="single" w:color="auto" w:sz="4" w:space="0"/>
              <w:left w:val="single" w:color="auto" w:sz="4" w:space="0"/>
              <w:bottom w:val="single" w:color="auto" w:sz="4" w:space="0"/>
              <w:right w:val="single" w:color="auto" w:sz="4" w:space="0"/>
            </w:tcBorders>
            <w:vAlign w:val="center"/>
          </w:tcPr>
          <w:p w14:paraId="76DC5216">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29B67147">
            <w:pPr>
              <w:pStyle w:val="50"/>
            </w:pPr>
          </w:p>
        </w:tc>
      </w:tr>
      <w:tr w14:paraId="07C8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BAD8142">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0031C52E">
            <w:pPr>
              <w:pStyle w:val="50"/>
            </w:pPr>
            <w:r>
              <w:rPr>
                <w:rFonts w:hint="eastAsia"/>
              </w:rPr>
              <w:t>29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32870F4">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小车变幅检修挂篮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EA6451C">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连接可靠</w:t>
            </w:r>
          </w:p>
        </w:tc>
        <w:tc>
          <w:tcPr>
            <w:tcW w:w="1103" w:type="dxa"/>
            <w:tcBorders>
              <w:top w:val="single" w:color="auto" w:sz="4" w:space="0"/>
              <w:left w:val="single" w:color="auto" w:sz="4" w:space="0"/>
              <w:bottom w:val="single" w:color="auto" w:sz="4" w:space="0"/>
              <w:right w:val="single" w:color="auto" w:sz="4" w:space="0"/>
            </w:tcBorders>
            <w:vAlign w:val="center"/>
          </w:tcPr>
          <w:p w14:paraId="0E72E267">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4BB33F0F">
            <w:pPr>
              <w:pStyle w:val="50"/>
            </w:pPr>
          </w:p>
        </w:tc>
      </w:tr>
      <w:tr w14:paraId="62C62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A6F59C3">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11C8C8E7">
            <w:pPr>
              <w:pStyle w:val="50"/>
            </w:pPr>
            <w:r>
              <w:rPr>
                <w:rFonts w:hint="eastAsia"/>
              </w:rPr>
              <w:t>30*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1B17438">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小车变幅限位和终端止挡装置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8D63CDC">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对小车变幅的塔机，设置小车行程限位开关和终端缓冲装置。限位开关动作后应保证小车停车时其端部距缓冲装置最小距离为200mm</w:t>
            </w:r>
          </w:p>
        </w:tc>
        <w:tc>
          <w:tcPr>
            <w:tcW w:w="1103" w:type="dxa"/>
            <w:tcBorders>
              <w:top w:val="single" w:color="auto" w:sz="4" w:space="0"/>
              <w:left w:val="single" w:color="auto" w:sz="4" w:space="0"/>
              <w:bottom w:val="single" w:color="auto" w:sz="4" w:space="0"/>
              <w:right w:val="single" w:color="auto" w:sz="4" w:space="0"/>
            </w:tcBorders>
            <w:vAlign w:val="center"/>
          </w:tcPr>
          <w:p w14:paraId="297AE92F">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5CDB9DA3">
            <w:pPr>
              <w:pStyle w:val="50"/>
            </w:pPr>
          </w:p>
        </w:tc>
      </w:tr>
      <w:tr w14:paraId="7FC50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DFBCEF6">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2660D30D">
            <w:pPr>
              <w:pStyle w:val="50"/>
            </w:pPr>
            <w:r>
              <w:rPr>
                <w:rFonts w:hint="eastAsia"/>
              </w:rPr>
              <w:t>31*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C6245EA">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动臂式变幅限位和防臂架后翻装置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9258E4E">
            <w:pPr>
              <w:pStyle w:val="50"/>
              <w:rPr>
                <w:color w:val="000000" w:themeColor="text1"/>
                <w14:textFill>
                  <w14:solidFill>
                    <w14:schemeClr w14:val="tx1"/>
                  </w14:solidFill>
                </w14:textFill>
              </w:rPr>
            </w:pPr>
            <w:r>
              <w:rPr>
                <w:rFonts w:hint="eastAsia"/>
                <w:color w:val="000000" w:themeColor="text1"/>
                <w14:textFill>
                  <w14:solidFill>
                    <w14:schemeClr w14:val="tx1"/>
                  </w14:solidFill>
                </w14:textFill>
              </w:rPr>
              <w:t>动臂变幅有最大和最小幅度限位器，限制范围符合使用说明书要求；防止臂架反弹后翻的装置牢固可靠</w:t>
            </w:r>
          </w:p>
        </w:tc>
        <w:tc>
          <w:tcPr>
            <w:tcW w:w="1103" w:type="dxa"/>
            <w:tcBorders>
              <w:top w:val="single" w:color="auto" w:sz="4" w:space="0"/>
              <w:left w:val="single" w:color="auto" w:sz="4" w:space="0"/>
              <w:bottom w:val="single" w:color="auto" w:sz="4" w:space="0"/>
              <w:right w:val="single" w:color="auto" w:sz="4" w:space="0"/>
            </w:tcBorders>
            <w:vAlign w:val="center"/>
          </w:tcPr>
          <w:p w14:paraId="2F675191">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478BA8D1">
            <w:pPr>
              <w:pStyle w:val="50"/>
            </w:pPr>
          </w:p>
        </w:tc>
      </w:tr>
      <w:tr w14:paraId="0A25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75B4FAC5">
            <w:pPr>
              <w:pStyle w:val="50"/>
            </w:pPr>
          </w:p>
          <w:p w14:paraId="4F8452AC">
            <w:pPr>
              <w:pStyle w:val="50"/>
            </w:pPr>
          </w:p>
          <w:p w14:paraId="22D087C9">
            <w:pPr>
              <w:pStyle w:val="50"/>
            </w:pPr>
          </w:p>
          <w:p w14:paraId="3E26C003">
            <w:pPr>
              <w:pStyle w:val="50"/>
            </w:pPr>
          </w:p>
          <w:p w14:paraId="378495C4">
            <w:pPr>
              <w:pStyle w:val="50"/>
            </w:pPr>
            <w:r>
              <w:rPr>
                <w:rFonts w:hint="eastAsia"/>
              </w:rPr>
              <w:t>机构及</w:t>
            </w:r>
          </w:p>
          <w:p w14:paraId="02655777">
            <w:pPr>
              <w:pStyle w:val="50"/>
            </w:pPr>
            <w:r>
              <w:rPr>
                <w:rFonts w:hint="eastAsia"/>
              </w:rPr>
              <w:t>零部件</w:t>
            </w:r>
          </w:p>
          <w:p w14:paraId="7A44257F">
            <w:pPr>
              <w:pStyle w:val="50"/>
            </w:pPr>
          </w:p>
          <w:p w14:paraId="42D6940D">
            <w:pPr>
              <w:pStyle w:val="50"/>
            </w:pPr>
          </w:p>
          <w:p w14:paraId="6DE3BB62">
            <w:pPr>
              <w:pStyle w:val="50"/>
            </w:pPr>
          </w:p>
          <w:p w14:paraId="31FFA000">
            <w:pPr>
              <w:pStyle w:val="50"/>
            </w:pPr>
          </w:p>
          <w:p w14:paraId="45E518BF">
            <w:pPr>
              <w:pStyle w:val="50"/>
            </w:pPr>
          </w:p>
          <w:p w14:paraId="4194CE8F">
            <w:pPr>
              <w:pStyle w:val="50"/>
            </w:pPr>
          </w:p>
          <w:p w14:paraId="00C01513">
            <w:pPr>
              <w:pStyle w:val="50"/>
            </w:pPr>
          </w:p>
          <w:p w14:paraId="2146DC9D">
            <w:pPr>
              <w:pStyle w:val="50"/>
            </w:pPr>
          </w:p>
          <w:p w14:paraId="55A9EE59">
            <w:pPr>
              <w:pStyle w:val="50"/>
            </w:pPr>
          </w:p>
          <w:p w14:paraId="11885F12">
            <w:pPr>
              <w:pStyle w:val="50"/>
            </w:pPr>
          </w:p>
          <w:p w14:paraId="1CBB43B5">
            <w:pPr>
              <w:pStyle w:val="50"/>
            </w:pPr>
          </w:p>
          <w:p w14:paraId="0B87D95D">
            <w:pPr>
              <w:pStyle w:val="50"/>
            </w:pPr>
          </w:p>
          <w:p w14:paraId="276BA932">
            <w:pPr>
              <w:pStyle w:val="50"/>
            </w:pPr>
          </w:p>
          <w:p w14:paraId="5A575BA0">
            <w:pPr>
              <w:pStyle w:val="50"/>
            </w:pPr>
          </w:p>
          <w:p w14:paraId="35910F24">
            <w:pPr>
              <w:pStyle w:val="50"/>
            </w:pPr>
          </w:p>
          <w:p w14:paraId="09DF2EBB">
            <w:pPr>
              <w:pStyle w:val="50"/>
            </w:pPr>
          </w:p>
          <w:p w14:paraId="7035596F">
            <w:pPr>
              <w:pStyle w:val="50"/>
            </w:pPr>
          </w:p>
          <w:p w14:paraId="14D19AA4">
            <w:pPr>
              <w:pStyle w:val="50"/>
            </w:pPr>
          </w:p>
          <w:p w14:paraId="65ACC118">
            <w:pPr>
              <w:pStyle w:val="50"/>
            </w:pPr>
          </w:p>
          <w:p w14:paraId="78FF0129">
            <w:pPr>
              <w:pStyle w:val="50"/>
            </w:pPr>
          </w:p>
          <w:p w14:paraId="2BB2B999">
            <w:pPr>
              <w:pStyle w:val="50"/>
            </w:pPr>
          </w:p>
          <w:p w14:paraId="1114BACB">
            <w:pPr>
              <w:pStyle w:val="50"/>
            </w:pPr>
          </w:p>
          <w:p w14:paraId="32B1BCE2">
            <w:pPr>
              <w:pStyle w:val="50"/>
            </w:pPr>
          </w:p>
          <w:p w14:paraId="0E3D75D3">
            <w:pPr>
              <w:pStyle w:val="50"/>
            </w:pPr>
          </w:p>
          <w:p w14:paraId="235CA065">
            <w:pPr>
              <w:pStyle w:val="50"/>
            </w:pPr>
          </w:p>
          <w:p w14:paraId="7292F2FB">
            <w:pPr>
              <w:pStyle w:val="50"/>
            </w:pPr>
            <w:r>
              <w:rPr>
                <w:rFonts w:hint="eastAsia"/>
              </w:rPr>
              <w:t>机构及</w:t>
            </w:r>
          </w:p>
          <w:p w14:paraId="5C34F90B">
            <w:pPr>
              <w:pStyle w:val="50"/>
            </w:pPr>
            <w:r>
              <w:rPr>
                <w:rFonts w:hint="eastAsia"/>
              </w:rPr>
              <w:t>零部件</w:t>
            </w:r>
          </w:p>
        </w:tc>
        <w:tc>
          <w:tcPr>
            <w:tcW w:w="666" w:type="dxa"/>
            <w:tcBorders>
              <w:top w:val="single" w:color="auto" w:sz="4" w:space="0"/>
              <w:left w:val="single" w:color="auto" w:sz="4" w:space="0"/>
              <w:bottom w:val="single" w:color="auto" w:sz="4" w:space="0"/>
              <w:right w:val="single" w:color="auto" w:sz="4" w:space="0"/>
            </w:tcBorders>
            <w:vAlign w:val="center"/>
          </w:tcPr>
          <w:p w14:paraId="29306260">
            <w:pPr>
              <w:pStyle w:val="50"/>
            </w:pPr>
            <w:r>
              <w:rPr>
                <w:rFonts w:hint="eastAsia"/>
              </w:rPr>
              <w:t>32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AD0F43E">
            <w:pPr>
              <w:pStyle w:val="50"/>
            </w:pPr>
            <w:r>
              <w:rPr>
                <w:rFonts w:hint="eastAsia"/>
              </w:rPr>
              <w:t>吊钩</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FC311F2">
            <w:pPr>
              <w:pStyle w:val="50"/>
            </w:pPr>
            <w:r>
              <w:rPr>
                <w:rFonts w:hint="eastAsia"/>
              </w:rPr>
              <w:t>钩体无裂纹、磨损、补焊，危险截面，钩筋无塑性变形</w:t>
            </w:r>
          </w:p>
        </w:tc>
        <w:tc>
          <w:tcPr>
            <w:tcW w:w="1103" w:type="dxa"/>
            <w:tcBorders>
              <w:top w:val="single" w:color="auto" w:sz="4" w:space="0"/>
              <w:left w:val="single" w:color="auto" w:sz="4" w:space="0"/>
              <w:bottom w:val="single" w:color="auto" w:sz="4" w:space="0"/>
              <w:right w:val="single" w:color="auto" w:sz="4" w:space="0"/>
            </w:tcBorders>
            <w:vAlign w:val="center"/>
          </w:tcPr>
          <w:p w14:paraId="0B548DCD">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5C417BDA">
            <w:pPr>
              <w:pStyle w:val="50"/>
            </w:pPr>
          </w:p>
        </w:tc>
      </w:tr>
      <w:tr w14:paraId="54490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2218CA22">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13B2477B">
            <w:pPr>
              <w:pStyle w:val="50"/>
            </w:pPr>
            <w:r>
              <w:rPr>
                <w:rFonts w:hint="eastAsia"/>
              </w:rPr>
              <w:t>33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2DEFE0B">
            <w:pPr>
              <w:pStyle w:val="50"/>
            </w:pPr>
            <w:r>
              <w:rPr>
                <w:rFonts w:hint="eastAsia"/>
              </w:rPr>
              <w:t>吊钩防钢丝绳脱钩装置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4CC0F4F">
            <w:pPr>
              <w:pStyle w:val="50"/>
            </w:pPr>
            <w:r>
              <w:rPr>
                <w:rFonts w:hint="eastAsia"/>
              </w:rPr>
              <w:t>完整、可靠</w:t>
            </w:r>
          </w:p>
        </w:tc>
        <w:tc>
          <w:tcPr>
            <w:tcW w:w="1103" w:type="dxa"/>
            <w:tcBorders>
              <w:top w:val="single" w:color="auto" w:sz="4" w:space="0"/>
              <w:left w:val="single" w:color="auto" w:sz="4" w:space="0"/>
              <w:bottom w:val="single" w:color="auto" w:sz="4" w:space="0"/>
              <w:right w:val="single" w:color="auto" w:sz="4" w:space="0"/>
            </w:tcBorders>
            <w:vAlign w:val="center"/>
          </w:tcPr>
          <w:p w14:paraId="52821ACA">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112535BA">
            <w:pPr>
              <w:pStyle w:val="50"/>
            </w:pPr>
          </w:p>
        </w:tc>
      </w:tr>
      <w:tr w14:paraId="4A0DB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7311D46">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0C624EE1">
            <w:pPr>
              <w:pStyle w:val="50"/>
            </w:pPr>
            <w:r>
              <w:rPr>
                <w:rFonts w:hint="eastAsia"/>
              </w:rPr>
              <w:t>34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0DF2B62">
            <w:pPr>
              <w:pStyle w:val="50"/>
            </w:pPr>
            <w:r>
              <w:rPr>
                <w:rFonts w:hint="eastAsia"/>
              </w:rPr>
              <w:t>滑轮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FAB0E10">
            <w:pPr>
              <w:pStyle w:val="50"/>
            </w:pPr>
            <w:r>
              <w:rPr>
                <w:rFonts w:hint="eastAsia"/>
              </w:rPr>
              <w:t>滑轮转动良好，出现下列情况应报废：1．裂纹或轮缘破损；2.滑轮绳槽壁厚磨损量达原壁厚的20％；3．滑轮槽底的磨损量超过相应钢丝绳直径的25％</w:t>
            </w:r>
          </w:p>
        </w:tc>
        <w:tc>
          <w:tcPr>
            <w:tcW w:w="1103" w:type="dxa"/>
            <w:tcBorders>
              <w:top w:val="single" w:color="auto" w:sz="4" w:space="0"/>
              <w:left w:val="single" w:color="auto" w:sz="4" w:space="0"/>
              <w:bottom w:val="single" w:color="auto" w:sz="4" w:space="0"/>
              <w:right w:val="single" w:color="auto" w:sz="4" w:space="0"/>
            </w:tcBorders>
            <w:vAlign w:val="center"/>
          </w:tcPr>
          <w:p w14:paraId="27427DD0">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5FCAB167">
            <w:pPr>
              <w:pStyle w:val="50"/>
            </w:pPr>
          </w:p>
        </w:tc>
      </w:tr>
      <w:tr w14:paraId="71C4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E1BD413">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77AB6A3B">
            <w:pPr>
              <w:pStyle w:val="50"/>
            </w:pPr>
            <w:r>
              <w:rPr>
                <w:rFonts w:hint="eastAsia"/>
              </w:rPr>
              <w:t>35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819E2B3">
            <w:pPr>
              <w:pStyle w:val="50"/>
            </w:pPr>
            <w:r>
              <w:rPr>
                <w:rFonts w:hint="eastAsia"/>
              </w:rPr>
              <w:t>滑轮上钢丝绳防脱装置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A890698">
            <w:pPr>
              <w:pStyle w:val="50"/>
            </w:pPr>
            <w:r>
              <w:rPr>
                <w:rFonts w:hint="eastAsia"/>
              </w:rPr>
              <w:t>完整、可靠，该装置与滑轮最外缘的间隙不应超过钢丝绳直径的20％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5D96B54E">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240840E1">
            <w:pPr>
              <w:pStyle w:val="50"/>
            </w:pPr>
          </w:p>
        </w:tc>
      </w:tr>
      <w:tr w14:paraId="17A53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5EC6185">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4B895D8F">
            <w:pPr>
              <w:pStyle w:val="50"/>
            </w:pPr>
            <w:r>
              <w:rPr>
                <w:rFonts w:hint="eastAsia"/>
              </w:rPr>
              <w:t>36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ADE452D">
            <w:pPr>
              <w:pStyle w:val="50"/>
            </w:pPr>
            <w:r>
              <w:rPr>
                <w:rFonts w:hint="eastAsia"/>
              </w:rPr>
              <w:t>卷筒</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E577500">
            <w:pPr>
              <w:pStyle w:val="50"/>
            </w:pPr>
            <w:r>
              <w:rPr>
                <w:rFonts w:hint="eastAsia"/>
              </w:rPr>
              <w:t>卷筒壁不应有裂纹。筒壁磨损量不应大于原壁厚的10％；多层缠绕的卷筒，端部应有比最外层钢丝绳高出2倍钢丝绳直径的凸缘</w:t>
            </w:r>
          </w:p>
        </w:tc>
        <w:tc>
          <w:tcPr>
            <w:tcW w:w="1103" w:type="dxa"/>
            <w:tcBorders>
              <w:top w:val="single" w:color="auto" w:sz="4" w:space="0"/>
              <w:left w:val="single" w:color="auto" w:sz="4" w:space="0"/>
              <w:bottom w:val="single" w:color="auto" w:sz="4" w:space="0"/>
              <w:right w:val="single" w:color="auto" w:sz="4" w:space="0"/>
            </w:tcBorders>
            <w:vAlign w:val="center"/>
          </w:tcPr>
          <w:p w14:paraId="2D09F5F3">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2FE3DC53">
            <w:pPr>
              <w:pStyle w:val="50"/>
            </w:pPr>
          </w:p>
        </w:tc>
      </w:tr>
      <w:tr w14:paraId="09155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BEC3F44">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058C9EC8">
            <w:pPr>
              <w:pStyle w:val="50"/>
            </w:pPr>
            <w:r>
              <w:rPr>
                <w:rFonts w:hint="eastAsia"/>
              </w:rPr>
              <w:t>37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D945A4A">
            <w:pPr>
              <w:pStyle w:val="50"/>
            </w:pPr>
            <w:r>
              <w:rPr>
                <w:rFonts w:hint="eastAsia"/>
              </w:rPr>
              <w:t>卷筒上钢丝绳防脱装置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9B6AF83">
            <w:pPr>
              <w:pStyle w:val="50"/>
            </w:pPr>
            <w:r>
              <w:rPr>
                <w:rFonts w:hint="eastAsia"/>
              </w:rPr>
              <w:t>卷筒上钢丝绳,应排列有序，设有防钢丝绳脱槽装置。该装置与卷筒最外缘的间隙不应超过钢丝绳直径的20%</w:t>
            </w:r>
          </w:p>
        </w:tc>
        <w:tc>
          <w:tcPr>
            <w:tcW w:w="1103" w:type="dxa"/>
            <w:tcBorders>
              <w:top w:val="single" w:color="auto" w:sz="4" w:space="0"/>
              <w:left w:val="single" w:color="auto" w:sz="4" w:space="0"/>
              <w:bottom w:val="single" w:color="auto" w:sz="4" w:space="0"/>
              <w:right w:val="single" w:color="auto" w:sz="4" w:space="0"/>
            </w:tcBorders>
            <w:vAlign w:val="center"/>
          </w:tcPr>
          <w:p w14:paraId="482E89B3">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9D61164">
            <w:pPr>
              <w:pStyle w:val="50"/>
            </w:pPr>
          </w:p>
        </w:tc>
      </w:tr>
      <w:tr w14:paraId="40CC1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3C34239">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7950EFD9">
            <w:pPr>
              <w:pStyle w:val="50"/>
            </w:pPr>
            <w:r>
              <w:rPr>
                <w:rFonts w:hint="eastAsia"/>
              </w:rPr>
              <w:t>38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E5BEF0C">
            <w:pPr>
              <w:pStyle w:val="50"/>
            </w:pPr>
            <w:r>
              <w:rPr>
                <w:rFonts w:hint="eastAsia"/>
              </w:rPr>
              <w:t>钢丝绳端部固定</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937A4D7">
            <w:pPr>
              <w:pStyle w:val="50"/>
            </w:pPr>
            <w:r>
              <w:rPr>
                <w:rFonts w:hint="eastAsia"/>
              </w:rPr>
              <w:t>符合使用说明书规定</w:t>
            </w:r>
          </w:p>
        </w:tc>
        <w:tc>
          <w:tcPr>
            <w:tcW w:w="1103" w:type="dxa"/>
            <w:tcBorders>
              <w:top w:val="single" w:color="auto" w:sz="4" w:space="0"/>
              <w:left w:val="single" w:color="auto" w:sz="4" w:space="0"/>
              <w:bottom w:val="single" w:color="auto" w:sz="4" w:space="0"/>
              <w:right w:val="single" w:color="auto" w:sz="4" w:space="0"/>
            </w:tcBorders>
            <w:vAlign w:val="center"/>
          </w:tcPr>
          <w:p w14:paraId="08BE92F4">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169995ED">
            <w:pPr>
              <w:pStyle w:val="50"/>
            </w:pPr>
          </w:p>
        </w:tc>
      </w:tr>
      <w:tr w14:paraId="4C6CC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74B9C21">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22002C70">
            <w:pPr>
              <w:pStyle w:val="50"/>
            </w:pPr>
            <w:r>
              <w:rPr>
                <w:rFonts w:hint="eastAsia"/>
              </w:rPr>
              <w:t>39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1099B0C">
            <w:pPr>
              <w:pStyle w:val="50"/>
            </w:pPr>
            <w:r>
              <w:rPr>
                <w:rFonts w:hint="eastAsia"/>
              </w:rPr>
              <w:t>钢丝绳穿绕方式、润</w:t>
            </w:r>
          </w:p>
          <w:p w14:paraId="420F33C9">
            <w:pPr>
              <w:pStyle w:val="50"/>
            </w:pPr>
            <w:r>
              <w:rPr>
                <w:rFonts w:hint="eastAsia"/>
              </w:rPr>
              <w:t>滑与干涉</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4BC4C27">
            <w:pPr>
              <w:pStyle w:val="50"/>
            </w:pPr>
            <w:r>
              <w:rPr>
                <w:rFonts w:hint="eastAsia"/>
              </w:rPr>
              <w:t>穿绕正确，润滑良好，无干涉</w:t>
            </w:r>
          </w:p>
        </w:tc>
        <w:tc>
          <w:tcPr>
            <w:tcW w:w="1103" w:type="dxa"/>
            <w:tcBorders>
              <w:top w:val="single" w:color="auto" w:sz="4" w:space="0"/>
              <w:left w:val="single" w:color="auto" w:sz="4" w:space="0"/>
              <w:bottom w:val="single" w:color="auto" w:sz="4" w:space="0"/>
              <w:right w:val="single" w:color="auto" w:sz="4" w:space="0"/>
            </w:tcBorders>
            <w:vAlign w:val="center"/>
          </w:tcPr>
          <w:p w14:paraId="0BB49100">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437B92BC">
            <w:pPr>
              <w:pStyle w:val="50"/>
            </w:pPr>
          </w:p>
        </w:tc>
      </w:tr>
      <w:tr w14:paraId="2261E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D934AE2">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472C872A">
            <w:pPr>
              <w:pStyle w:val="50"/>
            </w:pPr>
            <w:r>
              <w:rPr>
                <w:rFonts w:hint="eastAsia"/>
              </w:rPr>
              <w:t>40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7765275">
            <w:pPr>
              <w:pStyle w:val="50"/>
            </w:pPr>
            <w:r>
              <w:rPr>
                <w:rFonts w:hint="eastAsia"/>
              </w:rPr>
              <w:t>钢丝绳磨损量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644DE32">
            <w:pPr>
              <w:pStyle w:val="50"/>
            </w:pPr>
            <w:r>
              <w:rPr>
                <w:rFonts w:hint="eastAsia"/>
              </w:rPr>
              <w:t>钢丝绳实测直径相对于公称直径减小7％或更多时，应报废</w:t>
            </w:r>
          </w:p>
        </w:tc>
        <w:tc>
          <w:tcPr>
            <w:tcW w:w="1103" w:type="dxa"/>
            <w:tcBorders>
              <w:top w:val="single" w:color="auto" w:sz="4" w:space="0"/>
              <w:left w:val="single" w:color="auto" w:sz="4" w:space="0"/>
              <w:bottom w:val="single" w:color="auto" w:sz="4" w:space="0"/>
              <w:right w:val="single" w:color="auto" w:sz="4" w:space="0"/>
            </w:tcBorders>
            <w:vAlign w:val="center"/>
          </w:tcPr>
          <w:p w14:paraId="123E5F5D">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2C0D9C51">
            <w:pPr>
              <w:pStyle w:val="50"/>
            </w:pPr>
          </w:p>
        </w:tc>
      </w:tr>
      <w:tr w14:paraId="2D15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B7B84FF">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1FD44E4B">
            <w:pPr>
              <w:pStyle w:val="50"/>
            </w:pPr>
            <w:r>
              <w:rPr>
                <w:rFonts w:hint="eastAsia"/>
              </w:rPr>
              <w:t>41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017BA028">
            <w:pPr>
              <w:pStyle w:val="50"/>
            </w:pPr>
            <w:r>
              <w:rPr>
                <w:rFonts w:hint="eastAsia"/>
              </w:rPr>
              <w:t>常用规格钢丝绳规定长度内达到报废标准的断丝数</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5BFFB9D">
            <w:pPr>
              <w:pStyle w:val="50"/>
            </w:pPr>
            <w:r>
              <w:rPr>
                <w:rFonts w:hint="eastAsia"/>
              </w:rPr>
              <w:t>钢制滑轮上工作的圆股钢丝绳、抗扭钢丝绳中断丝根数的控制标准参照《起重机用钢丝绳检验和报废实用规范》GB/T 5972，达到报废标准应报废</w:t>
            </w:r>
          </w:p>
        </w:tc>
        <w:tc>
          <w:tcPr>
            <w:tcW w:w="1103" w:type="dxa"/>
            <w:tcBorders>
              <w:top w:val="single" w:color="auto" w:sz="4" w:space="0"/>
              <w:left w:val="single" w:color="auto" w:sz="4" w:space="0"/>
              <w:bottom w:val="single" w:color="auto" w:sz="4" w:space="0"/>
              <w:right w:val="single" w:color="auto" w:sz="4" w:space="0"/>
            </w:tcBorders>
            <w:vAlign w:val="center"/>
          </w:tcPr>
          <w:p w14:paraId="6C77457A">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4AB70155">
            <w:pPr>
              <w:pStyle w:val="50"/>
            </w:pPr>
          </w:p>
        </w:tc>
      </w:tr>
      <w:tr w14:paraId="30A88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8DB6153">
            <w:pPr>
              <w:pStyle w:val="50"/>
            </w:pPr>
          </w:p>
        </w:tc>
        <w:tc>
          <w:tcPr>
            <w:tcW w:w="666" w:type="dxa"/>
            <w:vMerge w:val="restart"/>
            <w:tcBorders>
              <w:top w:val="single" w:color="auto" w:sz="4" w:space="0"/>
              <w:left w:val="single" w:color="auto" w:sz="4" w:space="0"/>
              <w:bottom w:val="single" w:color="auto" w:sz="4" w:space="0"/>
              <w:right w:val="single" w:color="auto" w:sz="4" w:space="0"/>
            </w:tcBorders>
            <w:vAlign w:val="center"/>
          </w:tcPr>
          <w:p w14:paraId="749DAC38">
            <w:pPr>
              <w:pStyle w:val="50"/>
            </w:pPr>
            <w:r>
              <w:rPr>
                <w:rFonts w:hint="eastAsia"/>
              </w:rPr>
              <w:t>42</w:t>
            </w:r>
          </w:p>
        </w:tc>
        <w:tc>
          <w:tcPr>
            <w:tcW w:w="2034" w:type="dxa"/>
            <w:gridSpan w:val="2"/>
            <w:vMerge w:val="restart"/>
            <w:tcBorders>
              <w:top w:val="single" w:color="auto" w:sz="4" w:space="0"/>
              <w:left w:val="single" w:color="auto" w:sz="4" w:space="0"/>
              <w:bottom w:val="single" w:color="auto" w:sz="4" w:space="0"/>
              <w:right w:val="single" w:color="auto" w:sz="4" w:space="0"/>
            </w:tcBorders>
            <w:vAlign w:val="center"/>
          </w:tcPr>
          <w:p w14:paraId="316201B0">
            <w:pPr>
              <w:pStyle w:val="50"/>
            </w:pPr>
            <w:r>
              <w:rPr>
                <w:rFonts w:hint="eastAsia"/>
              </w:rPr>
              <w:t>钢丝绳的变形</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98ABC98">
            <w:pPr>
              <w:pStyle w:val="50"/>
            </w:pPr>
            <w:r>
              <w:rPr>
                <w:rFonts w:hint="eastAsia"/>
              </w:rPr>
              <w:t>出现波浪形时，在钢丝绳长度不超过25d范围内，若波形幅度值达到4d／3或以上，则钢丝绳应报废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60C4E9A6">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7BADE82D">
            <w:pPr>
              <w:pStyle w:val="50"/>
            </w:pPr>
          </w:p>
        </w:tc>
      </w:tr>
      <w:tr w14:paraId="31E7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1EA7A1A">
            <w:pPr>
              <w:pStyle w:val="50"/>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713CEC15">
            <w:pPr>
              <w:pStyle w:val="50"/>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28DFA0AF">
            <w:pPr>
              <w:pStyle w:val="50"/>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6B8FDA2">
            <w:pPr>
              <w:pStyle w:val="50"/>
            </w:pPr>
            <w:r>
              <w:rPr>
                <w:rFonts w:hint="eastAsia"/>
              </w:rPr>
              <w:t>笼状畸变、绳股挤出或钢丝挤出变形严重的钢丝绳应报废</w:t>
            </w:r>
          </w:p>
        </w:tc>
        <w:tc>
          <w:tcPr>
            <w:tcW w:w="1103" w:type="dxa"/>
            <w:tcBorders>
              <w:top w:val="single" w:color="auto" w:sz="4" w:space="0"/>
              <w:left w:val="single" w:color="auto" w:sz="4" w:space="0"/>
              <w:bottom w:val="single" w:color="auto" w:sz="4" w:space="0"/>
              <w:right w:val="single" w:color="auto" w:sz="4" w:space="0"/>
            </w:tcBorders>
            <w:vAlign w:val="center"/>
          </w:tcPr>
          <w:p w14:paraId="1EBF3B9A">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492E99C">
            <w:pPr>
              <w:pStyle w:val="50"/>
            </w:pPr>
          </w:p>
        </w:tc>
      </w:tr>
      <w:tr w14:paraId="4A963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97969FA">
            <w:pPr>
              <w:pStyle w:val="50"/>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01C02773">
            <w:pPr>
              <w:pStyle w:val="50"/>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694D1D4F">
            <w:pPr>
              <w:pStyle w:val="50"/>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DA06A41">
            <w:pPr>
              <w:pStyle w:val="50"/>
            </w:pPr>
            <w:r>
              <w:rPr>
                <w:rFonts w:hint="eastAsia"/>
              </w:rPr>
              <w:t>钢丝绳出现严重的扭结、压扁和弯折现象应报废</w:t>
            </w:r>
          </w:p>
        </w:tc>
        <w:tc>
          <w:tcPr>
            <w:tcW w:w="1103" w:type="dxa"/>
            <w:tcBorders>
              <w:top w:val="single" w:color="auto" w:sz="4" w:space="0"/>
              <w:left w:val="single" w:color="auto" w:sz="4" w:space="0"/>
              <w:bottom w:val="single" w:color="auto" w:sz="4" w:space="0"/>
              <w:right w:val="single" w:color="auto" w:sz="4" w:space="0"/>
            </w:tcBorders>
            <w:vAlign w:val="center"/>
          </w:tcPr>
          <w:p w14:paraId="6C0D5B60">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19FDC03B">
            <w:pPr>
              <w:pStyle w:val="50"/>
            </w:pPr>
          </w:p>
        </w:tc>
      </w:tr>
      <w:tr w14:paraId="4A2C2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291EBDF">
            <w:pPr>
              <w:pStyle w:val="50"/>
            </w:pPr>
          </w:p>
        </w:tc>
        <w:tc>
          <w:tcPr>
            <w:tcW w:w="666" w:type="dxa"/>
            <w:vMerge w:val="continue"/>
            <w:tcBorders>
              <w:top w:val="single" w:color="auto" w:sz="4" w:space="0"/>
              <w:left w:val="single" w:color="auto" w:sz="4" w:space="0"/>
              <w:bottom w:val="single" w:color="auto" w:sz="4" w:space="0"/>
              <w:right w:val="single" w:color="auto" w:sz="4" w:space="0"/>
            </w:tcBorders>
            <w:vAlign w:val="center"/>
          </w:tcPr>
          <w:p w14:paraId="67F1634A">
            <w:pPr>
              <w:pStyle w:val="50"/>
            </w:pPr>
          </w:p>
        </w:tc>
        <w:tc>
          <w:tcPr>
            <w:tcW w:w="2034" w:type="dxa"/>
            <w:gridSpan w:val="2"/>
            <w:vMerge w:val="continue"/>
            <w:tcBorders>
              <w:top w:val="single" w:color="auto" w:sz="4" w:space="0"/>
              <w:left w:val="single" w:color="auto" w:sz="4" w:space="0"/>
              <w:bottom w:val="single" w:color="auto" w:sz="4" w:space="0"/>
              <w:right w:val="single" w:color="auto" w:sz="4" w:space="0"/>
            </w:tcBorders>
            <w:vAlign w:val="center"/>
          </w:tcPr>
          <w:p w14:paraId="49595804">
            <w:pPr>
              <w:pStyle w:val="50"/>
            </w:pP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A0FEB8B">
            <w:pPr>
              <w:pStyle w:val="50"/>
            </w:pPr>
            <w:r>
              <w:rPr>
                <w:rFonts w:hint="eastAsia"/>
              </w:rPr>
              <w:t>绳径局部严重增大或减小均应报废</w:t>
            </w:r>
          </w:p>
        </w:tc>
        <w:tc>
          <w:tcPr>
            <w:tcW w:w="1103" w:type="dxa"/>
            <w:tcBorders>
              <w:top w:val="single" w:color="auto" w:sz="4" w:space="0"/>
              <w:left w:val="single" w:color="auto" w:sz="4" w:space="0"/>
              <w:bottom w:val="single" w:color="auto" w:sz="4" w:space="0"/>
              <w:right w:val="single" w:color="auto" w:sz="4" w:space="0"/>
            </w:tcBorders>
            <w:vAlign w:val="center"/>
          </w:tcPr>
          <w:p w14:paraId="64488F78">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A0C7D1E">
            <w:pPr>
              <w:pStyle w:val="50"/>
            </w:pPr>
          </w:p>
        </w:tc>
      </w:tr>
      <w:tr w14:paraId="79806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4C69512">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4A6F8B0B">
            <w:pPr>
              <w:pStyle w:val="50"/>
            </w:pPr>
            <w:r>
              <w:rPr>
                <w:rFonts w:hint="eastAsia"/>
              </w:rPr>
              <w:t>43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F1B1131">
            <w:pPr>
              <w:pStyle w:val="50"/>
            </w:pPr>
            <w:r>
              <w:rPr>
                <w:rFonts w:hint="eastAsia"/>
              </w:rPr>
              <w:t>制动器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39DCD3FF">
            <w:pPr>
              <w:pStyle w:val="50"/>
            </w:pPr>
            <w:r>
              <w:rPr>
                <w:rFonts w:hint="eastAsia"/>
              </w:rPr>
              <w:t>起升、回转、变幅、行走机构都应配备制动器，制动器不应有裂纹、过度磨损、塑性变形、缺件等缺陷。调整适宜，制动平稳可靠</w:t>
            </w:r>
          </w:p>
        </w:tc>
        <w:tc>
          <w:tcPr>
            <w:tcW w:w="1103" w:type="dxa"/>
            <w:tcBorders>
              <w:top w:val="single" w:color="auto" w:sz="4" w:space="0"/>
              <w:left w:val="single" w:color="auto" w:sz="4" w:space="0"/>
              <w:bottom w:val="single" w:color="auto" w:sz="4" w:space="0"/>
              <w:right w:val="single" w:color="auto" w:sz="4" w:space="0"/>
            </w:tcBorders>
            <w:vAlign w:val="center"/>
          </w:tcPr>
          <w:p w14:paraId="6D03DCAC">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04F44D11">
            <w:pPr>
              <w:pStyle w:val="50"/>
            </w:pPr>
          </w:p>
        </w:tc>
      </w:tr>
      <w:tr w14:paraId="4641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5C252501">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6AF410B1">
            <w:pPr>
              <w:pStyle w:val="50"/>
            </w:pPr>
            <w:r>
              <w:rPr>
                <w:rFonts w:hint="eastAsia"/>
              </w:rPr>
              <w:t>44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2D7E2DB">
            <w:pPr>
              <w:pStyle w:val="50"/>
            </w:pPr>
            <w:r>
              <w:rPr>
                <w:rFonts w:hint="eastAsia"/>
              </w:rPr>
              <w:t>传动装置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61A0DC2">
            <w:pPr>
              <w:pStyle w:val="50"/>
            </w:pPr>
            <w:r>
              <w:rPr>
                <w:rFonts w:hint="eastAsia"/>
              </w:rPr>
              <w:t>固定牢固，运行平稳</w:t>
            </w:r>
          </w:p>
        </w:tc>
        <w:tc>
          <w:tcPr>
            <w:tcW w:w="1103" w:type="dxa"/>
            <w:tcBorders>
              <w:top w:val="single" w:color="auto" w:sz="4" w:space="0"/>
              <w:left w:val="single" w:color="auto" w:sz="4" w:space="0"/>
              <w:bottom w:val="single" w:color="auto" w:sz="4" w:space="0"/>
              <w:right w:val="single" w:color="auto" w:sz="4" w:space="0"/>
            </w:tcBorders>
            <w:vAlign w:val="center"/>
          </w:tcPr>
          <w:p w14:paraId="65C9A274">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867A480">
            <w:pPr>
              <w:pStyle w:val="50"/>
            </w:pPr>
          </w:p>
        </w:tc>
      </w:tr>
      <w:tr w14:paraId="2B003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72A13C1">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1D985A1F">
            <w:pPr>
              <w:pStyle w:val="50"/>
            </w:pPr>
            <w:r>
              <w:rPr>
                <w:rFonts w:hint="eastAsia"/>
              </w:rPr>
              <w:t>45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BB4182A">
            <w:pPr>
              <w:pStyle w:val="50"/>
            </w:pPr>
            <w:r>
              <w:rPr>
                <w:rFonts w:hint="eastAsia"/>
              </w:rPr>
              <w:t>有可能伤人的活动零部件外露部分</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688731E">
            <w:pPr>
              <w:pStyle w:val="50"/>
            </w:pPr>
            <w:r>
              <w:rPr>
                <w:rFonts w:hint="eastAsia"/>
              </w:rPr>
              <w:t>防护罩齐全</w:t>
            </w:r>
          </w:p>
        </w:tc>
        <w:tc>
          <w:tcPr>
            <w:tcW w:w="1103" w:type="dxa"/>
            <w:tcBorders>
              <w:top w:val="single" w:color="auto" w:sz="4" w:space="0"/>
              <w:left w:val="single" w:color="auto" w:sz="4" w:space="0"/>
              <w:bottom w:val="single" w:color="auto" w:sz="4" w:space="0"/>
              <w:right w:val="single" w:color="auto" w:sz="4" w:space="0"/>
            </w:tcBorders>
            <w:vAlign w:val="center"/>
          </w:tcPr>
          <w:p w14:paraId="0F997DE9">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0835A502">
            <w:pPr>
              <w:pStyle w:val="50"/>
            </w:pPr>
          </w:p>
        </w:tc>
      </w:tr>
      <w:tr w14:paraId="6C7CA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76CEE2B">
            <w:pPr>
              <w:pStyle w:val="50"/>
            </w:pPr>
            <w:r>
              <w:rPr>
                <w:rFonts w:hint="eastAsia"/>
              </w:rPr>
              <w:t>电气及保护</w:t>
            </w:r>
          </w:p>
        </w:tc>
        <w:tc>
          <w:tcPr>
            <w:tcW w:w="666" w:type="dxa"/>
            <w:tcBorders>
              <w:top w:val="single" w:color="auto" w:sz="4" w:space="0"/>
              <w:left w:val="single" w:color="auto" w:sz="4" w:space="0"/>
              <w:bottom w:val="single" w:color="auto" w:sz="4" w:space="0"/>
              <w:right w:val="single" w:color="auto" w:sz="4" w:space="0"/>
            </w:tcBorders>
            <w:vAlign w:val="center"/>
          </w:tcPr>
          <w:p w14:paraId="60A4C2AC">
            <w:pPr>
              <w:pStyle w:val="50"/>
            </w:pPr>
            <w:r>
              <w:rPr>
                <w:rFonts w:hint="eastAsia"/>
              </w:rPr>
              <w:t>46*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79A17FF">
            <w:pPr>
              <w:pStyle w:val="50"/>
            </w:pPr>
            <w:r>
              <w:rPr>
                <w:rFonts w:hint="eastAsia"/>
              </w:rPr>
              <w:t>紧急断电开关</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748ADCE">
            <w:pPr>
              <w:pStyle w:val="50"/>
            </w:pPr>
            <w:r>
              <w:rPr>
                <w:rFonts w:hint="eastAsia"/>
              </w:rPr>
              <w:t>非自动复位，有效，且便于司机操作</w:t>
            </w:r>
          </w:p>
        </w:tc>
        <w:tc>
          <w:tcPr>
            <w:tcW w:w="1103" w:type="dxa"/>
            <w:tcBorders>
              <w:top w:val="single" w:color="auto" w:sz="4" w:space="0"/>
              <w:left w:val="single" w:color="auto" w:sz="4" w:space="0"/>
              <w:bottom w:val="single" w:color="auto" w:sz="4" w:space="0"/>
              <w:right w:val="single" w:color="auto" w:sz="4" w:space="0"/>
            </w:tcBorders>
            <w:vAlign w:val="center"/>
          </w:tcPr>
          <w:p w14:paraId="75AF46C6">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66AE892">
            <w:pPr>
              <w:pStyle w:val="50"/>
            </w:pPr>
          </w:p>
        </w:tc>
      </w:tr>
      <w:tr w14:paraId="1202F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E36B7BA">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04E99AE1">
            <w:pPr>
              <w:pStyle w:val="50"/>
            </w:pPr>
            <w:r>
              <w:rPr>
                <w:rFonts w:hint="eastAsia"/>
              </w:rPr>
              <w:t>47*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BB863BC">
            <w:pPr>
              <w:pStyle w:val="50"/>
            </w:pPr>
            <w:r>
              <w:rPr>
                <w:rFonts w:hint="eastAsia"/>
              </w:rPr>
              <w:t>绝缘电阻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6BFEC1D">
            <w:pPr>
              <w:pStyle w:val="50"/>
            </w:pPr>
            <w:r>
              <w:rPr>
                <w:rFonts w:hint="eastAsia"/>
              </w:rPr>
              <w:t>主电路和控制电路的对地绝缘电阻不应小于0.5MΩ</w:t>
            </w:r>
          </w:p>
        </w:tc>
        <w:tc>
          <w:tcPr>
            <w:tcW w:w="1103" w:type="dxa"/>
            <w:tcBorders>
              <w:top w:val="single" w:color="auto" w:sz="4" w:space="0"/>
              <w:left w:val="single" w:color="auto" w:sz="4" w:space="0"/>
              <w:bottom w:val="single" w:color="auto" w:sz="4" w:space="0"/>
              <w:right w:val="single" w:color="auto" w:sz="4" w:space="0"/>
            </w:tcBorders>
            <w:vAlign w:val="center"/>
          </w:tcPr>
          <w:p w14:paraId="75D29205">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5D786313">
            <w:pPr>
              <w:pStyle w:val="50"/>
            </w:pPr>
          </w:p>
        </w:tc>
      </w:tr>
      <w:tr w14:paraId="447C9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BA7D7DB">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58EC5144">
            <w:pPr>
              <w:pStyle w:val="50"/>
            </w:pPr>
            <w:r>
              <w:rPr>
                <w:rFonts w:hint="eastAsia"/>
              </w:rPr>
              <w:t>48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5A10441">
            <w:pPr>
              <w:pStyle w:val="50"/>
            </w:pPr>
            <w:r>
              <w:rPr>
                <w:rFonts w:hint="eastAsia"/>
              </w:rPr>
              <w:t>接地电阻</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7E1B1DA3">
            <w:pPr>
              <w:pStyle w:val="50"/>
            </w:pPr>
            <w:r>
              <w:rPr>
                <w:rFonts w:hint="eastAsia"/>
              </w:rPr>
              <w:t>接地系统应便于复核检查，接地电阻不大于4Ω</w:t>
            </w:r>
          </w:p>
        </w:tc>
        <w:tc>
          <w:tcPr>
            <w:tcW w:w="1103" w:type="dxa"/>
            <w:tcBorders>
              <w:top w:val="single" w:color="auto" w:sz="4" w:space="0"/>
              <w:left w:val="single" w:color="auto" w:sz="4" w:space="0"/>
              <w:bottom w:val="single" w:color="auto" w:sz="4" w:space="0"/>
              <w:right w:val="single" w:color="auto" w:sz="4" w:space="0"/>
            </w:tcBorders>
            <w:vAlign w:val="center"/>
          </w:tcPr>
          <w:p w14:paraId="2C8944E8">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4C9403DB">
            <w:pPr>
              <w:pStyle w:val="50"/>
            </w:pPr>
          </w:p>
        </w:tc>
      </w:tr>
      <w:tr w14:paraId="7735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DEABC13">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05D3D235">
            <w:pPr>
              <w:pStyle w:val="50"/>
            </w:pPr>
            <w:r>
              <w:rPr>
                <w:rFonts w:hint="eastAsia"/>
              </w:rPr>
              <w:t>49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E234519">
            <w:pPr>
              <w:pStyle w:val="50"/>
            </w:pPr>
            <w:r>
              <w:rPr>
                <w:rFonts w:hint="eastAsia"/>
              </w:rPr>
              <w:t>专用开关箱</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D4414D2">
            <w:pPr>
              <w:pStyle w:val="50"/>
            </w:pPr>
            <w:r>
              <w:rPr>
                <w:rFonts w:hint="eastAsia"/>
              </w:rPr>
              <w:t>单独设置并有警示标志</w:t>
            </w:r>
          </w:p>
        </w:tc>
        <w:tc>
          <w:tcPr>
            <w:tcW w:w="1103" w:type="dxa"/>
            <w:tcBorders>
              <w:top w:val="single" w:color="auto" w:sz="4" w:space="0"/>
              <w:left w:val="single" w:color="auto" w:sz="4" w:space="0"/>
              <w:bottom w:val="single" w:color="auto" w:sz="4" w:space="0"/>
              <w:right w:val="single" w:color="auto" w:sz="4" w:space="0"/>
            </w:tcBorders>
            <w:vAlign w:val="center"/>
          </w:tcPr>
          <w:p w14:paraId="62B16815">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5BFCE8E6">
            <w:pPr>
              <w:pStyle w:val="50"/>
            </w:pPr>
          </w:p>
        </w:tc>
      </w:tr>
      <w:tr w14:paraId="4A3A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B12312E">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11D26DA2">
            <w:pPr>
              <w:pStyle w:val="50"/>
            </w:pPr>
            <w:r>
              <w:rPr>
                <w:rFonts w:hint="eastAsia"/>
              </w:rPr>
              <w:t>50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2FBB9151">
            <w:pPr>
              <w:pStyle w:val="50"/>
            </w:pPr>
            <w:r>
              <w:rPr>
                <w:rFonts w:hint="eastAsia"/>
              </w:rPr>
              <w:t>声响信号器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FA3B237">
            <w:pPr>
              <w:pStyle w:val="50"/>
            </w:pPr>
            <w:r>
              <w:rPr>
                <w:rFonts w:hint="eastAsia"/>
              </w:rPr>
              <w:t>完好</w:t>
            </w:r>
          </w:p>
        </w:tc>
        <w:tc>
          <w:tcPr>
            <w:tcW w:w="1103" w:type="dxa"/>
            <w:tcBorders>
              <w:top w:val="single" w:color="auto" w:sz="4" w:space="0"/>
              <w:left w:val="single" w:color="auto" w:sz="4" w:space="0"/>
              <w:bottom w:val="single" w:color="auto" w:sz="4" w:space="0"/>
              <w:right w:val="single" w:color="auto" w:sz="4" w:space="0"/>
            </w:tcBorders>
            <w:vAlign w:val="center"/>
          </w:tcPr>
          <w:p w14:paraId="43589CDC">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6FD29C21">
            <w:pPr>
              <w:pStyle w:val="50"/>
            </w:pPr>
          </w:p>
        </w:tc>
      </w:tr>
      <w:tr w14:paraId="0A9FE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DA614BA">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05F9ADD6">
            <w:pPr>
              <w:pStyle w:val="50"/>
            </w:pPr>
            <w:r>
              <w:rPr>
                <w:rFonts w:hint="eastAsia"/>
              </w:rPr>
              <w:t>51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7C65833A">
            <w:pPr>
              <w:pStyle w:val="50"/>
            </w:pPr>
            <w:r>
              <w:rPr>
                <w:rFonts w:hint="eastAsia"/>
              </w:rPr>
              <w:t>保护零线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212CDD6">
            <w:pPr>
              <w:pStyle w:val="50"/>
            </w:pPr>
            <w:r>
              <w:rPr>
                <w:rFonts w:hint="eastAsia"/>
              </w:rPr>
              <w:t>绿/黄双色绝缘铜芯线，且不得作为载流回路</w:t>
            </w:r>
          </w:p>
        </w:tc>
        <w:tc>
          <w:tcPr>
            <w:tcW w:w="1103" w:type="dxa"/>
            <w:tcBorders>
              <w:top w:val="single" w:color="auto" w:sz="4" w:space="0"/>
              <w:left w:val="single" w:color="auto" w:sz="4" w:space="0"/>
              <w:bottom w:val="single" w:color="auto" w:sz="4" w:space="0"/>
              <w:right w:val="single" w:color="auto" w:sz="4" w:space="0"/>
            </w:tcBorders>
            <w:vAlign w:val="center"/>
          </w:tcPr>
          <w:p w14:paraId="34BDD42C">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751DAA0">
            <w:pPr>
              <w:pStyle w:val="50"/>
            </w:pPr>
          </w:p>
        </w:tc>
      </w:tr>
      <w:tr w14:paraId="6E4F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34E77CC">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6004DBFF">
            <w:pPr>
              <w:pStyle w:val="50"/>
            </w:pPr>
            <w:r>
              <w:rPr>
                <w:rFonts w:hint="eastAsia"/>
              </w:rPr>
              <w:t>52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AC77C68">
            <w:pPr>
              <w:pStyle w:val="50"/>
            </w:pPr>
            <w:r>
              <w:rPr>
                <w:rFonts w:hint="eastAsia"/>
              </w:rPr>
              <w:t>电源电缆与电缆保护</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D75F897">
            <w:pPr>
              <w:pStyle w:val="50"/>
            </w:pPr>
            <w:r>
              <w:rPr>
                <w:rFonts w:hint="eastAsia"/>
              </w:rPr>
              <w:t>无破损，老化。与金属接触处有绝缘材料隔离，移动电缆有电缆卷筒或其他防止磨损措施</w:t>
            </w:r>
          </w:p>
        </w:tc>
        <w:tc>
          <w:tcPr>
            <w:tcW w:w="1103" w:type="dxa"/>
            <w:tcBorders>
              <w:top w:val="single" w:color="auto" w:sz="4" w:space="0"/>
              <w:left w:val="single" w:color="auto" w:sz="4" w:space="0"/>
              <w:bottom w:val="single" w:color="auto" w:sz="4" w:space="0"/>
              <w:right w:val="single" w:color="auto" w:sz="4" w:space="0"/>
            </w:tcBorders>
            <w:vAlign w:val="center"/>
          </w:tcPr>
          <w:p w14:paraId="3F02E4C5">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4F03739F">
            <w:pPr>
              <w:pStyle w:val="50"/>
            </w:pPr>
          </w:p>
        </w:tc>
      </w:tr>
      <w:tr w14:paraId="75FE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65AF5C23">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41DFB783">
            <w:pPr>
              <w:pStyle w:val="50"/>
            </w:pPr>
            <w:r>
              <w:rPr>
                <w:rFonts w:hint="eastAsia"/>
              </w:rPr>
              <w:t>53</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BE38AF6">
            <w:pPr>
              <w:pStyle w:val="50"/>
            </w:pPr>
            <w:r>
              <w:rPr>
                <w:rFonts w:hint="eastAsia"/>
              </w:rPr>
              <w:t>障碍指示灯</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19CE04AF">
            <w:pPr>
              <w:pStyle w:val="50"/>
            </w:pPr>
            <w:r>
              <w:rPr>
                <w:rFonts w:hint="eastAsia"/>
                <w:lang w:eastAsia="zh-CN"/>
              </w:rPr>
              <w:t>回转塔身</w:t>
            </w:r>
            <w:r>
              <w:rPr>
                <w:rFonts w:hint="eastAsia"/>
              </w:rPr>
              <w:t>高度大于30m且高于周围建筑物时应安装，该指示灯的供电不应受停机的影响</w:t>
            </w:r>
          </w:p>
        </w:tc>
        <w:tc>
          <w:tcPr>
            <w:tcW w:w="1103" w:type="dxa"/>
            <w:tcBorders>
              <w:top w:val="single" w:color="auto" w:sz="4" w:space="0"/>
              <w:left w:val="single" w:color="auto" w:sz="4" w:space="0"/>
              <w:bottom w:val="single" w:color="auto" w:sz="4" w:space="0"/>
              <w:right w:val="single" w:color="auto" w:sz="4" w:space="0"/>
            </w:tcBorders>
            <w:vAlign w:val="center"/>
          </w:tcPr>
          <w:p w14:paraId="098E067A">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4B75F4CF">
            <w:pPr>
              <w:pStyle w:val="50"/>
            </w:pPr>
          </w:p>
        </w:tc>
      </w:tr>
      <w:tr w14:paraId="27BEF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47ACDD14">
            <w:pPr>
              <w:pStyle w:val="50"/>
            </w:pPr>
            <w:r>
              <w:rPr>
                <w:rFonts w:hint="eastAsia"/>
              </w:rPr>
              <w:t>轨道</w:t>
            </w:r>
          </w:p>
        </w:tc>
        <w:tc>
          <w:tcPr>
            <w:tcW w:w="666" w:type="dxa"/>
            <w:tcBorders>
              <w:top w:val="single" w:color="auto" w:sz="4" w:space="0"/>
              <w:left w:val="single" w:color="auto" w:sz="4" w:space="0"/>
              <w:bottom w:val="single" w:color="auto" w:sz="4" w:space="0"/>
              <w:right w:val="single" w:color="auto" w:sz="4" w:space="0"/>
            </w:tcBorders>
            <w:vAlign w:val="center"/>
          </w:tcPr>
          <w:p w14:paraId="56396677">
            <w:pPr>
              <w:pStyle w:val="50"/>
            </w:pPr>
            <w:r>
              <w:rPr>
                <w:rFonts w:hint="eastAsia"/>
              </w:rPr>
              <w:t>54</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EEFC327">
            <w:pPr>
              <w:pStyle w:val="50"/>
            </w:pPr>
            <w:r>
              <w:rPr>
                <w:rFonts w:hint="eastAsia"/>
              </w:rPr>
              <w:t>行走轨道端部止挡装置与缓冲</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7E78D0D">
            <w:pPr>
              <w:pStyle w:val="50"/>
            </w:pPr>
            <w:r>
              <w:rPr>
                <w:rFonts w:hint="eastAsia"/>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2A1E9D6D">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7A63CAB6">
            <w:pPr>
              <w:pStyle w:val="50"/>
            </w:pPr>
          </w:p>
        </w:tc>
      </w:tr>
      <w:tr w14:paraId="37B9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B45B25A">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1E80EC78">
            <w:pPr>
              <w:pStyle w:val="50"/>
            </w:pPr>
            <w:r>
              <w:rPr>
                <w:rFonts w:hint="eastAsia"/>
              </w:rPr>
              <w:t>55*</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E14AFD2">
            <w:pPr>
              <w:pStyle w:val="50"/>
            </w:pPr>
            <w:r>
              <w:rPr>
                <w:rFonts w:hint="eastAsia"/>
              </w:rPr>
              <w:t>行走限位装置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2D968602">
            <w:pPr>
              <w:pStyle w:val="50"/>
            </w:pPr>
            <w:r>
              <w:rPr>
                <w:rFonts w:hint="eastAsia"/>
              </w:rPr>
              <w:t>制停后距止档装置≥1m</w:t>
            </w:r>
          </w:p>
        </w:tc>
        <w:tc>
          <w:tcPr>
            <w:tcW w:w="1103" w:type="dxa"/>
            <w:tcBorders>
              <w:top w:val="single" w:color="auto" w:sz="4" w:space="0"/>
              <w:left w:val="single" w:color="auto" w:sz="4" w:space="0"/>
              <w:bottom w:val="single" w:color="auto" w:sz="4" w:space="0"/>
              <w:right w:val="single" w:color="auto" w:sz="4" w:space="0"/>
            </w:tcBorders>
            <w:vAlign w:val="center"/>
          </w:tcPr>
          <w:p w14:paraId="3E70A49E">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0A237037">
            <w:pPr>
              <w:pStyle w:val="50"/>
            </w:pPr>
          </w:p>
        </w:tc>
      </w:tr>
      <w:tr w14:paraId="3C39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404AD39">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0DA745B6">
            <w:pPr>
              <w:pStyle w:val="50"/>
            </w:pPr>
            <w:r>
              <w:rPr>
                <w:rFonts w:hint="eastAsia"/>
              </w:rPr>
              <w:t>56</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F5511BC">
            <w:pPr>
              <w:pStyle w:val="50"/>
            </w:pPr>
            <w:r>
              <w:rPr>
                <w:rFonts w:hint="eastAsia"/>
              </w:rPr>
              <w:t>防风夹轨器</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628A8553">
            <w:pPr>
              <w:pStyle w:val="50"/>
            </w:pPr>
            <w:r>
              <w:rPr>
                <w:rFonts w:hint="eastAsia"/>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155A2C7B">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1656BA9">
            <w:pPr>
              <w:pStyle w:val="50"/>
            </w:pPr>
          </w:p>
        </w:tc>
      </w:tr>
      <w:tr w14:paraId="37CD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05CBF3F6">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3AB665B1">
            <w:pPr>
              <w:pStyle w:val="50"/>
            </w:pPr>
            <w:r>
              <w:rPr>
                <w:rFonts w:hint="eastAsia"/>
              </w:rPr>
              <w:t>57</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1DB5EDF9">
            <w:pPr>
              <w:pStyle w:val="50"/>
            </w:pPr>
            <w:r>
              <w:rPr>
                <w:rFonts w:hint="eastAsia"/>
              </w:rPr>
              <w:t>排障清轨板</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89564DB">
            <w:pPr>
              <w:pStyle w:val="50"/>
            </w:pPr>
            <w:r>
              <w:rPr>
                <w:rFonts w:hint="eastAsia"/>
              </w:rPr>
              <w:t>清孰板与轨道之目的间隙不应大于5mm</w:t>
            </w:r>
          </w:p>
        </w:tc>
        <w:tc>
          <w:tcPr>
            <w:tcW w:w="1103" w:type="dxa"/>
            <w:tcBorders>
              <w:top w:val="single" w:color="auto" w:sz="4" w:space="0"/>
              <w:left w:val="single" w:color="auto" w:sz="4" w:space="0"/>
              <w:bottom w:val="single" w:color="auto" w:sz="4" w:space="0"/>
              <w:right w:val="single" w:color="auto" w:sz="4" w:space="0"/>
            </w:tcBorders>
            <w:vAlign w:val="center"/>
          </w:tcPr>
          <w:p w14:paraId="697F42A1">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734B0D82">
            <w:pPr>
              <w:pStyle w:val="50"/>
            </w:pPr>
          </w:p>
        </w:tc>
      </w:tr>
      <w:tr w14:paraId="6C55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3FB6C87D">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5097C736">
            <w:pPr>
              <w:pStyle w:val="50"/>
            </w:pPr>
            <w:r>
              <w:rPr>
                <w:rFonts w:hint="eastAsia"/>
              </w:rPr>
              <w:t>58</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AC00A8D">
            <w:pPr>
              <w:pStyle w:val="50"/>
            </w:pPr>
            <w:r>
              <w:rPr>
                <w:rFonts w:hint="eastAsia"/>
              </w:rPr>
              <w:t>钢轨接头位置及误差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A63BF24">
            <w:pPr>
              <w:pStyle w:val="50"/>
            </w:pPr>
            <w:r>
              <w:rPr>
                <w:rFonts w:hint="eastAsia"/>
              </w:rPr>
              <w:t>支承在道木或路基箱上时，两侧错开≥1.5m；间隙≤4mm；高差≤2mm</w:t>
            </w:r>
          </w:p>
        </w:tc>
        <w:tc>
          <w:tcPr>
            <w:tcW w:w="1103" w:type="dxa"/>
            <w:tcBorders>
              <w:top w:val="single" w:color="auto" w:sz="4" w:space="0"/>
              <w:left w:val="single" w:color="auto" w:sz="4" w:space="0"/>
              <w:bottom w:val="single" w:color="auto" w:sz="4" w:space="0"/>
              <w:right w:val="single" w:color="auto" w:sz="4" w:space="0"/>
            </w:tcBorders>
            <w:vAlign w:val="center"/>
          </w:tcPr>
          <w:p w14:paraId="1B7B590C">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08A9570A">
            <w:pPr>
              <w:pStyle w:val="50"/>
            </w:pPr>
          </w:p>
        </w:tc>
      </w:tr>
      <w:tr w14:paraId="58B4A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18B4203A">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4A95FFDF">
            <w:pPr>
              <w:pStyle w:val="50"/>
            </w:pPr>
            <w:r>
              <w:rPr>
                <w:rFonts w:hint="eastAsia"/>
              </w:rPr>
              <w:t>59</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5FB030BC">
            <w:pPr>
              <w:pStyle w:val="50"/>
            </w:pPr>
            <w:r>
              <w:rPr>
                <w:rFonts w:hint="eastAsia"/>
              </w:rPr>
              <w:t>轨距误差及轨距拉杆设置</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530645B7">
            <w:pPr>
              <w:pStyle w:val="50"/>
            </w:pPr>
            <w:r>
              <w:rPr>
                <w:rFonts w:hint="eastAsia"/>
              </w:rPr>
              <w:t>＜1／1000且最大应＜6mm；相邻两根间距≤6m</w:t>
            </w:r>
          </w:p>
        </w:tc>
        <w:tc>
          <w:tcPr>
            <w:tcW w:w="1103" w:type="dxa"/>
            <w:tcBorders>
              <w:top w:val="single" w:color="auto" w:sz="4" w:space="0"/>
              <w:left w:val="single" w:color="auto" w:sz="4" w:space="0"/>
              <w:bottom w:val="single" w:color="auto" w:sz="4" w:space="0"/>
              <w:right w:val="single" w:color="auto" w:sz="4" w:space="0"/>
            </w:tcBorders>
            <w:vAlign w:val="center"/>
          </w:tcPr>
          <w:p w14:paraId="4BF55521">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0AF76611">
            <w:pPr>
              <w:pStyle w:val="50"/>
            </w:pPr>
          </w:p>
        </w:tc>
      </w:tr>
      <w:tr w14:paraId="6F8D8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restart"/>
            <w:tcBorders>
              <w:top w:val="single" w:color="auto" w:sz="4" w:space="0"/>
              <w:left w:val="single" w:color="auto" w:sz="4" w:space="0"/>
              <w:bottom w:val="single" w:color="auto" w:sz="4" w:space="0"/>
              <w:right w:val="single" w:color="auto" w:sz="4" w:space="0"/>
            </w:tcBorders>
            <w:vAlign w:val="center"/>
          </w:tcPr>
          <w:p w14:paraId="59EE898F">
            <w:pPr>
              <w:pStyle w:val="50"/>
            </w:pPr>
            <w:r>
              <w:rPr>
                <w:rFonts w:hint="eastAsia"/>
              </w:rPr>
              <w:t>司机室</w:t>
            </w:r>
          </w:p>
        </w:tc>
        <w:tc>
          <w:tcPr>
            <w:tcW w:w="666" w:type="dxa"/>
            <w:tcBorders>
              <w:top w:val="single" w:color="auto" w:sz="4" w:space="0"/>
              <w:left w:val="single" w:color="auto" w:sz="4" w:space="0"/>
              <w:bottom w:val="single" w:color="auto" w:sz="4" w:space="0"/>
              <w:right w:val="single" w:color="auto" w:sz="4" w:space="0"/>
            </w:tcBorders>
            <w:vAlign w:val="center"/>
          </w:tcPr>
          <w:p w14:paraId="5CD51444">
            <w:pPr>
              <w:pStyle w:val="50"/>
            </w:pPr>
            <w:r>
              <w:rPr>
                <w:rFonts w:hint="eastAsia"/>
              </w:rPr>
              <w:t>60</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668F6259">
            <w:pPr>
              <w:pStyle w:val="50"/>
            </w:pPr>
            <w:r>
              <w:rPr>
                <w:rFonts w:hint="eastAsia"/>
              </w:rPr>
              <w:t>性能标牌(显示屏)</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04BF0B54">
            <w:pPr>
              <w:pStyle w:val="50"/>
            </w:pPr>
            <w:r>
              <w:rPr>
                <w:rFonts w:hint="eastAsia"/>
              </w:rPr>
              <w:t>齐全，清晰</w:t>
            </w:r>
          </w:p>
        </w:tc>
        <w:tc>
          <w:tcPr>
            <w:tcW w:w="1103" w:type="dxa"/>
            <w:tcBorders>
              <w:top w:val="single" w:color="auto" w:sz="4" w:space="0"/>
              <w:left w:val="single" w:color="auto" w:sz="4" w:space="0"/>
              <w:bottom w:val="single" w:color="auto" w:sz="4" w:space="0"/>
              <w:right w:val="single" w:color="auto" w:sz="4" w:space="0"/>
            </w:tcBorders>
            <w:vAlign w:val="center"/>
          </w:tcPr>
          <w:p w14:paraId="5A939A9A">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F7CD004">
            <w:pPr>
              <w:pStyle w:val="50"/>
            </w:pPr>
          </w:p>
        </w:tc>
      </w:tr>
      <w:tr w14:paraId="40DD8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vMerge w:val="continue"/>
            <w:tcBorders>
              <w:top w:val="single" w:color="auto" w:sz="4" w:space="0"/>
              <w:left w:val="single" w:color="auto" w:sz="4" w:space="0"/>
              <w:bottom w:val="single" w:color="auto" w:sz="4" w:space="0"/>
              <w:right w:val="single" w:color="auto" w:sz="4" w:space="0"/>
            </w:tcBorders>
            <w:vAlign w:val="center"/>
          </w:tcPr>
          <w:p w14:paraId="7D7531EE">
            <w:pPr>
              <w:pStyle w:val="50"/>
            </w:pPr>
          </w:p>
        </w:tc>
        <w:tc>
          <w:tcPr>
            <w:tcW w:w="666" w:type="dxa"/>
            <w:tcBorders>
              <w:top w:val="single" w:color="auto" w:sz="4" w:space="0"/>
              <w:left w:val="single" w:color="auto" w:sz="4" w:space="0"/>
              <w:bottom w:val="single" w:color="auto" w:sz="4" w:space="0"/>
              <w:right w:val="single" w:color="auto" w:sz="4" w:space="0"/>
            </w:tcBorders>
            <w:vAlign w:val="center"/>
          </w:tcPr>
          <w:p w14:paraId="789BAF50">
            <w:pPr>
              <w:pStyle w:val="50"/>
            </w:pPr>
            <w:r>
              <w:rPr>
                <w:rFonts w:hint="eastAsia"/>
              </w:rPr>
              <w:t>61</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3060D25D">
            <w:pPr>
              <w:pStyle w:val="50"/>
            </w:pPr>
            <w:r>
              <w:rPr>
                <w:rFonts w:hint="eastAsia"/>
              </w:rPr>
              <w:t>门窗和灭火器、雨刷</w:t>
            </w:r>
          </w:p>
          <w:p w14:paraId="666603AD">
            <w:pPr>
              <w:pStyle w:val="50"/>
            </w:pPr>
            <w:r>
              <w:rPr>
                <w:rFonts w:hint="eastAsia"/>
              </w:rPr>
              <w:t>等附属设施</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B9F19A5">
            <w:pPr>
              <w:pStyle w:val="50"/>
            </w:pPr>
            <w:r>
              <w:rPr>
                <w:rFonts w:hint="eastAsia"/>
              </w:rPr>
              <w:t>齐全，有效</w:t>
            </w:r>
          </w:p>
        </w:tc>
        <w:tc>
          <w:tcPr>
            <w:tcW w:w="1103" w:type="dxa"/>
            <w:tcBorders>
              <w:top w:val="single" w:color="auto" w:sz="4" w:space="0"/>
              <w:left w:val="single" w:color="auto" w:sz="4" w:space="0"/>
              <w:bottom w:val="single" w:color="auto" w:sz="4" w:space="0"/>
              <w:right w:val="single" w:color="auto" w:sz="4" w:space="0"/>
            </w:tcBorders>
            <w:vAlign w:val="center"/>
          </w:tcPr>
          <w:p w14:paraId="6245A9CB">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43B1B660">
            <w:pPr>
              <w:pStyle w:val="50"/>
            </w:pPr>
          </w:p>
        </w:tc>
      </w:tr>
      <w:tr w14:paraId="06E7E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186" w:type="dxa"/>
            <w:tcBorders>
              <w:top w:val="single" w:color="auto" w:sz="4" w:space="0"/>
              <w:left w:val="single" w:color="auto" w:sz="4" w:space="0"/>
              <w:bottom w:val="single" w:color="auto" w:sz="4" w:space="0"/>
              <w:right w:val="single" w:color="auto" w:sz="4" w:space="0"/>
            </w:tcBorders>
            <w:vAlign w:val="center"/>
          </w:tcPr>
          <w:p w14:paraId="365BD8E2">
            <w:pPr>
              <w:pStyle w:val="50"/>
            </w:pPr>
            <w:r>
              <w:rPr>
                <w:rFonts w:hint="eastAsia"/>
              </w:rPr>
              <w:t>其他</w:t>
            </w:r>
          </w:p>
        </w:tc>
        <w:tc>
          <w:tcPr>
            <w:tcW w:w="666" w:type="dxa"/>
            <w:tcBorders>
              <w:top w:val="single" w:color="auto" w:sz="4" w:space="0"/>
              <w:left w:val="single" w:color="auto" w:sz="4" w:space="0"/>
              <w:bottom w:val="single" w:color="auto" w:sz="4" w:space="0"/>
              <w:right w:val="single" w:color="auto" w:sz="4" w:space="0"/>
            </w:tcBorders>
            <w:vAlign w:val="center"/>
          </w:tcPr>
          <w:p w14:paraId="0E0EBA88">
            <w:pPr>
              <w:pStyle w:val="50"/>
            </w:pPr>
            <w:r>
              <w:rPr>
                <w:rFonts w:hint="eastAsia"/>
              </w:rPr>
              <w:t>62</w:t>
            </w:r>
          </w:p>
        </w:tc>
        <w:tc>
          <w:tcPr>
            <w:tcW w:w="2034" w:type="dxa"/>
            <w:gridSpan w:val="2"/>
            <w:tcBorders>
              <w:top w:val="single" w:color="auto" w:sz="4" w:space="0"/>
              <w:left w:val="single" w:color="auto" w:sz="4" w:space="0"/>
              <w:bottom w:val="single" w:color="auto" w:sz="4" w:space="0"/>
              <w:right w:val="single" w:color="auto" w:sz="4" w:space="0"/>
            </w:tcBorders>
            <w:vAlign w:val="center"/>
          </w:tcPr>
          <w:p w14:paraId="4E25765A">
            <w:pPr>
              <w:pStyle w:val="50"/>
            </w:pPr>
            <w:r>
              <w:rPr>
                <w:rFonts w:hint="eastAsia"/>
              </w:rPr>
              <w:t>风速仪</w:t>
            </w:r>
          </w:p>
        </w:tc>
        <w:tc>
          <w:tcPr>
            <w:tcW w:w="3419" w:type="dxa"/>
            <w:gridSpan w:val="3"/>
            <w:tcBorders>
              <w:top w:val="single" w:color="auto" w:sz="4" w:space="0"/>
              <w:left w:val="single" w:color="auto" w:sz="4" w:space="0"/>
              <w:bottom w:val="single" w:color="auto" w:sz="4" w:space="0"/>
              <w:right w:val="single" w:color="auto" w:sz="4" w:space="0"/>
            </w:tcBorders>
            <w:vAlign w:val="center"/>
          </w:tcPr>
          <w:p w14:paraId="4A03A270">
            <w:pPr>
              <w:pStyle w:val="50"/>
            </w:pPr>
            <w:r>
              <w:rPr>
                <w:rFonts w:hint="eastAsia"/>
              </w:rPr>
              <w:t>臂架根部铰点高于50m时应设置</w:t>
            </w:r>
          </w:p>
        </w:tc>
        <w:tc>
          <w:tcPr>
            <w:tcW w:w="1103" w:type="dxa"/>
            <w:tcBorders>
              <w:top w:val="single" w:color="auto" w:sz="4" w:space="0"/>
              <w:left w:val="single" w:color="auto" w:sz="4" w:space="0"/>
              <w:bottom w:val="single" w:color="auto" w:sz="4" w:space="0"/>
              <w:right w:val="single" w:color="auto" w:sz="4" w:space="0"/>
            </w:tcBorders>
            <w:vAlign w:val="center"/>
          </w:tcPr>
          <w:p w14:paraId="32F8D209">
            <w:pPr>
              <w:pStyle w:val="50"/>
            </w:pPr>
          </w:p>
        </w:tc>
        <w:tc>
          <w:tcPr>
            <w:tcW w:w="1092" w:type="dxa"/>
            <w:tcBorders>
              <w:top w:val="single" w:color="auto" w:sz="4" w:space="0"/>
              <w:left w:val="single" w:color="auto" w:sz="4" w:space="0"/>
              <w:bottom w:val="single" w:color="auto" w:sz="4" w:space="0"/>
              <w:right w:val="single" w:color="auto" w:sz="4" w:space="0"/>
            </w:tcBorders>
            <w:vAlign w:val="center"/>
          </w:tcPr>
          <w:p w14:paraId="3087BA8A">
            <w:pPr>
              <w:pStyle w:val="50"/>
            </w:pPr>
          </w:p>
        </w:tc>
      </w:tr>
      <w:tr w14:paraId="2AAF2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500" w:type="dxa"/>
            <w:gridSpan w:val="9"/>
            <w:tcBorders>
              <w:top w:val="single" w:color="auto" w:sz="4" w:space="0"/>
              <w:left w:val="single" w:color="auto" w:sz="4" w:space="0"/>
              <w:bottom w:val="single" w:color="auto" w:sz="4" w:space="0"/>
              <w:right w:val="single" w:color="auto" w:sz="4" w:space="0"/>
            </w:tcBorders>
            <w:vAlign w:val="center"/>
          </w:tcPr>
          <w:p w14:paraId="596853E9">
            <w:pPr>
              <w:pStyle w:val="50"/>
            </w:pPr>
            <w:r>
              <w:rPr>
                <w:rFonts w:hint="eastAsia"/>
              </w:rPr>
              <w:t>检查结果</w:t>
            </w:r>
          </w:p>
        </w:tc>
      </w:tr>
      <w:tr w14:paraId="67D3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446" w:type="dxa"/>
            <w:gridSpan w:val="3"/>
            <w:tcBorders>
              <w:top w:val="single" w:color="auto" w:sz="4" w:space="0"/>
              <w:left w:val="single" w:color="auto" w:sz="4" w:space="0"/>
              <w:bottom w:val="single" w:color="auto" w:sz="4" w:space="0"/>
              <w:right w:val="single" w:color="auto" w:sz="4" w:space="0"/>
            </w:tcBorders>
            <w:vAlign w:val="center"/>
          </w:tcPr>
          <w:p w14:paraId="20D0CF4C">
            <w:pPr>
              <w:pStyle w:val="50"/>
            </w:pPr>
            <w:r>
              <w:rPr>
                <w:rFonts w:hint="eastAsia"/>
              </w:rPr>
              <w:t>保证项目不合格项数</w:t>
            </w:r>
          </w:p>
        </w:tc>
        <w:tc>
          <w:tcPr>
            <w:tcW w:w="2522" w:type="dxa"/>
            <w:gridSpan w:val="2"/>
            <w:tcBorders>
              <w:top w:val="single" w:color="auto" w:sz="4" w:space="0"/>
              <w:left w:val="single" w:color="auto" w:sz="4" w:space="0"/>
              <w:bottom w:val="single" w:color="auto" w:sz="4" w:space="0"/>
              <w:right w:val="single" w:color="auto" w:sz="4" w:space="0"/>
            </w:tcBorders>
            <w:vAlign w:val="center"/>
          </w:tcPr>
          <w:p w14:paraId="6F224B7E">
            <w:pPr>
              <w:pStyle w:val="50"/>
            </w:pPr>
          </w:p>
        </w:tc>
        <w:tc>
          <w:tcPr>
            <w:tcW w:w="2337" w:type="dxa"/>
            <w:gridSpan w:val="2"/>
            <w:tcBorders>
              <w:top w:val="single" w:color="auto" w:sz="4" w:space="0"/>
              <w:left w:val="single" w:color="auto" w:sz="4" w:space="0"/>
              <w:bottom w:val="single" w:color="auto" w:sz="4" w:space="0"/>
              <w:right w:val="single" w:color="auto" w:sz="4" w:space="0"/>
            </w:tcBorders>
            <w:vAlign w:val="center"/>
          </w:tcPr>
          <w:p w14:paraId="79A1FEA0">
            <w:pPr>
              <w:pStyle w:val="50"/>
            </w:pPr>
            <w:r>
              <w:rPr>
                <w:rFonts w:hint="eastAsia"/>
              </w:rPr>
              <w:t>一般项目不合格项数</w:t>
            </w:r>
          </w:p>
        </w:tc>
        <w:tc>
          <w:tcPr>
            <w:tcW w:w="2195" w:type="dxa"/>
            <w:gridSpan w:val="2"/>
            <w:tcBorders>
              <w:top w:val="single" w:color="auto" w:sz="4" w:space="0"/>
              <w:left w:val="single" w:color="auto" w:sz="4" w:space="0"/>
              <w:bottom w:val="single" w:color="auto" w:sz="4" w:space="0"/>
              <w:right w:val="single" w:color="auto" w:sz="4" w:space="0"/>
            </w:tcBorders>
            <w:vAlign w:val="center"/>
          </w:tcPr>
          <w:p w14:paraId="0D14EB37">
            <w:pPr>
              <w:pStyle w:val="50"/>
            </w:pPr>
          </w:p>
        </w:tc>
      </w:tr>
      <w:tr w14:paraId="19690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7CCA8E3D">
            <w:pPr>
              <w:pStyle w:val="50"/>
              <w:rPr>
                <w:kern w:val="0"/>
                <w:lang w:bidi="ar"/>
              </w:rPr>
            </w:pPr>
            <w:r>
              <w:rPr>
                <w:rFonts w:hint="eastAsia"/>
                <w:kern w:val="0"/>
                <w:lang w:bidi="ar"/>
              </w:rPr>
              <w:t>租赁单位意见：</w:t>
            </w:r>
          </w:p>
          <w:p w14:paraId="077FAA52">
            <w:pPr>
              <w:pStyle w:val="50"/>
              <w:rPr>
                <w:kern w:val="0"/>
                <w:lang w:bidi="ar"/>
              </w:rPr>
            </w:pPr>
          </w:p>
          <w:p w14:paraId="1BBE7E24">
            <w:pPr>
              <w:pStyle w:val="50"/>
              <w:rPr>
                <w:kern w:val="0"/>
                <w:lang w:bidi="ar"/>
              </w:rPr>
            </w:pPr>
          </w:p>
          <w:p w14:paraId="77FD186B">
            <w:pPr>
              <w:pStyle w:val="50"/>
              <w:rPr>
                <w:kern w:val="0"/>
                <w:lang w:bidi="ar"/>
              </w:rPr>
            </w:pPr>
            <w:r>
              <w:rPr>
                <w:rFonts w:hint="eastAsia"/>
                <w:kern w:val="0"/>
                <w:lang w:bidi="ar"/>
              </w:rPr>
              <w:t>租赁负责人（签字）：                      （盖章）</w:t>
            </w:r>
          </w:p>
          <w:p w14:paraId="43F38E0E">
            <w:pPr>
              <w:pStyle w:val="50"/>
              <w:rPr>
                <w:kern w:val="0"/>
                <w:lang w:bidi="ar"/>
              </w:rPr>
            </w:pPr>
          </w:p>
          <w:p w14:paraId="0D046345">
            <w:pPr>
              <w:pStyle w:val="50"/>
            </w:pPr>
            <w:r>
              <w:rPr>
                <w:rFonts w:hint="eastAsia"/>
                <w:kern w:val="0"/>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786112B7">
            <w:pPr>
              <w:pStyle w:val="50"/>
              <w:rPr>
                <w:kern w:val="0"/>
                <w:lang w:bidi="ar"/>
              </w:rPr>
            </w:pPr>
            <w:r>
              <w:rPr>
                <w:rFonts w:hint="eastAsia"/>
                <w:kern w:val="0"/>
                <w:lang w:bidi="ar"/>
              </w:rPr>
              <w:t>使用单位意见：</w:t>
            </w:r>
          </w:p>
          <w:p w14:paraId="51BCBBDF">
            <w:pPr>
              <w:pStyle w:val="50"/>
              <w:rPr>
                <w:kern w:val="0"/>
                <w:lang w:bidi="ar"/>
              </w:rPr>
            </w:pPr>
          </w:p>
          <w:p w14:paraId="3CA7232B">
            <w:pPr>
              <w:pStyle w:val="50"/>
              <w:rPr>
                <w:kern w:val="0"/>
                <w:lang w:bidi="ar"/>
              </w:rPr>
            </w:pPr>
          </w:p>
          <w:p w14:paraId="0883CF90">
            <w:pPr>
              <w:pStyle w:val="50"/>
              <w:rPr>
                <w:kern w:val="0"/>
                <w:lang w:bidi="ar"/>
              </w:rPr>
            </w:pPr>
            <w:r>
              <w:rPr>
                <w:rFonts w:hint="eastAsia"/>
                <w:kern w:val="0"/>
                <w:lang w:bidi="ar"/>
              </w:rPr>
              <w:t>项目技术负责人或机械员（签字）            （盖章）</w:t>
            </w:r>
          </w:p>
          <w:p w14:paraId="1C0E6D91">
            <w:pPr>
              <w:pStyle w:val="50"/>
              <w:rPr>
                <w:kern w:val="0"/>
                <w:lang w:bidi="ar"/>
              </w:rPr>
            </w:pPr>
          </w:p>
          <w:p w14:paraId="6C96E32B">
            <w:pPr>
              <w:pStyle w:val="50"/>
            </w:pPr>
            <w:r>
              <w:rPr>
                <w:rFonts w:hint="eastAsia"/>
                <w:kern w:val="0"/>
                <w:lang w:bidi="ar"/>
              </w:rPr>
              <w:t>年   月   日</w:t>
            </w:r>
          </w:p>
        </w:tc>
      </w:tr>
      <w:tr w14:paraId="7957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968" w:type="dxa"/>
            <w:gridSpan w:val="5"/>
            <w:tcBorders>
              <w:top w:val="single" w:color="auto" w:sz="4" w:space="0"/>
              <w:left w:val="single" w:color="auto" w:sz="4" w:space="0"/>
              <w:bottom w:val="single" w:color="auto" w:sz="4" w:space="0"/>
              <w:right w:val="single" w:color="auto" w:sz="4" w:space="0"/>
            </w:tcBorders>
            <w:vAlign w:val="center"/>
          </w:tcPr>
          <w:p w14:paraId="4A1F300F">
            <w:pPr>
              <w:pStyle w:val="50"/>
              <w:rPr>
                <w:kern w:val="0"/>
                <w:lang w:bidi="ar"/>
              </w:rPr>
            </w:pPr>
            <w:r>
              <w:rPr>
                <w:rFonts w:hint="eastAsia"/>
                <w:kern w:val="0"/>
                <w:lang w:bidi="ar"/>
              </w:rPr>
              <w:t>安装单位意见：</w:t>
            </w:r>
          </w:p>
          <w:p w14:paraId="639366A2">
            <w:pPr>
              <w:pStyle w:val="50"/>
              <w:rPr>
                <w:kern w:val="0"/>
                <w:lang w:bidi="ar"/>
              </w:rPr>
            </w:pPr>
          </w:p>
          <w:p w14:paraId="508A1E08">
            <w:pPr>
              <w:pStyle w:val="50"/>
              <w:rPr>
                <w:kern w:val="0"/>
                <w:lang w:bidi="ar"/>
              </w:rPr>
            </w:pPr>
          </w:p>
          <w:p w14:paraId="5959C85B">
            <w:pPr>
              <w:pStyle w:val="50"/>
              <w:rPr>
                <w:kern w:val="0"/>
                <w:lang w:bidi="ar"/>
              </w:rPr>
            </w:pPr>
            <w:r>
              <w:rPr>
                <w:rFonts w:hint="eastAsia"/>
                <w:kern w:val="0"/>
                <w:lang w:bidi="ar"/>
              </w:rPr>
              <w:t xml:space="preserve"> 技术负责人（或受委托负责人）（签字）      （盖章）</w:t>
            </w:r>
          </w:p>
          <w:p w14:paraId="77FB60BE">
            <w:pPr>
              <w:pStyle w:val="50"/>
              <w:rPr>
                <w:kern w:val="0"/>
                <w:lang w:bidi="ar"/>
              </w:rPr>
            </w:pPr>
          </w:p>
          <w:p w14:paraId="0A0EB7C4">
            <w:pPr>
              <w:pStyle w:val="50"/>
            </w:pPr>
            <w:r>
              <w:rPr>
                <w:rFonts w:hint="eastAsia"/>
                <w:kern w:val="0"/>
                <w:lang w:bidi="ar"/>
              </w:rPr>
              <w:t>年    月    日</w:t>
            </w:r>
          </w:p>
        </w:tc>
        <w:tc>
          <w:tcPr>
            <w:tcW w:w="4532" w:type="dxa"/>
            <w:gridSpan w:val="4"/>
            <w:tcBorders>
              <w:top w:val="single" w:color="auto" w:sz="4" w:space="0"/>
              <w:left w:val="single" w:color="auto" w:sz="4" w:space="0"/>
              <w:bottom w:val="single" w:color="auto" w:sz="4" w:space="0"/>
              <w:right w:val="single" w:color="auto" w:sz="4" w:space="0"/>
            </w:tcBorders>
            <w:vAlign w:val="center"/>
          </w:tcPr>
          <w:p w14:paraId="2A4BCE80">
            <w:pPr>
              <w:pStyle w:val="50"/>
              <w:rPr>
                <w:kern w:val="0"/>
                <w:lang w:bidi="ar"/>
              </w:rPr>
            </w:pPr>
            <w:r>
              <w:rPr>
                <w:rFonts w:hint="eastAsia"/>
                <w:kern w:val="0"/>
                <w:lang w:bidi="ar"/>
              </w:rPr>
              <w:t>监理单位意见：</w:t>
            </w:r>
          </w:p>
          <w:p w14:paraId="0AE2AB33">
            <w:pPr>
              <w:pStyle w:val="50"/>
              <w:rPr>
                <w:kern w:val="0"/>
                <w:lang w:bidi="ar"/>
              </w:rPr>
            </w:pPr>
          </w:p>
          <w:p w14:paraId="097EF947">
            <w:pPr>
              <w:pStyle w:val="50"/>
              <w:rPr>
                <w:kern w:val="0"/>
                <w:lang w:bidi="ar"/>
              </w:rPr>
            </w:pPr>
          </w:p>
          <w:p w14:paraId="58D38E11">
            <w:pPr>
              <w:pStyle w:val="50"/>
              <w:rPr>
                <w:kern w:val="0"/>
                <w:lang w:bidi="ar"/>
              </w:rPr>
            </w:pPr>
            <w:r>
              <w:rPr>
                <w:rFonts w:hint="eastAsia"/>
                <w:kern w:val="0"/>
                <w:lang w:bidi="ar"/>
              </w:rPr>
              <w:t>总监或专业监理工程师（签字）：             （盖章）</w:t>
            </w:r>
          </w:p>
          <w:p w14:paraId="509EE457">
            <w:pPr>
              <w:pStyle w:val="50"/>
              <w:rPr>
                <w:kern w:val="0"/>
                <w:lang w:bidi="ar"/>
              </w:rPr>
            </w:pPr>
          </w:p>
          <w:p w14:paraId="71B2C9EA">
            <w:pPr>
              <w:pStyle w:val="50"/>
            </w:pPr>
            <w:r>
              <w:rPr>
                <w:rFonts w:hint="eastAsia"/>
                <w:kern w:val="0"/>
                <w:lang w:bidi="ar"/>
              </w:rPr>
              <w:t>年   月   日</w:t>
            </w:r>
          </w:p>
        </w:tc>
      </w:tr>
    </w:tbl>
    <w:p w14:paraId="548E9C5B">
      <w:pPr>
        <w:pStyle w:val="2"/>
        <w:bidi w:val="0"/>
        <w:ind w:left="432" w:leftChars="0" w:hanging="432" w:firstLineChars="0"/>
        <w:rPr>
          <w:rFonts w:hint="eastAsia"/>
        </w:rPr>
      </w:pPr>
      <w:bookmarkStart w:id="184" w:name="_Toc5273"/>
      <w:bookmarkStart w:id="185" w:name="_Toc24755"/>
      <w:bookmarkStart w:id="186" w:name="_Toc23626"/>
      <w:r>
        <w:rPr>
          <w:rFonts w:hint="eastAsia"/>
        </w:rPr>
        <w:t>应急处置措施</w:t>
      </w:r>
      <w:bookmarkEnd w:id="184"/>
      <w:bookmarkEnd w:id="185"/>
      <w:bookmarkEnd w:id="186"/>
    </w:p>
    <w:p w14:paraId="7023A6E6">
      <w:pPr>
        <w:pStyle w:val="3"/>
        <w:bidi w:val="0"/>
        <w:ind w:left="575" w:leftChars="0" w:hanging="575" w:firstLineChars="0"/>
        <w:rPr>
          <w:b/>
          <w:bCs w:val="0"/>
          <w:sz w:val="28"/>
          <w:szCs w:val="28"/>
        </w:rPr>
      </w:pPr>
      <w:bookmarkStart w:id="187" w:name="_Toc102481275"/>
      <w:bookmarkStart w:id="188" w:name="_Toc121344359"/>
      <w:bookmarkStart w:id="189" w:name="_Toc23556"/>
      <w:bookmarkStart w:id="190" w:name="_Toc28613977"/>
      <w:bookmarkStart w:id="191" w:name="_Toc102825399"/>
      <w:bookmarkStart w:id="192" w:name="_Toc102481224"/>
      <w:bookmarkStart w:id="193" w:name="_Toc31572"/>
      <w:bookmarkStart w:id="194" w:name="_Toc27559"/>
      <w:bookmarkStart w:id="195" w:name="_Toc40778454"/>
      <w:bookmarkStart w:id="196" w:name="_Toc22986"/>
      <w:r>
        <w:rPr>
          <w:rFonts w:hint="eastAsia"/>
          <w:b/>
          <w:bCs w:val="0"/>
          <w:sz w:val="28"/>
          <w:szCs w:val="28"/>
        </w:rPr>
        <w:t>组织机构</w:t>
      </w:r>
      <w:bookmarkEnd w:id="187"/>
      <w:bookmarkEnd w:id="188"/>
      <w:bookmarkEnd w:id="189"/>
      <w:bookmarkEnd w:id="190"/>
      <w:bookmarkEnd w:id="191"/>
      <w:bookmarkEnd w:id="192"/>
      <w:bookmarkEnd w:id="193"/>
      <w:bookmarkEnd w:id="194"/>
      <w:bookmarkEnd w:id="195"/>
      <w:bookmarkEnd w:id="196"/>
    </w:p>
    <w:p w14:paraId="4AA9CE7E">
      <w:pPr>
        <w:ind w:firstLine="480"/>
        <w:rPr>
          <w:rFonts w:hint="eastAsia"/>
        </w:rPr>
      </w:pPr>
      <w:r>
        <w:rPr>
          <w:rFonts w:hint="eastAsia"/>
        </w:rPr>
        <w:t>根据本施工工程成立</w:t>
      </w:r>
      <w:r>
        <w:rPr>
          <w:rFonts w:hint="eastAsia"/>
          <w:lang w:val="en-US" w:eastAsia="zh-CN"/>
        </w:rPr>
        <w:t>应急</w:t>
      </w:r>
      <w:r>
        <w:rPr>
          <w:rFonts w:hint="eastAsia"/>
        </w:rPr>
        <w:t>管理组织机构，其人员组成、工作职责详见表9.1-1所示.</w:t>
      </w:r>
    </w:p>
    <w:p w14:paraId="47F82D11">
      <w:pPr>
        <w:pStyle w:val="95"/>
        <w:bidi w:val="0"/>
        <w:rPr>
          <w:rFonts w:hint="eastAsia"/>
          <w:b/>
          <w:bCs/>
          <w:lang w:val="en-US" w:eastAsia="zh-CN"/>
        </w:rPr>
      </w:pPr>
      <w:r>
        <w:rPr>
          <w:rFonts w:hint="eastAsia"/>
        </w:rPr>
        <w:t>表9.1-1</w:t>
      </w:r>
      <w:r>
        <w:rPr>
          <w:rFonts w:hint="eastAsia"/>
          <w:lang w:val="en-US" w:eastAsia="zh-CN"/>
        </w:rPr>
        <w:t>应急</w:t>
      </w:r>
      <w:r>
        <w:rPr>
          <w:rFonts w:hint="eastAsia"/>
        </w:rPr>
        <w:t>管理组织机构</w:t>
      </w:r>
    </w:p>
    <w:tbl>
      <w:tblPr>
        <w:tblStyle w:val="38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2342"/>
        <w:gridCol w:w="970"/>
        <w:gridCol w:w="4876"/>
        <w:gridCol w:w="550"/>
      </w:tblGrid>
      <w:tr w14:paraId="07F1A2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tblHeader/>
          <w:jc w:val="center"/>
        </w:trPr>
        <w:tc>
          <w:tcPr>
            <w:tcW w:w="295" w:type="pct"/>
            <w:shd w:val="clear" w:color="auto" w:fill="auto"/>
            <w:vAlign w:val="center"/>
          </w:tcPr>
          <w:p w14:paraId="15852538">
            <w:pPr>
              <w:spacing w:line="240" w:lineRule="auto"/>
              <w:ind w:firstLine="0" w:firstLineChars="0"/>
              <w:jc w:val="center"/>
              <w:rPr>
                <w:b/>
                <w:sz w:val="21"/>
              </w:rPr>
            </w:pPr>
            <w:r>
              <w:rPr>
                <w:rFonts w:hint="eastAsia"/>
                <w:b/>
                <w:sz w:val="21"/>
              </w:rPr>
              <w:t>序号</w:t>
            </w:r>
          </w:p>
        </w:tc>
        <w:tc>
          <w:tcPr>
            <w:tcW w:w="1261" w:type="pct"/>
            <w:shd w:val="clear" w:color="auto" w:fill="auto"/>
            <w:vAlign w:val="center"/>
          </w:tcPr>
          <w:p w14:paraId="5D852FC2">
            <w:pPr>
              <w:spacing w:line="240" w:lineRule="auto"/>
              <w:ind w:firstLine="0" w:firstLineChars="0"/>
              <w:jc w:val="center"/>
              <w:rPr>
                <w:rFonts w:hint="eastAsia" w:eastAsia="宋体"/>
                <w:b/>
                <w:bCs/>
                <w:sz w:val="21"/>
                <w:lang w:eastAsia="zh-CN"/>
              </w:rPr>
            </w:pPr>
            <w:r>
              <w:rPr>
                <w:rFonts w:hint="eastAsia"/>
                <w:b/>
                <w:bCs/>
                <w:sz w:val="21"/>
                <w:lang w:val="en-US" w:eastAsia="zh-CN"/>
              </w:rPr>
              <w:t>岗位</w:t>
            </w:r>
          </w:p>
        </w:tc>
        <w:tc>
          <w:tcPr>
            <w:tcW w:w="522" w:type="pct"/>
            <w:shd w:val="clear" w:color="auto" w:fill="auto"/>
            <w:vAlign w:val="center"/>
          </w:tcPr>
          <w:p w14:paraId="4FA31CBC">
            <w:pPr>
              <w:spacing w:line="240" w:lineRule="auto"/>
              <w:ind w:firstLine="0" w:firstLineChars="0"/>
              <w:jc w:val="center"/>
              <w:rPr>
                <w:rFonts w:hint="eastAsia" w:eastAsia="宋体"/>
                <w:b/>
                <w:sz w:val="21"/>
                <w:lang w:eastAsia="zh-CN"/>
              </w:rPr>
            </w:pPr>
            <w:r>
              <w:rPr>
                <w:rFonts w:hint="eastAsia"/>
                <w:b/>
                <w:bCs/>
                <w:sz w:val="21"/>
                <w:lang w:val="en-US" w:eastAsia="zh-CN"/>
              </w:rPr>
              <w:t>姓名</w:t>
            </w:r>
          </w:p>
        </w:tc>
        <w:tc>
          <w:tcPr>
            <w:tcW w:w="2625" w:type="pct"/>
            <w:shd w:val="clear" w:color="auto" w:fill="auto"/>
            <w:vAlign w:val="center"/>
          </w:tcPr>
          <w:p w14:paraId="1ECA4206">
            <w:pPr>
              <w:spacing w:line="240" w:lineRule="auto"/>
              <w:ind w:firstLine="0" w:firstLineChars="0"/>
              <w:jc w:val="center"/>
              <w:rPr>
                <w:rFonts w:hint="eastAsia" w:eastAsia="宋体"/>
                <w:b/>
                <w:sz w:val="21"/>
                <w:lang w:eastAsia="zh-CN"/>
              </w:rPr>
            </w:pPr>
            <w:r>
              <w:rPr>
                <w:rFonts w:hint="eastAsia"/>
                <w:b/>
                <w:sz w:val="21"/>
                <w:lang w:val="en-US" w:eastAsia="zh-CN"/>
              </w:rPr>
              <w:t>工作职责</w:t>
            </w:r>
          </w:p>
        </w:tc>
        <w:tc>
          <w:tcPr>
            <w:tcW w:w="296" w:type="pct"/>
            <w:shd w:val="clear" w:color="auto" w:fill="auto"/>
            <w:vAlign w:val="center"/>
          </w:tcPr>
          <w:p w14:paraId="2E4AB350">
            <w:pPr>
              <w:spacing w:line="240" w:lineRule="auto"/>
              <w:ind w:firstLine="0" w:firstLineChars="0"/>
              <w:jc w:val="center"/>
              <w:rPr>
                <w:rFonts w:hint="eastAsia" w:eastAsia="宋体"/>
                <w:b/>
                <w:sz w:val="21"/>
                <w:lang w:val="en-US" w:eastAsia="zh-CN"/>
              </w:rPr>
            </w:pPr>
            <w:r>
              <w:rPr>
                <w:rFonts w:hint="eastAsia"/>
                <w:b/>
                <w:sz w:val="21"/>
                <w:lang w:val="en-US" w:eastAsia="zh-CN"/>
              </w:rPr>
              <w:t>备注</w:t>
            </w:r>
          </w:p>
        </w:tc>
      </w:tr>
      <w:tr w14:paraId="31722E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4F2E62DE">
            <w:pPr>
              <w:numPr>
                <w:ilvl w:val="0"/>
                <w:numId w:val="37"/>
              </w:numPr>
              <w:spacing w:line="240" w:lineRule="auto"/>
              <w:ind w:left="240" w:leftChars="0" w:firstLineChars="0"/>
              <w:jc w:val="center"/>
              <w:rPr>
                <w:sz w:val="21"/>
              </w:rPr>
            </w:pPr>
          </w:p>
        </w:tc>
        <w:tc>
          <w:tcPr>
            <w:tcW w:w="1261" w:type="pct"/>
            <w:shd w:val="clear" w:color="auto" w:fill="auto"/>
            <w:vAlign w:val="center"/>
          </w:tcPr>
          <w:p w14:paraId="64C44EC3">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技术负责人</w:t>
            </w:r>
          </w:p>
        </w:tc>
        <w:tc>
          <w:tcPr>
            <w:tcW w:w="522" w:type="pct"/>
            <w:shd w:val="clear" w:color="auto" w:fill="auto"/>
            <w:vAlign w:val="center"/>
          </w:tcPr>
          <w:p w14:paraId="14FE71A9">
            <w:pPr>
              <w:pStyle w:val="50"/>
              <w:spacing w:line="240" w:lineRule="auto"/>
              <w:ind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温涛</w:t>
            </w:r>
          </w:p>
        </w:tc>
        <w:tc>
          <w:tcPr>
            <w:tcW w:w="2625" w:type="pct"/>
            <w:shd w:val="clear" w:color="auto" w:fill="auto"/>
            <w:vAlign w:val="center"/>
          </w:tcPr>
          <w:p w14:paraId="1975BB97">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负责组织人员按安装工艺规程及塔吊使用说明书要求进行作业，负责每日的工作安排，安全交底、工作记录，制止任何违章作业。</w:t>
            </w:r>
          </w:p>
        </w:tc>
        <w:tc>
          <w:tcPr>
            <w:tcW w:w="296" w:type="pct"/>
            <w:shd w:val="clear" w:color="auto" w:fill="auto"/>
            <w:vAlign w:val="center"/>
          </w:tcPr>
          <w:p w14:paraId="60D0046E">
            <w:pPr>
              <w:spacing w:line="240" w:lineRule="auto"/>
              <w:ind w:firstLine="0" w:firstLineChars="0"/>
              <w:jc w:val="center"/>
              <w:rPr>
                <w:sz w:val="21"/>
              </w:rPr>
            </w:pPr>
          </w:p>
        </w:tc>
      </w:tr>
      <w:tr w14:paraId="0BDA33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130ECC20">
            <w:pPr>
              <w:numPr>
                <w:ilvl w:val="0"/>
                <w:numId w:val="37"/>
              </w:numPr>
              <w:spacing w:line="240" w:lineRule="auto"/>
              <w:ind w:left="240" w:leftChars="0" w:firstLineChars="0"/>
              <w:jc w:val="center"/>
              <w:rPr>
                <w:sz w:val="21"/>
              </w:rPr>
            </w:pPr>
          </w:p>
        </w:tc>
        <w:tc>
          <w:tcPr>
            <w:tcW w:w="1261" w:type="pct"/>
            <w:shd w:val="clear" w:color="auto" w:fill="auto"/>
            <w:vAlign w:val="center"/>
          </w:tcPr>
          <w:p w14:paraId="06E06B0C">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项目负责人</w:t>
            </w:r>
          </w:p>
        </w:tc>
        <w:tc>
          <w:tcPr>
            <w:tcW w:w="522" w:type="pct"/>
            <w:shd w:val="clear" w:color="auto" w:fill="auto"/>
            <w:vAlign w:val="center"/>
          </w:tcPr>
          <w:p w14:paraId="472FF815">
            <w:pPr>
              <w:pStyle w:val="50"/>
              <w:spacing w:line="240" w:lineRule="auto"/>
              <w:ind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吕仕昌</w:t>
            </w:r>
          </w:p>
        </w:tc>
        <w:tc>
          <w:tcPr>
            <w:tcW w:w="2625" w:type="pct"/>
            <w:shd w:val="clear" w:color="auto" w:fill="auto"/>
            <w:vAlign w:val="center"/>
          </w:tcPr>
          <w:p w14:paraId="20E24206">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296" w:type="pct"/>
            <w:shd w:val="clear" w:color="auto" w:fill="auto"/>
            <w:vAlign w:val="center"/>
          </w:tcPr>
          <w:p w14:paraId="7290733E">
            <w:pPr>
              <w:spacing w:line="240" w:lineRule="auto"/>
              <w:ind w:firstLine="0" w:firstLineChars="0"/>
              <w:jc w:val="center"/>
              <w:rPr>
                <w:sz w:val="21"/>
              </w:rPr>
            </w:pPr>
          </w:p>
        </w:tc>
      </w:tr>
      <w:tr w14:paraId="2857BE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7618C562">
            <w:pPr>
              <w:numPr>
                <w:ilvl w:val="0"/>
                <w:numId w:val="37"/>
              </w:numPr>
              <w:spacing w:line="240" w:lineRule="auto"/>
              <w:ind w:left="240" w:leftChars="0" w:firstLineChars="0"/>
              <w:jc w:val="center"/>
              <w:rPr>
                <w:sz w:val="21"/>
              </w:rPr>
            </w:pPr>
          </w:p>
        </w:tc>
        <w:tc>
          <w:tcPr>
            <w:tcW w:w="1261" w:type="pct"/>
            <w:shd w:val="clear" w:color="auto" w:fill="auto"/>
            <w:vAlign w:val="center"/>
          </w:tcPr>
          <w:p w14:paraId="034F49A9">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现场负责人</w:t>
            </w:r>
          </w:p>
        </w:tc>
        <w:tc>
          <w:tcPr>
            <w:tcW w:w="522" w:type="pct"/>
            <w:shd w:val="clear" w:color="auto" w:fill="auto"/>
            <w:vAlign w:val="center"/>
          </w:tcPr>
          <w:p w14:paraId="00DF33E5">
            <w:pPr>
              <w:pStyle w:val="50"/>
              <w:spacing w:line="240" w:lineRule="auto"/>
              <w:ind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罗乾龙</w:t>
            </w:r>
          </w:p>
        </w:tc>
        <w:tc>
          <w:tcPr>
            <w:tcW w:w="2625" w:type="pct"/>
            <w:shd w:val="clear" w:color="auto" w:fill="auto"/>
            <w:vAlign w:val="center"/>
          </w:tcPr>
          <w:p w14:paraId="6E291A54">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负责现场安拆指导及安全管理</w:t>
            </w:r>
          </w:p>
        </w:tc>
        <w:tc>
          <w:tcPr>
            <w:tcW w:w="296" w:type="pct"/>
            <w:shd w:val="clear" w:color="auto" w:fill="auto"/>
            <w:vAlign w:val="center"/>
          </w:tcPr>
          <w:p w14:paraId="0D76DAC4">
            <w:pPr>
              <w:spacing w:line="240" w:lineRule="auto"/>
              <w:ind w:firstLine="0" w:firstLineChars="0"/>
              <w:jc w:val="center"/>
              <w:rPr>
                <w:sz w:val="21"/>
              </w:rPr>
            </w:pPr>
          </w:p>
        </w:tc>
      </w:tr>
      <w:tr w14:paraId="1B0834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7F48409D">
            <w:pPr>
              <w:numPr>
                <w:ilvl w:val="0"/>
                <w:numId w:val="37"/>
              </w:numPr>
              <w:spacing w:line="240" w:lineRule="auto"/>
              <w:ind w:left="240" w:leftChars="0" w:firstLineChars="0"/>
              <w:jc w:val="center"/>
              <w:rPr>
                <w:sz w:val="21"/>
              </w:rPr>
            </w:pPr>
          </w:p>
        </w:tc>
        <w:tc>
          <w:tcPr>
            <w:tcW w:w="1261" w:type="pct"/>
            <w:shd w:val="clear" w:color="auto" w:fill="auto"/>
            <w:vAlign w:val="center"/>
          </w:tcPr>
          <w:p w14:paraId="33AFFFBF">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60D11BF2">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胡杰</w:t>
            </w:r>
          </w:p>
        </w:tc>
        <w:tc>
          <w:tcPr>
            <w:tcW w:w="2625" w:type="pct"/>
            <w:shd w:val="clear" w:color="auto" w:fill="auto"/>
            <w:vAlign w:val="center"/>
          </w:tcPr>
          <w:p w14:paraId="2D54790B">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w:t>
            </w:r>
          </w:p>
          <w:p w14:paraId="00B81DB3">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及维保</w:t>
            </w:r>
          </w:p>
        </w:tc>
        <w:tc>
          <w:tcPr>
            <w:tcW w:w="296" w:type="pct"/>
            <w:shd w:val="clear" w:color="auto" w:fill="auto"/>
            <w:vAlign w:val="center"/>
          </w:tcPr>
          <w:p w14:paraId="222596D0">
            <w:pPr>
              <w:spacing w:line="240" w:lineRule="auto"/>
              <w:ind w:firstLine="0" w:firstLineChars="0"/>
              <w:jc w:val="center"/>
              <w:rPr>
                <w:sz w:val="21"/>
              </w:rPr>
            </w:pPr>
          </w:p>
        </w:tc>
      </w:tr>
      <w:tr w14:paraId="31F725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096C088A">
            <w:pPr>
              <w:numPr>
                <w:ilvl w:val="0"/>
                <w:numId w:val="37"/>
              </w:numPr>
              <w:spacing w:line="240" w:lineRule="auto"/>
              <w:ind w:left="240" w:leftChars="0" w:firstLineChars="0"/>
              <w:jc w:val="center"/>
              <w:rPr>
                <w:sz w:val="21"/>
              </w:rPr>
            </w:pPr>
          </w:p>
        </w:tc>
        <w:tc>
          <w:tcPr>
            <w:tcW w:w="1261" w:type="pct"/>
            <w:shd w:val="clear" w:color="auto" w:fill="auto"/>
            <w:vAlign w:val="center"/>
          </w:tcPr>
          <w:p w14:paraId="147660E6">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7CB6ADDB">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何小兵</w:t>
            </w:r>
          </w:p>
        </w:tc>
        <w:tc>
          <w:tcPr>
            <w:tcW w:w="2625" w:type="pct"/>
            <w:shd w:val="clear" w:color="auto" w:fill="auto"/>
            <w:vAlign w:val="center"/>
          </w:tcPr>
          <w:p w14:paraId="14903AEB">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4899F266">
            <w:pPr>
              <w:spacing w:line="240" w:lineRule="auto"/>
              <w:ind w:firstLine="0" w:firstLineChars="0"/>
              <w:jc w:val="center"/>
              <w:rPr>
                <w:sz w:val="21"/>
              </w:rPr>
            </w:pPr>
          </w:p>
        </w:tc>
      </w:tr>
      <w:tr w14:paraId="1F6B6C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295" w:type="pct"/>
            <w:shd w:val="clear" w:color="auto" w:fill="auto"/>
            <w:vAlign w:val="center"/>
          </w:tcPr>
          <w:p w14:paraId="59704C58">
            <w:pPr>
              <w:numPr>
                <w:ilvl w:val="0"/>
                <w:numId w:val="37"/>
              </w:numPr>
              <w:spacing w:line="240" w:lineRule="auto"/>
              <w:ind w:left="240" w:leftChars="0" w:firstLineChars="0"/>
              <w:jc w:val="center"/>
              <w:rPr>
                <w:sz w:val="21"/>
              </w:rPr>
            </w:pPr>
          </w:p>
        </w:tc>
        <w:tc>
          <w:tcPr>
            <w:tcW w:w="1261" w:type="pct"/>
            <w:shd w:val="clear" w:color="auto" w:fill="auto"/>
            <w:vAlign w:val="center"/>
          </w:tcPr>
          <w:p w14:paraId="457A069C">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590EA60E">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匡彬</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 </w:t>
            </w:r>
          </w:p>
        </w:tc>
        <w:tc>
          <w:tcPr>
            <w:tcW w:w="2625" w:type="pct"/>
            <w:shd w:val="clear" w:color="auto" w:fill="auto"/>
            <w:vAlign w:val="center"/>
          </w:tcPr>
          <w:p w14:paraId="688902BE">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3B193EE1">
            <w:pPr>
              <w:spacing w:line="240" w:lineRule="auto"/>
              <w:ind w:firstLine="0" w:firstLineChars="0"/>
              <w:jc w:val="center"/>
              <w:rPr>
                <w:sz w:val="21"/>
              </w:rPr>
            </w:pPr>
          </w:p>
        </w:tc>
      </w:tr>
      <w:tr w14:paraId="5C70B8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27976637">
            <w:pPr>
              <w:numPr>
                <w:ilvl w:val="0"/>
                <w:numId w:val="37"/>
              </w:numPr>
              <w:spacing w:line="240" w:lineRule="auto"/>
              <w:ind w:left="240" w:leftChars="0" w:firstLineChars="0"/>
              <w:jc w:val="center"/>
              <w:rPr>
                <w:sz w:val="21"/>
              </w:rPr>
            </w:pPr>
          </w:p>
        </w:tc>
        <w:tc>
          <w:tcPr>
            <w:tcW w:w="1261" w:type="pct"/>
            <w:shd w:val="clear" w:color="auto" w:fill="auto"/>
            <w:vAlign w:val="center"/>
          </w:tcPr>
          <w:p w14:paraId="00D4C9B8">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76965D8D">
            <w:pPr>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方柳</w:t>
            </w:r>
          </w:p>
        </w:tc>
        <w:tc>
          <w:tcPr>
            <w:tcW w:w="2625" w:type="pct"/>
            <w:shd w:val="clear" w:color="auto" w:fill="auto"/>
            <w:vAlign w:val="center"/>
          </w:tcPr>
          <w:p w14:paraId="2A6E7DD1">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600859EA">
            <w:pPr>
              <w:spacing w:line="240" w:lineRule="auto"/>
              <w:ind w:firstLine="0" w:firstLineChars="0"/>
              <w:jc w:val="center"/>
              <w:rPr>
                <w:sz w:val="21"/>
              </w:rPr>
            </w:pPr>
          </w:p>
        </w:tc>
      </w:tr>
      <w:tr w14:paraId="1502C4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0F250B90">
            <w:pPr>
              <w:numPr>
                <w:ilvl w:val="0"/>
                <w:numId w:val="37"/>
              </w:numPr>
              <w:spacing w:line="240" w:lineRule="auto"/>
              <w:ind w:left="240" w:leftChars="0" w:firstLineChars="0"/>
              <w:jc w:val="center"/>
              <w:rPr>
                <w:sz w:val="21"/>
              </w:rPr>
            </w:pPr>
          </w:p>
        </w:tc>
        <w:tc>
          <w:tcPr>
            <w:tcW w:w="1261" w:type="pct"/>
            <w:shd w:val="clear" w:color="auto" w:fill="auto"/>
            <w:vAlign w:val="center"/>
          </w:tcPr>
          <w:p w14:paraId="5CA123E2">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建筑电工（维保人员）</w:t>
            </w:r>
          </w:p>
        </w:tc>
        <w:tc>
          <w:tcPr>
            <w:tcW w:w="522" w:type="pct"/>
            <w:shd w:val="clear" w:color="auto" w:fill="auto"/>
            <w:vAlign w:val="center"/>
          </w:tcPr>
          <w:p w14:paraId="248F30C9">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熊登</w:t>
            </w:r>
          </w:p>
        </w:tc>
        <w:tc>
          <w:tcPr>
            <w:tcW w:w="2625" w:type="pct"/>
            <w:shd w:val="clear" w:color="auto" w:fill="auto"/>
            <w:vAlign w:val="center"/>
          </w:tcPr>
          <w:p w14:paraId="323AE7DE">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负责设备安拆电气调试及维保</w:t>
            </w:r>
          </w:p>
        </w:tc>
        <w:tc>
          <w:tcPr>
            <w:tcW w:w="296" w:type="pct"/>
            <w:shd w:val="clear" w:color="auto" w:fill="auto"/>
            <w:vAlign w:val="center"/>
          </w:tcPr>
          <w:p w14:paraId="626238EF">
            <w:pPr>
              <w:spacing w:line="240" w:lineRule="auto"/>
              <w:ind w:firstLine="0" w:firstLineChars="0"/>
              <w:jc w:val="center"/>
              <w:rPr>
                <w:sz w:val="21"/>
              </w:rPr>
            </w:pPr>
          </w:p>
        </w:tc>
      </w:tr>
      <w:tr w14:paraId="13C9AA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6BAE53F8">
            <w:pPr>
              <w:numPr>
                <w:ilvl w:val="0"/>
                <w:numId w:val="37"/>
              </w:numPr>
              <w:spacing w:line="240" w:lineRule="auto"/>
              <w:ind w:left="240" w:leftChars="0" w:firstLineChars="0"/>
              <w:jc w:val="center"/>
              <w:rPr>
                <w:sz w:val="21"/>
              </w:rPr>
            </w:pPr>
          </w:p>
        </w:tc>
        <w:tc>
          <w:tcPr>
            <w:tcW w:w="1261" w:type="pct"/>
            <w:shd w:val="clear" w:color="auto" w:fill="auto"/>
            <w:vAlign w:val="center"/>
          </w:tcPr>
          <w:p w14:paraId="782E9D12">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司机</w:t>
            </w:r>
          </w:p>
        </w:tc>
        <w:tc>
          <w:tcPr>
            <w:tcW w:w="522" w:type="pct"/>
            <w:shd w:val="clear" w:color="auto" w:fill="auto"/>
            <w:vAlign w:val="center"/>
          </w:tcPr>
          <w:p w14:paraId="2456BF23">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张云桥</w:t>
            </w:r>
          </w:p>
        </w:tc>
        <w:tc>
          <w:tcPr>
            <w:tcW w:w="2625" w:type="pct"/>
            <w:shd w:val="clear" w:color="auto" w:fill="auto"/>
            <w:vAlign w:val="center"/>
          </w:tcPr>
          <w:p w14:paraId="3169848B">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在安装过程中对塔吊进行操作。严守操作规程，严格安照日常保养维护检查，确保塔吊处于良好状态。</w:t>
            </w:r>
          </w:p>
        </w:tc>
        <w:tc>
          <w:tcPr>
            <w:tcW w:w="296" w:type="pct"/>
            <w:shd w:val="clear" w:color="auto" w:fill="auto"/>
            <w:vAlign w:val="center"/>
          </w:tcPr>
          <w:p w14:paraId="224665F1">
            <w:pPr>
              <w:spacing w:line="240" w:lineRule="auto"/>
              <w:ind w:firstLine="0" w:firstLineChars="0"/>
              <w:jc w:val="center"/>
              <w:rPr>
                <w:sz w:val="21"/>
              </w:rPr>
            </w:pPr>
          </w:p>
        </w:tc>
      </w:tr>
      <w:tr w14:paraId="2ABDC4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37712744">
            <w:pPr>
              <w:numPr>
                <w:ilvl w:val="0"/>
                <w:numId w:val="37"/>
              </w:numPr>
              <w:spacing w:line="240" w:lineRule="auto"/>
              <w:ind w:left="240" w:leftChars="0" w:firstLineChars="0"/>
              <w:jc w:val="center"/>
              <w:rPr>
                <w:sz w:val="21"/>
              </w:rPr>
            </w:pPr>
          </w:p>
        </w:tc>
        <w:tc>
          <w:tcPr>
            <w:tcW w:w="1261" w:type="pct"/>
            <w:shd w:val="clear" w:color="auto" w:fill="auto"/>
            <w:vAlign w:val="center"/>
          </w:tcPr>
          <w:p w14:paraId="592B2CF2">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指挥</w:t>
            </w:r>
          </w:p>
        </w:tc>
        <w:tc>
          <w:tcPr>
            <w:tcW w:w="522" w:type="pct"/>
            <w:shd w:val="clear" w:color="auto" w:fill="auto"/>
            <w:vAlign w:val="center"/>
          </w:tcPr>
          <w:p w14:paraId="6509FFE5">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刘云祥</w:t>
            </w:r>
          </w:p>
        </w:tc>
        <w:tc>
          <w:tcPr>
            <w:tcW w:w="2625" w:type="pct"/>
            <w:shd w:val="clear" w:color="auto" w:fill="auto"/>
            <w:vAlign w:val="center"/>
          </w:tcPr>
          <w:p w14:paraId="7CC1A099">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负责安装过程中的指挥信号</w:t>
            </w:r>
          </w:p>
        </w:tc>
        <w:tc>
          <w:tcPr>
            <w:tcW w:w="296" w:type="pct"/>
            <w:shd w:val="clear" w:color="auto" w:fill="auto"/>
            <w:vAlign w:val="center"/>
          </w:tcPr>
          <w:p w14:paraId="3681AB1C">
            <w:pPr>
              <w:spacing w:line="240" w:lineRule="auto"/>
              <w:ind w:firstLine="0" w:firstLineChars="0"/>
              <w:jc w:val="center"/>
              <w:rPr>
                <w:sz w:val="21"/>
              </w:rPr>
            </w:pPr>
          </w:p>
        </w:tc>
      </w:tr>
    </w:tbl>
    <w:p w14:paraId="0FC4629F">
      <w:pPr>
        <w:pStyle w:val="4"/>
        <w:bidi w:val="0"/>
        <w:ind w:left="720" w:leftChars="0" w:hanging="720" w:firstLineChars="0"/>
        <w:rPr>
          <w:rFonts w:hint="eastAsia"/>
          <w:b/>
          <w:bCs w:val="0"/>
          <w:lang w:val="en-US" w:eastAsia="zh-CN"/>
        </w:rPr>
      </w:pPr>
      <w:r>
        <w:rPr>
          <w:rFonts w:hint="eastAsia"/>
          <w:b/>
          <w:bCs w:val="0"/>
          <w:lang w:val="en-US" w:eastAsia="zh-CN"/>
        </w:rPr>
        <w:t>应急响应程序</w:t>
      </w:r>
    </w:p>
    <w:p w14:paraId="03B0DD2B">
      <w:pPr>
        <w:ind w:firstLine="480"/>
      </w:pPr>
      <w:r>
        <w:rPr>
          <w:rFonts w:hint="eastAsia"/>
        </w:rPr>
        <w:t>事故应急救援系统的应急响应程序按照过程可分为接警、响应级别的确定、应急启动、救援行动、应急恢复和应急结束等几个过程。</w:t>
      </w:r>
    </w:p>
    <w:p w14:paraId="41D653ED">
      <w:pPr>
        <w:ind w:firstLine="480"/>
      </w:pPr>
      <w:r>
        <w:rPr>
          <w:rFonts w:hint="eastAsia"/>
        </w:rPr>
        <w:t>（1）</w:t>
      </w:r>
      <w:r>
        <w:rPr>
          <w:rFonts w:hint="eastAsia"/>
        </w:rPr>
        <w:tab/>
      </w:r>
      <w:r>
        <w:rPr>
          <w:rFonts w:hint="eastAsia"/>
        </w:rPr>
        <w:t>三级响应。事故事件类别为：一般等级以下事故。应急救援及处置由项目部主导和具体实施，所属分公司协助处理。</w:t>
      </w:r>
    </w:p>
    <w:p w14:paraId="75407664">
      <w:pPr>
        <w:ind w:firstLine="480"/>
      </w:pPr>
      <w:r>
        <w:rPr>
          <w:rFonts w:hint="eastAsia"/>
        </w:rPr>
        <w:t>（2）</w:t>
      </w:r>
      <w:r>
        <w:rPr>
          <w:rFonts w:hint="eastAsia"/>
        </w:rPr>
        <w:tab/>
      </w:r>
      <w:r>
        <w:rPr>
          <w:rFonts w:hint="eastAsia"/>
        </w:rPr>
        <w:t>二级紧急情况。事故事件类别为：发生重伤事故或者可能造成较大伤害和影响的事故，且事态得以控制，不会造成严重社会影响。应急救援及处置协调由分公司主导，局综合协调，项目部具体实施。</w:t>
      </w:r>
    </w:p>
    <w:p w14:paraId="43BCBE60">
      <w:pPr>
        <w:ind w:firstLine="480"/>
      </w:pPr>
      <w:r>
        <w:rPr>
          <w:rFonts w:hint="eastAsia"/>
        </w:rPr>
        <w:t>（3）</w:t>
      </w:r>
      <w:r>
        <w:rPr>
          <w:rFonts w:hint="eastAsia"/>
        </w:rPr>
        <w:tab/>
      </w:r>
      <w:r>
        <w:rPr>
          <w:rFonts w:hint="eastAsia"/>
        </w:rPr>
        <w:t>一级紧急情况。事故事件类别为：发生较大及以上等级生产安全事故；发生一般等级生产安全事故，但可能造成进一步损失或严重社会影响。应急救援及处置协调由二航局主导，分公司配合，项目部具体实施。</w:t>
      </w:r>
    </w:p>
    <w:p w14:paraId="5BA9E327">
      <w:pPr>
        <w:pStyle w:val="4"/>
        <w:bidi w:val="0"/>
        <w:ind w:left="720" w:leftChars="0" w:hanging="720" w:firstLineChars="0"/>
        <w:rPr>
          <w:rFonts w:hint="eastAsia"/>
          <w:b/>
          <w:bCs w:val="0"/>
          <w:lang w:val="en-US" w:eastAsia="zh-CN"/>
        </w:rPr>
      </w:pPr>
      <w:r>
        <w:rPr>
          <w:rFonts w:hint="eastAsia"/>
          <w:b/>
          <w:bCs w:val="0"/>
          <w:lang w:val="en-US" w:eastAsia="zh-CN"/>
        </w:rPr>
        <w:t>应急处置程序</w:t>
      </w:r>
    </w:p>
    <w:p w14:paraId="1E5D8B70">
      <w:pPr>
        <w:ind w:firstLine="480"/>
      </w:pPr>
      <w:r>
        <w:rPr>
          <w:rFonts w:hint="eastAsia"/>
        </w:rPr>
        <w:t>施工过程中事故发生，应急处置流程见下图：</w:t>
      </w:r>
    </w:p>
    <w:p w14:paraId="28938409">
      <w:pPr>
        <w:keepNext/>
        <w:ind w:firstLine="480"/>
      </w:pPr>
      <w:r>
        <w:rPr>
          <w:rFonts w:hint="eastAsia"/>
        </w:rPr>
        <w:object>
          <v:shape id="_x0000_i1026" o:spt="75" type="#_x0000_t75" style="height:317.45pt;width:366.25pt;" o:ole="t" filled="f" o:preferrelative="t" stroked="f" coordsize="21600,21600">
            <v:path/>
            <v:fill on="f" focussize="0,0"/>
            <v:stroke on="f" joinstyle="miter"/>
            <v:imagedata r:id="rId79" o:title=""/>
            <o:lock v:ext="edit" aspectratio="f"/>
            <w10:wrap type="none"/>
            <w10:anchorlock/>
          </v:shape>
          <o:OLEObject Type="Embed" ProgID="Visio.Drawing.15" ShapeID="_x0000_i1026" DrawAspect="Content" ObjectID="_1468075726">
            <o:LockedField>false</o:LockedField>
          </o:OLEObject>
        </w:object>
      </w:r>
    </w:p>
    <w:p w14:paraId="6233A2E2">
      <w:pPr>
        <w:pStyle w:val="16"/>
      </w:pPr>
      <w:r>
        <w:rPr>
          <w:rFonts w:hint="eastAsia"/>
        </w:rPr>
        <w:t xml:space="preserve">图 </w:t>
      </w:r>
      <w:r>
        <w:fldChar w:fldCharType="begin"/>
      </w:r>
      <w:r>
        <w:instrText xml:space="preserve"> </w:instrText>
      </w:r>
      <w:r>
        <w:rPr>
          <w:rFonts w:hint="eastAsia"/>
        </w:rPr>
        <w:instrText xml:space="preserve">STYLEREF 3 \s</w:instrText>
      </w:r>
      <w:r>
        <w:instrText xml:space="preserve"> </w:instrText>
      </w:r>
      <w:r>
        <w:fldChar w:fldCharType="separate"/>
      </w:r>
      <w:r>
        <w:t>9.</w:t>
      </w:r>
      <w:r>
        <w:rPr>
          <w:rFonts w:hint="eastAsia"/>
          <w:lang w:val="en-US" w:eastAsia="zh-CN"/>
        </w:rPr>
        <w:t>1</w:t>
      </w:r>
      <w:r>
        <w:t>.2</w:t>
      </w:r>
      <w:r>
        <w:fldChar w:fldCharType="end"/>
      </w:r>
      <w:r>
        <w:noBreakHyphen/>
      </w:r>
      <w:r>
        <w:fldChar w:fldCharType="begin"/>
      </w:r>
      <w:r>
        <w:instrText xml:space="preserve"> </w:instrText>
      </w:r>
      <w:r>
        <w:rPr>
          <w:rFonts w:hint="eastAsia"/>
        </w:rPr>
        <w:instrText xml:space="preserve">SEQ 图 \* ARABIC \s 3</w:instrText>
      </w:r>
      <w:r>
        <w:instrText xml:space="preserve"> </w:instrText>
      </w:r>
      <w:r>
        <w:fldChar w:fldCharType="separate"/>
      </w:r>
      <w:r>
        <w:t>1</w:t>
      </w:r>
      <w:r>
        <w:fldChar w:fldCharType="end"/>
      </w:r>
      <w:r>
        <w:rPr>
          <w:rFonts w:hint="eastAsia"/>
        </w:rPr>
        <w:t>事故应急处置流程</w:t>
      </w:r>
    </w:p>
    <w:p w14:paraId="63AC582D">
      <w:pPr>
        <w:pStyle w:val="4"/>
        <w:bidi w:val="0"/>
        <w:ind w:left="720" w:leftChars="0" w:hanging="720" w:firstLineChars="0"/>
        <w:rPr>
          <w:rFonts w:hint="eastAsia"/>
          <w:b/>
          <w:bCs w:val="0"/>
          <w:lang w:val="en-US" w:eastAsia="zh-CN"/>
        </w:rPr>
      </w:pPr>
      <w:r>
        <w:rPr>
          <w:rFonts w:hint="eastAsia"/>
          <w:b/>
          <w:bCs w:val="0"/>
          <w:lang w:val="en-US" w:eastAsia="zh-CN"/>
        </w:rPr>
        <w:t>事故报告及内容</w:t>
      </w:r>
    </w:p>
    <w:p w14:paraId="02494B1D">
      <w:pPr>
        <w:ind w:firstLine="480"/>
      </w:pPr>
      <w:r>
        <w:rPr>
          <w:rFonts w:hint="eastAsia"/>
        </w:rPr>
        <w:t>安全事故或突发事件发生后，事故发现人应立即报告现场负责人，现场负责人向项目经理报告；现场负责人接报后，应第一时间启动现场处置方案，采取紧急措施抢救伤亡人员，控制事故，防止扩大；项目经理接报后，应当及时根据事故或突发事件情况，决定是否启动专项应急预案，并根据情况，决定是否请求外部协助。内部报告程序可越级报告，第一时间接报人要同时告知以上相关人员。</w:t>
      </w:r>
    </w:p>
    <w:p w14:paraId="7E888552">
      <w:pPr>
        <w:ind w:firstLine="480"/>
      </w:pPr>
      <w:r>
        <w:rPr>
          <w:rFonts w:hint="eastAsia"/>
        </w:rPr>
        <w:t>项目应急救援领导小组仔细了解事故情况，迅速确定事故书面简报材料。自接到事故报告半小时内同时向监理单位、建设单位及分公司安监部门负责人及当地安全生产监管部门报告。外部报告程序由项目部统一报告，不得越级。</w:t>
      </w:r>
    </w:p>
    <w:p w14:paraId="567FF227">
      <w:pPr>
        <w:pStyle w:val="70"/>
        <w:widowControl/>
        <w:numPr>
          <w:ilvl w:val="0"/>
          <w:numId w:val="0"/>
        </w:numPr>
        <w:adjustRightInd w:val="0"/>
        <w:snapToGrid w:val="0"/>
        <w:ind w:leftChars="200"/>
        <w:jc w:val="both"/>
      </w:pPr>
      <w:r>
        <w:rPr>
          <w:rFonts w:hint="eastAsia"/>
        </w:rPr>
        <w:t>生产安全事故报告内容包括：</w:t>
      </w:r>
    </w:p>
    <w:p w14:paraId="10B31E12">
      <w:pPr>
        <w:pStyle w:val="70"/>
        <w:widowControl/>
        <w:numPr>
          <w:ilvl w:val="0"/>
          <w:numId w:val="38"/>
        </w:numPr>
        <w:adjustRightInd w:val="0"/>
        <w:snapToGrid w:val="0"/>
        <w:ind w:left="0" w:firstLine="480" w:firstLineChars="200"/>
        <w:jc w:val="both"/>
      </w:pPr>
      <w:r>
        <w:rPr>
          <w:rFonts w:hint="eastAsia"/>
        </w:rPr>
        <w:t>事故发生单位概况；</w:t>
      </w:r>
    </w:p>
    <w:p w14:paraId="3ABFF951">
      <w:pPr>
        <w:pStyle w:val="70"/>
        <w:widowControl/>
        <w:numPr>
          <w:ilvl w:val="0"/>
          <w:numId w:val="38"/>
        </w:numPr>
        <w:adjustRightInd w:val="0"/>
        <w:snapToGrid w:val="0"/>
        <w:ind w:left="0" w:firstLine="480" w:firstLineChars="200"/>
        <w:jc w:val="both"/>
      </w:pPr>
      <w:r>
        <w:rPr>
          <w:rFonts w:hint="eastAsia"/>
        </w:rPr>
        <w:t>事故发生的时间、地点以及事故现场情况；</w:t>
      </w:r>
    </w:p>
    <w:p w14:paraId="5E1D2990">
      <w:pPr>
        <w:pStyle w:val="70"/>
        <w:widowControl/>
        <w:numPr>
          <w:ilvl w:val="0"/>
          <w:numId w:val="38"/>
        </w:numPr>
        <w:adjustRightInd w:val="0"/>
        <w:snapToGrid w:val="0"/>
        <w:ind w:left="0" w:firstLine="480" w:firstLineChars="200"/>
        <w:jc w:val="both"/>
      </w:pPr>
      <w:r>
        <w:rPr>
          <w:rFonts w:hint="eastAsia"/>
        </w:rPr>
        <w:t>事故的简要经过；</w:t>
      </w:r>
    </w:p>
    <w:p w14:paraId="4EB0D6F6">
      <w:pPr>
        <w:pStyle w:val="70"/>
        <w:widowControl/>
        <w:numPr>
          <w:ilvl w:val="0"/>
          <w:numId w:val="38"/>
        </w:numPr>
        <w:adjustRightInd w:val="0"/>
        <w:snapToGrid w:val="0"/>
        <w:ind w:left="0" w:firstLine="480" w:firstLineChars="200"/>
        <w:jc w:val="both"/>
      </w:pPr>
      <w:r>
        <w:rPr>
          <w:rFonts w:hint="eastAsia"/>
        </w:rPr>
        <w:t>事故已经造成或者可能造成的伤亡人数和初步估计的直接经济损失；</w:t>
      </w:r>
    </w:p>
    <w:p w14:paraId="217E43B0">
      <w:pPr>
        <w:pStyle w:val="70"/>
        <w:widowControl/>
        <w:numPr>
          <w:ilvl w:val="0"/>
          <w:numId w:val="38"/>
        </w:numPr>
        <w:adjustRightInd w:val="0"/>
        <w:snapToGrid w:val="0"/>
        <w:ind w:left="0" w:firstLine="480" w:firstLineChars="200"/>
        <w:jc w:val="both"/>
      </w:pPr>
      <w:r>
        <w:rPr>
          <w:rFonts w:hint="eastAsia"/>
        </w:rPr>
        <w:t>已经采取的措施；</w:t>
      </w:r>
    </w:p>
    <w:p w14:paraId="5848E6E0">
      <w:pPr>
        <w:pStyle w:val="70"/>
        <w:widowControl/>
        <w:numPr>
          <w:ilvl w:val="0"/>
          <w:numId w:val="38"/>
        </w:numPr>
        <w:adjustRightInd w:val="0"/>
        <w:snapToGrid w:val="0"/>
        <w:ind w:left="0" w:firstLine="480" w:firstLineChars="200"/>
        <w:jc w:val="both"/>
      </w:pPr>
      <w:r>
        <w:rPr>
          <w:rFonts w:hint="eastAsia"/>
        </w:rPr>
        <w:t>其他应当报告的情况。</w:t>
      </w:r>
    </w:p>
    <w:p w14:paraId="3A2C0864">
      <w:pPr>
        <w:pStyle w:val="3"/>
        <w:bidi w:val="0"/>
        <w:ind w:left="575" w:leftChars="0" w:hanging="575" w:firstLineChars="0"/>
        <w:rPr>
          <w:b/>
          <w:bCs w:val="0"/>
          <w:sz w:val="28"/>
          <w:szCs w:val="28"/>
        </w:rPr>
      </w:pPr>
      <w:bookmarkStart w:id="197" w:name="_Toc40778456"/>
      <w:bookmarkStart w:id="198" w:name="_Toc121344361"/>
      <w:bookmarkStart w:id="199" w:name="_Toc22714"/>
      <w:bookmarkStart w:id="200" w:name="_Toc102481226"/>
      <w:bookmarkStart w:id="201" w:name="_Toc102825401"/>
      <w:bookmarkStart w:id="202" w:name="_Toc102481277"/>
      <w:bookmarkStart w:id="203" w:name="_Toc3539"/>
      <w:bookmarkStart w:id="204" w:name="_Toc8308"/>
      <w:bookmarkStart w:id="205" w:name="_Toc31968"/>
      <w:r>
        <w:rPr>
          <w:rFonts w:hint="eastAsia"/>
          <w:b/>
          <w:bCs w:val="0"/>
          <w:sz w:val="28"/>
          <w:szCs w:val="28"/>
        </w:rPr>
        <w:t>应急处置措施</w:t>
      </w:r>
      <w:bookmarkEnd w:id="197"/>
      <w:bookmarkEnd w:id="198"/>
      <w:bookmarkEnd w:id="199"/>
      <w:bookmarkEnd w:id="200"/>
      <w:bookmarkEnd w:id="201"/>
      <w:bookmarkEnd w:id="202"/>
      <w:bookmarkEnd w:id="203"/>
      <w:bookmarkEnd w:id="204"/>
      <w:bookmarkEnd w:id="205"/>
    </w:p>
    <w:p w14:paraId="51CBAC4B">
      <w:pPr>
        <w:pStyle w:val="4"/>
        <w:bidi w:val="0"/>
        <w:ind w:left="720" w:leftChars="0" w:hanging="720" w:firstLineChars="0"/>
        <w:rPr>
          <w:rFonts w:hint="eastAsia"/>
          <w:b/>
          <w:bCs w:val="0"/>
          <w:lang w:val="en-US" w:eastAsia="zh-CN"/>
        </w:rPr>
      </w:pPr>
      <w:bookmarkStart w:id="206" w:name="_Toc113272900"/>
      <w:bookmarkStart w:id="207" w:name="_Toc113274132"/>
      <w:r>
        <w:rPr>
          <w:rFonts w:hint="eastAsia"/>
          <w:b/>
          <w:bCs w:val="0"/>
          <w:lang w:val="en-US" w:eastAsia="zh-CN"/>
        </w:rPr>
        <w:t>高处坠落应急处置措施</w:t>
      </w:r>
      <w:bookmarkEnd w:id="206"/>
      <w:bookmarkEnd w:id="207"/>
    </w:p>
    <w:p w14:paraId="37A28240">
      <w:pPr>
        <w:pStyle w:val="70"/>
        <w:numPr>
          <w:ilvl w:val="5"/>
          <w:numId w:val="39"/>
        </w:numPr>
        <w:ind w:firstLine="480"/>
        <w:jc w:val="both"/>
      </w:pPr>
      <w:r>
        <w:rPr>
          <w:rFonts w:hint="eastAsia"/>
        </w:rPr>
        <w:t>发生高处坠落事故，应马上组织抢救伤者，首先观察伤者的受伤情况、部位、伤害性质，如伤员发生休克，应先去除伤员身上的用具和口袋中的硬物。遇呼吸、心跳停止者，应立即进行人工呼吸，胸外心脏挤压。处于休克状态的伤员要让其安静、保暖、平卧、少动，并将下肢抬高约20度，尽快送医院进行抢救治疗。应采用担架或硬质木板搬运和转送伤员，避免颈部和躯干前屈或扭转，使脊柱伸直，绝对禁止一个抬肩一个抬腿的搬法，以免造成截瘫。</w:t>
      </w:r>
    </w:p>
    <w:p w14:paraId="7F6A2426">
      <w:pPr>
        <w:pStyle w:val="70"/>
        <w:numPr>
          <w:ilvl w:val="5"/>
          <w:numId w:val="40"/>
        </w:numPr>
        <w:ind w:firstLine="480"/>
        <w:jc w:val="both"/>
        <w:rPr>
          <w:color w:val="000000" w:themeColor="text1"/>
          <w14:textFill>
            <w14:solidFill>
              <w14:schemeClr w14:val="tx1"/>
            </w14:solidFill>
          </w14:textFill>
        </w:rPr>
      </w:pPr>
      <w:r>
        <w:rPr>
          <w:rFonts w:hint="eastAsia"/>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w:t>
      </w:r>
      <w:r>
        <w:rPr>
          <w:rFonts w:hint="eastAsia"/>
          <w:color w:val="000000" w:themeColor="text1"/>
          <w14:textFill>
            <w14:solidFill>
              <w14:schemeClr w14:val="tx1"/>
            </w14:solidFill>
          </w14:textFill>
        </w:rPr>
        <w:t>等覆盖伤口，用绷带或布条包扎后，及时送就近医院治疗。</w:t>
      </w:r>
    </w:p>
    <w:p w14:paraId="31A6DD78">
      <w:pPr>
        <w:pStyle w:val="70"/>
        <w:numPr>
          <w:ilvl w:val="5"/>
          <w:numId w:val="40"/>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颌面部伤员首先应保持呼吸道畅通，清除移位的组织碎片、血凝块、口腔分泌物等，同时松解伤员的颈、胸部纽扣。</w:t>
      </w:r>
    </w:p>
    <w:p w14:paraId="3C2F9A30">
      <w:pPr>
        <w:pStyle w:val="70"/>
        <w:numPr>
          <w:ilvl w:val="5"/>
          <w:numId w:val="40"/>
        </w:numPr>
        <w:ind w:firstLine="480"/>
        <w:jc w:val="both"/>
      </w:pPr>
      <w:r>
        <w:rPr>
          <w:rFonts w:hint="eastAsia"/>
          <w:color w:val="000000" w:themeColor="text1"/>
          <w14:textFill>
            <w14:solidFill>
              <w14:schemeClr w14:val="tx1"/>
            </w14:solidFill>
          </w14:textFill>
        </w:rPr>
        <w:t>发现脊椎受伤者，创伤处用消毒的纱布或清洁布等覆盖伤口，用绷带或布条包扎。搬运时，将伤者平卧放在担架或硬板上，以免受伤的脊椎移位、断裂造成截瘫，甚至死亡。抢救脊椎受伤者，搬运过程严禁只</w:t>
      </w:r>
      <w:r>
        <w:rPr>
          <w:rFonts w:hint="eastAsia"/>
        </w:rPr>
        <w:t>抬伤者的两肩与两腿或单肩背运。</w:t>
      </w:r>
    </w:p>
    <w:p w14:paraId="76F0B37E">
      <w:pPr>
        <w:pStyle w:val="70"/>
        <w:numPr>
          <w:ilvl w:val="5"/>
          <w:numId w:val="40"/>
        </w:numPr>
        <w:ind w:firstLine="480"/>
        <w:jc w:val="both"/>
      </w:pPr>
      <w:r>
        <w:rPr>
          <w:rFonts w:hint="eastAsia"/>
        </w:rPr>
        <w:t>发现伤者手足骨折，不要盲目搬动伤者。应在骨折部位用夹板把受伤位置临时固定，使断端不再移位或刺伤肌肉、神经或血管。固定方法：以固定骨折处上下关节为原则，可就地取材，用木板、竹片等。</w:t>
      </w:r>
    </w:p>
    <w:p w14:paraId="5C98764C">
      <w:pPr>
        <w:pStyle w:val="70"/>
        <w:numPr>
          <w:ilvl w:val="5"/>
          <w:numId w:val="40"/>
        </w:numPr>
        <w:ind w:firstLine="480"/>
        <w:jc w:val="both"/>
      </w:pPr>
      <w:r>
        <w:rPr>
          <w:rFonts w:hint="eastAsia"/>
        </w:rPr>
        <w:t>复合伤要求平仰卧位，保持呼吸道畅通，解开衣领扣。</w:t>
      </w:r>
    </w:p>
    <w:p w14:paraId="4C77C825">
      <w:pPr>
        <w:pStyle w:val="70"/>
        <w:numPr>
          <w:ilvl w:val="5"/>
          <w:numId w:val="40"/>
        </w:numPr>
        <w:ind w:firstLine="480"/>
        <w:jc w:val="both"/>
      </w:pPr>
      <w:r>
        <w:rPr>
          <w:rFonts w:hint="eastAsia"/>
        </w:rPr>
        <w:t>遇有创伤性出血的伤员，应迅速包扎止血，使伤员保持在头低脚高的卧位，并注意保暖。及时把伤者送往邻近医院抢救，运送途中应尽量减少颠簸。同时，密切注意伤者的呼吸、脉搏、血压及伤口的情况。</w:t>
      </w:r>
    </w:p>
    <w:p w14:paraId="5CE41FCD">
      <w:pPr>
        <w:pStyle w:val="70"/>
        <w:numPr>
          <w:ilvl w:val="5"/>
          <w:numId w:val="40"/>
        </w:numPr>
        <w:ind w:firstLine="480"/>
        <w:jc w:val="both"/>
      </w:pPr>
      <w:r>
        <w:rPr>
          <w:rFonts w:hint="eastAsia"/>
        </w:rPr>
        <w:t>配合上级主管部门和调查组开展调查处理，并做好伤员及家属善后工作。</w:t>
      </w:r>
    </w:p>
    <w:p w14:paraId="74B58A5A">
      <w:pPr>
        <w:pStyle w:val="4"/>
        <w:bidi w:val="0"/>
        <w:ind w:left="720" w:leftChars="0" w:hanging="720" w:firstLineChars="0"/>
        <w:rPr>
          <w:rFonts w:hint="eastAsia"/>
          <w:b/>
          <w:bCs w:val="0"/>
          <w:lang w:val="en-US" w:eastAsia="zh-CN"/>
        </w:rPr>
      </w:pPr>
      <w:bookmarkStart w:id="208" w:name="_Toc113272901"/>
      <w:bookmarkStart w:id="209" w:name="_Toc113274133"/>
      <w:r>
        <w:rPr>
          <w:rFonts w:hint="eastAsia"/>
          <w:b/>
          <w:bCs w:val="0"/>
          <w:lang w:val="en-US" w:eastAsia="zh-CN"/>
        </w:rPr>
        <w:t>物体打击应急处置措施</w:t>
      </w:r>
      <w:bookmarkEnd w:id="208"/>
      <w:bookmarkEnd w:id="209"/>
    </w:p>
    <w:p w14:paraId="5BA7842C">
      <w:pPr>
        <w:pStyle w:val="70"/>
        <w:numPr>
          <w:ilvl w:val="5"/>
          <w:numId w:val="41"/>
        </w:numPr>
        <w:ind w:firstLine="480"/>
        <w:jc w:val="both"/>
      </w:pPr>
      <w:r>
        <w:rPr>
          <w:rFonts w:hint="eastAsia"/>
        </w:rPr>
        <w:t>当发生物体打击事故时，根据现场和受伤者的伤情的具体情况，立即打“120”急救电话，详细报告事故发生地址、人员受伤的情况和可能需要配合救援的设备。</w:t>
      </w:r>
    </w:p>
    <w:p w14:paraId="3993E841">
      <w:pPr>
        <w:pStyle w:val="70"/>
        <w:numPr>
          <w:ilvl w:val="5"/>
          <w:numId w:val="40"/>
        </w:numPr>
        <w:ind w:firstLine="480"/>
        <w:jc w:val="both"/>
      </w:pPr>
      <w:r>
        <w:rPr>
          <w:rFonts w:hint="eastAsia"/>
        </w:rPr>
        <w:t>在急救中心专业人员未到达之前，应根据事故现场的整体情况、位置和伤者的伤情、部位，在排除人为加重伤者伤情的情况下，立即组织人员进行抢救。</w:t>
      </w:r>
    </w:p>
    <w:p w14:paraId="589C68B7">
      <w:pPr>
        <w:pStyle w:val="70"/>
        <w:numPr>
          <w:ilvl w:val="5"/>
          <w:numId w:val="40"/>
        </w:numPr>
        <w:ind w:firstLine="480"/>
        <w:jc w:val="both"/>
      </w:pPr>
      <w:r>
        <w:rPr>
          <w:rFonts w:hint="eastAsia"/>
        </w:rPr>
        <w:t>抢救前首先观察伤者的受伤情况、部位、伤害性质，如伤者发生休克，应先处理休克。遇呼吸、心跳停止者，应当进行人工呼吸，胸外心脏挤压（但必须注意骨折的部位）。处于休克状态的伤员要让其安静、保暖、平卧、少动，并将下肢抬高约20度左右，尽快送医院进行抢救治疗。</w:t>
      </w:r>
    </w:p>
    <w:p w14:paraId="2BD1BD06">
      <w:pPr>
        <w:pStyle w:val="70"/>
        <w:numPr>
          <w:ilvl w:val="5"/>
          <w:numId w:val="40"/>
        </w:numPr>
        <w:ind w:firstLine="480"/>
        <w:jc w:val="both"/>
      </w:pPr>
      <w:r>
        <w:rPr>
          <w:rFonts w:hint="eastAsia"/>
        </w:rPr>
        <w:t>出现颅脑外伤，必须维持呼吸道通畅。昏迷者应平卧，面部转向一侧，以防舌根下坠或分泌物、呕吐物吸入，发生喉阻塞。有骨折者，应初步固定后再搬运。偶有凹陷骨折、严重的颅底骨折及严重的脑损伤症状出现，创伤处用消毒的纱布或清洁布等覆盖伤口，用绷带或布条包扎后，及时送就近有条件的医院治疗。</w:t>
      </w:r>
    </w:p>
    <w:p w14:paraId="760A0E9C">
      <w:pPr>
        <w:pStyle w:val="70"/>
        <w:numPr>
          <w:ilvl w:val="5"/>
          <w:numId w:val="40"/>
        </w:numPr>
        <w:ind w:firstLine="480"/>
        <w:jc w:val="both"/>
      </w:pPr>
      <w:r>
        <w:rPr>
          <w:rFonts w:hint="eastAsia"/>
        </w:rPr>
        <w:t>发现脊椎受伤者，创伤处用消毒的纱布或清洁布等覆盖伤口，用绷带或布条包扎后。搬运时，将伤者平卧放在帆布担架或硬板上，以免受伤的脊椎移位、断裂造成截瘫，招致死亡。抢救脊椎受伤者，搬运过程，严禁只抬伤者的两肩与两腿或单肩背运。</w:t>
      </w:r>
    </w:p>
    <w:p w14:paraId="0D37181A">
      <w:pPr>
        <w:pStyle w:val="70"/>
        <w:numPr>
          <w:ilvl w:val="5"/>
          <w:numId w:val="40"/>
        </w:numPr>
        <w:ind w:firstLine="480"/>
        <w:jc w:val="both"/>
      </w:pPr>
      <w:r>
        <w:rPr>
          <w:rFonts w:hint="eastAsia"/>
        </w:rPr>
        <w:t>发现伤者手足骨折或其他部位骨折的，不要盲目搬动伤者，应在骨折部位用夹板临时固定，使断端不再移位或刺伤肌肉、神经或血管。</w:t>
      </w:r>
    </w:p>
    <w:p w14:paraId="5A81184B">
      <w:pPr>
        <w:pStyle w:val="70"/>
        <w:numPr>
          <w:ilvl w:val="5"/>
          <w:numId w:val="40"/>
        </w:numPr>
        <w:ind w:firstLine="480"/>
        <w:jc w:val="both"/>
      </w:pPr>
      <w:r>
        <w:rPr>
          <w:rFonts w:hint="eastAsia"/>
        </w:rPr>
        <w:t>遇有创伤性出血的伤员，应迅速包扎止血，使伤员保持头低脚高的卧位，并注意保暖；若伤员有断肢情况发生应尽早用干净的干布（灭菌敷料）包裹装入塑料袋内，随伤员一起转送。</w:t>
      </w:r>
    </w:p>
    <w:p w14:paraId="24832C46">
      <w:pPr>
        <w:pStyle w:val="70"/>
        <w:numPr>
          <w:ilvl w:val="5"/>
          <w:numId w:val="40"/>
        </w:numPr>
        <w:ind w:firstLine="480"/>
        <w:jc w:val="both"/>
      </w:pPr>
      <w:r>
        <w:rPr>
          <w:rFonts w:hint="eastAsia"/>
        </w:rPr>
        <w:t>在施救的同时应尽快送往就近医院；伤者送往医院抢救时，途中尽量减少颠簸，同时，密切注意伤者的呼吸、脉搏、血压及伤口的情况。</w:t>
      </w:r>
    </w:p>
    <w:p w14:paraId="685F2297">
      <w:pPr>
        <w:pStyle w:val="70"/>
        <w:numPr>
          <w:ilvl w:val="5"/>
          <w:numId w:val="40"/>
        </w:numPr>
        <w:ind w:firstLine="480"/>
        <w:jc w:val="both"/>
      </w:pPr>
      <w:r>
        <w:rPr>
          <w:rFonts w:hint="eastAsia"/>
        </w:rPr>
        <w:t>如因长方形构件（钢管）打击（压倒）致伤，要根据现场的实际情况迅速调动起重机、手提点工具等机械设备配合施救。</w:t>
      </w:r>
    </w:p>
    <w:p w14:paraId="42BA91A2">
      <w:pPr>
        <w:pStyle w:val="70"/>
        <w:numPr>
          <w:ilvl w:val="5"/>
          <w:numId w:val="40"/>
        </w:numPr>
        <w:ind w:firstLine="480"/>
        <w:jc w:val="both"/>
      </w:pPr>
      <w:r>
        <w:rPr>
          <w:rFonts w:hint="eastAsia"/>
        </w:rPr>
        <w:t>现场应急指挥小组在抢救伤员的同时，应安排人员维护现场秩序，保护事故现场，并根据事态，迅速调动人员、设备进行现场救援，并做好现场警戒工作，以防事态扩大，同时向上级汇报。当现场救援力量控制不了现场事态的发展，应立即启动上一级应急响应，并根据实际情况借助于社会救援力量。现场应急救援指挥人员应充分听取专家和专业救援人员的意见，做好救援人员、设备、物资、器材的统一调配。</w:t>
      </w:r>
    </w:p>
    <w:p w14:paraId="77DC382F">
      <w:pPr>
        <w:pStyle w:val="4"/>
        <w:bidi w:val="0"/>
        <w:ind w:left="720" w:leftChars="0" w:hanging="720" w:firstLineChars="0"/>
        <w:rPr>
          <w:rFonts w:hint="eastAsia"/>
          <w:b/>
          <w:bCs w:val="0"/>
          <w:lang w:val="en-US" w:eastAsia="zh-CN"/>
        </w:rPr>
      </w:pPr>
      <w:bookmarkStart w:id="210" w:name="_Toc113272902"/>
      <w:bookmarkStart w:id="211" w:name="_Toc113274134"/>
      <w:r>
        <w:rPr>
          <w:rFonts w:hint="eastAsia"/>
          <w:b/>
          <w:bCs w:val="0"/>
          <w:lang w:val="en-US" w:eastAsia="zh-CN"/>
        </w:rPr>
        <w:t>起重伤害应急处置措施</w:t>
      </w:r>
      <w:bookmarkEnd w:id="210"/>
      <w:bookmarkEnd w:id="211"/>
    </w:p>
    <w:p w14:paraId="3118B867">
      <w:pPr>
        <w:pStyle w:val="70"/>
        <w:numPr>
          <w:ilvl w:val="5"/>
          <w:numId w:val="42"/>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起重伤害事故目击者应高声呼救，并立即向安全人员报告，各单位其他管理人员也都有认真接收报告和向上级反映事故情况的责任。</w:t>
      </w:r>
    </w:p>
    <w:p w14:paraId="57004450">
      <w:pPr>
        <w:pStyle w:val="70"/>
        <w:numPr>
          <w:ilvl w:val="5"/>
          <w:numId w:val="40"/>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事故发生后，应立即向当地救援机构、公安部门求援。</w:t>
      </w:r>
    </w:p>
    <w:p w14:paraId="0B41642B">
      <w:pPr>
        <w:pStyle w:val="70"/>
        <w:numPr>
          <w:ilvl w:val="5"/>
          <w:numId w:val="40"/>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安全人员应准确判断事故影响范围，协调各组之间的工作，派专人进行检查，确定抢救方案，保证事故现场相对安全和稳定时，抢救队员才可进入现场抢救受伤人员。</w:t>
      </w:r>
    </w:p>
    <w:p w14:paraId="5291C866">
      <w:pPr>
        <w:pStyle w:val="70"/>
        <w:numPr>
          <w:ilvl w:val="5"/>
          <w:numId w:val="40"/>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安全人员与当地医院立即取得联系，利用现场车辆火速把伤者送往附近医院救治，但对伤势严重者应注意搬运方法，不得由此加重伤者伤情；在急救医疗机构人员赶到前抢险救护组应对受伤者进行必要的救助，根据伤情对伤者进行分类处理，处理的原则是先重后轻、先急后缓、先近后远。</w:t>
      </w:r>
    </w:p>
    <w:p w14:paraId="3BF85718">
      <w:pPr>
        <w:pStyle w:val="70"/>
        <w:numPr>
          <w:ilvl w:val="5"/>
          <w:numId w:val="40"/>
        </w:numPr>
        <w:ind w:firstLine="480"/>
        <w:jc w:val="both"/>
        <w:rPr>
          <w:color w:val="000000" w:themeColor="text1"/>
          <w14:textFill>
            <w14:solidFill>
              <w14:schemeClr w14:val="tx1"/>
            </w14:solidFill>
          </w14:textFill>
        </w:rPr>
      </w:pPr>
      <w:r>
        <w:rPr>
          <w:rFonts w:hint="eastAsia"/>
          <w:color w:val="000000" w:themeColor="text1"/>
          <w14:textFill>
            <w14:solidFill>
              <w14:schemeClr w14:val="tx1"/>
            </w14:solidFill>
          </w14:textFill>
        </w:rPr>
        <w:t>安全人员做好应急状态下现场所有设施和物资的安全，支援和保障现场抢救组的工作，负责事故现场的保护，并检查事故现场有无其它安全隐患。</w:t>
      </w:r>
    </w:p>
    <w:p w14:paraId="37C7A746">
      <w:pPr>
        <w:pStyle w:val="4"/>
        <w:bidi w:val="0"/>
        <w:ind w:left="720" w:leftChars="0" w:hanging="720" w:firstLineChars="0"/>
        <w:rPr>
          <w:rFonts w:hint="eastAsia"/>
          <w:b/>
          <w:bCs w:val="0"/>
          <w:lang w:val="en-US" w:eastAsia="zh-CN"/>
        </w:rPr>
      </w:pPr>
      <w:r>
        <w:rPr>
          <w:rFonts w:hint="eastAsia"/>
          <w:b/>
          <w:bCs w:val="0"/>
          <w:lang w:val="en-US" w:eastAsia="zh-CN"/>
        </w:rPr>
        <w:t>触电事故应急处置措施</w:t>
      </w:r>
    </w:p>
    <w:p w14:paraId="3C7FBBF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（1）首先要根据现场情况，使触电者迅速脱离电源，越快越好。</w:t>
      </w:r>
    </w:p>
    <w:p w14:paraId="5514498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（2）触电者未脱离电源前，救护人员不准直接用手触及伤员，防止再次触电。</w:t>
      </w:r>
    </w:p>
    <w:p w14:paraId="1EC477D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触电为低压时，救护人员应设法迅速切断电源，拉开电源开关或刀闸，拔除电源插头等；或使用绝缘工具、干燥的木棒、木板、绳索等不导电的东西解脱触电者；或抓住触电者干燥而不贴身的衣服，将其拖开，不得碰到金属物体和触电者的裸露身躯；也可戴绝缘手套或将手用干燥衣物等包起绝缘后解脱触电者；救护人员也可站在绝缘垫上或干木板上，绝缘自己进行救护。为使触电者与导电体解脱，最好用一只手进行。如果电流通过触电者入地，并且触电者紧握电线，可设法用干木板塞到身下，与地隔离，也可用干木把斧子或有绝缘柄的钳子等将电线剪断。剪断电线要分相，一根一根地剪断，并尽可能站在绝缘物体或干木板上。</w:t>
      </w:r>
    </w:p>
    <w:p w14:paraId="05595A3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4）如触电为高压时，救护人员应迅速切断电源，或用适合该电压等级的绝缘工具（戴绝缘手套、穿绝缘靴并用绝缘棒）解脱触电者。只有在确证线路已经无电，才可在触电者离开触电导线后，立即就地进行急救。救护人员在抢救过程中应注意保持自身与周围带电部分的安全距离。</w:t>
      </w:r>
    </w:p>
    <w:p w14:paraId="7329831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（5）救护触电伤员切除电源时，有时会同时使照明失电，应事故照明、应急灯等临时照明，新照明要符合使用场所防火、防爆要求，但不能因此延误切除电源和进行急救。</w:t>
      </w:r>
    </w:p>
    <w:p w14:paraId="59EAA29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（6）伤员脱离电源后，如神志清醒，应使其就地躺平，严密观察，暂时不要站立或走动；如神志不清，应就地仰面躺平，且确保气道通畅，并用 5s 时间用看、听、试的方法检查受伤情况，看受伤部位，听心跳，试脉搏，呼叫伤员或轻拍其肩部，以判定伤员是否意识丧失，禁止摇动伤员头部呼叫伤员。</w:t>
      </w:r>
    </w:p>
    <w:p w14:paraId="248A6E8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（7）需要抢救的伤员，应立即就地坚持正确抢救。</w:t>
      </w:r>
    </w:p>
    <w:p w14:paraId="0CFD4661">
      <w:pPr>
        <w:pStyle w:val="4"/>
        <w:bidi w:val="0"/>
        <w:ind w:left="720" w:leftChars="0" w:hanging="720" w:firstLineChars="0"/>
        <w:rPr>
          <w:rFonts w:hint="eastAsia"/>
          <w:b/>
          <w:bCs w:val="0"/>
          <w:lang w:val="en-US" w:eastAsia="zh-CN"/>
        </w:rPr>
      </w:pPr>
      <w:r>
        <w:rPr>
          <w:rFonts w:hint="eastAsia"/>
          <w:b/>
          <w:bCs w:val="0"/>
          <w:lang w:val="en-US" w:eastAsia="zh-CN"/>
        </w:rPr>
        <w:t>机械伤害应急处置措施</w:t>
      </w:r>
    </w:p>
    <w:p w14:paraId="3FC5C469">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当施工人员发生机械伤害事故时，迅速确定事故发生的准确位置、可能波及的范围、设备损坏的程度、人员伤亡等情况，观察伤者的受伤情况、部位、伤害性质，急救人员应尽快赶往出事地点。</w:t>
      </w:r>
    </w:p>
    <w:p w14:paraId="39C311D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（1）休克、昏迷急救</w:t>
      </w:r>
    </w:p>
    <w:p w14:paraId="33FC3D3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让休克者平卧、不用枕头，腿部抬高30度。若属于心源性休克同时伴有心力衰竭、气急，不能平卧时，可采用半卧，注意保暖和安静，尽量不要搬动，如必须搬动时，动作要轻。</w:t>
      </w:r>
    </w:p>
    <w:p w14:paraId="46EA63E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（2）骨折急救</w:t>
      </w:r>
    </w:p>
    <w:p w14:paraId="1BF49075">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a.固定断骨的材料可就地取材，如棍、木板、拐杖、硬纸板等都可作为固定材料，长短要以能固定住骨折处上下两个关节或不使断骨错动为准。 </w:t>
      </w:r>
    </w:p>
    <w:p w14:paraId="6FC757B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b.脊柱骨折或颈部骨折时，除非是特殊情况如室内失火，否则应让伤者留在原地，等待携有医疗器材的医护人员来搬动。  </w:t>
      </w:r>
    </w:p>
    <w:p w14:paraId="2995412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抬运伤者，从地上抬起时，要多人同时缓缓用力平托；运送时，必须用木板或硬材料，不能用布担架或绳床。木板上可垫棉被，但不能用枕头，颈椎骨骨折伤者的头须放正，两旁用沙袋将头夹住，不能让头随便晃动。</w:t>
      </w:r>
    </w:p>
    <w:p w14:paraId="019E8AA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（3）严重出血的急救</w:t>
      </w:r>
    </w:p>
    <w:p w14:paraId="20E3364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止血的方法：</w:t>
      </w:r>
    </w:p>
    <w:p w14:paraId="7CE6E0D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a.一般止血法：一般伤口小的出血，先用生理盐水涂上红汞药水，然后盖上消毒纱布，用绷带较紧地包扎。</w:t>
      </w:r>
    </w:p>
    <w:p w14:paraId="2FA44813">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严重出血时，应使用压迫带止血法。这是一种最基本、最常用，也是最有效的止血方法。适用于头、颈、四肢动脉大血管出血的临时止血。即用手指或手掌用力压住比伤口靠近心脏更近部位的动脉跳动处（止血点）。只要位置找得准，这种方法能马上起到止血作用。</w:t>
      </w:r>
    </w:p>
    <w:p w14:paraId="54C94B3F">
      <w:pPr>
        <w:ind w:firstLine="480"/>
      </w:pPr>
      <w:r>
        <w:rPr>
          <w:rFonts w:hint="eastAsia"/>
          <w:color w:val="000000" w:themeColor="text1"/>
          <w14:textFill>
            <w14:solidFill>
              <w14:schemeClr w14:val="tx1"/>
            </w14:solidFill>
          </w14:textFill>
        </w:rPr>
        <w:t>（4）肢体切断断肢(指)后，有时即刻造成伤者因流血或疼</w:t>
      </w:r>
      <w:r>
        <w:rPr>
          <w:rFonts w:hint="eastAsia"/>
        </w:rPr>
        <w:t>痛而发生休克，所以应设法首先止血，防止伤员休克。其急救要点为：</w:t>
      </w:r>
    </w:p>
    <w:p w14:paraId="5D1B2454">
      <w:pPr>
        <w:ind w:firstLine="480"/>
      </w:pPr>
      <w:r>
        <w:rPr>
          <w:rFonts w:hint="eastAsia"/>
        </w:rPr>
        <w:t>a.让伤者躺下，用一块纱布或清洁布块(如翻出干净手帕的内面)，放在断肢伤口上，再用绷带固定位置。如果找不到绷带，也可用围巾包扎。</w:t>
      </w:r>
    </w:p>
    <w:p w14:paraId="04360ECD">
      <w:pPr>
        <w:ind w:firstLine="480"/>
      </w:pPr>
      <w:r>
        <w:rPr>
          <w:rFonts w:hint="eastAsia"/>
        </w:rPr>
        <w:t>b.如是手臂切断，用绷带把断臂挂在胸前，固定位置；若是一条腿断了，则与另一条腿扎在一起。</w:t>
      </w:r>
    </w:p>
    <w:p w14:paraId="28341224">
      <w:pPr>
        <w:ind w:firstLine="480"/>
        <w:rPr>
          <w:color w:val="000000" w:themeColor="text1"/>
          <w14:textFill>
            <w14:solidFill>
              <w14:schemeClr w14:val="tx1"/>
            </w14:solidFill>
          </w14:textFill>
        </w:rPr>
      </w:pPr>
      <w:r>
        <w:rPr>
          <w:rFonts w:hint="eastAsia"/>
        </w:rPr>
        <w:t>c.料理好伤者后，设法找回断肢。倘若离断的伤肢(指)仍在机器中，千万不能将肢体强行拉出，或将机器倒开(转)，以免</w:t>
      </w:r>
      <w:r>
        <w:rPr>
          <w:rFonts w:hint="eastAsia"/>
          <w:color w:val="000000" w:themeColor="text1"/>
          <w14:textFill>
            <w14:solidFill>
              <w14:schemeClr w14:val="tx1"/>
            </w14:solidFill>
          </w14:textFill>
        </w:rPr>
        <w:t>增加损伤的机会。正确的方法应是拆开机器后取出。</w:t>
      </w:r>
    </w:p>
    <w:p w14:paraId="0B82C65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d.取下断落的肢(指)体后，立即用无菌纱布或干净布片包扎，然后放入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7AC83C42">
      <w:pPr>
        <w:ind w:firstLine="480"/>
      </w:pPr>
      <w:r>
        <w:rPr>
          <w:rFonts w:hint="eastAsia"/>
        </w:rPr>
        <w:t>e.离断后的伤肢，如有少许皮肤或其他肌腱相连，不能将其离断，应放在夹板或阔竹片上，然后包扎，立即送到医院作紧急处理。</w:t>
      </w:r>
    </w:p>
    <w:p w14:paraId="66D0B099">
      <w:pPr>
        <w:ind w:firstLine="480"/>
      </w:pPr>
      <w:r>
        <w:rPr>
          <w:rFonts w:hint="eastAsia"/>
        </w:rPr>
        <w:t>f.严禁在离断伤肢(指)的断端涂抹各种药物及药水(包括消毒剂)，更不能涂抹牙膏、灶灰之类试图止血。</w:t>
      </w:r>
    </w:p>
    <w:p w14:paraId="7BDB651E">
      <w:pPr>
        <w:ind w:firstLine="480"/>
      </w:pPr>
      <w:r>
        <w:rPr>
          <w:rFonts w:hint="eastAsia"/>
        </w:rPr>
        <w:t>（5）一般性外伤</w:t>
      </w:r>
    </w:p>
    <w:p w14:paraId="2022C6AE">
      <w:pPr>
        <w:ind w:firstLine="480"/>
      </w:pPr>
      <w:r>
        <w:rPr>
          <w:rFonts w:hint="eastAsia"/>
        </w:rPr>
        <w:t>a.视伤情送往医院，防止破伤风。</w:t>
      </w:r>
    </w:p>
    <w:p w14:paraId="26009593">
      <w:pPr>
        <w:ind w:firstLine="480"/>
      </w:pPr>
      <w:r>
        <w:rPr>
          <w:rFonts w:hint="eastAsia"/>
        </w:rPr>
        <w:t>b.轻微内伤，送医院检查。</w:t>
      </w:r>
    </w:p>
    <w:p w14:paraId="23FEEEA5">
      <w:pPr>
        <w:pStyle w:val="4"/>
        <w:bidi w:val="0"/>
        <w:ind w:left="720" w:leftChars="0" w:hanging="720" w:firstLineChars="0"/>
        <w:rPr>
          <w:rFonts w:hint="eastAsia"/>
          <w:b/>
          <w:bCs w:val="0"/>
          <w:lang w:val="en-US" w:eastAsia="zh-CN"/>
        </w:rPr>
      </w:pPr>
      <w:r>
        <w:rPr>
          <w:rFonts w:hint="eastAsia"/>
          <w:b/>
          <w:bCs w:val="0"/>
          <w:lang w:val="en-US" w:eastAsia="zh-CN"/>
        </w:rPr>
        <w:t>落水人员应急处置措施</w:t>
      </w:r>
    </w:p>
    <w:p w14:paraId="74143EE4">
      <w:pPr>
        <w:ind w:firstLine="480"/>
      </w:pPr>
      <w:r>
        <w:rPr>
          <w:rFonts w:hint="eastAsia"/>
        </w:rPr>
        <w:t>（1）交通船舶必须符合水上航行安全要求，备妥救生工具如救生衣、救生圈、救生竹篙等救生器材。</w:t>
      </w:r>
    </w:p>
    <w:p w14:paraId="5C4CC016">
      <w:pPr>
        <w:ind w:firstLine="480"/>
      </w:pPr>
      <w:r>
        <w:rPr>
          <w:rFonts w:hint="eastAsia"/>
        </w:rPr>
        <w:t>（2）水上施工作业及船上流动作业人员应按规定穿着救生衣。符合高处作业条件的，还应按高处作业的规定系好安全带。</w:t>
      </w:r>
    </w:p>
    <w:p w14:paraId="4382C4B4">
      <w:pPr>
        <w:ind w:firstLine="480"/>
      </w:pPr>
      <w:r>
        <w:rPr>
          <w:rFonts w:hint="eastAsia"/>
        </w:rPr>
        <w:t>（3）交通船必须按定员，不准超载。乘坐人员应听从船员的指挥，船到位后，应待靠稳拴牢方可上、下。不得抢上抢下或船未靠稳就跳船。</w:t>
      </w:r>
    </w:p>
    <w:p w14:paraId="1A1CE2B7">
      <w:pPr>
        <w:ind w:firstLine="480"/>
      </w:pPr>
      <w:r>
        <w:rPr>
          <w:rFonts w:hint="eastAsia"/>
        </w:rPr>
        <w:t>（4）乘坐人员应听从船员的指挥，自觉入舱，不得站立和坐骑在船头、船尾和船帮上，遇有风浪时，船上乘坐人员不得来回走动。非本船驾驶人员严禁擅自操作。</w:t>
      </w:r>
    </w:p>
    <w:p w14:paraId="61D4A7DE">
      <w:pPr>
        <w:ind w:firstLine="480"/>
      </w:pPr>
      <w:r>
        <w:rPr>
          <w:rFonts w:hint="eastAsia"/>
        </w:rPr>
        <w:t>（5）施工人员应开展游泳培训，加强自救和互救的能力。</w:t>
      </w:r>
    </w:p>
    <w:p w14:paraId="51C37FAB">
      <w:pPr>
        <w:ind w:firstLine="480"/>
      </w:pPr>
      <w:r>
        <w:rPr>
          <w:rFonts w:hint="eastAsia"/>
        </w:rPr>
        <w:t>（6）人员上下通道必须设安全网，跳板要固定。作业平台应满铺脚手板，周边必须有栏杆和安全网等可靠的临边维护。</w:t>
      </w:r>
    </w:p>
    <w:p w14:paraId="4AE19EF8">
      <w:pPr>
        <w:ind w:firstLine="480"/>
      </w:pPr>
      <w:r>
        <w:rPr>
          <w:rFonts w:hint="eastAsia"/>
        </w:rPr>
        <w:t>（7）作业平台上应配置足够数量的救生圈等救生设备，并配备一定数量的固定式防水灯，保证夜间足够的照明。</w:t>
      </w:r>
    </w:p>
    <w:p w14:paraId="6B2E037F">
      <w:pPr>
        <w:ind w:firstLine="480"/>
      </w:pPr>
      <w:r>
        <w:rPr>
          <w:rFonts w:hint="eastAsia"/>
        </w:rPr>
        <w:t>（8）作业平台上设置多条安全通道，以防不测时人员迅速疏散。</w:t>
      </w:r>
    </w:p>
    <w:p w14:paraId="5F6BEDEE">
      <w:pPr>
        <w:pStyle w:val="4"/>
        <w:bidi w:val="0"/>
        <w:ind w:left="720" w:leftChars="0" w:hanging="720" w:firstLineChars="0"/>
        <w:rPr>
          <w:rFonts w:hint="eastAsia"/>
          <w:b/>
          <w:bCs w:val="0"/>
          <w:lang w:val="en-US" w:eastAsia="zh-CN"/>
        </w:rPr>
      </w:pPr>
      <w:r>
        <w:rPr>
          <w:rFonts w:hint="eastAsia"/>
          <w:b/>
          <w:bCs w:val="0"/>
          <w:lang w:val="en-US" w:eastAsia="zh-CN"/>
        </w:rPr>
        <w:t>坍塌事故现场处置</w:t>
      </w:r>
    </w:p>
    <w:p w14:paraId="2AD66E6C">
      <w:pPr>
        <w:ind w:firstLine="480"/>
      </w:pPr>
      <w:r>
        <w:rPr>
          <w:rFonts w:hint="eastAsia"/>
        </w:rPr>
        <w:t>（1）坍塌事故发生后，事故现场有关人员立即向周围人员呼救，同时向现场负责人报告，现场负责人立即向现场处置小组报告，并立即到达事故现场。</w:t>
      </w:r>
    </w:p>
    <w:p w14:paraId="27643CDA">
      <w:pPr>
        <w:ind w:firstLine="480"/>
      </w:pPr>
      <w:r>
        <w:rPr>
          <w:rFonts w:hint="eastAsia"/>
        </w:rPr>
        <w:t>（2）有人员被压埋，事故现场人员主动积极抢救被压埋人员。</w:t>
      </w:r>
    </w:p>
    <w:p w14:paraId="17CD2441">
      <w:pPr>
        <w:ind w:firstLine="480"/>
      </w:pPr>
      <w:r>
        <w:rPr>
          <w:rFonts w:hint="eastAsia"/>
        </w:rPr>
        <w:t>（3）现场处置小组到达事故现场后，立即启动应急预案，发出命令，应急小组履行职责，疏散无关人员。</w:t>
      </w:r>
    </w:p>
    <w:p w14:paraId="3B86DC32">
      <w:pPr>
        <w:ind w:firstLine="480"/>
      </w:pPr>
      <w:r>
        <w:rPr>
          <w:rFonts w:hint="eastAsia"/>
        </w:rPr>
        <w:t>（4）现场指挥人员及时拨打急救中心电话，医务人员赶到现场抢救受伤人员。</w:t>
      </w:r>
    </w:p>
    <w:p w14:paraId="5422AEBD">
      <w:pPr>
        <w:ind w:firstLine="480"/>
      </w:pPr>
      <w:r>
        <w:rPr>
          <w:rFonts w:hint="eastAsia"/>
        </w:rPr>
        <w:t>（5）抢救中如遇到坍塌物人工搬运有困难时，现场指挥人员调集吊车进行吊运，在接近被压埋人员时停止机械作业，改用人工清理，防止误伤被压埋人员。</w:t>
      </w:r>
    </w:p>
    <w:p w14:paraId="58B72B3A">
      <w:pPr>
        <w:ind w:firstLine="480"/>
      </w:pPr>
      <w:r>
        <w:rPr>
          <w:rFonts w:hint="eastAsia"/>
        </w:rPr>
        <w:t>（6）人员被救出后，立即转移到安全地方，转移时注意不得造成二次伤害，按物体打击等伤害处理措施进行现场抢救，并立即安排车辆送往医院，与120急救车在途中交接。</w:t>
      </w:r>
    </w:p>
    <w:p w14:paraId="6DA92F3B">
      <w:pPr>
        <w:ind w:firstLine="480"/>
      </w:pPr>
      <w:r>
        <w:rPr>
          <w:rFonts w:hint="eastAsia"/>
        </w:rPr>
        <w:t>（7）注意保护事故现场，对相关信息和证据进行收集整理，做好事故调查工作。</w:t>
      </w:r>
    </w:p>
    <w:p w14:paraId="477C9879">
      <w:pPr>
        <w:ind w:firstLine="480"/>
      </w:pPr>
      <w:r>
        <w:rPr>
          <w:rFonts w:hint="eastAsia"/>
        </w:rPr>
        <w:t>（8）救援人员要严格遵守安全操作规程，加强自我保护，确保应急救援人身和财产安全。</w:t>
      </w:r>
    </w:p>
    <w:p w14:paraId="59C1464E">
      <w:pPr>
        <w:pStyle w:val="4"/>
        <w:bidi w:val="0"/>
        <w:ind w:left="720" w:leftChars="0" w:hanging="720" w:firstLineChars="0"/>
        <w:rPr>
          <w:rFonts w:hint="eastAsia"/>
          <w:b/>
          <w:bCs w:val="0"/>
          <w:lang w:val="en-US" w:eastAsia="zh-CN"/>
        </w:rPr>
      </w:pPr>
      <w:r>
        <w:rPr>
          <w:rFonts w:hint="eastAsia"/>
          <w:b/>
          <w:bCs w:val="0"/>
          <w:lang w:val="en-US" w:eastAsia="zh-CN"/>
        </w:rPr>
        <w:t>交通事故应急处置措施</w:t>
      </w:r>
    </w:p>
    <w:p w14:paraId="645AA99B">
      <w:pPr>
        <w:ind w:firstLine="480"/>
      </w:pPr>
      <w:r>
        <w:rPr>
          <w:rFonts w:hint="eastAsia"/>
        </w:rPr>
        <w:t>（1）发生车辆伤害事故，驾驶员立即停车，拉紧手制动，关闭钥匙，开启双闪警示灯；</w:t>
      </w:r>
    </w:p>
    <w:p w14:paraId="571C3341">
      <w:pPr>
        <w:ind w:firstLine="480"/>
      </w:pPr>
      <w:r>
        <w:rPr>
          <w:rFonts w:hint="eastAsia"/>
        </w:rPr>
        <w:t>（2）进入现场处置人员必须经过应急救援培训和安全知识培训；事故造成人身伤亡的，驾驶员和乘车人员应当立即抢救受伤人员，伤势严重立即送往医院，并通知医院做好抢救准备；</w:t>
      </w:r>
    </w:p>
    <w:p w14:paraId="3EE84103">
      <w:pPr>
        <w:ind w:firstLine="480"/>
      </w:pPr>
      <w:r>
        <w:rPr>
          <w:rFonts w:hint="eastAsia"/>
        </w:rPr>
        <w:t>（3）事故造成车辆燃烧时，应迅速确认火源，火灾初期立即灭火，并做好预防爆炸的安全措施；</w:t>
      </w:r>
    </w:p>
    <w:p w14:paraId="383ECA9A">
      <w:pPr>
        <w:ind w:firstLine="480"/>
      </w:pPr>
      <w:r>
        <w:rPr>
          <w:rFonts w:hint="eastAsia"/>
        </w:rPr>
        <w:t>（4）使用各类灭火器材灭火。</w:t>
      </w:r>
    </w:p>
    <w:p w14:paraId="08156B40">
      <w:pPr>
        <w:pStyle w:val="3"/>
        <w:bidi w:val="0"/>
        <w:ind w:left="575" w:leftChars="0" w:hanging="575" w:firstLineChars="0"/>
        <w:rPr>
          <w:b/>
          <w:bCs w:val="0"/>
          <w:sz w:val="28"/>
          <w:szCs w:val="28"/>
        </w:rPr>
      </w:pPr>
      <w:bookmarkStart w:id="212" w:name="_Toc121344362"/>
      <w:bookmarkStart w:id="213" w:name="_Toc4255"/>
      <w:bookmarkStart w:id="214" w:name="_Toc40778457"/>
      <w:bookmarkStart w:id="215" w:name="_Toc102481227"/>
      <w:bookmarkStart w:id="216" w:name="_Toc5197"/>
      <w:bookmarkStart w:id="217" w:name="_Toc23651"/>
      <w:bookmarkStart w:id="218" w:name="_Toc102825402"/>
      <w:bookmarkStart w:id="219" w:name="_Toc102481278"/>
      <w:bookmarkStart w:id="220" w:name="_Toc3662"/>
      <w:r>
        <w:rPr>
          <w:rFonts w:hint="eastAsia"/>
          <w:b/>
          <w:bCs w:val="0"/>
          <w:sz w:val="28"/>
          <w:szCs w:val="28"/>
        </w:rPr>
        <w:t>应急车辆、物资及设备</w:t>
      </w:r>
      <w:bookmarkEnd w:id="212"/>
      <w:bookmarkEnd w:id="213"/>
      <w:bookmarkEnd w:id="214"/>
      <w:bookmarkEnd w:id="215"/>
      <w:bookmarkEnd w:id="216"/>
      <w:bookmarkEnd w:id="217"/>
      <w:bookmarkEnd w:id="218"/>
      <w:bookmarkEnd w:id="219"/>
      <w:bookmarkEnd w:id="220"/>
    </w:p>
    <w:p w14:paraId="6899BC45">
      <w:pPr>
        <w:ind w:firstLine="480"/>
      </w:pPr>
      <w:r>
        <w:rPr>
          <w:rFonts w:hint="eastAsia"/>
        </w:rPr>
        <w:t>应急资源的准备是应急救援工作的重要保障，项目部根据潜在事故性质和后果分析，配备足量应急救援中所需的救援机械和设备、交通工具、医疗设备和药品、生活保障物资。详见</w:t>
      </w:r>
      <w:r>
        <w:fldChar w:fldCharType="begin"/>
      </w:r>
      <w:r>
        <w:instrText xml:space="preserve"> </w:instrText>
      </w:r>
      <w:r>
        <w:rPr>
          <w:rFonts w:hint="eastAsia"/>
        </w:rPr>
        <w:instrText xml:space="preserve">REF _Ref114664593 \h</w:instrText>
      </w:r>
      <w:r>
        <w:instrText xml:space="preserve"> </w:instrText>
      </w:r>
      <w:r>
        <w:fldChar w:fldCharType="separate"/>
      </w:r>
      <w:r>
        <w:rPr>
          <w:rFonts w:hint="eastAsia"/>
        </w:rPr>
        <w:t xml:space="preserve">表  </w:t>
      </w:r>
      <w:r>
        <w:t>9.</w:t>
      </w:r>
      <w:r>
        <w:rPr>
          <w:rFonts w:hint="eastAsia"/>
          <w:lang w:val="en-US" w:eastAsia="zh-CN"/>
        </w:rPr>
        <w:t>3</w:t>
      </w:r>
      <w:r>
        <w:noBreakHyphen/>
      </w:r>
      <w:r>
        <w:t>1</w:t>
      </w:r>
      <w:r>
        <w:fldChar w:fldCharType="end"/>
      </w:r>
      <w:r>
        <w:rPr>
          <w:rFonts w:hint="eastAsia"/>
        </w:rPr>
        <w:t>、</w:t>
      </w:r>
      <w:r>
        <w:fldChar w:fldCharType="begin"/>
      </w:r>
      <w:r>
        <w:instrText xml:space="preserve"> REF _Ref114664595 \h </w:instrText>
      </w:r>
      <w:r>
        <w:fldChar w:fldCharType="separate"/>
      </w:r>
      <w:r>
        <w:rPr>
          <w:rFonts w:hint="eastAsia"/>
        </w:rPr>
        <w:t xml:space="preserve">表  </w:t>
      </w:r>
      <w:r>
        <w:t>9.</w:t>
      </w:r>
      <w:r>
        <w:rPr>
          <w:rFonts w:hint="eastAsia"/>
          <w:lang w:val="en-US" w:eastAsia="zh-CN"/>
        </w:rPr>
        <w:t>3</w:t>
      </w:r>
      <w:r>
        <w:noBreakHyphen/>
      </w:r>
      <w:r>
        <w:t>2</w:t>
      </w:r>
      <w:r>
        <w:fldChar w:fldCharType="end"/>
      </w:r>
      <w:r>
        <w:rPr>
          <w:rFonts w:hint="eastAsia"/>
        </w:rPr>
        <w:t>。</w:t>
      </w:r>
    </w:p>
    <w:p w14:paraId="3C693995">
      <w:pPr>
        <w:pStyle w:val="16"/>
        <w:keepNext/>
      </w:pPr>
      <w:bookmarkStart w:id="221" w:name="_Ref114664593"/>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9.</w:t>
      </w:r>
      <w:r>
        <w:fldChar w:fldCharType="end"/>
      </w:r>
      <w:r>
        <w:rPr>
          <w:rFonts w:hint="eastAsia"/>
          <w:lang w:val="en-US" w:eastAsia="zh-CN"/>
        </w:rPr>
        <w:t>3</w:t>
      </w:r>
      <w:r>
        <w:noBreakHyphen/>
      </w:r>
      <w:r>
        <w:fldChar w:fldCharType="begin"/>
      </w:r>
      <w:r>
        <w:instrText xml:space="preserve"> </w:instrText>
      </w:r>
      <w:r>
        <w:rPr>
          <w:rFonts w:hint="eastAsia"/>
        </w:rPr>
        <w:instrText xml:space="preserve">SEQ 表_ \* ARABIC \s 2</w:instrText>
      </w:r>
      <w:r>
        <w:instrText xml:space="preserve"> </w:instrText>
      </w:r>
      <w:r>
        <w:fldChar w:fldCharType="separate"/>
      </w:r>
      <w:r>
        <w:t>1</w:t>
      </w:r>
      <w:r>
        <w:fldChar w:fldCharType="end"/>
      </w:r>
      <w:bookmarkEnd w:id="221"/>
      <w:r>
        <w:rPr>
          <w:rFonts w:hint="eastAsia"/>
        </w:rPr>
        <w:t>项目部应急车辆</w:t>
      </w:r>
    </w:p>
    <w:tbl>
      <w:tblPr>
        <w:tblStyle w:val="72"/>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546"/>
        <w:gridCol w:w="1546"/>
        <w:gridCol w:w="1546"/>
        <w:gridCol w:w="1546"/>
        <w:gridCol w:w="1551"/>
        <w:gridCol w:w="1551"/>
      </w:tblGrid>
      <w:tr w14:paraId="4C477E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832" w:type="pct"/>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629A3459">
            <w:pPr>
              <w:pStyle w:val="50"/>
              <w:rPr>
                <w:rFonts w:ascii="Times New Roman" w:hAnsi="Times New Roman" w:eastAsia="宋体"/>
                <w:b w:val="0"/>
                <w:i w:val="0"/>
              </w:rPr>
            </w:pPr>
            <w:r>
              <w:rPr>
                <w:rFonts w:ascii="Times New Roman" w:hAnsi="Times New Roman" w:eastAsia="宋体"/>
                <w:b w:val="0"/>
                <w:i w:val="0"/>
              </w:rPr>
              <w:t>编号</w:t>
            </w:r>
          </w:p>
        </w:tc>
        <w:tc>
          <w:tcPr>
            <w:tcW w:w="83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2DFCD944">
            <w:pPr>
              <w:pStyle w:val="50"/>
              <w:rPr>
                <w:rFonts w:ascii="Times New Roman" w:hAnsi="Times New Roman" w:eastAsia="宋体"/>
                <w:b w:val="0"/>
                <w:i w:val="0"/>
              </w:rPr>
            </w:pPr>
            <w:r>
              <w:rPr>
                <w:rFonts w:ascii="Times New Roman" w:hAnsi="Times New Roman" w:eastAsia="宋体"/>
                <w:b w:val="0"/>
                <w:i w:val="0"/>
              </w:rPr>
              <w:t>设备名称</w:t>
            </w:r>
          </w:p>
        </w:tc>
        <w:tc>
          <w:tcPr>
            <w:tcW w:w="83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36B2E206">
            <w:pPr>
              <w:pStyle w:val="50"/>
              <w:rPr>
                <w:rFonts w:ascii="Times New Roman" w:hAnsi="Times New Roman" w:eastAsia="宋体"/>
                <w:b w:val="0"/>
                <w:i w:val="0"/>
              </w:rPr>
            </w:pPr>
            <w:r>
              <w:rPr>
                <w:rFonts w:ascii="Times New Roman" w:hAnsi="Times New Roman" w:eastAsia="宋体"/>
                <w:b w:val="0"/>
                <w:i w:val="0"/>
              </w:rPr>
              <w:t>单位</w:t>
            </w:r>
          </w:p>
        </w:tc>
        <w:tc>
          <w:tcPr>
            <w:tcW w:w="83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2B5D0C4C">
            <w:pPr>
              <w:pStyle w:val="50"/>
              <w:rPr>
                <w:rFonts w:ascii="Times New Roman" w:hAnsi="Times New Roman" w:eastAsia="宋体"/>
                <w:b w:val="0"/>
                <w:i w:val="0"/>
              </w:rPr>
            </w:pPr>
            <w:r>
              <w:rPr>
                <w:rFonts w:ascii="Times New Roman" w:hAnsi="Times New Roman" w:eastAsia="宋体"/>
                <w:b w:val="0"/>
                <w:i w:val="0"/>
              </w:rPr>
              <w:t>投入数量</w:t>
            </w:r>
          </w:p>
        </w:tc>
        <w:tc>
          <w:tcPr>
            <w:tcW w:w="834"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257CDEEF">
            <w:pPr>
              <w:pStyle w:val="50"/>
              <w:rPr>
                <w:rFonts w:ascii="Times New Roman" w:hAnsi="Times New Roman" w:eastAsia="宋体"/>
                <w:b w:val="0"/>
                <w:i w:val="0"/>
              </w:rPr>
            </w:pPr>
            <w:r>
              <w:rPr>
                <w:rFonts w:ascii="Times New Roman" w:hAnsi="Times New Roman" w:eastAsia="宋体"/>
                <w:b w:val="0"/>
                <w:i w:val="0"/>
              </w:rPr>
              <w:t>性能</w:t>
            </w:r>
          </w:p>
        </w:tc>
        <w:tc>
          <w:tcPr>
            <w:tcW w:w="834"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42624353">
            <w:pPr>
              <w:pStyle w:val="50"/>
              <w:rPr>
                <w:rFonts w:ascii="Times New Roman" w:hAnsi="Times New Roman" w:eastAsia="宋体"/>
                <w:b w:val="0"/>
                <w:i w:val="0"/>
              </w:rPr>
            </w:pPr>
            <w:r>
              <w:rPr>
                <w:rFonts w:ascii="Times New Roman" w:hAnsi="Times New Roman" w:eastAsia="宋体"/>
                <w:b w:val="0"/>
                <w:i w:val="0"/>
              </w:rPr>
              <w:t>存放地点</w:t>
            </w:r>
          </w:p>
        </w:tc>
      </w:tr>
      <w:tr w14:paraId="5D944CF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832"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2C4D05AE">
            <w:pPr>
              <w:pStyle w:val="50"/>
              <w:rPr>
                <w:rFonts w:ascii="Times New Roman" w:hAnsi="Times New Roman" w:eastAsia="宋体"/>
                <w:b w:val="0"/>
                <w:i w:val="0"/>
              </w:rPr>
            </w:pPr>
            <w:r>
              <w:rPr>
                <w:rFonts w:ascii="Times New Roman" w:hAnsi="Times New Roman" w:eastAsia="宋体"/>
                <w:b w:val="0"/>
                <w:i w:val="0"/>
              </w:rPr>
              <w:t>1</w:t>
            </w:r>
          </w:p>
        </w:tc>
        <w:tc>
          <w:tcPr>
            <w:tcW w:w="8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B793B6D">
            <w:pPr>
              <w:pStyle w:val="50"/>
              <w:rPr>
                <w:b w:val="0"/>
              </w:rPr>
            </w:pPr>
            <w:r>
              <w:rPr>
                <w:b w:val="0"/>
              </w:rPr>
              <w:t>轿车</w:t>
            </w:r>
          </w:p>
        </w:tc>
        <w:tc>
          <w:tcPr>
            <w:tcW w:w="8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80B577">
            <w:pPr>
              <w:pStyle w:val="50"/>
              <w:rPr>
                <w:b w:val="0"/>
              </w:rPr>
            </w:pPr>
            <w:r>
              <w:rPr>
                <w:b w:val="0"/>
              </w:rPr>
              <w:t>台</w:t>
            </w:r>
          </w:p>
        </w:tc>
        <w:tc>
          <w:tcPr>
            <w:tcW w:w="83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E6D5F2">
            <w:pPr>
              <w:pStyle w:val="50"/>
              <w:rPr>
                <w:b w:val="0"/>
              </w:rPr>
            </w:pPr>
            <w:r>
              <w:rPr>
                <w:b w:val="0"/>
              </w:rPr>
              <w:t>2</w:t>
            </w:r>
          </w:p>
        </w:tc>
        <w:tc>
          <w:tcPr>
            <w:tcW w:w="83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776E65">
            <w:pPr>
              <w:pStyle w:val="50"/>
              <w:rPr>
                <w:b w:val="0"/>
              </w:rPr>
            </w:pPr>
            <w:r>
              <w:rPr>
                <w:b w:val="0"/>
              </w:rPr>
              <w:t>优良</w:t>
            </w:r>
          </w:p>
        </w:tc>
        <w:tc>
          <w:tcPr>
            <w:tcW w:w="834"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4701D4B4">
            <w:pPr>
              <w:pStyle w:val="50"/>
              <w:rPr>
                <w:b w:val="0"/>
              </w:rPr>
            </w:pPr>
            <w:r>
              <w:rPr>
                <w:b w:val="0"/>
              </w:rPr>
              <w:t>项目部</w:t>
            </w:r>
          </w:p>
        </w:tc>
      </w:tr>
      <w:tr w14:paraId="79F7CEC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832"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45E70F18">
            <w:pPr>
              <w:pStyle w:val="50"/>
              <w:rPr>
                <w:rFonts w:ascii="Times New Roman" w:hAnsi="Times New Roman" w:eastAsia="宋体"/>
                <w:b w:val="0"/>
                <w:i w:val="0"/>
              </w:rPr>
            </w:pPr>
            <w:r>
              <w:rPr>
                <w:rFonts w:ascii="Times New Roman" w:hAnsi="Times New Roman" w:eastAsia="宋体"/>
                <w:b w:val="0"/>
                <w:i w:val="0"/>
              </w:rPr>
              <w:t>2</w:t>
            </w:r>
          </w:p>
        </w:tc>
        <w:tc>
          <w:tcPr>
            <w:tcW w:w="83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0F4BEAA4">
            <w:pPr>
              <w:pStyle w:val="50"/>
              <w:rPr>
                <w:b w:val="0"/>
              </w:rPr>
            </w:pPr>
            <w:r>
              <w:rPr>
                <w:b w:val="0"/>
              </w:rPr>
              <w:t>皮卡车</w:t>
            </w:r>
          </w:p>
        </w:tc>
        <w:tc>
          <w:tcPr>
            <w:tcW w:w="83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535F79CD">
            <w:pPr>
              <w:pStyle w:val="50"/>
              <w:rPr>
                <w:b w:val="0"/>
              </w:rPr>
            </w:pPr>
            <w:r>
              <w:rPr>
                <w:b w:val="0"/>
              </w:rPr>
              <w:t>台</w:t>
            </w:r>
          </w:p>
        </w:tc>
        <w:tc>
          <w:tcPr>
            <w:tcW w:w="83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75216F9A">
            <w:pPr>
              <w:pStyle w:val="50"/>
              <w:rPr>
                <w:b w:val="0"/>
              </w:rPr>
            </w:pPr>
            <w:r>
              <w:rPr>
                <w:b w:val="0"/>
              </w:rPr>
              <w:t>2</w:t>
            </w:r>
          </w:p>
        </w:tc>
        <w:tc>
          <w:tcPr>
            <w:tcW w:w="834"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4B6F790E">
            <w:pPr>
              <w:pStyle w:val="50"/>
              <w:rPr>
                <w:b w:val="0"/>
              </w:rPr>
            </w:pPr>
            <w:r>
              <w:rPr>
                <w:b w:val="0"/>
              </w:rPr>
              <w:t>优良</w:t>
            </w:r>
          </w:p>
        </w:tc>
        <w:tc>
          <w:tcPr>
            <w:tcW w:w="834"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6E78FDCF">
            <w:pPr>
              <w:pStyle w:val="50"/>
              <w:rPr>
                <w:b w:val="0"/>
              </w:rPr>
            </w:pPr>
            <w:r>
              <w:rPr>
                <w:b w:val="0"/>
              </w:rPr>
              <w:t>项目部</w:t>
            </w:r>
          </w:p>
        </w:tc>
      </w:tr>
    </w:tbl>
    <w:p w14:paraId="21799964">
      <w:pPr>
        <w:pStyle w:val="16"/>
        <w:keepNext/>
        <w:spacing w:before="120" w:beforeLines="50"/>
      </w:pPr>
      <w:bookmarkStart w:id="222" w:name="_Ref114664595"/>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t>9.</w:t>
      </w:r>
      <w:r>
        <w:fldChar w:fldCharType="end"/>
      </w:r>
      <w:r>
        <w:rPr>
          <w:rFonts w:hint="eastAsia"/>
          <w:lang w:val="en-US" w:eastAsia="zh-CN"/>
        </w:rPr>
        <w:t>3</w:t>
      </w:r>
      <w:r>
        <w:noBreakHyphen/>
      </w:r>
      <w:r>
        <w:fldChar w:fldCharType="begin"/>
      </w:r>
      <w:r>
        <w:instrText xml:space="preserve"> </w:instrText>
      </w:r>
      <w:r>
        <w:rPr>
          <w:rFonts w:hint="eastAsia"/>
        </w:rPr>
        <w:instrText xml:space="preserve">SEQ 表_ \* ARABIC \s 2</w:instrText>
      </w:r>
      <w:r>
        <w:instrText xml:space="preserve"> </w:instrText>
      </w:r>
      <w:r>
        <w:fldChar w:fldCharType="separate"/>
      </w:r>
      <w:r>
        <w:t>2</w:t>
      </w:r>
      <w:r>
        <w:fldChar w:fldCharType="end"/>
      </w:r>
      <w:bookmarkEnd w:id="222"/>
      <w:r>
        <w:rPr>
          <w:rFonts w:hint="eastAsia"/>
        </w:rPr>
        <w:t>应急设备、物资保障</w:t>
      </w:r>
    </w:p>
    <w:tbl>
      <w:tblPr>
        <w:tblStyle w:val="72"/>
        <w:tblW w:w="5000" w:type="pct"/>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82"/>
        <w:gridCol w:w="4521"/>
        <w:gridCol w:w="682"/>
        <w:gridCol w:w="1135"/>
        <w:gridCol w:w="1133"/>
        <w:gridCol w:w="1133"/>
      </w:tblGrid>
      <w:tr w14:paraId="7CCDB54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blHeader/>
        </w:trPr>
        <w:tc>
          <w:tcPr>
            <w:tcW w:w="367" w:type="pct"/>
            <w:tcBorders>
              <w:top w:val="single" w:color="000000" w:sz="12" w:space="0"/>
              <w:left w:val="single" w:color="000000" w:sz="12" w:space="0"/>
              <w:bottom w:val="single" w:color="000000" w:sz="4" w:space="0"/>
              <w:right w:val="single" w:color="000000" w:sz="4" w:space="0"/>
              <w:tl2br w:val="nil"/>
            </w:tcBorders>
            <w:shd w:val="clear" w:color="auto" w:fill="FFFFFF"/>
            <w:vAlign w:val="center"/>
          </w:tcPr>
          <w:p w14:paraId="3159ED64">
            <w:pPr>
              <w:pStyle w:val="50"/>
              <w:rPr>
                <w:rFonts w:ascii="Times New Roman" w:hAnsi="Times New Roman" w:eastAsia="宋体"/>
                <w:b w:val="0"/>
                <w:i w:val="0"/>
              </w:rPr>
            </w:pPr>
            <w:r>
              <w:rPr>
                <w:rFonts w:ascii="Times New Roman" w:hAnsi="Times New Roman" w:eastAsia="宋体"/>
                <w:b w:val="0"/>
                <w:i w:val="0"/>
              </w:rPr>
              <w:t>编号</w:t>
            </w:r>
          </w:p>
        </w:tc>
        <w:tc>
          <w:tcPr>
            <w:tcW w:w="2433"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69DA7020">
            <w:pPr>
              <w:pStyle w:val="50"/>
              <w:rPr>
                <w:rFonts w:ascii="Times New Roman" w:hAnsi="Times New Roman" w:eastAsia="宋体"/>
                <w:b w:val="0"/>
                <w:i w:val="0"/>
              </w:rPr>
            </w:pPr>
            <w:r>
              <w:rPr>
                <w:rFonts w:ascii="Times New Roman" w:hAnsi="Times New Roman" w:eastAsia="宋体"/>
                <w:b w:val="0"/>
                <w:i w:val="0"/>
              </w:rPr>
              <w:t>设备名称</w:t>
            </w:r>
          </w:p>
        </w:tc>
        <w:tc>
          <w:tcPr>
            <w:tcW w:w="367"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34D76ACA">
            <w:pPr>
              <w:pStyle w:val="50"/>
              <w:rPr>
                <w:rFonts w:ascii="Times New Roman" w:hAnsi="Times New Roman" w:eastAsia="宋体"/>
                <w:b w:val="0"/>
                <w:i w:val="0"/>
              </w:rPr>
            </w:pPr>
            <w:r>
              <w:rPr>
                <w:rFonts w:ascii="Times New Roman" w:hAnsi="Times New Roman" w:eastAsia="宋体"/>
                <w:b w:val="0"/>
                <w:i w:val="0"/>
              </w:rPr>
              <w:t>单位</w:t>
            </w:r>
          </w:p>
        </w:tc>
        <w:tc>
          <w:tcPr>
            <w:tcW w:w="611"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7901E6DC">
            <w:pPr>
              <w:pStyle w:val="50"/>
              <w:rPr>
                <w:rFonts w:ascii="Times New Roman" w:hAnsi="Times New Roman" w:eastAsia="宋体"/>
                <w:b w:val="0"/>
                <w:i w:val="0"/>
              </w:rPr>
            </w:pPr>
            <w:r>
              <w:rPr>
                <w:rFonts w:ascii="Times New Roman" w:hAnsi="Times New Roman" w:eastAsia="宋体"/>
                <w:b w:val="0"/>
                <w:i w:val="0"/>
              </w:rPr>
              <w:t>投入数量</w:t>
            </w:r>
          </w:p>
        </w:tc>
        <w:tc>
          <w:tcPr>
            <w:tcW w:w="610"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580C35B8">
            <w:pPr>
              <w:pStyle w:val="50"/>
              <w:rPr>
                <w:rFonts w:ascii="Times New Roman" w:hAnsi="Times New Roman" w:eastAsia="宋体"/>
                <w:b w:val="0"/>
                <w:i w:val="0"/>
              </w:rPr>
            </w:pPr>
            <w:r>
              <w:rPr>
                <w:rFonts w:ascii="Times New Roman" w:hAnsi="Times New Roman" w:eastAsia="宋体"/>
                <w:b w:val="0"/>
                <w:i w:val="0"/>
              </w:rPr>
              <w:t>性能</w:t>
            </w:r>
          </w:p>
        </w:tc>
        <w:tc>
          <w:tcPr>
            <w:tcW w:w="610"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578C4181">
            <w:pPr>
              <w:pStyle w:val="50"/>
              <w:rPr>
                <w:rFonts w:ascii="Times New Roman" w:hAnsi="Times New Roman" w:eastAsia="宋体"/>
                <w:b w:val="0"/>
                <w:i w:val="0"/>
              </w:rPr>
            </w:pPr>
            <w:r>
              <w:rPr>
                <w:rFonts w:ascii="Times New Roman" w:hAnsi="Times New Roman" w:eastAsia="宋体"/>
                <w:b w:val="0"/>
                <w:i w:val="0"/>
              </w:rPr>
              <w:t>存放地点</w:t>
            </w:r>
          </w:p>
        </w:tc>
      </w:tr>
      <w:tr w14:paraId="122856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32E0FE52">
            <w:pPr>
              <w:pStyle w:val="50"/>
              <w:rPr>
                <w:rFonts w:ascii="Times New Roman" w:hAnsi="Times New Roman" w:eastAsia="宋体"/>
                <w:b w:val="0"/>
                <w:i w:val="0"/>
              </w:rPr>
            </w:pPr>
            <w:r>
              <w:rPr>
                <w:rFonts w:ascii="Times New Roman" w:hAnsi="Times New Roman" w:eastAsia="宋体"/>
                <w:b w:val="0"/>
                <w:i w:val="0"/>
              </w:rPr>
              <w:t>1</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175903">
            <w:pPr>
              <w:pStyle w:val="50"/>
              <w:rPr>
                <w:b w:val="0"/>
              </w:rPr>
            </w:pPr>
            <w:r>
              <w:rPr>
                <w:b w:val="0"/>
              </w:rPr>
              <w:t>挖掘机</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9512A5A">
            <w:pPr>
              <w:pStyle w:val="50"/>
              <w:rPr>
                <w:b w:val="0"/>
              </w:rPr>
            </w:pPr>
            <w:r>
              <w:rPr>
                <w:b w:val="0"/>
              </w:rPr>
              <w:t>台</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FEC682">
            <w:pPr>
              <w:pStyle w:val="50"/>
              <w:rPr>
                <w:b w:val="0"/>
              </w:rPr>
            </w:pPr>
            <w:r>
              <w:rPr>
                <w:b w:val="0"/>
              </w:rPr>
              <w:t>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9D1415">
            <w:pPr>
              <w:pStyle w:val="50"/>
              <w:rPr>
                <w:b w:val="0"/>
              </w:rPr>
            </w:pPr>
            <w:r>
              <w:rPr>
                <w:b w:val="0"/>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3D685715">
            <w:pPr>
              <w:pStyle w:val="50"/>
              <w:rPr>
                <w:b w:val="0"/>
              </w:rPr>
            </w:pPr>
            <w:r>
              <w:rPr>
                <w:b w:val="0"/>
              </w:rPr>
              <w:t>项目部</w:t>
            </w:r>
          </w:p>
        </w:tc>
      </w:tr>
      <w:tr w14:paraId="52D378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41D5400C">
            <w:pPr>
              <w:pStyle w:val="50"/>
              <w:rPr>
                <w:rFonts w:ascii="Times New Roman" w:hAnsi="Times New Roman" w:eastAsia="宋体"/>
                <w:b w:val="0"/>
                <w:i w:val="0"/>
              </w:rPr>
            </w:pPr>
            <w:r>
              <w:rPr>
                <w:rFonts w:ascii="Times New Roman" w:hAnsi="Times New Roman" w:eastAsia="宋体"/>
                <w:b w:val="0"/>
                <w:i w:val="0"/>
              </w:rPr>
              <w:t>2</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867562">
            <w:pPr>
              <w:pStyle w:val="50"/>
              <w:rPr>
                <w:rFonts w:hint="eastAsia" w:eastAsia="宋体"/>
                <w:b w:val="0"/>
                <w:lang w:eastAsia="zh-CN"/>
              </w:rPr>
            </w:pPr>
            <w:r>
              <w:rPr>
                <w:b w:val="0"/>
              </w:rPr>
              <w:t>50t</w:t>
            </w:r>
            <w:r>
              <w:rPr>
                <w:rFonts w:hint="eastAsia"/>
                <w:b w:val="0"/>
                <w:lang w:val="en-US" w:eastAsia="zh-CN"/>
              </w:rPr>
              <w:t>汽车吊</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FFFFC1">
            <w:pPr>
              <w:pStyle w:val="50"/>
              <w:rPr>
                <w:b w:val="0"/>
              </w:rPr>
            </w:pPr>
            <w:r>
              <w:rPr>
                <w:b w:val="0"/>
              </w:rPr>
              <w:t>台</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151CD03">
            <w:pPr>
              <w:pStyle w:val="50"/>
              <w:rPr>
                <w:b w:val="0"/>
              </w:rPr>
            </w:pPr>
            <w:r>
              <w:rPr>
                <w:b w:val="0"/>
              </w:rPr>
              <w:t>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5C7145C">
            <w:pPr>
              <w:pStyle w:val="50"/>
              <w:rPr>
                <w:b w:val="0"/>
              </w:rPr>
            </w:pPr>
            <w:r>
              <w:rPr>
                <w:b w:val="0"/>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E973DFC">
            <w:pPr>
              <w:pStyle w:val="50"/>
              <w:rPr>
                <w:b w:val="0"/>
              </w:rPr>
            </w:pPr>
            <w:r>
              <w:rPr>
                <w:b w:val="0"/>
              </w:rPr>
              <w:t>项目部</w:t>
            </w:r>
          </w:p>
        </w:tc>
      </w:tr>
      <w:tr w14:paraId="52A6EB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6CD5E240">
            <w:pPr>
              <w:pStyle w:val="50"/>
              <w:rPr>
                <w:rFonts w:ascii="Times New Roman" w:hAnsi="Times New Roman" w:eastAsia="宋体"/>
                <w:b w:val="0"/>
                <w:i w:val="0"/>
              </w:rPr>
            </w:pPr>
            <w:r>
              <w:rPr>
                <w:rFonts w:ascii="Times New Roman" w:hAnsi="Times New Roman" w:eastAsia="宋体"/>
                <w:b w:val="0"/>
                <w:i w:val="0"/>
              </w:rPr>
              <w:t>3</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481A92">
            <w:pPr>
              <w:pStyle w:val="50"/>
              <w:rPr>
                <w:b w:val="0"/>
              </w:rPr>
            </w:pPr>
            <w:r>
              <w:rPr>
                <w:b w:val="0"/>
              </w:rPr>
              <w:t>400KW发电机</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901903">
            <w:pPr>
              <w:pStyle w:val="50"/>
              <w:rPr>
                <w:b w:val="0"/>
              </w:rPr>
            </w:pPr>
            <w:r>
              <w:rPr>
                <w:b w:val="0"/>
              </w:rPr>
              <w:t>台</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0DB4E51">
            <w:pPr>
              <w:pStyle w:val="50"/>
              <w:rPr>
                <w:b w:val="0"/>
              </w:rPr>
            </w:pPr>
            <w:r>
              <w:rPr>
                <w:b w:val="0"/>
              </w:rPr>
              <w:t>2</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A0162F">
            <w:pPr>
              <w:pStyle w:val="50"/>
              <w:rPr>
                <w:b w:val="0"/>
              </w:rPr>
            </w:pPr>
            <w:r>
              <w:rPr>
                <w:b w:val="0"/>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34C0833">
            <w:pPr>
              <w:pStyle w:val="50"/>
              <w:rPr>
                <w:b w:val="0"/>
              </w:rPr>
            </w:pPr>
            <w:r>
              <w:rPr>
                <w:b w:val="0"/>
              </w:rPr>
              <w:t>项目部</w:t>
            </w:r>
          </w:p>
        </w:tc>
      </w:tr>
      <w:tr w14:paraId="7588C8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5D19D0F2">
            <w:pPr>
              <w:pStyle w:val="50"/>
              <w:rPr>
                <w:rFonts w:ascii="Times New Roman" w:hAnsi="Times New Roman" w:eastAsia="宋体"/>
                <w:b w:val="0"/>
                <w:i w:val="0"/>
              </w:rPr>
            </w:pPr>
            <w:r>
              <w:rPr>
                <w:rFonts w:ascii="Times New Roman" w:hAnsi="Times New Roman" w:eastAsia="宋体"/>
                <w:b w:val="0"/>
                <w:i w:val="0"/>
              </w:rPr>
              <w:t>4</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340AFEA">
            <w:pPr>
              <w:pStyle w:val="50"/>
              <w:rPr>
                <w:b w:val="0"/>
              </w:rPr>
            </w:pPr>
            <w:r>
              <w:rPr>
                <w:b w:val="0"/>
              </w:rPr>
              <w:t>铁锹</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26BCC1">
            <w:pPr>
              <w:pStyle w:val="50"/>
              <w:rPr>
                <w:b w:val="0"/>
              </w:rPr>
            </w:pPr>
            <w:r>
              <w:rPr>
                <w:b w:val="0"/>
              </w:rPr>
              <w:t>把</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DC0C0EF">
            <w:pPr>
              <w:pStyle w:val="50"/>
              <w:rPr>
                <w:b w:val="0"/>
              </w:rPr>
            </w:pPr>
            <w:r>
              <w:rPr>
                <w:b w:val="0"/>
              </w:rPr>
              <w:t>20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2EF6BF">
            <w:pPr>
              <w:pStyle w:val="50"/>
              <w:rPr>
                <w:b w:val="0"/>
              </w:rPr>
            </w:pPr>
            <w:r>
              <w:rPr>
                <w:b w:val="0"/>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7DAFB2DB">
            <w:pPr>
              <w:pStyle w:val="50"/>
              <w:rPr>
                <w:b w:val="0"/>
              </w:rPr>
            </w:pPr>
            <w:r>
              <w:rPr>
                <w:b w:val="0"/>
              </w:rPr>
              <w:t>项目部</w:t>
            </w:r>
          </w:p>
        </w:tc>
      </w:tr>
      <w:tr w14:paraId="5045F91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406A1E3B">
            <w:pPr>
              <w:pStyle w:val="50"/>
              <w:rPr>
                <w:rFonts w:ascii="Times New Roman" w:hAnsi="Times New Roman" w:eastAsia="宋体"/>
                <w:b w:val="0"/>
                <w:i w:val="0"/>
              </w:rPr>
            </w:pPr>
            <w:r>
              <w:rPr>
                <w:rFonts w:ascii="Times New Roman" w:hAnsi="Times New Roman" w:eastAsia="宋体"/>
                <w:b w:val="0"/>
                <w:i w:val="0"/>
              </w:rPr>
              <w:t>5</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198651C">
            <w:pPr>
              <w:pStyle w:val="50"/>
              <w:rPr>
                <w:b w:val="0"/>
              </w:rPr>
            </w:pPr>
            <w:r>
              <w:rPr>
                <w:b w:val="0"/>
              </w:rPr>
              <w:t>编织袋</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E85A38">
            <w:pPr>
              <w:pStyle w:val="50"/>
              <w:rPr>
                <w:b w:val="0"/>
              </w:rPr>
            </w:pPr>
            <w:r>
              <w:rPr>
                <w:b w:val="0"/>
              </w:rPr>
              <w:t>个</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365C3FF">
            <w:pPr>
              <w:pStyle w:val="50"/>
              <w:rPr>
                <w:b w:val="0"/>
              </w:rPr>
            </w:pPr>
            <w:r>
              <w:rPr>
                <w:b w:val="0"/>
              </w:rPr>
              <w:t>2000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13FF54">
            <w:pPr>
              <w:pStyle w:val="50"/>
              <w:rPr>
                <w:b w:val="0"/>
              </w:rPr>
            </w:pPr>
            <w:r>
              <w:rPr>
                <w:b w:val="0"/>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6FBEA2AD">
            <w:pPr>
              <w:pStyle w:val="50"/>
              <w:rPr>
                <w:b w:val="0"/>
              </w:rPr>
            </w:pPr>
            <w:r>
              <w:rPr>
                <w:b w:val="0"/>
              </w:rPr>
              <w:t>项目部</w:t>
            </w:r>
          </w:p>
        </w:tc>
      </w:tr>
      <w:tr w14:paraId="7D1528F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19244BA7">
            <w:pPr>
              <w:pStyle w:val="50"/>
              <w:rPr>
                <w:rFonts w:ascii="Times New Roman" w:hAnsi="Times New Roman" w:eastAsia="宋体"/>
                <w:b w:val="0"/>
                <w:i w:val="0"/>
              </w:rPr>
            </w:pPr>
            <w:r>
              <w:rPr>
                <w:rFonts w:ascii="Times New Roman" w:hAnsi="Times New Roman" w:eastAsia="宋体"/>
                <w:b w:val="0"/>
                <w:i w:val="0"/>
              </w:rPr>
              <w:t>6</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71B1C81">
            <w:pPr>
              <w:pStyle w:val="50"/>
              <w:rPr>
                <w:b w:val="0"/>
              </w:rPr>
            </w:pPr>
            <w:r>
              <w:rPr>
                <w:b w:val="0"/>
              </w:rPr>
              <w:t>灭火器</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6D3864C">
            <w:pPr>
              <w:pStyle w:val="50"/>
              <w:rPr>
                <w:b w:val="0"/>
              </w:rPr>
            </w:pPr>
            <w:r>
              <w:rPr>
                <w:b w:val="0"/>
              </w:rPr>
              <w:t>瓶</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9F4B50B">
            <w:pPr>
              <w:pStyle w:val="50"/>
              <w:rPr>
                <w:b w:val="0"/>
              </w:rPr>
            </w:pPr>
            <w:r>
              <w:rPr>
                <w:b w:val="0"/>
              </w:rPr>
              <w:t>10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FD6AA3">
            <w:pPr>
              <w:pStyle w:val="50"/>
              <w:rPr>
                <w:b w:val="0"/>
              </w:rPr>
            </w:pPr>
            <w:r>
              <w:rPr>
                <w:b w:val="0"/>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6F734024">
            <w:pPr>
              <w:pStyle w:val="50"/>
              <w:rPr>
                <w:b w:val="0"/>
              </w:rPr>
            </w:pPr>
            <w:r>
              <w:rPr>
                <w:b w:val="0"/>
              </w:rPr>
              <w:t>项目部</w:t>
            </w:r>
          </w:p>
        </w:tc>
      </w:tr>
      <w:tr w14:paraId="348B61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5DFFD4CF">
            <w:pPr>
              <w:pStyle w:val="50"/>
              <w:rPr>
                <w:rFonts w:ascii="Times New Roman" w:hAnsi="Times New Roman" w:eastAsia="宋体"/>
                <w:b w:val="0"/>
                <w:i w:val="0"/>
              </w:rPr>
            </w:pPr>
            <w:r>
              <w:rPr>
                <w:rFonts w:ascii="Times New Roman" w:hAnsi="Times New Roman" w:eastAsia="宋体"/>
                <w:b w:val="0"/>
                <w:i w:val="0"/>
              </w:rPr>
              <w:t>7</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239A8EC">
            <w:pPr>
              <w:pStyle w:val="50"/>
              <w:rPr>
                <w:b w:val="0"/>
              </w:rPr>
            </w:pPr>
            <w:r>
              <w:rPr>
                <w:b w:val="0"/>
              </w:rPr>
              <w:t>手电筒</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306875">
            <w:pPr>
              <w:pStyle w:val="50"/>
              <w:rPr>
                <w:b w:val="0"/>
              </w:rPr>
            </w:pPr>
            <w:r>
              <w:rPr>
                <w:b w:val="0"/>
              </w:rPr>
              <w:t>个</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E1F968">
            <w:pPr>
              <w:pStyle w:val="50"/>
              <w:rPr>
                <w:b w:val="0"/>
              </w:rPr>
            </w:pPr>
            <w:r>
              <w:rPr>
                <w:b w:val="0"/>
              </w:rPr>
              <w:t>10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A02FED">
            <w:pPr>
              <w:pStyle w:val="50"/>
              <w:rPr>
                <w:b w:val="0"/>
              </w:rPr>
            </w:pPr>
            <w:r>
              <w:rPr>
                <w:b w:val="0"/>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1D22877E">
            <w:pPr>
              <w:pStyle w:val="50"/>
              <w:rPr>
                <w:b w:val="0"/>
              </w:rPr>
            </w:pPr>
            <w:r>
              <w:rPr>
                <w:b w:val="0"/>
              </w:rPr>
              <w:t>项目部</w:t>
            </w:r>
          </w:p>
        </w:tc>
      </w:tr>
      <w:tr w14:paraId="66F2290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5FC138E9">
            <w:pPr>
              <w:pStyle w:val="50"/>
              <w:rPr>
                <w:rFonts w:ascii="Times New Roman" w:hAnsi="Times New Roman" w:eastAsia="宋体"/>
                <w:b w:val="0"/>
                <w:i w:val="0"/>
              </w:rPr>
            </w:pPr>
            <w:r>
              <w:rPr>
                <w:rFonts w:ascii="Times New Roman" w:hAnsi="Times New Roman" w:eastAsia="宋体"/>
                <w:b w:val="0"/>
                <w:i w:val="0"/>
              </w:rPr>
              <w:t>8</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CA9DFB">
            <w:pPr>
              <w:pStyle w:val="50"/>
              <w:rPr>
                <w:b w:val="0"/>
              </w:rPr>
            </w:pPr>
            <w:r>
              <w:rPr>
                <w:b w:val="0"/>
              </w:rPr>
              <w:t>指挥车辆</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C6D103">
            <w:pPr>
              <w:pStyle w:val="50"/>
              <w:rPr>
                <w:b w:val="0"/>
              </w:rPr>
            </w:pPr>
            <w:r>
              <w:rPr>
                <w:b w:val="0"/>
              </w:rPr>
              <w:t>台</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B31165">
            <w:pPr>
              <w:pStyle w:val="50"/>
              <w:rPr>
                <w:b w:val="0"/>
              </w:rPr>
            </w:pPr>
            <w:r>
              <w:rPr>
                <w:b w:val="0"/>
              </w:rPr>
              <w:t>1</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BDFE388">
            <w:pPr>
              <w:pStyle w:val="50"/>
              <w:rPr>
                <w:b w:val="0"/>
              </w:rPr>
            </w:pPr>
            <w:r>
              <w:rPr>
                <w:b w:val="0"/>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79A24A7D">
            <w:pPr>
              <w:pStyle w:val="50"/>
              <w:rPr>
                <w:b w:val="0"/>
              </w:rPr>
            </w:pPr>
            <w:r>
              <w:rPr>
                <w:b w:val="0"/>
              </w:rPr>
              <w:t>项目部</w:t>
            </w:r>
          </w:p>
        </w:tc>
      </w:tr>
      <w:tr w14:paraId="7C6493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505F8A13">
            <w:pPr>
              <w:pStyle w:val="50"/>
              <w:rPr>
                <w:rFonts w:ascii="Times New Roman" w:hAnsi="Times New Roman" w:eastAsia="宋体"/>
                <w:b w:val="0"/>
                <w:i w:val="0"/>
              </w:rPr>
            </w:pPr>
            <w:r>
              <w:rPr>
                <w:rFonts w:ascii="Times New Roman" w:hAnsi="Times New Roman" w:eastAsia="宋体"/>
                <w:b w:val="0"/>
                <w:i w:val="0"/>
              </w:rPr>
              <w:t>9</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FA5A464">
            <w:pPr>
              <w:pStyle w:val="50"/>
              <w:rPr>
                <w:b w:val="0"/>
              </w:rPr>
            </w:pPr>
            <w:r>
              <w:rPr>
                <w:b w:val="0"/>
              </w:rPr>
              <w:t>对讲机</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5770EE8">
            <w:pPr>
              <w:pStyle w:val="50"/>
              <w:rPr>
                <w:b w:val="0"/>
              </w:rPr>
            </w:pPr>
            <w:r>
              <w:rPr>
                <w:b w:val="0"/>
              </w:rPr>
              <w:t>台</w:t>
            </w: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2A1A03">
            <w:pPr>
              <w:pStyle w:val="50"/>
              <w:rPr>
                <w:b w:val="0"/>
              </w:rPr>
            </w:pPr>
            <w:r>
              <w:rPr>
                <w:b w:val="0"/>
              </w:rPr>
              <w:t>20</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BACEFE">
            <w:pPr>
              <w:pStyle w:val="50"/>
              <w:rPr>
                <w:b w:val="0"/>
              </w:rPr>
            </w:pPr>
            <w:r>
              <w:rPr>
                <w:b w:val="0"/>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F6144F3">
            <w:pPr>
              <w:pStyle w:val="50"/>
              <w:rPr>
                <w:b w:val="0"/>
              </w:rPr>
            </w:pPr>
            <w:r>
              <w:rPr>
                <w:b w:val="0"/>
              </w:rPr>
              <w:t>项目部</w:t>
            </w:r>
          </w:p>
        </w:tc>
      </w:tr>
      <w:tr w14:paraId="56436AA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7687AAC6">
            <w:pPr>
              <w:pStyle w:val="50"/>
              <w:rPr>
                <w:rFonts w:ascii="Times New Roman" w:hAnsi="Times New Roman" w:eastAsia="宋体"/>
                <w:b w:val="0"/>
                <w:i w:val="0"/>
              </w:rPr>
            </w:pPr>
            <w:r>
              <w:rPr>
                <w:rFonts w:ascii="Times New Roman" w:hAnsi="Times New Roman" w:eastAsia="宋体"/>
                <w:b w:val="0"/>
                <w:i w:val="0"/>
              </w:rPr>
              <w:t>10</w:t>
            </w:r>
          </w:p>
        </w:tc>
        <w:tc>
          <w:tcPr>
            <w:tcW w:w="243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B45DF7D">
            <w:pPr>
              <w:pStyle w:val="50"/>
              <w:rPr>
                <w:b w:val="0"/>
              </w:rPr>
            </w:pPr>
            <w:r>
              <w:rPr>
                <w:b w:val="0"/>
              </w:rPr>
              <w:t>装备器材（仓库内备有安全帽、安全带、切</w:t>
            </w:r>
          </w:p>
          <w:p w14:paraId="089A6DC5">
            <w:pPr>
              <w:pStyle w:val="50"/>
              <w:rPr>
                <w:b w:val="0"/>
              </w:rPr>
            </w:pPr>
            <w:r>
              <w:rPr>
                <w:b w:val="0"/>
              </w:rPr>
              <w:t>割机、气焊设备、小型电动工具、一般五金</w:t>
            </w:r>
          </w:p>
          <w:p w14:paraId="584E528D">
            <w:pPr>
              <w:pStyle w:val="50"/>
              <w:rPr>
                <w:b w:val="0"/>
              </w:rPr>
            </w:pPr>
            <w:r>
              <w:rPr>
                <w:b w:val="0"/>
              </w:rPr>
              <w:t>工具、雨衣、雨靴、手电筒、撬棍等）</w:t>
            </w:r>
          </w:p>
        </w:tc>
        <w:tc>
          <w:tcPr>
            <w:tcW w:w="36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A3A3B3">
            <w:pPr>
              <w:pStyle w:val="50"/>
              <w:rPr>
                <w:b w:val="0"/>
              </w:rPr>
            </w:pPr>
          </w:p>
        </w:tc>
        <w:tc>
          <w:tcPr>
            <w:tcW w:w="6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9556351">
            <w:pPr>
              <w:pStyle w:val="50"/>
              <w:rPr>
                <w:b w:val="0"/>
              </w:rPr>
            </w:pPr>
            <w:r>
              <w:rPr>
                <w:b w:val="0"/>
              </w:rPr>
              <w:t>数量满足</w:t>
            </w:r>
          </w:p>
        </w:tc>
        <w:tc>
          <w:tcPr>
            <w:tcW w:w="610"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C37641">
            <w:pPr>
              <w:pStyle w:val="50"/>
              <w:rPr>
                <w:b w:val="0"/>
              </w:rPr>
            </w:pPr>
            <w:r>
              <w:rPr>
                <w:b w:val="0"/>
              </w:rPr>
              <w:t>优良</w:t>
            </w:r>
          </w:p>
        </w:tc>
        <w:tc>
          <w:tcPr>
            <w:tcW w:w="610"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021A63FC">
            <w:pPr>
              <w:pStyle w:val="50"/>
              <w:rPr>
                <w:b w:val="0"/>
              </w:rPr>
            </w:pPr>
            <w:r>
              <w:rPr>
                <w:b w:val="0"/>
              </w:rPr>
              <w:t>项目部</w:t>
            </w:r>
          </w:p>
        </w:tc>
      </w:tr>
      <w:tr w14:paraId="573C907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367"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3F84C83E">
            <w:pPr>
              <w:pStyle w:val="50"/>
              <w:rPr>
                <w:rFonts w:ascii="Times New Roman" w:hAnsi="Times New Roman" w:eastAsia="宋体"/>
                <w:b w:val="0"/>
                <w:i w:val="0"/>
              </w:rPr>
            </w:pPr>
            <w:r>
              <w:rPr>
                <w:rFonts w:ascii="Times New Roman" w:hAnsi="Times New Roman" w:eastAsia="宋体"/>
                <w:b w:val="0"/>
                <w:i w:val="0"/>
              </w:rPr>
              <w:t>11</w:t>
            </w:r>
          </w:p>
        </w:tc>
        <w:tc>
          <w:tcPr>
            <w:tcW w:w="2433"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1BA62460">
            <w:pPr>
              <w:pStyle w:val="50"/>
              <w:rPr>
                <w:b w:val="0"/>
              </w:rPr>
            </w:pPr>
            <w:r>
              <w:rPr>
                <w:b w:val="0"/>
              </w:rPr>
              <w:t>医疗器材（应急药品、氧气袋、担架等）</w:t>
            </w:r>
          </w:p>
        </w:tc>
        <w:tc>
          <w:tcPr>
            <w:tcW w:w="367"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354BDDF8">
            <w:pPr>
              <w:pStyle w:val="50"/>
              <w:rPr>
                <w:b w:val="0"/>
              </w:rPr>
            </w:pPr>
            <w:r>
              <w:rPr>
                <w:b w:val="0"/>
              </w:rPr>
              <w:t>套</w:t>
            </w:r>
          </w:p>
        </w:tc>
        <w:tc>
          <w:tcPr>
            <w:tcW w:w="611"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327EF425">
            <w:pPr>
              <w:pStyle w:val="50"/>
              <w:rPr>
                <w:b w:val="0"/>
              </w:rPr>
            </w:pPr>
            <w:r>
              <w:rPr>
                <w:b w:val="0"/>
              </w:rPr>
              <w:t>4</w:t>
            </w:r>
          </w:p>
        </w:tc>
        <w:tc>
          <w:tcPr>
            <w:tcW w:w="610"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1E7678F6">
            <w:pPr>
              <w:pStyle w:val="50"/>
              <w:rPr>
                <w:b w:val="0"/>
              </w:rPr>
            </w:pPr>
            <w:r>
              <w:rPr>
                <w:b w:val="0"/>
              </w:rPr>
              <w:t>优良</w:t>
            </w:r>
          </w:p>
        </w:tc>
        <w:tc>
          <w:tcPr>
            <w:tcW w:w="610"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6FE7C95F">
            <w:pPr>
              <w:pStyle w:val="50"/>
              <w:rPr>
                <w:b w:val="0"/>
              </w:rPr>
            </w:pPr>
            <w:r>
              <w:rPr>
                <w:b w:val="0"/>
              </w:rPr>
              <w:t>项目部</w:t>
            </w:r>
          </w:p>
        </w:tc>
      </w:tr>
    </w:tbl>
    <w:p w14:paraId="139AD903">
      <w:pPr>
        <w:pStyle w:val="3"/>
        <w:bidi w:val="0"/>
        <w:ind w:left="575" w:leftChars="0" w:hanging="575" w:firstLineChars="0"/>
        <w:rPr>
          <w:b/>
          <w:bCs w:val="0"/>
          <w:sz w:val="28"/>
          <w:szCs w:val="28"/>
        </w:rPr>
      </w:pPr>
      <w:bookmarkStart w:id="223" w:name="_Toc102825403"/>
      <w:bookmarkStart w:id="224" w:name="_Toc77771648"/>
      <w:bookmarkStart w:id="225" w:name="_Toc12896"/>
      <w:bookmarkStart w:id="226" w:name="_Toc40778458"/>
      <w:bookmarkStart w:id="227" w:name="_Toc121344363"/>
      <w:bookmarkStart w:id="228" w:name="_Toc102481279"/>
      <w:bookmarkStart w:id="229" w:name="_Toc389"/>
      <w:bookmarkStart w:id="230" w:name="_Toc102481228"/>
      <w:bookmarkStart w:id="231" w:name="_Toc5867"/>
      <w:bookmarkStart w:id="232" w:name="_Toc16798"/>
      <w:bookmarkStart w:id="233" w:name="_Toc1146"/>
      <w:bookmarkStart w:id="234" w:name="_Toc40778459"/>
      <w:r>
        <w:rPr>
          <w:rFonts w:hint="eastAsia"/>
          <w:b/>
          <w:bCs w:val="0"/>
          <w:sz w:val="28"/>
          <w:szCs w:val="28"/>
        </w:rPr>
        <w:t>应急医院及线路图</w:t>
      </w:r>
      <w:bookmarkEnd w:id="223"/>
      <w:bookmarkEnd w:id="224"/>
      <w:bookmarkEnd w:id="225"/>
      <w:bookmarkEnd w:id="226"/>
      <w:bookmarkEnd w:id="227"/>
      <w:bookmarkEnd w:id="228"/>
      <w:bookmarkEnd w:id="229"/>
      <w:bookmarkEnd w:id="230"/>
      <w:bookmarkEnd w:id="231"/>
      <w:bookmarkEnd w:id="232"/>
    </w:p>
    <w:p w14:paraId="78D25D48">
      <w:bookmarkStart w:id="235" w:name="_Toc121344364"/>
      <w:bookmarkStart w:id="236" w:name="_Toc102825404"/>
      <w:bookmarkStart w:id="237" w:name="_Toc102481280"/>
      <w:bookmarkStart w:id="238" w:name="_Toc102481229"/>
      <w:r>
        <w:rPr>
          <w:rFonts w:hint="eastAsia"/>
        </w:rPr>
        <w:t>如发生人员伤亡事故，应急小组应根据伤情及时联络医疗机构并在第一时间将受伤人员就近送往新洲镇中心卫生院或经</w:t>
      </w:r>
      <w:r>
        <w:t>036</w:t>
      </w:r>
      <w:r>
        <w:rPr>
          <w:rFonts w:hint="eastAsia"/>
        </w:rPr>
        <w:t>县道送往竹溪县人民医院。</w:t>
      </w:r>
    </w:p>
    <w:p w14:paraId="06D554C2">
      <w:r>
        <w:rPr>
          <w:rFonts w:hint="eastAsia"/>
        </w:rPr>
        <w:t>应急医院地址及联系电话见</w:t>
      </w:r>
      <w:r>
        <w:rPr>
          <w:rFonts w:hint="eastAsia"/>
          <w:b/>
          <w:bCs/>
        </w:rPr>
        <w:t>表9.</w:t>
      </w:r>
      <w:r>
        <w:rPr>
          <w:rFonts w:hint="eastAsia"/>
          <w:b/>
          <w:bCs/>
          <w:lang w:val="en-US" w:eastAsia="zh-CN"/>
        </w:rPr>
        <w:t>4</w:t>
      </w:r>
      <w:r>
        <w:rPr>
          <w:rFonts w:hint="eastAsia"/>
          <w:b/>
          <w:bCs/>
        </w:rPr>
        <w:t>-1</w:t>
      </w:r>
      <w:r>
        <w:rPr>
          <w:rFonts w:hint="eastAsia"/>
        </w:rPr>
        <w:t>，应急医院路线见</w:t>
      </w:r>
      <w:r>
        <w:rPr>
          <w:rFonts w:hint="eastAsia"/>
          <w:b/>
          <w:bCs/>
        </w:rPr>
        <w:t>图9.</w:t>
      </w:r>
      <w:r>
        <w:rPr>
          <w:rFonts w:hint="eastAsia"/>
          <w:b/>
          <w:bCs/>
          <w:lang w:val="en-US" w:eastAsia="zh-CN"/>
        </w:rPr>
        <w:t>4</w:t>
      </w:r>
      <w:r>
        <w:rPr>
          <w:rFonts w:hint="eastAsia"/>
          <w:b/>
          <w:bCs/>
        </w:rPr>
        <w:t>-</w:t>
      </w:r>
      <w:r>
        <w:rPr>
          <w:rFonts w:hint="eastAsia"/>
          <w:b/>
          <w:bCs/>
          <w:lang w:val="en-US" w:eastAsia="zh-CN"/>
        </w:rPr>
        <w:t>2</w:t>
      </w:r>
      <w:r>
        <w:rPr>
          <w:rFonts w:hint="eastAsia"/>
          <w:b/>
          <w:bCs/>
        </w:rPr>
        <w:t>、图9.</w:t>
      </w:r>
      <w:r>
        <w:rPr>
          <w:rFonts w:hint="eastAsia"/>
          <w:b/>
          <w:bCs/>
          <w:lang w:val="en-US" w:eastAsia="zh-CN"/>
        </w:rPr>
        <w:t>4</w:t>
      </w:r>
      <w:r>
        <w:rPr>
          <w:rFonts w:hint="eastAsia"/>
          <w:b/>
          <w:bCs/>
        </w:rPr>
        <w:t>-</w:t>
      </w:r>
      <w:r>
        <w:rPr>
          <w:rFonts w:hint="eastAsia"/>
          <w:b/>
          <w:bCs/>
          <w:lang w:val="en-US" w:eastAsia="zh-CN"/>
        </w:rPr>
        <w:t>3</w:t>
      </w:r>
      <w:r>
        <w:rPr>
          <w:rFonts w:hint="eastAsia"/>
        </w:rPr>
        <w:t>。</w:t>
      </w:r>
    </w:p>
    <w:p w14:paraId="01B19698">
      <w:pPr>
        <w:pStyle w:val="390"/>
        <w:ind w:firstLine="360"/>
      </w:pPr>
      <w:r>
        <w:t>表</w:t>
      </w:r>
      <w:r>
        <w:fldChar w:fldCharType="begin"/>
      </w:r>
      <w:r>
        <w:instrText xml:space="preserve"> STYLEREF 2 \s </w:instrText>
      </w:r>
      <w:r>
        <w:fldChar w:fldCharType="separate"/>
      </w:r>
      <w:r>
        <w:t>9.</w:t>
      </w:r>
      <w:r>
        <w:rPr>
          <w:rFonts w:hint="eastAsia"/>
          <w:lang w:val="en-US" w:eastAsia="zh-CN"/>
        </w:rPr>
        <w:t>4</w:t>
      </w:r>
      <w:r>
        <w:fldChar w:fldCharType="end"/>
      </w:r>
      <w:r>
        <w:noBreakHyphen/>
      </w:r>
      <w:r>
        <w:rPr>
          <w:rFonts w:hint="eastAsia"/>
        </w:rPr>
        <w:t>1</w:t>
      </w:r>
      <w:r>
        <w:t xml:space="preserve"> </w:t>
      </w:r>
      <w:r>
        <w:rPr>
          <w:rFonts w:hint="eastAsia"/>
        </w:rPr>
        <w:t>应急医院地址及联系电话</w:t>
      </w:r>
    </w:p>
    <w:tbl>
      <w:tblPr>
        <w:tblStyle w:val="391"/>
        <w:tblW w:w="82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4"/>
        <w:gridCol w:w="1928"/>
        <w:gridCol w:w="2154"/>
        <w:gridCol w:w="1474"/>
        <w:gridCol w:w="964"/>
        <w:gridCol w:w="1081"/>
      </w:tblGrid>
      <w:tr w14:paraId="2F6BC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694" w:type="dxa"/>
            <w:vAlign w:val="center"/>
          </w:tcPr>
          <w:p w14:paraId="0E7FA55E">
            <w:pPr>
              <w:pStyle w:val="50"/>
              <w:rPr>
                <w:bCs/>
              </w:rPr>
            </w:pPr>
            <w:r>
              <w:rPr>
                <w:rFonts w:hint="eastAsia"/>
                <w:bCs/>
              </w:rPr>
              <w:t>序号</w:t>
            </w:r>
          </w:p>
        </w:tc>
        <w:tc>
          <w:tcPr>
            <w:tcW w:w="1928" w:type="dxa"/>
            <w:vAlign w:val="center"/>
          </w:tcPr>
          <w:p w14:paraId="7F5D9D50">
            <w:pPr>
              <w:pStyle w:val="50"/>
              <w:rPr>
                <w:bCs/>
              </w:rPr>
            </w:pPr>
            <w:r>
              <w:rPr>
                <w:rFonts w:hint="eastAsia"/>
                <w:bCs/>
              </w:rPr>
              <w:t>医院名称</w:t>
            </w:r>
          </w:p>
        </w:tc>
        <w:tc>
          <w:tcPr>
            <w:tcW w:w="2154" w:type="dxa"/>
            <w:vAlign w:val="center"/>
          </w:tcPr>
          <w:p w14:paraId="4AC1E942">
            <w:pPr>
              <w:pStyle w:val="50"/>
              <w:rPr>
                <w:bCs/>
              </w:rPr>
            </w:pPr>
            <w:r>
              <w:rPr>
                <w:rFonts w:hint="eastAsia"/>
                <w:bCs/>
              </w:rPr>
              <w:t>地址</w:t>
            </w:r>
          </w:p>
        </w:tc>
        <w:tc>
          <w:tcPr>
            <w:tcW w:w="1474" w:type="dxa"/>
            <w:vAlign w:val="center"/>
          </w:tcPr>
          <w:p w14:paraId="111199B1">
            <w:pPr>
              <w:pStyle w:val="50"/>
              <w:rPr>
                <w:bCs/>
              </w:rPr>
            </w:pPr>
            <w:r>
              <w:rPr>
                <w:rFonts w:hint="eastAsia"/>
                <w:bCs/>
              </w:rPr>
              <w:t>联系方式</w:t>
            </w:r>
          </w:p>
        </w:tc>
        <w:tc>
          <w:tcPr>
            <w:tcW w:w="964" w:type="dxa"/>
            <w:vAlign w:val="center"/>
          </w:tcPr>
          <w:p w14:paraId="3969C30E">
            <w:pPr>
              <w:pStyle w:val="50"/>
              <w:rPr>
                <w:bCs/>
              </w:rPr>
            </w:pPr>
            <w:r>
              <w:rPr>
                <w:rFonts w:hint="eastAsia"/>
                <w:bCs/>
              </w:rPr>
              <w:t>距离</w:t>
            </w:r>
          </w:p>
        </w:tc>
        <w:tc>
          <w:tcPr>
            <w:tcW w:w="1081" w:type="dxa"/>
            <w:vAlign w:val="center"/>
          </w:tcPr>
          <w:p w14:paraId="4FA9C500">
            <w:pPr>
              <w:pStyle w:val="50"/>
              <w:rPr>
                <w:bCs/>
              </w:rPr>
            </w:pPr>
            <w:r>
              <w:rPr>
                <w:rFonts w:hint="eastAsia"/>
                <w:bCs/>
              </w:rPr>
              <w:t>驾车时间</w:t>
            </w:r>
          </w:p>
        </w:tc>
      </w:tr>
      <w:tr w14:paraId="58881E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4" w:type="dxa"/>
            <w:vAlign w:val="center"/>
          </w:tcPr>
          <w:p w14:paraId="7E857A83">
            <w:pPr>
              <w:pStyle w:val="50"/>
            </w:pPr>
            <w:r>
              <w:rPr>
                <w:rFonts w:hint="eastAsia"/>
              </w:rPr>
              <w:t>1</w:t>
            </w:r>
          </w:p>
        </w:tc>
        <w:tc>
          <w:tcPr>
            <w:tcW w:w="1928" w:type="dxa"/>
            <w:vAlign w:val="center"/>
          </w:tcPr>
          <w:p w14:paraId="362D9B8A">
            <w:pPr>
              <w:pStyle w:val="50"/>
            </w:pPr>
            <w:r>
              <w:rPr>
                <w:rFonts w:hint="eastAsia"/>
              </w:rPr>
              <w:t>新洲镇中心卫生院</w:t>
            </w:r>
          </w:p>
        </w:tc>
        <w:tc>
          <w:tcPr>
            <w:tcW w:w="2154" w:type="dxa"/>
            <w:vAlign w:val="center"/>
          </w:tcPr>
          <w:p w14:paraId="390476CB">
            <w:pPr>
              <w:pStyle w:val="50"/>
            </w:pPr>
            <w:r>
              <w:rPr>
                <w:rFonts w:hint="eastAsia"/>
              </w:rPr>
              <w:t>湖北省十堰市新洲镇大营盘路</w:t>
            </w:r>
          </w:p>
        </w:tc>
        <w:tc>
          <w:tcPr>
            <w:tcW w:w="1474" w:type="dxa"/>
            <w:vAlign w:val="center"/>
          </w:tcPr>
          <w:p w14:paraId="16015466">
            <w:pPr>
              <w:pStyle w:val="50"/>
            </w:pPr>
            <w:r>
              <w:rPr>
                <w:rFonts w:hint="eastAsia"/>
              </w:rPr>
              <w:t>0</w:t>
            </w:r>
            <w:r>
              <w:t>719</w:t>
            </w:r>
            <w:r>
              <w:rPr>
                <w:rFonts w:hint="eastAsia"/>
              </w:rPr>
              <w:t>-</w:t>
            </w:r>
            <w:r>
              <w:t>2888626</w:t>
            </w:r>
          </w:p>
        </w:tc>
        <w:tc>
          <w:tcPr>
            <w:tcW w:w="964" w:type="dxa"/>
            <w:vAlign w:val="center"/>
          </w:tcPr>
          <w:p w14:paraId="044ED798">
            <w:pPr>
              <w:pStyle w:val="50"/>
            </w:pPr>
            <w:r>
              <w:rPr>
                <w:rFonts w:hint="eastAsia"/>
              </w:rPr>
              <w:t>2</w:t>
            </w:r>
            <w:r>
              <w:t>.6</w:t>
            </w:r>
            <w:r>
              <w:rPr>
                <w:rFonts w:hint="eastAsia"/>
              </w:rPr>
              <w:t>km</w:t>
            </w:r>
          </w:p>
        </w:tc>
        <w:tc>
          <w:tcPr>
            <w:tcW w:w="1081" w:type="dxa"/>
            <w:vAlign w:val="center"/>
          </w:tcPr>
          <w:p w14:paraId="51566499">
            <w:pPr>
              <w:pStyle w:val="50"/>
            </w:pPr>
            <w:r>
              <w:t>6</w:t>
            </w:r>
            <w:r>
              <w:rPr>
                <w:rFonts w:hint="eastAsia"/>
              </w:rPr>
              <w:t>分钟</w:t>
            </w:r>
          </w:p>
        </w:tc>
      </w:tr>
      <w:tr w14:paraId="132809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94" w:type="dxa"/>
            <w:vAlign w:val="center"/>
          </w:tcPr>
          <w:p w14:paraId="14737C38">
            <w:pPr>
              <w:pStyle w:val="50"/>
            </w:pPr>
            <w:r>
              <w:t>2</w:t>
            </w:r>
          </w:p>
        </w:tc>
        <w:tc>
          <w:tcPr>
            <w:tcW w:w="1928" w:type="dxa"/>
            <w:vAlign w:val="center"/>
          </w:tcPr>
          <w:p w14:paraId="7F0BEF87">
            <w:pPr>
              <w:pStyle w:val="50"/>
            </w:pPr>
            <w:r>
              <w:rPr>
                <w:rFonts w:hint="eastAsia"/>
              </w:rPr>
              <w:t>竹溪县人民医院</w:t>
            </w:r>
          </w:p>
        </w:tc>
        <w:tc>
          <w:tcPr>
            <w:tcW w:w="2154" w:type="dxa"/>
            <w:vAlign w:val="center"/>
          </w:tcPr>
          <w:p w14:paraId="39BF9889">
            <w:pPr>
              <w:pStyle w:val="50"/>
            </w:pPr>
            <w:r>
              <w:rPr>
                <w:rFonts w:hint="eastAsia"/>
              </w:rPr>
              <w:t>湖北省十堰市</w:t>
            </w:r>
            <w:r>
              <w:t>竹溪县城关镇东门街181号</w:t>
            </w:r>
          </w:p>
        </w:tc>
        <w:tc>
          <w:tcPr>
            <w:tcW w:w="1474" w:type="dxa"/>
            <w:vAlign w:val="center"/>
          </w:tcPr>
          <w:p w14:paraId="1E8B2269">
            <w:pPr>
              <w:pStyle w:val="50"/>
            </w:pPr>
            <w:r>
              <w:t>0719</w:t>
            </w:r>
            <w:r>
              <w:rPr>
                <w:rFonts w:hint="eastAsia"/>
              </w:rPr>
              <w:t>-</w:t>
            </w:r>
            <w:r>
              <w:t>2722120</w:t>
            </w:r>
          </w:p>
        </w:tc>
        <w:tc>
          <w:tcPr>
            <w:tcW w:w="964" w:type="dxa"/>
            <w:vAlign w:val="center"/>
          </w:tcPr>
          <w:p w14:paraId="280E55A7">
            <w:pPr>
              <w:pStyle w:val="50"/>
            </w:pPr>
            <w:r>
              <w:t>44.1</w:t>
            </w:r>
            <w:r>
              <w:rPr>
                <w:rFonts w:hint="eastAsia"/>
              </w:rPr>
              <w:t>km</w:t>
            </w:r>
          </w:p>
        </w:tc>
        <w:tc>
          <w:tcPr>
            <w:tcW w:w="1081" w:type="dxa"/>
            <w:vAlign w:val="center"/>
          </w:tcPr>
          <w:p w14:paraId="6D70A6B9">
            <w:pPr>
              <w:pStyle w:val="50"/>
            </w:pPr>
            <w:r>
              <w:t>69</w:t>
            </w:r>
            <w:r>
              <w:rPr>
                <w:rFonts w:hint="eastAsia"/>
              </w:rPr>
              <w:t>分钟</w:t>
            </w:r>
          </w:p>
        </w:tc>
      </w:tr>
    </w:tbl>
    <w:p w14:paraId="7605F784">
      <w:pPr>
        <w:pStyle w:val="50"/>
      </w:pPr>
      <w:r>
        <w:drawing>
          <wp:inline distT="0" distB="0" distL="0" distR="0">
            <wp:extent cx="5274310" cy="2417445"/>
            <wp:effectExtent l="0" t="0" r="8890" b="8255"/>
            <wp:docPr id="91830333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303333" name="图片 61"/>
                    <pic:cNvPicPr>
                      <a:picLocks noChangeAspect="1"/>
                    </pic:cNvPicPr>
                  </pic:nvPicPr>
                  <pic:blipFill>
                    <a:blip r:embed="rId80"/>
                    <a:stretch>
                      <a:fillRect/>
                    </a:stretch>
                  </pic:blipFill>
                  <pic:spPr>
                    <a:xfrm>
                      <a:off x="0" y="0"/>
                      <a:ext cx="5274310" cy="2417445"/>
                    </a:xfrm>
                    <a:prstGeom prst="rect">
                      <a:avLst/>
                    </a:prstGeom>
                  </pic:spPr>
                </pic:pic>
              </a:graphicData>
            </a:graphic>
          </wp:inline>
        </w:drawing>
      </w:r>
    </w:p>
    <w:p w14:paraId="6CC4AEDC">
      <w:pPr>
        <w:pStyle w:val="16"/>
        <w:ind w:firstLine="422"/>
        <w:rPr>
          <w:rFonts w:ascii="Times New Roman" w:hAnsi="Times New Roman"/>
          <w:szCs w:val="22"/>
        </w:rPr>
      </w:pPr>
      <w:r>
        <w:rPr>
          <w:rFonts w:hint="eastAsia" w:ascii="Times New Roman" w:hAnsi="Times New Roman"/>
          <w:szCs w:val="22"/>
        </w:rPr>
        <w:t>图</w:t>
      </w:r>
      <w:r>
        <w:rPr>
          <w:rFonts w:ascii="Times New Roman" w:hAnsi="Times New Roman"/>
          <w:szCs w:val="22"/>
        </w:rPr>
        <w:fldChar w:fldCharType="begin"/>
      </w:r>
      <w:r>
        <w:rPr>
          <w:rFonts w:ascii="Times New Roman" w:hAnsi="Times New Roman"/>
          <w:szCs w:val="22"/>
        </w:rPr>
        <w:instrText xml:space="preserve"> </w:instrText>
      </w:r>
      <w:r>
        <w:rPr>
          <w:rFonts w:hint="eastAsia" w:ascii="Times New Roman" w:hAnsi="Times New Roman"/>
          <w:szCs w:val="22"/>
        </w:rPr>
        <w:instrText xml:space="preserve">STYLEREF 2 \s</w:instrText>
      </w:r>
      <w:r>
        <w:rPr>
          <w:rFonts w:ascii="Times New Roman" w:hAnsi="Times New Roman"/>
          <w:szCs w:val="22"/>
        </w:rPr>
        <w:instrText xml:space="preserve"> </w:instrText>
      </w:r>
      <w:r>
        <w:rPr>
          <w:rFonts w:ascii="Times New Roman" w:hAnsi="Times New Roman"/>
          <w:szCs w:val="22"/>
        </w:rPr>
        <w:fldChar w:fldCharType="separate"/>
      </w:r>
      <w:r>
        <w:rPr>
          <w:rFonts w:hint="eastAsia" w:ascii="Times New Roman" w:hAnsi="Times New Roman"/>
          <w:szCs w:val="22"/>
        </w:rPr>
        <w:t>9</w:t>
      </w:r>
      <w:r>
        <w:rPr>
          <w:rFonts w:hint="eastAsia" w:ascii="Times New Roman" w:hAnsi="Times New Roman"/>
          <w:szCs w:val="22"/>
          <w:lang w:val="en-US" w:eastAsia="zh-CN"/>
        </w:rPr>
        <w:t>.4</w:t>
      </w:r>
      <w:r>
        <w:rPr>
          <w:rFonts w:ascii="Times New Roman" w:hAnsi="Times New Roman"/>
          <w:szCs w:val="22"/>
        </w:rPr>
        <w:fldChar w:fldCharType="end"/>
      </w:r>
      <w:r>
        <w:rPr>
          <w:rFonts w:ascii="Times New Roman" w:hAnsi="Times New Roman"/>
          <w:szCs w:val="22"/>
        </w:rPr>
        <w:noBreakHyphen/>
      </w:r>
      <w:r>
        <w:rPr>
          <w:rFonts w:hint="eastAsia"/>
          <w:szCs w:val="22"/>
          <w:lang w:val="en-US" w:eastAsia="zh-CN"/>
        </w:rPr>
        <w:t>2</w:t>
      </w:r>
      <w:r>
        <w:rPr>
          <w:rFonts w:ascii="Times New Roman" w:hAnsi="Times New Roman"/>
          <w:szCs w:val="22"/>
        </w:rPr>
        <w:t xml:space="preserve"> </w:t>
      </w:r>
      <w:r>
        <w:rPr>
          <w:rFonts w:hint="eastAsia" w:ascii="Times New Roman" w:hAnsi="Times New Roman"/>
          <w:szCs w:val="22"/>
        </w:rPr>
        <w:t>新洲镇中心卫生院救援路线图</w:t>
      </w:r>
    </w:p>
    <w:p w14:paraId="0C119D80">
      <w:pPr>
        <w:pStyle w:val="50"/>
      </w:pPr>
      <w:r>
        <w:drawing>
          <wp:inline distT="0" distB="0" distL="0" distR="0">
            <wp:extent cx="5274310" cy="2428240"/>
            <wp:effectExtent l="0" t="0" r="8890" b="10160"/>
            <wp:docPr id="151632215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322156" name="图片 62"/>
                    <pic:cNvPicPr>
                      <a:picLocks noChangeAspect="1"/>
                    </pic:cNvPicPr>
                  </pic:nvPicPr>
                  <pic:blipFill>
                    <a:blip r:embed="rId81"/>
                    <a:stretch>
                      <a:fillRect/>
                    </a:stretch>
                  </pic:blipFill>
                  <pic:spPr>
                    <a:xfrm>
                      <a:off x="0" y="0"/>
                      <a:ext cx="5274310" cy="2428240"/>
                    </a:xfrm>
                    <a:prstGeom prst="rect">
                      <a:avLst/>
                    </a:prstGeom>
                  </pic:spPr>
                </pic:pic>
              </a:graphicData>
            </a:graphic>
          </wp:inline>
        </w:drawing>
      </w:r>
    </w:p>
    <w:p w14:paraId="6A51B38E">
      <w:pPr>
        <w:bidi w:val="0"/>
        <w:jc w:val="center"/>
        <w:rPr>
          <w:rFonts w:hint="eastAsia" w:ascii="Times New Roman" w:hAnsi="Times New Roman" w:eastAsia="宋体" w:cstheme="majorBidi"/>
          <w:b/>
          <w:bCs w:val="0"/>
          <w:kern w:val="2"/>
          <w:sz w:val="28"/>
          <w:szCs w:val="28"/>
          <w:lang w:val="en-US" w:eastAsia="zh-CN" w:bidi="ar-SA"/>
        </w:rPr>
      </w:pPr>
      <w:r>
        <w:rPr>
          <w:rFonts w:hint="eastAsia" w:ascii="Times New Roman" w:hAnsi="Times New Roman" w:eastAsia="宋体" w:cstheme="majorBidi"/>
          <w:b/>
          <w:bCs w:val="0"/>
          <w:kern w:val="2"/>
          <w:sz w:val="21"/>
          <w:szCs w:val="22"/>
          <w:lang w:val="en-US" w:eastAsia="zh-CN" w:bidi="ar-SA"/>
        </w:rPr>
        <w:t>图</w:t>
      </w:r>
      <w:r>
        <w:rPr>
          <w:rFonts w:hint="eastAsia" w:ascii="Times New Roman" w:hAnsi="Times New Roman" w:eastAsia="宋体" w:cstheme="majorBidi"/>
          <w:b/>
          <w:bCs w:val="0"/>
          <w:kern w:val="2"/>
          <w:sz w:val="21"/>
          <w:szCs w:val="22"/>
          <w:lang w:val="en-US" w:eastAsia="zh-CN" w:bidi="ar-SA"/>
        </w:rPr>
        <w:fldChar w:fldCharType="begin"/>
      </w:r>
      <w:r>
        <w:rPr>
          <w:rFonts w:hint="eastAsia" w:ascii="Times New Roman" w:hAnsi="Times New Roman" w:eastAsia="宋体" w:cstheme="majorBidi"/>
          <w:b/>
          <w:bCs w:val="0"/>
          <w:kern w:val="2"/>
          <w:sz w:val="21"/>
          <w:szCs w:val="22"/>
          <w:lang w:val="en-US" w:eastAsia="zh-CN" w:bidi="ar-SA"/>
        </w:rPr>
        <w:instrText xml:space="preserve"> STYLEREF 2 \s </w:instrText>
      </w:r>
      <w:r>
        <w:rPr>
          <w:rFonts w:hint="eastAsia" w:ascii="Times New Roman" w:hAnsi="Times New Roman" w:eastAsia="宋体" w:cstheme="majorBidi"/>
          <w:b/>
          <w:bCs w:val="0"/>
          <w:kern w:val="2"/>
          <w:sz w:val="21"/>
          <w:szCs w:val="22"/>
          <w:lang w:val="en-US" w:eastAsia="zh-CN" w:bidi="ar-SA"/>
        </w:rPr>
        <w:fldChar w:fldCharType="separate"/>
      </w:r>
      <w:r>
        <w:rPr>
          <w:rFonts w:hint="eastAsia" w:ascii="Times New Roman" w:hAnsi="Times New Roman" w:eastAsia="宋体" w:cstheme="majorBidi"/>
          <w:b/>
          <w:bCs w:val="0"/>
          <w:kern w:val="2"/>
          <w:sz w:val="21"/>
          <w:szCs w:val="22"/>
          <w:lang w:val="en-US" w:eastAsia="zh-CN" w:bidi="ar-SA"/>
        </w:rPr>
        <w:t>9.</w:t>
      </w:r>
      <w:r>
        <w:rPr>
          <w:rFonts w:hint="eastAsia" w:cstheme="majorBidi"/>
          <w:b/>
          <w:bCs w:val="0"/>
          <w:kern w:val="2"/>
          <w:sz w:val="21"/>
          <w:szCs w:val="22"/>
          <w:lang w:val="en-US" w:eastAsia="zh-CN" w:bidi="ar-SA"/>
        </w:rPr>
        <w:t>4</w:t>
      </w:r>
      <w:r>
        <w:rPr>
          <w:rFonts w:hint="eastAsia" w:ascii="Times New Roman" w:hAnsi="Times New Roman" w:eastAsia="宋体" w:cstheme="majorBidi"/>
          <w:b/>
          <w:bCs w:val="0"/>
          <w:kern w:val="2"/>
          <w:sz w:val="21"/>
          <w:szCs w:val="22"/>
          <w:lang w:val="en-US" w:eastAsia="zh-CN" w:bidi="ar-SA"/>
        </w:rPr>
        <w:fldChar w:fldCharType="end"/>
      </w:r>
      <w:r>
        <w:rPr>
          <w:rFonts w:hint="eastAsia" w:ascii="Times New Roman" w:hAnsi="Times New Roman" w:eastAsia="宋体" w:cstheme="majorBidi"/>
          <w:b/>
          <w:bCs w:val="0"/>
          <w:kern w:val="2"/>
          <w:sz w:val="21"/>
          <w:szCs w:val="22"/>
          <w:lang w:val="en-US" w:eastAsia="zh-CN" w:bidi="ar-SA"/>
        </w:rPr>
        <w:noBreakHyphen/>
      </w:r>
      <w:r>
        <w:rPr>
          <w:rFonts w:hint="eastAsia" w:cstheme="majorBidi"/>
          <w:b/>
          <w:bCs w:val="0"/>
          <w:kern w:val="2"/>
          <w:sz w:val="21"/>
          <w:szCs w:val="22"/>
          <w:lang w:val="en-US" w:eastAsia="zh-CN" w:bidi="ar-SA"/>
        </w:rPr>
        <w:t>3</w:t>
      </w:r>
      <w:r>
        <w:rPr>
          <w:rFonts w:hint="eastAsia" w:ascii="Times New Roman" w:hAnsi="Times New Roman" w:eastAsia="宋体" w:cstheme="majorBidi"/>
          <w:b/>
          <w:bCs w:val="0"/>
          <w:kern w:val="2"/>
          <w:sz w:val="21"/>
          <w:szCs w:val="22"/>
          <w:lang w:val="en-US" w:eastAsia="zh-CN" w:bidi="ar-SA"/>
        </w:rPr>
        <w:t xml:space="preserve"> 竹溪县人民医院救援路线图</w:t>
      </w:r>
    </w:p>
    <w:p w14:paraId="150DE4F5">
      <w:pPr>
        <w:pStyle w:val="3"/>
        <w:bidi w:val="0"/>
        <w:ind w:left="575" w:leftChars="0" w:hanging="575" w:firstLineChars="0"/>
        <w:rPr>
          <w:b/>
          <w:bCs w:val="0"/>
          <w:sz w:val="28"/>
          <w:szCs w:val="28"/>
        </w:rPr>
      </w:pPr>
      <w:bookmarkStart w:id="239" w:name="_Toc18500"/>
      <w:bookmarkStart w:id="240" w:name="_Toc25690"/>
      <w:bookmarkStart w:id="241" w:name="_Toc10705"/>
      <w:r>
        <w:rPr>
          <w:rFonts w:hint="eastAsia"/>
          <w:b/>
          <w:bCs w:val="0"/>
          <w:sz w:val="28"/>
          <w:szCs w:val="28"/>
          <w:lang w:val="en-US" w:eastAsia="zh-CN"/>
        </w:rPr>
        <w:t>事故善后及恢复生产</w:t>
      </w:r>
      <w:bookmarkEnd w:id="233"/>
      <w:bookmarkEnd w:id="234"/>
      <w:bookmarkEnd w:id="235"/>
      <w:bookmarkEnd w:id="236"/>
      <w:bookmarkEnd w:id="237"/>
      <w:bookmarkEnd w:id="238"/>
      <w:bookmarkEnd w:id="239"/>
      <w:bookmarkEnd w:id="240"/>
      <w:bookmarkEnd w:id="241"/>
    </w:p>
    <w:p w14:paraId="079E6385">
      <w:pPr>
        <w:ind w:firstLine="480"/>
      </w:pPr>
      <w:r>
        <w:rPr>
          <w:rFonts w:hint="eastAsia"/>
        </w:rPr>
        <w:t>应急小组在抢援工作结束后，对发生人员伤亡、机损事故和财产损失等事故的，遵循下列原则进行处理。</w:t>
      </w:r>
    </w:p>
    <w:p w14:paraId="54F77315">
      <w:pPr>
        <w:ind w:firstLine="480"/>
      </w:pPr>
      <w:r>
        <w:rPr>
          <w:rFonts w:hint="eastAsia"/>
        </w:rPr>
        <w:t>（1）伤员处理</w:t>
      </w:r>
    </w:p>
    <w:p w14:paraId="7AFC0CA8">
      <w:pPr>
        <w:ind w:firstLine="480"/>
      </w:pPr>
      <w:r>
        <w:rPr>
          <w:rFonts w:hint="eastAsia"/>
        </w:rPr>
        <w:t>按国家有关规定，做好事后伤亡家属的接待、安抚和善后处理以及保险赔偿工作。</w:t>
      </w:r>
    </w:p>
    <w:p w14:paraId="6440E09C">
      <w:pPr>
        <w:ind w:firstLine="480"/>
      </w:pPr>
      <w:r>
        <w:rPr>
          <w:rFonts w:hint="eastAsia"/>
        </w:rPr>
        <w:t>（2）调查分析</w:t>
      </w:r>
    </w:p>
    <w:p w14:paraId="12018E09">
      <w:pPr>
        <w:ind w:firstLine="480"/>
      </w:pPr>
      <w:r>
        <w:rPr>
          <w:rFonts w:hint="eastAsia"/>
        </w:rPr>
        <w:t>对事故原因调查分析，确定责任和应该吸取的教训。</w:t>
      </w:r>
    </w:p>
    <w:p w14:paraId="3756755A">
      <w:pPr>
        <w:ind w:firstLine="480"/>
      </w:pPr>
      <w:r>
        <w:rPr>
          <w:rFonts w:hint="eastAsia"/>
        </w:rPr>
        <w:t>（3）事故处理</w:t>
      </w:r>
    </w:p>
    <w:p w14:paraId="26930155">
      <w:pPr>
        <w:ind w:firstLine="480"/>
      </w:pPr>
      <w:r>
        <w:rPr>
          <w:rFonts w:hint="eastAsia"/>
        </w:rPr>
        <w:t>根据事故调查结果，按“四不放过”原则，认真总结事故经验教训，对发生事故的责任人或责任部门依照相关法律法规，提出事故处理意见。</w:t>
      </w:r>
    </w:p>
    <w:p w14:paraId="64BA7C4A">
      <w:pPr>
        <w:ind w:firstLine="480"/>
      </w:pPr>
      <w:r>
        <w:rPr>
          <w:rFonts w:hint="eastAsia"/>
        </w:rPr>
        <w:t>（4）事故总结</w:t>
      </w:r>
    </w:p>
    <w:p w14:paraId="028BBFAA">
      <w:pPr>
        <w:ind w:firstLine="480"/>
      </w:pPr>
      <w:r>
        <w:rPr>
          <w:rFonts w:hint="eastAsia"/>
        </w:rPr>
        <w:t>事故处理完毕后，认真总结经验教训，完善管理，对事故后的处理过程认真分析总结、防范措施及应急预案进行补充和修改。</w:t>
      </w:r>
    </w:p>
    <w:p w14:paraId="21667B45">
      <w:pPr>
        <w:ind w:firstLine="480"/>
      </w:pPr>
      <w:r>
        <w:rPr>
          <w:rFonts w:hint="eastAsia"/>
        </w:rPr>
        <w:t>（5）恢复生产</w:t>
      </w:r>
    </w:p>
    <w:p w14:paraId="507FC477">
      <w:pPr>
        <w:ind w:firstLine="480"/>
      </w:pPr>
      <w:r>
        <w:rPr>
          <w:rFonts w:hint="eastAsia"/>
        </w:rPr>
        <w:t>对现场隐患进行全面排查，整改完毕后报请业主、监理单位审批，同意后方可组织恢复生产工作。</w:t>
      </w:r>
    </w:p>
    <w:p w14:paraId="65023909">
      <w:pPr>
        <w:ind w:firstLine="480"/>
      </w:pPr>
    </w:p>
    <w:p w14:paraId="3F591482">
      <w:pPr>
        <w:pStyle w:val="2"/>
        <w:bidi w:val="0"/>
        <w:ind w:left="432" w:leftChars="0" w:hanging="432" w:firstLineChars="0"/>
        <w:rPr>
          <w:rFonts w:hint="eastAsia"/>
        </w:rPr>
      </w:pPr>
      <w:bookmarkStart w:id="242" w:name="_Toc20158"/>
      <w:bookmarkStart w:id="243" w:name="_Toc30183"/>
      <w:bookmarkStart w:id="244" w:name="_Toc32766"/>
      <w:r>
        <w:rPr>
          <w:rFonts w:hint="eastAsia"/>
        </w:rPr>
        <w:t>绿色及文明施工</w:t>
      </w:r>
      <w:bookmarkEnd w:id="242"/>
      <w:bookmarkEnd w:id="243"/>
      <w:bookmarkEnd w:id="244"/>
    </w:p>
    <w:p w14:paraId="2F385A75">
      <w:pPr>
        <w:pStyle w:val="3"/>
        <w:bidi w:val="0"/>
        <w:ind w:left="575" w:leftChars="0" w:hanging="575" w:firstLineChars="0"/>
        <w:rPr>
          <w:b/>
          <w:bCs w:val="0"/>
          <w:sz w:val="28"/>
          <w:szCs w:val="28"/>
        </w:rPr>
      </w:pPr>
      <w:bookmarkStart w:id="245" w:name="_Toc119247042"/>
      <w:bookmarkStart w:id="246" w:name="_Toc22880"/>
      <w:bookmarkStart w:id="247" w:name="_Toc16610"/>
      <w:bookmarkStart w:id="248" w:name="_Toc20888"/>
      <w:bookmarkStart w:id="249" w:name="_Toc27911"/>
      <w:bookmarkStart w:id="250" w:name="_Toc40778460"/>
      <w:r>
        <w:rPr>
          <w:rFonts w:hint="eastAsia"/>
          <w:b/>
          <w:bCs w:val="0"/>
          <w:sz w:val="28"/>
          <w:szCs w:val="28"/>
          <w:lang w:val="en-US" w:eastAsia="zh-CN"/>
        </w:rPr>
        <w:t>管理</w:t>
      </w:r>
      <w:r>
        <w:rPr>
          <w:b/>
          <w:bCs w:val="0"/>
          <w:sz w:val="28"/>
          <w:szCs w:val="28"/>
        </w:rPr>
        <w:t>组织机构</w:t>
      </w:r>
      <w:bookmarkEnd w:id="245"/>
      <w:bookmarkEnd w:id="246"/>
      <w:bookmarkEnd w:id="247"/>
      <w:bookmarkEnd w:id="248"/>
    </w:p>
    <w:p w14:paraId="2A079088">
      <w:pPr>
        <w:pStyle w:val="13"/>
        <w:ind w:firstLine="480"/>
        <w:rPr>
          <w:rFonts w:hint="default"/>
          <w:lang w:val="en-US" w:eastAsia="zh-CN"/>
        </w:rPr>
      </w:pPr>
      <w:bookmarkStart w:id="251" w:name="_Toc164179620"/>
      <w:r>
        <w:rPr>
          <w:rFonts w:hint="eastAsia"/>
          <w:lang w:val="en-US" w:eastAsia="zh-CN"/>
        </w:rPr>
        <w:t>根据本施工工程成立管理组织机构，其人员组成、工作职责详见表10.1-1。</w:t>
      </w:r>
    </w:p>
    <w:p w14:paraId="014AF162">
      <w:pPr>
        <w:bidi w:val="0"/>
        <w:jc w:val="center"/>
        <w:rPr>
          <w:rFonts w:hint="eastAsia" w:ascii="Times New Roman" w:hAnsi="Times New Roman" w:eastAsia="宋体" w:cstheme="majorBidi"/>
          <w:b/>
          <w:bCs w:val="0"/>
          <w:kern w:val="2"/>
          <w:sz w:val="21"/>
          <w:szCs w:val="22"/>
          <w:lang w:val="en-US" w:eastAsia="zh-CN" w:bidi="ar-SA"/>
        </w:rPr>
      </w:pPr>
      <w:r>
        <w:rPr>
          <w:rFonts w:hint="eastAsia" w:cstheme="majorBidi"/>
          <w:b/>
          <w:bCs w:val="0"/>
          <w:kern w:val="2"/>
          <w:sz w:val="21"/>
          <w:szCs w:val="22"/>
          <w:lang w:val="en-US" w:eastAsia="zh-CN" w:bidi="ar-SA"/>
        </w:rPr>
        <w:t>表</w:t>
      </w:r>
      <w:r>
        <w:rPr>
          <w:rFonts w:hint="eastAsia" w:ascii="Times New Roman" w:hAnsi="Times New Roman" w:eastAsia="宋体" w:cstheme="majorBidi"/>
          <w:b/>
          <w:bCs w:val="0"/>
          <w:kern w:val="2"/>
          <w:sz w:val="21"/>
          <w:szCs w:val="22"/>
          <w:lang w:val="en-US" w:eastAsia="zh-CN" w:bidi="ar-SA"/>
        </w:rPr>
        <w:t>10.1</w:t>
      </w:r>
      <w:r>
        <w:rPr>
          <w:rFonts w:hint="eastAsia" w:ascii="Times New Roman" w:hAnsi="Times New Roman" w:eastAsia="宋体" w:cstheme="majorBidi"/>
          <w:b/>
          <w:bCs w:val="0"/>
          <w:kern w:val="2"/>
          <w:sz w:val="21"/>
          <w:szCs w:val="22"/>
          <w:lang w:val="en-US" w:eastAsia="zh-CN" w:bidi="ar-SA"/>
        </w:rPr>
        <w:noBreakHyphen/>
      </w:r>
      <w:r>
        <w:rPr>
          <w:rFonts w:hint="eastAsia" w:ascii="Times New Roman" w:hAnsi="Times New Roman" w:eastAsia="宋体" w:cstheme="majorBidi"/>
          <w:b/>
          <w:bCs w:val="0"/>
          <w:kern w:val="2"/>
          <w:sz w:val="21"/>
          <w:szCs w:val="22"/>
          <w:lang w:val="en-US" w:eastAsia="zh-CN" w:bidi="ar-SA"/>
        </w:rPr>
        <w:fldChar w:fldCharType="begin"/>
      </w:r>
      <w:r>
        <w:rPr>
          <w:rFonts w:hint="eastAsia" w:ascii="Times New Roman" w:hAnsi="Times New Roman" w:eastAsia="宋体" w:cstheme="majorBidi"/>
          <w:b/>
          <w:bCs w:val="0"/>
          <w:kern w:val="2"/>
          <w:sz w:val="21"/>
          <w:szCs w:val="22"/>
          <w:lang w:val="en-US" w:eastAsia="zh-CN" w:bidi="ar-SA"/>
        </w:rPr>
        <w:instrText xml:space="preserve"> SEQ 图 \* ARABIC \s 2 </w:instrText>
      </w:r>
      <w:r>
        <w:rPr>
          <w:rFonts w:hint="eastAsia" w:ascii="Times New Roman" w:hAnsi="Times New Roman" w:eastAsia="宋体" w:cstheme="majorBidi"/>
          <w:b/>
          <w:bCs w:val="0"/>
          <w:kern w:val="2"/>
          <w:sz w:val="21"/>
          <w:szCs w:val="22"/>
          <w:lang w:val="en-US" w:eastAsia="zh-CN" w:bidi="ar-SA"/>
        </w:rPr>
        <w:fldChar w:fldCharType="separate"/>
      </w:r>
      <w:r>
        <w:rPr>
          <w:rFonts w:hint="eastAsia" w:ascii="Times New Roman" w:hAnsi="Times New Roman" w:eastAsia="宋体" w:cstheme="majorBidi"/>
          <w:b/>
          <w:bCs w:val="0"/>
          <w:kern w:val="2"/>
          <w:sz w:val="21"/>
          <w:szCs w:val="22"/>
          <w:lang w:val="en-US" w:eastAsia="zh-CN" w:bidi="ar-SA"/>
        </w:rPr>
        <w:t>1</w:t>
      </w:r>
      <w:r>
        <w:rPr>
          <w:rFonts w:hint="eastAsia" w:ascii="Times New Roman" w:hAnsi="Times New Roman" w:eastAsia="宋体" w:cstheme="majorBidi"/>
          <w:b/>
          <w:bCs w:val="0"/>
          <w:kern w:val="2"/>
          <w:sz w:val="21"/>
          <w:szCs w:val="22"/>
          <w:lang w:val="en-US" w:eastAsia="zh-CN" w:bidi="ar-SA"/>
        </w:rPr>
        <w:fldChar w:fldCharType="end"/>
      </w:r>
      <w:r>
        <w:rPr>
          <w:rFonts w:hint="eastAsia" w:ascii="Times New Roman" w:hAnsi="Times New Roman" w:eastAsia="宋体" w:cstheme="majorBidi"/>
          <w:b/>
          <w:bCs w:val="0"/>
          <w:kern w:val="2"/>
          <w:sz w:val="21"/>
          <w:szCs w:val="22"/>
          <w:lang w:val="en-US" w:eastAsia="zh-CN" w:bidi="ar-SA"/>
        </w:rPr>
        <w:t xml:space="preserve">  质量管理组织机构</w:t>
      </w:r>
      <w:r>
        <w:rPr>
          <w:rFonts w:hint="eastAsia" w:cstheme="majorBidi"/>
          <w:b/>
          <w:bCs w:val="0"/>
          <w:kern w:val="2"/>
          <w:sz w:val="21"/>
          <w:szCs w:val="22"/>
          <w:lang w:val="en-US" w:eastAsia="zh-CN" w:bidi="ar-SA"/>
        </w:rPr>
        <w:t>表</w:t>
      </w:r>
    </w:p>
    <w:tbl>
      <w:tblPr>
        <w:tblStyle w:val="38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2342"/>
        <w:gridCol w:w="970"/>
        <w:gridCol w:w="4876"/>
        <w:gridCol w:w="550"/>
      </w:tblGrid>
      <w:tr w14:paraId="1D8FA2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13" w:hRule="atLeast"/>
          <w:tblHeader/>
          <w:jc w:val="center"/>
        </w:trPr>
        <w:tc>
          <w:tcPr>
            <w:tcW w:w="295" w:type="pct"/>
            <w:shd w:val="clear" w:color="auto" w:fill="auto"/>
            <w:vAlign w:val="center"/>
          </w:tcPr>
          <w:p w14:paraId="6A683A67">
            <w:pPr>
              <w:spacing w:line="240" w:lineRule="auto"/>
              <w:ind w:firstLine="0" w:firstLineChars="0"/>
              <w:jc w:val="center"/>
              <w:rPr>
                <w:b/>
                <w:sz w:val="21"/>
              </w:rPr>
            </w:pPr>
            <w:r>
              <w:rPr>
                <w:rFonts w:hint="eastAsia"/>
                <w:b/>
                <w:sz w:val="21"/>
              </w:rPr>
              <w:t>序号</w:t>
            </w:r>
          </w:p>
        </w:tc>
        <w:tc>
          <w:tcPr>
            <w:tcW w:w="1261" w:type="pct"/>
            <w:shd w:val="clear" w:color="auto" w:fill="auto"/>
            <w:vAlign w:val="center"/>
          </w:tcPr>
          <w:p w14:paraId="1ED4BC7E">
            <w:pPr>
              <w:spacing w:line="240" w:lineRule="auto"/>
              <w:ind w:firstLine="0" w:firstLineChars="0"/>
              <w:jc w:val="center"/>
              <w:rPr>
                <w:rFonts w:hint="eastAsia" w:eastAsia="宋体"/>
                <w:b/>
                <w:bCs/>
                <w:sz w:val="21"/>
                <w:lang w:eastAsia="zh-CN"/>
              </w:rPr>
            </w:pPr>
            <w:r>
              <w:rPr>
                <w:rFonts w:hint="eastAsia"/>
                <w:b/>
                <w:bCs/>
                <w:sz w:val="21"/>
                <w:lang w:val="en-US" w:eastAsia="zh-CN"/>
              </w:rPr>
              <w:t>岗位</w:t>
            </w:r>
          </w:p>
        </w:tc>
        <w:tc>
          <w:tcPr>
            <w:tcW w:w="522" w:type="pct"/>
            <w:shd w:val="clear" w:color="auto" w:fill="auto"/>
            <w:vAlign w:val="center"/>
          </w:tcPr>
          <w:p w14:paraId="2B4FC160">
            <w:pPr>
              <w:spacing w:line="240" w:lineRule="auto"/>
              <w:ind w:firstLine="0" w:firstLineChars="0"/>
              <w:jc w:val="center"/>
              <w:rPr>
                <w:rFonts w:hint="eastAsia" w:eastAsia="宋体"/>
                <w:b/>
                <w:sz w:val="21"/>
                <w:lang w:eastAsia="zh-CN"/>
              </w:rPr>
            </w:pPr>
            <w:r>
              <w:rPr>
                <w:rFonts w:hint="eastAsia"/>
                <w:b/>
                <w:bCs/>
                <w:sz w:val="21"/>
                <w:lang w:val="en-US" w:eastAsia="zh-CN"/>
              </w:rPr>
              <w:t>姓名</w:t>
            </w:r>
          </w:p>
        </w:tc>
        <w:tc>
          <w:tcPr>
            <w:tcW w:w="2625" w:type="pct"/>
            <w:shd w:val="clear" w:color="auto" w:fill="auto"/>
            <w:vAlign w:val="center"/>
          </w:tcPr>
          <w:p w14:paraId="63BBE53B">
            <w:pPr>
              <w:spacing w:line="240" w:lineRule="auto"/>
              <w:ind w:firstLine="0" w:firstLineChars="0"/>
              <w:jc w:val="center"/>
              <w:rPr>
                <w:rFonts w:hint="eastAsia" w:eastAsia="宋体"/>
                <w:b/>
                <w:sz w:val="21"/>
                <w:lang w:eastAsia="zh-CN"/>
              </w:rPr>
            </w:pPr>
            <w:r>
              <w:rPr>
                <w:rFonts w:hint="eastAsia"/>
                <w:b/>
                <w:sz w:val="21"/>
                <w:lang w:val="en-US" w:eastAsia="zh-CN"/>
              </w:rPr>
              <w:t>工作职责</w:t>
            </w:r>
          </w:p>
        </w:tc>
        <w:tc>
          <w:tcPr>
            <w:tcW w:w="296" w:type="pct"/>
            <w:shd w:val="clear" w:color="auto" w:fill="auto"/>
            <w:vAlign w:val="center"/>
          </w:tcPr>
          <w:p w14:paraId="2CA61530">
            <w:pPr>
              <w:spacing w:line="240" w:lineRule="auto"/>
              <w:ind w:firstLine="0" w:firstLineChars="0"/>
              <w:jc w:val="center"/>
              <w:rPr>
                <w:rFonts w:hint="eastAsia" w:eastAsia="宋体"/>
                <w:b/>
                <w:sz w:val="21"/>
                <w:lang w:val="en-US" w:eastAsia="zh-CN"/>
              </w:rPr>
            </w:pPr>
            <w:r>
              <w:rPr>
                <w:rFonts w:hint="eastAsia"/>
                <w:b/>
                <w:sz w:val="21"/>
                <w:lang w:val="en-US" w:eastAsia="zh-CN"/>
              </w:rPr>
              <w:t>备注</w:t>
            </w:r>
          </w:p>
        </w:tc>
      </w:tr>
      <w:tr w14:paraId="6BDF95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287D6A46">
            <w:pPr>
              <w:numPr>
                <w:ilvl w:val="0"/>
                <w:numId w:val="43"/>
              </w:numPr>
              <w:spacing w:line="240" w:lineRule="auto"/>
              <w:ind w:left="240" w:leftChars="0" w:firstLineChars="0"/>
              <w:jc w:val="center"/>
              <w:rPr>
                <w:sz w:val="21"/>
              </w:rPr>
            </w:pPr>
          </w:p>
        </w:tc>
        <w:tc>
          <w:tcPr>
            <w:tcW w:w="1261" w:type="pct"/>
            <w:shd w:val="clear" w:color="auto" w:fill="auto"/>
            <w:vAlign w:val="center"/>
          </w:tcPr>
          <w:p w14:paraId="4F14C306">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技术负责人</w:t>
            </w:r>
          </w:p>
        </w:tc>
        <w:tc>
          <w:tcPr>
            <w:tcW w:w="522" w:type="pct"/>
            <w:shd w:val="clear" w:color="auto" w:fill="auto"/>
            <w:vAlign w:val="center"/>
          </w:tcPr>
          <w:p w14:paraId="788A7B96">
            <w:pPr>
              <w:pStyle w:val="50"/>
              <w:spacing w:line="240" w:lineRule="auto"/>
              <w:ind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温涛</w:t>
            </w:r>
          </w:p>
        </w:tc>
        <w:tc>
          <w:tcPr>
            <w:tcW w:w="2625" w:type="pct"/>
            <w:shd w:val="clear" w:color="auto" w:fill="auto"/>
            <w:vAlign w:val="center"/>
          </w:tcPr>
          <w:p w14:paraId="78B56752">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负责组织人员按安装工艺规程及塔吊使用说明书要求进行作业，负责每日的工作安排，安全交底、工作记录，制止任何违章作业。</w:t>
            </w:r>
          </w:p>
        </w:tc>
        <w:tc>
          <w:tcPr>
            <w:tcW w:w="296" w:type="pct"/>
            <w:shd w:val="clear" w:color="auto" w:fill="auto"/>
            <w:vAlign w:val="center"/>
          </w:tcPr>
          <w:p w14:paraId="563DD1B7">
            <w:pPr>
              <w:spacing w:line="240" w:lineRule="auto"/>
              <w:ind w:firstLine="0" w:firstLineChars="0"/>
              <w:jc w:val="center"/>
              <w:rPr>
                <w:sz w:val="21"/>
              </w:rPr>
            </w:pPr>
          </w:p>
        </w:tc>
      </w:tr>
      <w:tr w14:paraId="11E99E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3F03D121">
            <w:pPr>
              <w:numPr>
                <w:ilvl w:val="0"/>
                <w:numId w:val="43"/>
              </w:numPr>
              <w:spacing w:line="240" w:lineRule="auto"/>
              <w:ind w:left="240" w:leftChars="0" w:firstLineChars="0"/>
              <w:jc w:val="center"/>
              <w:rPr>
                <w:sz w:val="21"/>
              </w:rPr>
            </w:pPr>
          </w:p>
        </w:tc>
        <w:tc>
          <w:tcPr>
            <w:tcW w:w="1261" w:type="pct"/>
            <w:shd w:val="clear" w:color="auto" w:fill="auto"/>
            <w:vAlign w:val="center"/>
          </w:tcPr>
          <w:p w14:paraId="33CDC178">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项目负责人</w:t>
            </w:r>
          </w:p>
        </w:tc>
        <w:tc>
          <w:tcPr>
            <w:tcW w:w="522" w:type="pct"/>
            <w:shd w:val="clear" w:color="auto" w:fill="auto"/>
            <w:vAlign w:val="center"/>
          </w:tcPr>
          <w:p w14:paraId="06B633CD">
            <w:pPr>
              <w:pStyle w:val="50"/>
              <w:spacing w:line="240" w:lineRule="auto"/>
              <w:ind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吕仕昌</w:t>
            </w:r>
          </w:p>
        </w:tc>
        <w:tc>
          <w:tcPr>
            <w:tcW w:w="2625" w:type="pct"/>
            <w:shd w:val="clear" w:color="auto" w:fill="auto"/>
            <w:vAlign w:val="center"/>
          </w:tcPr>
          <w:p w14:paraId="693570B6">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p>
        </w:tc>
        <w:tc>
          <w:tcPr>
            <w:tcW w:w="296" w:type="pct"/>
            <w:shd w:val="clear" w:color="auto" w:fill="auto"/>
            <w:vAlign w:val="center"/>
          </w:tcPr>
          <w:p w14:paraId="6E4AFCB4">
            <w:pPr>
              <w:spacing w:line="240" w:lineRule="auto"/>
              <w:ind w:firstLine="0" w:firstLineChars="0"/>
              <w:jc w:val="center"/>
              <w:rPr>
                <w:sz w:val="21"/>
              </w:rPr>
            </w:pPr>
          </w:p>
        </w:tc>
      </w:tr>
      <w:tr w14:paraId="6C7C82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1FDEF0CD">
            <w:pPr>
              <w:numPr>
                <w:ilvl w:val="0"/>
                <w:numId w:val="43"/>
              </w:numPr>
              <w:spacing w:line="240" w:lineRule="auto"/>
              <w:ind w:left="240" w:leftChars="0" w:firstLineChars="0"/>
              <w:jc w:val="center"/>
              <w:rPr>
                <w:sz w:val="21"/>
              </w:rPr>
            </w:pPr>
          </w:p>
        </w:tc>
        <w:tc>
          <w:tcPr>
            <w:tcW w:w="1261" w:type="pct"/>
            <w:shd w:val="clear" w:color="auto" w:fill="auto"/>
            <w:vAlign w:val="center"/>
          </w:tcPr>
          <w:p w14:paraId="437BCE48">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现场负责人</w:t>
            </w:r>
          </w:p>
        </w:tc>
        <w:tc>
          <w:tcPr>
            <w:tcW w:w="522" w:type="pct"/>
            <w:shd w:val="clear" w:color="auto" w:fill="auto"/>
            <w:vAlign w:val="center"/>
          </w:tcPr>
          <w:p w14:paraId="63BD1C9F">
            <w:pPr>
              <w:pStyle w:val="50"/>
              <w:spacing w:line="240" w:lineRule="auto"/>
              <w:ind w:firstLineChars="0"/>
              <w:jc w:val="cente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罗乾龙</w:t>
            </w:r>
          </w:p>
        </w:tc>
        <w:tc>
          <w:tcPr>
            <w:tcW w:w="2625" w:type="pct"/>
            <w:shd w:val="clear" w:color="auto" w:fill="auto"/>
            <w:vAlign w:val="center"/>
          </w:tcPr>
          <w:p w14:paraId="10D557FA">
            <w:pPr>
              <w:pStyle w:val="50"/>
              <w:ind w:firstLine="0" w:firstLineChars="0"/>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负责现场安拆指导及安全管理</w:t>
            </w:r>
          </w:p>
        </w:tc>
        <w:tc>
          <w:tcPr>
            <w:tcW w:w="296" w:type="pct"/>
            <w:shd w:val="clear" w:color="auto" w:fill="auto"/>
            <w:vAlign w:val="center"/>
          </w:tcPr>
          <w:p w14:paraId="39E8D06D">
            <w:pPr>
              <w:spacing w:line="240" w:lineRule="auto"/>
              <w:ind w:firstLine="0" w:firstLineChars="0"/>
              <w:jc w:val="center"/>
              <w:rPr>
                <w:sz w:val="21"/>
              </w:rPr>
            </w:pPr>
          </w:p>
        </w:tc>
      </w:tr>
      <w:tr w14:paraId="1FE2C5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56850EA0">
            <w:pPr>
              <w:numPr>
                <w:ilvl w:val="0"/>
                <w:numId w:val="43"/>
              </w:numPr>
              <w:spacing w:line="240" w:lineRule="auto"/>
              <w:ind w:left="240" w:leftChars="0" w:firstLineChars="0"/>
              <w:jc w:val="center"/>
              <w:rPr>
                <w:sz w:val="21"/>
              </w:rPr>
            </w:pPr>
          </w:p>
        </w:tc>
        <w:tc>
          <w:tcPr>
            <w:tcW w:w="1261" w:type="pct"/>
            <w:shd w:val="clear" w:color="auto" w:fill="auto"/>
            <w:vAlign w:val="center"/>
          </w:tcPr>
          <w:p w14:paraId="29AEE5A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3F7B38D1">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胡杰</w:t>
            </w:r>
          </w:p>
        </w:tc>
        <w:tc>
          <w:tcPr>
            <w:tcW w:w="2625" w:type="pct"/>
            <w:shd w:val="clear" w:color="auto" w:fill="auto"/>
            <w:vAlign w:val="center"/>
          </w:tcPr>
          <w:p w14:paraId="0ABA9797">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w:t>
            </w:r>
          </w:p>
          <w:p w14:paraId="0F635EBB">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及维保</w:t>
            </w:r>
          </w:p>
        </w:tc>
        <w:tc>
          <w:tcPr>
            <w:tcW w:w="296" w:type="pct"/>
            <w:shd w:val="clear" w:color="auto" w:fill="auto"/>
            <w:vAlign w:val="center"/>
          </w:tcPr>
          <w:p w14:paraId="3D816F88">
            <w:pPr>
              <w:spacing w:line="240" w:lineRule="auto"/>
              <w:ind w:firstLine="0" w:firstLineChars="0"/>
              <w:jc w:val="center"/>
              <w:rPr>
                <w:sz w:val="21"/>
              </w:rPr>
            </w:pPr>
          </w:p>
        </w:tc>
      </w:tr>
      <w:tr w14:paraId="287864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41156DED">
            <w:pPr>
              <w:numPr>
                <w:ilvl w:val="0"/>
                <w:numId w:val="43"/>
              </w:numPr>
              <w:spacing w:line="240" w:lineRule="auto"/>
              <w:ind w:left="240" w:leftChars="0" w:firstLineChars="0"/>
              <w:jc w:val="center"/>
              <w:rPr>
                <w:sz w:val="21"/>
              </w:rPr>
            </w:pPr>
          </w:p>
        </w:tc>
        <w:tc>
          <w:tcPr>
            <w:tcW w:w="1261" w:type="pct"/>
            <w:shd w:val="clear" w:color="auto" w:fill="auto"/>
            <w:vAlign w:val="center"/>
          </w:tcPr>
          <w:p w14:paraId="42BD548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2561EEAB">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何小兵</w:t>
            </w:r>
          </w:p>
        </w:tc>
        <w:tc>
          <w:tcPr>
            <w:tcW w:w="2625" w:type="pct"/>
            <w:shd w:val="clear" w:color="auto" w:fill="auto"/>
            <w:vAlign w:val="center"/>
          </w:tcPr>
          <w:p w14:paraId="21F30AC1">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1274FCDB">
            <w:pPr>
              <w:spacing w:line="240" w:lineRule="auto"/>
              <w:ind w:firstLine="0" w:firstLineChars="0"/>
              <w:jc w:val="center"/>
              <w:rPr>
                <w:sz w:val="21"/>
              </w:rPr>
            </w:pPr>
          </w:p>
        </w:tc>
      </w:tr>
      <w:tr w14:paraId="48D1B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15" w:hRule="atLeast"/>
          <w:jc w:val="center"/>
        </w:trPr>
        <w:tc>
          <w:tcPr>
            <w:tcW w:w="295" w:type="pct"/>
            <w:shd w:val="clear" w:color="auto" w:fill="auto"/>
            <w:vAlign w:val="center"/>
          </w:tcPr>
          <w:p w14:paraId="6FC2D8D8">
            <w:pPr>
              <w:numPr>
                <w:ilvl w:val="0"/>
                <w:numId w:val="43"/>
              </w:numPr>
              <w:spacing w:line="240" w:lineRule="auto"/>
              <w:ind w:left="240" w:leftChars="0" w:firstLineChars="0"/>
              <w:jc w:val="center"/>
              <w:rPr>
                <w:sz w:val="21"/>
              </w:rPr>
            </w:pPr>
          </w:p>
        </w:tc>
        <w:tc>
          <w:tcPr>
            <w:tcW w:w="1261" w:type="pct"/>
            <w:shd w:val="clear" w:color="auto" w:fill="auto"/>
            <w:vAlign w:val="center"/>
          </w:tcPr>
          <w:p w14:paraId="7DAFA290">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7F7E8C6B">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匡彬</w:t>
            </w: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 xml:space="preserve"> </w:t>
            </w:r>
          </w:p>
        </w:tc>
        <w:tc>
          <w:tcPr>
            <w:tcW w:w="2625" w:type="pct"/>
            <w:shd w:val="clear" w:color="auto" w:fill="auto"/>
            <w:vAlign w:val="center"/>
          </w:tcPr>
          <w:p w14:paraId="622F3D5E">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281B966F">
            <w:pPr>
              <w:spacing w:line="240" w:lineRule="auto"/>
              <w:ind w:firstLine="0" w:firstLineChars="0"/>
              <w:jc w:val="center"/>
              <w:rPr>
                <w:sz w:val="21"/>
              </w:rPr>
            </w:pPr>
          </w:p>
        </w:tc>
      </w:tr>
      <w:tr w14:paraId="3BD66D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01191451">
            <w:pPr>
              <w:numPr>
                <w:ilvl w:val="0"/>
                <w:numId w:val="43"/>
              </w:numPr>
              <w:spacing w:line="240" w:lineRule="auto"/>
              <w:ind w:left="240" w:leftChars="0" w:firstLineChars="0"/>
              <w:jc w:val="center"/>
              <w:rPr>
                <w:sz w:val="21"/>
              </w:rPr>
            </w:pPr>
          </w:p>
        </w:tc>
        <w:tc>
          <w:tcPr>
            <w:tcW w:w="1261" w:type="pct"/>
            <w:shd w:val="clear" w:color="auto" w:fill="auto"/>
            <w:vAlign w:val="center"/>
          </w:tcPr>
          <w:p w14:paraId="31236851">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建筑起重机械安装拆卸工（塔式起重机）</w:t>
            </w:r>
          </w:p>
        </w:tc>
        <w:tc>
          <w:tcPr>
            <w:tcW w:w="522" w:type="pct"/>
            <w:shd w:val="clear" w:color="auto" w:fill="auto"/>
            <w:vAlign w:val="center"/>
          </w:tcPr>
          <w:p w14:paraId="486C388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方柳</w:t>
            </w:r>
          </w:p>
        </w:tc>
        <w:tc>
          <w:tcPr>
            <w:tcW w:w="2625" w:type="pct"/>
            <w:shd w:val="clear" w:color="auto" w:fill="auto"/>
            <w:vAlign w:val="center"/>
          </w:tcPr>
          <w:p w14:paraId="07CC8E7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负责设备安拆调试及维保</w:t>
            </w:r>
          </w:p>
        </w:tc>
        <w:tc>
          <w:tcPr>
            <w:tcW w:w="296" w:type="pct"/>
            <w:shd w:val="clear" w:color="auto" w:fill="auto"/>
            <w:vAlign w:val="center"/>
          </w:tcPr>
          <w:p w14:paraId="1A46E4E5">
            <w:pPr>
              <w:spacing w:line="240" w:lineRule="auto"/>
              <w:ind w:firstLine="0" w:firstLineChars="0"/>
              <w:jc w:val="center"/>
              <w:rPr>
                <w:sz w:val="21"/>
              </w:rPr>
            </w:pPr>
          </w:p>
        </w:tc>
      </w:tr>
      <w:tr w14:paraId="6BB212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0D486725">
            <w:pPr>
              <w:numPr>
                <w:ilvl w:val="0"/>
                <w:numId w:val="43"/>
              </w:numPr>
              <w:spacing w:line="240" w:lineRule="auto"/>
              <w:ind w:left="240" w:leftChars="0" w:firstLineChars="0"/>
              <w:jc w:val="center"/>
              <w:rPr>
                <w:sz w:val="21"/>
              </w:rPr>
            </w:pPr>
          </w:p>
        </w:tc>
        <w:tc>
          <w:tcPr>
            <w:tcW w:w="1261" w:type="pct"/>
            <w:shd w:val="clear" w:color="auto" w:fill="auto"/>
            <w:vAlign w:val="center"/>
          </w:tcPr>
          <w:p w14:paraId="263A11CD">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建筑电工（维保人员）</w:t>
            </w:r>
          </w:p>
        </w:tc>
        <w:tc>
          <w:tcPr>
            <w:tcW w:w="522" w:type="pct"/>
            <w:shd w:val="clear" w:color="auto" w:fill="auto"/>
            <w:vAlign w:val="center"/>
          </w:tcPr>
          <w:p w14:paraId="70774D41">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熊登</w:t>
            </w:r>
          </w:p>
        </w:tc>
        <w:tc>
          <w:tcPr>
            <w:tcW w:w="2625" w:type="pct"/>
            <w:shd w:val="clear" w:color="auto" w:fill="auto"/>
            <w:vAlign w:val="center"/>
          </w:tcPr>
          <w:p w14:paraId="38356A20">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负责设备安拆电气调试及维保</w:t>
            </w:r>
          </w:p>
        </w:tc>
        <w:tc>
          <w:tcPr>
            <w:tcW w:w="296" w:type="pct"/>
            <w:shd w:val="clear" w:color="auto" w:fill="auto"/>
            <w:vAlign w:val="center"/>
          </w:tcPr>
          <w:p w14:paraId="0EC6B549">
            <w:pPr>
              <w:spacing w:line="240" w:lineRule="auto"/>
              <w:ind w:firstLine="0" w:firstLineChars="0"/>
              <w:jc w:val="center"/>
              <w:rPr>
                <w:sz w:val="21"/>
              </w:rPr>
            </w:pPr>
          </w:p>
        </w:tc>
      </w:tr>
      <w:tr w14:paraId="730DA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1FA22ADF">
            <w:pPr>
              <w:numPr>
                <w:ilvl w:val="0"/>
                <w:numId w:val="43"/>
              </w:numPr>
              <w:spacing w:line="240" w:lineRule="auto"/>
              <w:ind w:left="240" w:leftChars="0" w:firstLineChars="0"/>
              <w:jc w:val="center"/>
              <w:rPr>
                <w:sz w:val="21"/>
              </w:rPr>
            </w:pPr>
          </w:p>
        </w:tc>
        <w:tc>
          <w:tcPr>
            <w:tcW w:w="1261" w:type="pct"/>
            <w:shd w:val="clear" w:color="auto" w:fill="auto"/>
            <w:vAlign w:val="center"/>
          </w:tcPr>
          <w:p w14:paraId="41A4E5FD">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司机</w:t>
            </w:r>
          </w:p>
        </w:tc>
        <w:tc>
          <w:tcPr>
            <w:tcW w:w="522" w:type="pct"/>
            <w:shd w:val="clear" w:color="auto" w:fill="auto"/>
            <w:vAlign w:val="center"/>
          </w:tcPr>
          <w:p w14:paraId="4C6A05AA">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张云桥</w:t>
            </w:r>
          </w:p>
        </w:tc>
        <w:tc>
          <w:tcPr>
            <w:tcW w:w="2625" w:type="pct"/>
            <w:shd w:val="clear" w:color="auto" w:fill="auto"/>
            <w:vAlign w:val="center"/>
          </w:tcPr>
          <w:p w14:paraId="4CFD05B6">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在安装过程中对塔吊进行操作。严守操作规程，严格安照日常保养维护检查，确保塔吊处于良好状态。</w:t>
            </w:r>
          </w:p>
        </w:tc>
        <w:tc>
          <w:tcPr>
            <w:tcW w:w="296" w:type="pct"/>
            <w:shd w:val="clear" w:color="auto" w:fill="auto"/>
            <w:vAlign w:val="center"/>
          </w:tcPr>
          <w:p w14:paraId="178EF5C4">
            <w:pPr>
              <w:spacing w:line="240" w:lineRule="auto"/>
              <w:ind w:firstLine="0" w:firstLineChars="0"/>
              <w:jc w:val="center"/>
              <w:rPr>
                <w:sz w:val="21"/>
              </w:rPr>
            </w:pPr>
          </w:p>
        </w:tc>
      </w:tr>
      <w:tr w14:paraId="3D5855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95" w:type="pct"/>
            <w:shd w:val="clear" w:color="auto" w:fill="auto"/>
            <w:vAlign w:val="center"/>
          </w:tcPr>
          <w:p w14:paraId="2D4F637B">
            <w:pPr>
              <w:numPr>
                <w:ilvl w:val="0"/>
                <w:numId w:val="43"/>
              </w:numPr>
              <w:spacing w:line="240" w:lineRule="auto"/>
              <w:ind w:left="240" w:leftChars="0" w:firstLineChars="0"/>
              <w:jc w:val="center"/>
              <w:rPr>
                <w:sz w:val="21"/>
              </w:rPr>
            </w:pPr>
          </w:p>
        </w:tc>
        <w:tc>
          <w:tcPr>
            <w:tcW w:w="1261" w:type="pct"/>
            <w:shd w:val="clear" w:color="auto" w:fill="auto"/>
            <w:vAlign w:val="center"/>
          </w:tcPr>
          <w:p w14:paraId="69E351DC">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指挥</w:t>
            </w:r>
          </w:p>
        </w:tc>
        <w:tc>
          <w:tcPr>
            <w:tcW w:w="522" w:type="pct"/>
            <w:shd w:val="clear" w:color="auto" w:fill="auto"/>
            <w:vAlign w:val="center"/>
          </w:tcPr>
          <w:p w14:paraId="3CA4E2EE">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刘云祥</w:t>
            </w:r>
          </w:p>
        </w:tc>
        <w:tc>
          <w:tcPr>
            <w:tcW w:w="2625" w:type="pct"/>
            <w:shd w:val="clear" w:color="auto" w:fill="auto"/>
            <w:vAlign w:val="center"/>
          </w:tcPr>
          <w:p w14:paraId="59A8A7D9">
            <w:pPr>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t>负责安装过程中的指挥信号</w:t>
            </w:r>
          </w:p>
        </w:tc>
        <w:tc>
          <w:tcPr>
            <w:tcW w:w="296" w:type="pct"/>
            <w:shd w:val="clear" w:color="auto" w:fill="auto"/>
            <w:vAlign w:val="center"/>
          </w:tcPr>
          <w:p w14:paraId="4F6D6D46">
            <w:pPr>
              <w:spacing w:line="240" w:lineRule="auto"/>
              <w:ind w:firstLine="0" w:firstLineChars="0"/>
              <w:jc w:val="center"/>
              <w:rPr>
                <w:sz w:val="21"/>
              </w:rPr>
            </w:pPr>
          </w:p>
        </w:tc>
      </w:tr>
    </w:tbl>
    <w:p w14:paraId="6F2D17B3">
      <w:pPr>
        <w:bidi w:val="0"/>
        <w:jc w:val="center"/>
        <w:rPr>
          <w:rFonts w:hint="eastAsia" w:ascii="Times New Roman" w:hAnsi="Times New Roman" w:eastAsia="宋体" w:cstheme="majorBidi"/>
          <w:b/>
          <w:bCs w:val="0"/>
          <w:kern w:val="2"/>
          <w:sz w:val="21"/>
          <w:szCs w:val="22"/>
          <w:lang w:val="en-US" w:eastAsia="zh-CN" w:bidi="ar-SA"/>
        </w:rPr>
      </w:pPr>
    </w:p>
    <w:p w14:paraId="0486310E">
      <w:pPr>
        <w:pStyle w:val="3"/>
        <w:bidi w:val="0"/>
        <w:ind w:left="575" w:leftChars="0" w:hanging="575" w:firstLineChars="0"/>
        <w:rPr>
          <w:b/>
          <w:bCs w:val="0"/>
          <w:sz w:val="28"/>
          <w:szCs w:val="28"/>
        </w:rPr>
      </w:pPr>
      <w:bookmarkStart w:id="252" w:name="_Toc5310"/>
      <w:bookmarkStart w:id="253" w:name="_Toc22903"/>
      <w:bookmarkStart w:id="254" w:name="_Toc7963"/>
      <w:r>
        <w:rPr>
          <w:b/>
          <w:bCs w:val="0"/>
          <w:sz w:val="28"/>
          <w:szCs w:val="28"/>
        </w:rPr>
        <w:t>绿色及文明施工保证体系</w:t>
      </w:r>
      <w:bookmarkEnd w:id="251"/>
      <w:bookmarkEnd w:id="252"/>
      <w:bookmarkEnd w:id="253"/>
      <w:bookmarkEnd w:id="254"/>
    </w:p>
    <w:p w14:paraId="5CCA343C">
      <w:r>
        <w:t>根据施工区域周边环境特点，依据有关法律、法规及建设单位的规定，制定详细的绿色文明施工措施，从思想保证、制度保证、过程控制、资源保证、技术保证、组织保证六个方面控制。绿色文明施工保证体系见下图。</w:t>
      </w:r>
    </w:p>
    <w:p w14:paraId="667F546D">
      <w:pPr>
        <w:pStyle w:val="390"/>
      </w:pPr>
      <w:r>
        <w:object>
          <v:shape id="_x0000_i1027" o:spt="75" type="#_x0000_t75" style="height:342.25pt;width:299.85pt;" o:ole="t" filled="f" o:preferrelative="t" stroked="f" coordsize="21600,21600">
            <v:path/>
            <v:fill on="f" focussize="0,0"/>
            <v:stroke on="f" joinstyle="miter"/>
            <v:imagedata r:id="rId83" o:title=""/>
            <o:lock v:ext="edit" aspectratio="t"/>
            <w10:wrap type="none"/>
            <w10:anchorlock/>
          </v:shape>
          <o:OLEObject Type="Embed" ProgID="Visio.Drawing.11" ShapeID="_x0000_i1027" DrawAspect="Content" ObjectID="_1468075727" r:id="rId82">
            <o:LockedField>false</o:LockedField>
          </o:OLEObject>
        </w:object>
      </w:r>
    </w:p>
    <w:p w14:paraId="3EB29C10">
      <w:pPr>
        <w:pStyle w:val="16"/>
        <w:rPr>
          <w:rFonts w:cs="Times New Roman"/>
        </w:rPr>
      </w:pPr>
      <w:r>
        <w:t>图</w:t>
      </w:r>
      <w:r>
        <w:fldChar w:fldCharType="begin"/>
      </w:r>
      <w:r>
        <w:instrText xml:space="preserve"> STYLEREF 2 \s </w:instrText>
      </w:r>
      <w:r>
        <w:fldChar w:fldCharType="separate"/>
      </w:r>
      <w:r>
        <w:t>10.2</w:t>
      </w:r>
      <w:r>
        <w:fldChar w:fldCharType="end"/>
      </w:r>
      <w:r>
        <w:noBreakHyphen/>
      </w:r>
      <w:r>
        <w:fldChar w:fldCharType="begin"/>
      </w:r>
      <w:r>
        <w:instrText xml:space="preserve"> SEQ 图 \* ARABIC \s 2 </w:instrText>
      </w:r>
      <w:r>
        <w:fldChar w:fldCharType="separate"/>
      </w:r>
      <w:r>
        <w:t>1</w:t>
      </w:r>
      <w:r>
        <w:fldChar w:fldCharType="end"/>
      </w:r>
      <w:r>
        <w:t xml:space="preserve">  绿色及文明施工保证体系图</w:t>
      </w:r>
    </w:p>
    <w:p w14:paraId="295EF164">
      <w:pPr>
        <w:pStyle w:val="3"/>
        <w:bidi w:val="0"/>
        <w:ind w:left="575" w:leftChars="0" w:hanging="575" w:firstLineChars="0"/>
        <w:rPr>
          <w:rFonts w:hint="eastAsia"/>
          <w:b/>
          <w:bCs w:val="0"/>
          <w:sz w:val="28"/>
          <w:szCs w:val="28"/>
          <w:lang w:val="en-US" w:eastAsia="zh-CN"/>
        </w:rPr>
      </w:pPr>
      <w:bookmarkStart w:id="255" w:name="_Toc31190"/>
      <w:bookmarkStart w:id="256" w:name="_Toc48836961"/>
      <w:bookmarkStart w:id="257" w:name="_Toc109715010"/>
      <w:bookmarkStart w:id="258" w:name="_Toc28805"/>
      <w:bookmarkStart w:id="259" w:name="_Toc164179621"/>
      <w:bookmarkStart w:id="260" w:name="_Toc29583"/>
      <w:r>
        <w:rPr>
          <w:rFonts w:hint="eastAsia"/>
          <w:b/>
          <w:bCs w:val="0"/>
          <w:sz w:val="28"/>
          <w:szCs w:val="28"/>
        </w:rPr>
        <w:t>绿色施工保证措施</w:t>
      </w:r>
      <w:bookmarkEnd w:id="255"/>
      <w:bookmarkEnd w:id="256"/>
      <w:bookmarkEnd w:id="257"/>
      <w:bookmarkEnd w:id="258"/>
      <w:bookmarkEnd w:id="259"/>
      <w:bookmarkEnd w:id="260"/>
    </w:p>
    <w:bookmarkEnd w:id="249"/>
    <w:bookmarkEnd w:id="250"/>
    <w:p w14:paraId="0D8AF1D9">
      <w:r>
        <w:rPr>
          <w:rFonts w:hint="eastAsia"/>
        </w:rPr>
        <w:t>各工序与各施工部位在施工过程中，都可能产生对环境不利的因素。针对各部位和工序的环境有害因素，需要从危害类别制定相关措施，危害环境因素见</w:t>
      </w:r>
      <w:r>
        <w:rPr>
          <w:rFonts w:hint="eastAsia"/>
          <w:b/>
          <w:bCs/>
        </w:rPr>
        <w:t>表1</w:t>
      </w:r>
      <w:r>
        <w:rPr>
          <w:b/>
          <w:bCs/>
        </w:rPr>
        <w:t>0.3.1</w:t>
      </w:r>
      <w:r>
        <w:rPr>
          <w:rFonts w:hint="eastAsia"/>
        </w:rPr>
        <w:t>。</w:t>
      </w:r>
    </w:p>
    <w:p w14:paraId="456AC5AA">
      <w:pPr>
        <w:pStyle w:val="16"/>
        <w:shd w:val="clear" w:color="auto" w:fill="auto"/>
        <w:adjustRightInd w:val="0"/>
        <w:ind w:firstLine="0" w:firstLineChars="0"/>
        <w:rPr>
          <w:rFonts w:ascii="Times New Roman" w:hAnsi="Times New Roman" w:cstheme="majorBidi"/>
          <w:color w:val="auto"/>
          <w:szCs w:val="20"/>
        </w:rPr>
      </w:pPr>
      <w:r>
        <w:rPr>
          <w:rFonts w:hint="eastAsia" w:ascii="Times New Roman" w:hAnsi="Times New Roman" w:cstheme="majorBidi"/>
          <w:color w:val="auto"/>
          <w:szCs w:val="20"/>
        </w:rPr>
        <w:t xml:space="preserve">表 </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ascii="Times New Roman" w:hAnsi="Times New Roman" w:cstheme="majorBidi"/>
          <w:color w:val="auto"/>
          <w:szCs w:val="20"/>
        </w:rPr>
        <w:t>10.3</w:t>
      </w:r>
      <w:r>
        <w:rPr>
          <w:rFonts w:ascii="Times New Roman" w:hAnsi="Times New Roman" w:cstheme="majorBidi"/>
          <w:color w:val="auto"/>
          <w:szCs w:val="20"/>
        </w:rPr>
        <w:fldChar w:fldCharType="end"/>
      </w:r>
      <w:r>
        <w:rPr>
          <w:rFonts w:ascii="Times New Roman" w:hAnsi="Times New Roman" w:cstheme="majorBidi"/>
          <w:color w:val="auto"/>
          <w:szCs w:val="20"/>
        </w:rPr>
        <w:noBreakHyphen/>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SEQ 表 \* ARABIC \s 2</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ascii="Times New Roman" w:hAnsi="Times New Roman" w:cstheme="majorBidi"/>
          <w:color w:val="auto"/>
          <w:szCs w:val="20"/>
        </w:rPr>
        <w:t>1</w:t>
      </w:r>
      <w:r>
        <w:rPr>
          <w:rFonts w:ascii="Times New Roman" w:hAnsi="Times New Roman" w:cstheme="majorBidi"/>
          <w:color w:val="auto"/>
          <w:szCs w:val="20"/>
        </w:rPr>
        <w:fldChar w:fldCharType="end"/>
      </w:r>
      <w:r>
        <w:rPr>
          <w:rFonts w:ascii="Times New Roman" w:hAnsi="Times New Roman" w:cstheme="majorBidi"/>
          <w:color w:val="auto"/>
          <w:szCs w:val="20"/>
        </w:rPr>
        <w:t xml:space="preserve"> </w:t>
      </w:r>
      <w:r>
        <w:rPr>
          <w:rFonts w:hint="eastAsia" w:ascii="Times New Roman" w:hAnsi="Times New Roman" w:cstheme="majorBidi"/>
          <w:color w:val="auto"/>
          <w:szCs w:val="20"/>
        </w:rPr>
        <w:t>环境危害因素表</w:t>
      </w:r>
    </w:p>
    <w:tbl>
      <w:tblPr>
        <w:tblStyle w:val="42"/>
        <w:tblW w:w="833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678"/>
        <w:gridCol w:w="2869"/>
        <w:gridCol w:w="4783"/>
      </w:tblGrid>
      <w:tr w14:paraId="11D929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3A6F09CA">
            <w:pPr>
              <w:spacing w:line="240" w:lineRule="auto"/>
              <w:ind w:firstLine="0" w:firstLineChars="0"/>
              <w:contextualSpacing/>
              <w:jc w:val="center"/>
              <w:textAlignment w:val="baseline"/>
              <w:rPr>
                <w:rFonts w:ascii="宋体" w:hAnsi="宋体" w:cs="宋体"/>
                <w:b/>
                <w:bCs/>
                <w:color w:val="000000"/>
                <w:kern w:val="0"/>
                <w:sz w:val="21"/>
              </w:rPr>
            </w:pPr>
            <w:r>
              <w:rPr>
                <w:rFonts w:hint="eastAsia" w:ascii="宋体" w:hAnsi="宋体" w:cs="宋体"/>
                <w:b/>
                <w:bCs/>
                <w:color w:val="000000"/>
                <w:kern w:val="0"/>
                <w:sz w:val="21"/>
              </w:rPr>
              <w:t>序号</w:t>
            </w:r>
          </w:p>
        </w:tc>
        <w:tc>
          <w:tcPr>
            <w:tcW w:w="2869" w:type="dxa"/>
            <w:shd w:val="clear" w:color="auto" w:fill="FFFFFF"/>
            <w:vAlign w:val="center"/>
          </w:tcPr>
          <w:p w14:paraId="0E0157E6">
            <w:pPr>
              <w:shd w:val="clear" w:color="auto" w:fill="auto"/>
              <w:adjustRightInd w:val="0"/>
              <w:spacing w:line="240" w:lineRule="auto"/>
              <w:ind w:firstLine="0" w:firstLineChars="0"/>
              <w:contextualSpacing/>
              <w:jc w:val="center"/>
              <w:textAlignment w:val="baseline"/>
              <w:rPr>
                <w:rFonts w:ascii="宋体" w:hAnsi="宋体" w:cs="宋体"/>
                <w:b/>
                <w:bCs/>
                <w:color w:val="000000"/>
                <w:kern w:val="0"/>
                <w:sz w:val="21"/>
              </w:rPr>
            </w:pPr>
            <w:r>
              <w:rPr>
                <w:rFonts w:hint="eastAsia" w:ascii="宋体" w:hAnsi="宋体" w:cs="宋体"/>
                <w:b/>
                <w:bCs/>
                <w:color w:val="000000"/>
                <w:kern w:val="0"/>
                <w:sz w:val="21"/>
              </w:rPr>
              <w:t>控制部位与工序</w:t>
            </w:r>
          </w:p>
        </w:tc>
        <w:tc>
          <w:tcPr>
            <w:tcW w:w="4783" w:type="dxa"/>
            <w:shd w:val="clear" w:color="auto" w:fill="FFFFFF"/>
            <w:vAlign w:val="center"/>
          </w:tcPr>
          <w:p w14:paraId="4B810012">
            <w:pPr>
              <w:shd w:val="clear" w:color="auto" w:fill="auto"/>
              <w:adjustRightInd w:val="0"/>
              <w:spacing w:line="240" w:lineRule="auto"/>
              <w:ind w:firstLine="0" w:firstLineChars="0"/>
              <w:contextualSpacing/>
              <w:jc w:val="center"/>
              <w:textAlignment w:val="baseline"/>
              <w:rPr>
                <w:rFonts w:ascii="宋体" w:hAnsi="宋体" w:cs="宋体"/>
                <w:b/>
                <w:bCs/>
                <w:color w:val="000000"/>
                <w:kern w:val="0"/>
                <w:sz w:val="21"/>
              </w:rPr>
            </w:pPr>
            <w:r>
              <w:rPr>
                <w:rFonts w:hint="eastAsia" w:ascii="宋体" w:hAnsi="宋体" w:cs="宋体"/>
                <w:b/>
                <w:bCs/>
                <w:color w:val="000000"/>
                <w:kern w:val="0"/>
                <w:sz w:val="21"/>
              </w:rPr>
              <w:t>可能存在的危害</w:t>
            </w:r>
          </w:p>
        </w:tc>
      </w:tr>
      <w:tr w14:paraId="6641AF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24FC1CAC">
            <w:pPr>
              <w:spacing w:line="240" w:lineRule="auto"/>
              <w:ind w:firstLine="0" w:firstLineChars="0"/>
              <w:contextualSpacing/>
              <w:jc w:val="center"/>
              <w:textAlignment w:val="baseline"/>
              <w:rPr>
                <w:color w:val="000000"/>
                <w:kern w:val="0"/>
                <w:sz w:val="21"/>
              </w:rPr>
            </w:pPr>
            <w:r>
              <w:rPr>
                <w:color w:val="000000"/>
                <w:kern w:val="0"/>
                <w:sz w:val="21"/>
              </w:rPr>
              <w:t>1</w:t>
            </w:r>
          </w:p>
        </w:tc>
        <w:tc>
          <w:tcPr>
            <w:tcW w:w="2869" w:type="dxa"/>
            <w:shd w:val="clear" w:color="auto" w:fill="FFFFFF"/>
            <w:vAlign w:val="center"/>
          </w:tcPr>
          <w:p w14:paraId="41AF80AF">
            <w:pPr>
              <w:shd w:val="clear" w:color="auto" w:fill="auto"/>
              <w:adjustRightInd w:val="0"/>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材料贮存、保管与运输</w:t>
            </w:r>
          </w:p>
        </w:tc>
        <w:tc>
          <w:tcPr>
            <w:tcW w:w="4783" w:type="dxa"/>
            <w:shd w:val="clear" w:color="auto" w:fill="FFFFFF"/>
            <w:vAlign w:val="center"/>
          </w:tcPr>
          <w:p w14:paraId="10FF20B0">
            <w:pPr>
              <w:shd w:val="clear" w:color="auto" w:fill="auto"/>
              <w:adjustRightInd w:val="0"/>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油料、粉料泄漏，造成水体、土壤污染。</w:t>
            </w:r>
          </w:p>
          <w:p w14:paraId="162F371E">
            <w:pPr>
              <w:shd w:val="clear" w:color="auto" w:fill="auto"/>
              <w:adjustRightInd w:val="0"/>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发生火灾事故，造成有毒有害气体泄漏及污染伤亡事故。</w:t>
            </w:r>
          </w:p>
        </w:tc>
      </w:tr>
      <w:tr w14:paraId="329C8A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239BEA9D">
            <w:pPr>
              <w:spacing w:line="240" w:lineRule="auto"/>
              <w:ind w:firstLine="0" w:firstLineChars="0"/>
              <w:contextualSpacing/>
              <w:jc w:val="center"/>
              <w:textAlignment w:val="baseline"/>
              <w:rPr>
                <w:color w:val="000000"/>
                <w:kern w:val="0"/>
                <w:sz w:val="21"/>
              </w:rPr>
            </w:pPr>
            <w:r>
              <w:rPr>
                <w:color w:val="000000"/>
                <w:kern w:val="0"/>
                <w:sz w:val="21"/>
              </w:rPr>
              <w:t>2</w:t>
            </w:r>
          </w:p>
        </w:tc>
        <w:tc>
          <w:tcPr>
            <w:tcW w:w="2869" w:type="dxa"/>
            <w:shd w:val="clear" w:color="auto" w:fill="FFFFFF"/>
            <w:vAlign w:val="center"/>
          </w:tcPr>
          <w:p w14:paraId="0512CA81">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材料半成品加工</w:t>
            </w:r>
          </w:p>
        </w:tc>
        <w:tc>
          <w:tcPr>
            <w:tcW w:w="4783" w:type="dxa"/>
            <w:shd w:val="clear" w:color="auto" w:fill="FFFFFF"/>
            <w:vAlign w:val="center"/>
          </w:tcPr>
          <w:p w14:paraId="202BC785">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施工废料处理不当造成固体废弃物污染。</w:t>
            </w:r>
          </w:p>
        </w:tc>
      </w:tr>
      <w:tr w14:paraId="7FEF06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3BDCBF07">
            <w:pPr>
              <w:spacing w:line="240" w:lineRule="auto"/>
              <w:ind w:firstLine="0" w:firstLineChars="0"/>
              <w:contextualSpacing/>
              <w:jc w:val="center"/>
              <w:textAlignment w:val="baseline"/>
              <w:rPr>
                <w:color w:val="000000"/>
                <w:kern w:val="0"/>
                <w:sz w:val="21"/>
              </w:rPr>
            </w:pPr>
            <w:r>
              <w:rPr>
                <w:color w:val="000000"/>
                <w:kern w:val="0"/>
                <w:sz w:val="21"/>
              </w:rPr>
              <w:t>3</w:t>
            </w:r>
          </w:p>
        </w:tc>
        <w:tc>
          <w:tcPr>
            <w:tcW w:w="2869" w:type="dxa"/>
            <w:shd w:val="clear" w:color="auto" w:fill="FFFFFF"/>
            <w:vAlign w:val="center"/>
          </w:tcPr>
          <w:p w14:paraId="53F2AC98">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设备运行</w:t>
            </w:r>
          </w:p>
        </w:tc>
        <w:tc>
          <w:tcPr>
            <w:tcW w:w="4783" w:type="dxa"/>
            <w:shd w:val="clear" w:color="auto" w:fill="FFFFFF"/>
            <w:vAlign w:val="center"/>
          </w:tcPr>
          <w:p w14:paraId="51C1BD0A">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设备加油、维护保养时油料泄漏造成水体、土壤污染。</w:t>
            </w:r>
          </w:p>
        </w:tc>
      </w:tr>
      <w:tr w14:paraId="43C276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1C80EFA3">
            <w:pPr>
              <w:spacing w:line="240" w:lineRule="auto"/>
              <w:ind w:firstLine="0" w:firstLineChars="0"/>
              <w:contextualSpacing/>
              <w:jc w:val="center"/>
              <w:textAlignment w:val="baseline"/>
              <w:rPr>
                <w:color w:val="000000"/>
                <w:kern w:val="0"/>
                <w:sz w:val="21"/>
              </w:rPr>
            </w:pPr>
            <w:r>
              <w:rPr>
                <w:color w:val="000000"/>
                <w:kern w:val="0"/>
                <w:sz w:val="21"/>
              </w:rPr>
              <w:t>4</w:t>
            </w:r>
          </w:p>
        </w:tc>
        <w:tc>
          <w:tcPr>
            <w:tcW w:w="2869" w:type="dxa"/>
            <w:shd w:val="clear" w:color="auto" w:fill="FFFFFF"/>
            <w:vAlign w:val="center"/>
          </w:tcPr>
          <w:p w14:paraId="266436EC">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办公与生活</w:t>
            </w:r>
          </w:p>
        </w:tc>
        <w:tc>
          <w:tcPr>
            <w:tcW w:w="4783" w:type="dxa"/>
            <w:shd w:val="clear" w:color="auto" w:fill="FFFFFF"/>
            <w:vAlign w:val="center"/>
          </w:tcPr>
          <w:p w14:paraId="178FFCF2">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办公生活产生的固体废弃物处理不当造成水体、土壤污染。</w:t>
            </w:r>
          </w:p>
        </w:tc>
      </w:tr>
      <w:tr w14:paraId="4545DA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7CDDA7B0">
            <w:pPr>
              <w:spacing w:line="240" w:lineRule="auto"/>
              <w:ind w:firstLine="0" w:firstLineChars="0"/>
              <w:contextualSpacing/>
              <w:jc w:val="center"/>
              <w:textAlignment w:val="baseline"/>
              <w:rPr>
                <w:color w:val="000000"/>
                <w:kern w:val="0"/>
                <w:sz w:val="21"/>
              </w:rPr>
            </w:pPr>
            <w:r>
              <w:rPr>
                <w:color w:val="000000"/>
                <w:kern w:val="0"/>
                <w:sz w:val="21"/>
              </w:rPr>
              <w:t>5</w:t>
            </w:r>
          </w:p>
        </w:tc>
        <w:tc>
          <w:tcPr>
            <w:tcW w:w="2869" w:type="dxa"/>
            <w:shd w:val="clear" w:color="auto" w:fill="FFFFFF"/>
            <w:vAlign w:val="center"/>
          </w:tcPr>
          <w:p w14:paraId="28B02365">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场地三通一平</w:t>
            </w:r>
          </w:p>
          <w:p w14:paraId="13371067">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便道修筑与基坑开挖</w:t>
            </w:r>
          </w:p>
        </w:tc>
        <w:tc>
          <w:tcPr>
            <w:tcW w:w="4783" w:type="dxa"/>
            <w:shd w:val="clear" w:color="auto" w:fill="FFFFFF"/>
            <w:vAlign w:val="center"/>
          </w:tcPr>
          <w:p w14:paraId="6EA8B6D6">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施工弃土石方在运输中泄漏或未倾倒到指定位置，造成农田、水渠固体废弃物污染。</w:t>
            </w:r>
          </w:p>
          <w:p w14:paraId="116AAF7C">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施工前未对地下管线详细勘测，避免开挖时管线泄漏，造成环境污染和资源浪费。</w:t>
            </w:r>
          </w:p>
        </w:tc>
      </w:tr>
      <w:tr w14:paraId="0930E4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shd w:val="clear" w:color="auto" w:fill="FFFFFF"/>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370D3279">
            <w:pPr>
              <w:spacing w:line="240" w:lineRule="auto"/>
              <w:ind w:firstLine="0" w:firstLineChars="0"/>
              <w:contextualSpacing/>
              <w:jc w:val="center"/>
              <w:textAlignment w:val="baseline"/>
              <w:rPr>
                <w:color w:val="000000"/>
                <w:kern w:val="0"/>
                <w:sz w:val="21"/>
              </w:rPr>
            </w:pPr>
            <w:r>
              <w:rPr>
                <w:color w:val="000000"/>
                <w:kern w:val="0"/>
                <w:sz w:val="21"/>
              </w:rPr>
              <w:t>6</w:t>
            </w:r>
          </w:p>
        </w:tc>
        <w:tc>
          <w:tcPr>
            <w:tcW w:w="2869" w:type="dxa"/>
            <w:shd w:val="clear" w:color="auto" w:fill="FFFFFF"/>
            <w:vAlign w:val="center"/>
          </w:tcPr>
          <w:p w14:paraId="4892ADE4">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混凝土生产、运输和浇筑施工</w:t>
            </w:r>
          </w:p>
        </w:tc>
        <w:tc>
          <w:tcPr>
            <w:tcW w:w="4783" w:type="dxa"/>
            <w:shd w:val="clear" w:color="auto" w:fill="FFFFFF"/>
            <w:vAlign w:val="center"/>
          </w:tcPr>
          <w:p w14:paraId="72C1945E">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废弃混凝土没有倾倒在指定位置，造成土体废弃物污染。</w:t>
            </w:r>
          </w:p>
        </w:tc>
      </w:tr>
      <w:tr w14:paraId="1DF62C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 w:hRule="atLeast"/>
          <w:jc w:val="center"/>
        </w:trPr>
        <w:tc>
          <w:tcPr>
            <w:tcW w:w="678" w:type="dxa"/>
            <w:shd w:val="clear" w:color="auto" w:fill="FFFFFF"/>
            <w:vAlign w:val="center"/>
          </w:tcPr>
          <w:p w14:paraId="2B9AD365">
            <w:pPr>
              <w:spacing w:line="240" w:lineRule="auto"/>
              <w:ind w:firstLine="0" w:firstLineChars="0"/>
              <w:contextualSpacing/>
              <w:jc w:val="center"/>
              <w:textAlignment w:val="baseline"/>
              <w:rPr>
                <w:color w:val="000000"/>
                <w:kern w:val="0"/>
                <w:sz w:val="21"/>
              </w:rPr>
            </w:pPr>
            <w:r>
              <w:rPr>
                <w:color w:val="000000"/>
                <w:kern w:val="0"/>
                <w:sz w:val="21"/>
              </w:rPr>
              <w:t>7</w:t>
            </w:r>
          </w:p>
        </w:tc>
        <w:tc>
          <w:tcPr>
            <w:tcW w:w="2869" w:type="dxa"/>
            <w:shd w:val="clear" w:color="auto" w:fill="FFFFFF"/>
            <w:vAlign w:val="center"/>
          </w:tcPr>
          <w:p w14:paraId="1C721413">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施工临时用地、弃渣场</w:t>
            </w:r>
          </w:p>
        </w:tc>
        <w:tc>
          <w:tcPr>
            <w:tcW w:w="4783" w:type="dxa"/>
            <w:shd w:val="clear" w:color="auto" w:fill="FFFFFF"/>
            <w:vAlign w:val="center"/>
          </w:tcPr>
          <w:p w14:paraId="0BE30352">
            <w:pPr>
              <w:spacing w:line="240" w:lineRule="auto"/>
              <w:ind w:firstLine="0" w:firstLineChars="0"/>
              <w:contextualSpacing/>
              <w:jc w:val="center"/>
              <w:textAlignment w:val="baseline"/>
              <w:rPr>
                <w:rFonts w:ascii="宋体" w:hAnsi="宋体" w:cs="宋体"/>
                <w:color w:val="000000"/>
                <w:kern w:val="0"/>
                <w:sz w:val="21"/>
              </w:rPr>
            </w:pPr>
            <w:r>
              <w:rPr>
                <w:rFonts w:hint="eastAsia" w:ascii="宋体" w:hAnsi="宋体" w:cs="宋体"/>
                <w:color w:val="000000"/>
                <w:kern w:val="0"/>
                <w:sz w:val="21"/>
              </w:rPr>
              <w:t>造成用地水土流失。</w:t>
            </w:r>
          </w:p>
        </w:tc>
      </w:tr>
    </w:tbl>
    <w:p w14:paraId="6AA7C492">
      <w:pPr>
        <w:pStyle w:val="4"/>
        <w:bidi w:val="0"/>
        <w:ind w:left="720" w:leftChars="0" w:hanging="720" w:firstLineChars="0"/>
        <w:rPr>
          <w:rFonts w:hint="eastAsia"/>
          <w:b/>
          <w:bCs w:val="0"/>
        </w:rPr>
      </w:pPr>
      <w:bookmarkStart w:id="261" w:name="_Toc48836962"/>
      <w:bookmarkStart w:id="262" w:name="_Toc109715011"/>
      <w:r>
        <w:rPr>
          <w:rFonts w:hint="eastAsia"/>
          <w:b/>
          <w:bCs w:val="0"/>
        </w:rPr>
        <w:t>固体废弃物污染防治措施</w:t>
      </w:r>
      <w:bookmarkEnd w:id="261"/>
      <w:bookmarkEnd w:id="262"/>
    </w:p>
    <w:p w14:paraId="7A2B0244">
      <w:pPr>
        <w:rPr>
          <w:color w:val="000000"/>
        </w:rPr>
      </w:pPr>
      <w:bookmarkStart w:id="263" w:name="_Toc11393790"/>
      <w:bookmarkStart w:id="264" w:name="_Toc48836963"/>
      <w:r>
        <w:rPr>
          <w:rFonts w:hint="eastAsia"/>
          <w:color w:val="000000"/>
        </w:rPr>
        <w:t>（1）施工中产生的废料、固体废物不得堆放在河旁或随意弃置，及时收集清运，防止雨水冲刷进入水体。</w:t>
      </w:r>
    </w:p>
    <w:p w14:paraId="1B5DA1F6">
      <w:pPr>
        <w:rPr>
          <w:color w:val="000000"/>
        </w:rPr>
      </w:pPr>
      <w:r>
        <w:rPr>
          <w:rFonts w:hint="eastAsia"/>
          <w:color w:val="000000"/>
        </w:rPr>
        <w:t>（</w:t>
      </w:r>
      <w:r>
        <w:rPr>
          <w:color w:val="000000"/>
        </w:rPr>
        <w:t>2</w:t>
      </w:r>
      <w:r>
        <w:rPr>
          <w:rFonts w:hint="eastAsia"/>
          <w:color w:val="000000"/>
        </w:rPr>
        <w:t>）凿毛产生的废渣和废弃的混凝土，采用运输车运至指定地点弃置。</w:t>
      </w:r>
    </w:p>
    <w:p w14:paraId="3F40B616">
      <w:pPr>
        <w:rPr>
          <w:color w:val="000000"/>
        </w:rPr>
      </w:pPr>
      <w:r>
        <w:rPr>
          <w:rFonts w:hint="eastAsia"/>
          <w:color w:val="000000"/>
        </w:rPr>
        <w:t>（</w:t>
      </w:r>
      <w:r>
        <w:rPr>
          <w:color w:val="000000"/>
        </w:rPr>
        <w:t>3</w:t>
      </w:r>
      <w:r>
        <w:rPr>
          <w:rFonts w:hint="eastAsia"/>
          <w:color w:val="000000"/>
        </w:rPr>
        <w:t>）施工现场设置垃圾桶收集各种垃圾，集中运至指定回收点进行处理。</w:t>
      </w:r>
    </w:p>
    <w:p w14:paraId="5B38EC6D">
      <w:pPr>
        <w:rPr>
          <w:color w:val="000000"/>
        </w:rPr>
      </w:pPr>
      <w:r>
        <w:rPr>
          <w:rFonts w:hint="eastAsia"/>
          <w:color w:val="000000"/>
        </w:rPr>
        <w:t>（</w:t>
      </w:r>
      <w:r>
        <w:rPr>
          <w:color w:val="000000"/>
        </w:rPr>
        <w:t>4</w:t>
      </w:r>
      <w:r>
        <w:rPr>
          <w:rFonts w:hint="eastAsia"/>
          <w:color w:val="000000"/>
        </w:rPr>
        <w:t>）施工现场运送各种材料、预拌混凝土、垃圾等应采取遮盖或防护措施，防止溢撒。</w:t>
      </w:r>
    </w:p>
    <w:p w14:paraId="08F12232">
      <w:pPr>
        <w:rPr>
          <w:color w:val="000000"/>
        </w:rPr>
      </w:pPr>
      <w:r>
        <w:rPr>
          <w:rFonts w:hint="eastAsia"/>
          <w:color w:val="000000"/>
        </w:rPr>
        <w:t>（</w:t>
      </w:r>
      <w:r>
        <w:rPr>
          <w:color w:val="000000"/>
        </w:rPr>
        <w:t>5</w:t>
      </w:r>
      <w:r>
        <w:rPr>
          <w:rFonts w:hint="eastAsia"/>
          <w:color w:val="000000"/>
        </w:rPr>
        <w:t>）润泵用的砂浆应进行收集，集中运至指定地点处理。</w:t>
      </w:r>
    </w:p>
    <w:p w14:paraId="3D8844B5">
      <w:pPr>
        <w:pStyle w:val="4"/>
        <w:bidi w:val="0"/>
        <w:ind w:left="720" w:leftChars="0" w:hanging="720" w:firstLineChars="0"/>
        <w:rPr>
          <w:rFonts w:hint="eastAsia"/>
          <w:b/>
          <w:bCs w:val="0"/>
        </w:rPr>
      </w:pPr>
      <w:bookmarkStart w:id="265" w:name="_Toc109715012"/>
      <w:bookmarkStart w:id="266" w:name="_Toc58781344"/>
      <w:bookmarkStart w:id="267" w:name="_Toc6407"/>
      <w:r>
        <w:rPr>
          <w:rFonts w:hint="eastAsia"/>
          <w:b/>
          <w:bCs w:val="0"/>
        </w:rPr>
        <w:t>水污染防治措施</w:t>
      </w:r>
      <w:bookmarkEnd w:id="265"/>
      <w:bookmarkEnd w:id="266"/>
      <w:bookmarkEnd w:id="267"/>
    </w:p>
    <w:p w14:paraId="5F0523ED">
      <w:pPr>
        <w:rPr>
          <w:color w:val="000000"/>
        </w:rPr>
      </w:pPr>
      <w:r>
        <w:rPr>
          <w:rFonts w:hint="eastAsia"/>
          <w:color w:val="000000"/>
        </w:rPr>
        <w:t>（1）压浆过程中为防止浆液喷洒，在出浆口位置设置回收桶，对多余浆液进行回收，防止污染水库。</w:t>
      </w:r>
    </w:p>
    <w:p w14:paraId="7A1F2FA9">
      <w:pPr>
        <w:rPr>
          <w:color w:val="000000"/>
        </w:rPr>
      </w:pPr>
      <w:r>
        <w:rPr>
          <w:rFonts w:hint="eastAsia"/>
          <w:color w:val="000000"/>
        </w:rPr>
        <w:t>（2）清洗泵管的水、养护水、冷却水管的循环水应进行收集，集中运至指定地点处理。</w:t>
      </w:r>
    </w:p>
    <w:p w14:paraId="75CF1BE0">
      <w:pPr>
        <w:rPr>
          <w:color w:val="000000"/>
        </w:rPr>
      </w:pPr>
      <w:r>
        <w:rPr>
          <w:rFonts w:hint="eastAsia"/>
          <w:color w:val="000000"/>
        </w:rPr>
        <w:t>（3）施工机械的废油料要专门回收，严禁直接排放。</w:t>
      </w:r>
    </w:p>
    <w:p w14:paraId="4E6FEFD9">
      <w:r>
        <w:t>（4）各类施工钢材需要外露时，均要涂刷油漆，以防锈蚀后雨水将铁锈冲刷至</w:t>
      </w:r>
      <w:r>
        <w:rPr>
          <w:rFonts w:hint="eastAsia"/>
        </w:rPr>
        <w:t>水库</w:t>
      </w:r>
      <w:r>
        <w:t>中。</w:t>
      </w:r>
    </w:p>
    <w:p w14:paraId="77BDF11A">
      <w:pPr>
        <w:pStyle w:val="4"/>
        <w:bidi w:val="0"/>
        <w:ind w:left="720" w:leftChars="0" w:hanging="720" w:firstLineChars="0"/>
        <w:rPr>
          <w:rFonts w:hint="eastAsia"/>
          <w:b/>
          <w:bCs w:val="0"/>
        </w:rPr>
      </w:pPr>
      <w:bookmarkStart w:id="268" w:name="_Toc109715013"/>
      <w:r>
        <w:rPr>
          <w:rFonts w:hint="eastAsia"/>
          <w:b/>
          <w:bCs w:val="0"/>
        </w:rPr>
        <w:t>噪声污染防治措施</w:t>
      </w:r>
      <w:bookmarkEnd w:id="263"/>
      <w:bookmarkEnd w:id="264"/>
      <w:bookmarkEnd w:id="268"/>
    </w:p>
    <w:p w14:paraId="39FB3166">
      <w:pPr>
        <w:numPr>
          <w:ilvl w:val="0"/>
          <w:numId w:val="44"/>
        </w:numPr>
        <w:shd w:val="clear" w:color="auto" w:fill="auto"/>
        <w:ind w:left="0" w:firstLine="480"/>
        <w:jc w:val="left"/>
        <w:rPr>
          <w:color w:val="000000"/>
        </w:rPr>
      </w:pPr>
      <w:bookmarkStart w:id="269" w:name="_Toc493422935"/>
      <w:bookmarkStart w:id="270" w:name="_Toc48836964"/>
      <w:r>
        <w:rPr>
          <w:rFonts w:hint="eastAsia"/>
          <w:color w:val="000000"/>
        </w:rPr>
        <w:t>根据国家和地方有关环保法规，严格控制施工期噪声排放量，施工场界噪声排放量按照《建筑施工场界环境噪声排放标准》（GB 12523-2011）的相关规定控制。</w:t>
      </w:r>
    </w:p>
    <w:p w14:paraId="1BDF4108">
      <w:pPr>
        <w:numPr>
          <w:ilvl w:val="0"/>
          <w:numId w:val="44"/>
        </w:numPr>
        <w:shd w:val="clear" w:color="auto" w:fill="auto"/>
        <w:ind w:left="0" w:firstLine="480"/>
        <w:jc w:val="left"/>
        <w:rPr>
          <w:color w:val="000000"/>
        </w:rPr>
      </w:pPr>
      <w:r>
        <w:rPr>
          <w:rFonts w:hint="eastAsia"/>
        </w:rPr>
        <w:t>边跨混凝土梁</w:t>
      </w:r>
      <w:r>
        <w:rPr>
          <w:color w:val="000000"/>
        </w:rPr>
        <w:t>施工中注意选用效率高、噪声低的机械设备，并注意维修养护和正确使用，使之保持最佳工作状态和最低声级水平，可视情况给强噪声设备装隔声罩。</w:t>
      </w:r>
    </w:p>
    <w:p w14:paraId="574FD6E4">
      <w:pPr>
        <w:numPr>
          <w:ilvl w:val="0"/>
          <w:numId w:val="44"/>
        </w:numPr>
        <w:shd w:val="clear" w:color="auto" w:fill="auto"/>
        <w:ind w:left="0" w:firstLine="480"/>
        <w:jc w:val="left"/>
        <w:rPr>
          <w:color w:val="000000"/>
        </w:rPr>
      </w:pPr>
      <w:r>
        <w:rPr>
          <w:rFonts w:hint="eastAsia"/>
          <w:color w:val="000000"/>
        </w:rPr>
        <w:t>施工期间，注意控制施工车辆鸣笛，经过居民区的重型运输或施工机械，注意限速。</w:t>
      </w:r>
    </w:p>
    <w:p w14:paraId="7ECDF128">
      <w:pPr>
        <w:numPr>
          <w:ilvl w:val="0"/>
          <w:numId w:val="44"/>
        </w:numPr>
        <w:shd w:val="clear" w:color="auto" w:fill="auto"/>
        <w:ind w:left="0" w:firstLine="480"/>
        <w:jc w:val="left"/>
        <w:rPr>
          <w:color w:val="000000"/>
        </w:rPr>
      </w:pPr>
      <w:r>
        <w:rPr>
          <w:rFonts w:hint="eastAsia"/>
          <w:color w:val="000000"/>
        </w:rPr>
        <w:t>合理安排施工活动，减少施工噪声影响时间，避免高噪声施工机械在同一区域内使用。</w:t>
      </w:r>
    </w:p>
    <w:p w14:paraId="531FD79B">
      <w:pPr>
        <w:pStyle w:val="4"/>
        <w:bidi w:val="0"/>
        <w:ind w:left="720" w:leftChars="0" w:hanging="720" w:firstLineChars="0"/>
        <w:rPr>
          <w:rFonts w:hint="eastAsia"/>
          <w:b/>
          <w:bCs w:val="0"/>
        </w:rPr>
      </w:pPr>
      <w:bookmarkStart w:id="271" w:name="_Toc109715014"/>
      <w:r>
        <w:rPr>
          <w:rFonts w:hint="eastAsia"/>
          <w:b/>
          <w:bCs w:val="0"/>
        </w:rPr>
        <w:t>大气污染防治</w:t>
      </w:r>
      <w:bookmarkEnd w:id="269"/>
      <w:r>
        <w:rPr>
          <w:rFonts w:hint="eastAsia"/>
          <w:b/>
          <w:bCs w:val="0"/>
        </w:rPr>
        <w:t>措施</w:t>
      </w:r>
      <w:bookmarkEnd w:id="270"/>
      <w:bookmarkEnd w:id="271"/>
    </w:p>
    <w:p w14:paraId="0211305A">
      <w:r>
        <w:rPr>
          <w:rFonts w:hint="eastAsia"/>
        </w:rPr>
        <w:t>（1）在设备选型时选择低污染设备，机动车辆或机械设备的废气排放要符合国家和地方相关排放标准方能投入使用。</w:t>
      </w:r>
    </w:p>
    <w:p w14:paraId="71E63576">
      <w:r>
        <w:rPr>
          <w:rFonts w:hint="eastAsia"/>
        </w:rPr>
        <w:t>（2）在运输物料时用蓬布覆盖严密，并装量适中，不得超限运输；散装材料采用密闭运输、存放。</w:t>
      </w:r>
    </w:p>
    <w:p w14:paraId="325D825D">
      <w:r>
        <w:rPr>
          <w:rFonts w:hint="eastAsia"/>
        </w:rPr>
        <w:t>（3）配备专用洒水车，对施工现场和运输道路经常洒水湿润，在搅拌站车辆出入口设置清洗池，对车辆进行清洗，减少扬尘。</w:t>
      </w:r>
    </w:p>
    <w:p w14:paraId="2DEA5D4F">
      <w:r>
        <w:rPr>
          <w:rFonts w:hint="eastAsia"/>
        </w:rPr>
        <w:t>（4）混凝土搅拌站定期检查密封系统的性能。</w:t>
      </w:r>
    </w:p>
    <w:p w14:paraId="522419E2">
      <w:r>
        <w:rPr>
          <w:rFonts w:hint="eastAsia"/>
        </w:rPr>
        <w:t>（5）不得现场焚烧废弃塑料波纹管、塑料袋，应收集起来，统一进行回收处理。</w:t>
      </w:r>
    </w:p>
    <w:p w14:paraId="6678A2C5">
      <w:pPr>
        <w:pStyle w:val="4"/>
        <w:bidi w:val="0"/>
        <w:ind w:left="720" w:leftChars="0" w:hanging="720" w:firstLineChars="0"/>
        <w:rPr>
          <w:rFonts w:hint="eastAsia"/>
          <w:b/>
          <w:bCs w:val="0"/>
        </w:rPr>
      </w:pPr>
      <w:bookmarkStart w:id="272" w:name="_Toc48836965"/>
      <w:bookmarkStart w:id="273" w:name="_Toc109715015"/>
      <w:r>
        <w:rPr>
          <w:rFonts w:hint="eastAsia"/>
          <w:b/>
          <w:bCs w:val="0"/>
        </w:rPr>
        <w:t>节能减排措施</w:t>
      </w:r>
      <w:bookmarkEnd w:id="272"/>
      <w:bookmarkEnd w:id="273"/>
    </w:p>
    <w:p w14:paraId="33507187">
      <w:r>
        <w:rPr>
          <w:rFonts w:hint="eastAsia"/>
        </w:rPr>
        <w:t>（1）优先使用国家、行业推荐的节能、高效、环保的施工设备和机具。</w:t>
      </w:r>
    </w:p>
    <w:p w14:paraId="4CB36E51">
      <w:r>
        <w:rPr>
          <w:rFonts w:hint="eastAsia"/>
        </w:rPr>
        <w:t>（2）节约用水、用电，施工用水优先采用天然水，施工用电优先选择接入电网。</w:t>
      </w:r>
    </w:p>
    <w:p w14:paraId="38BDBEE8">
      <w:r>
        <w:rPr>
          <w:rFonts w:hint="eastAsia"/>
        </w:rPr>
        <w:t>（3）建立施工机械设备管理制度，开展用油计量，完善设备档案，及时做好维修保养工作，使机械设备保持低耗、高效的状态。</w:t>
      </w:r>
    </w:p>
    <w:p w14:paraId="4E0BA3F9">
      <w:pPr>
        <w:ind w:firstLine="480"/>
      </w:pPr>
      <w:r>
        <w:rPr>
          <w:rFonts w:hint="eastAsia"/>
        </w:rPr>
        <w:t>（4）合理安排工序，提高各种机械的使用率和满载率，降低设备的单位耗能。</w:t>
      </w:r>
    </w:p>
    <w:p w14:paraId="5A255659">
      <w:pPr>
        <w:pStyle w:val="3"/>
        <w:spacing w:before="156" w:after="156"/>
        <w:rPr>
          <w:b/>
          <w:bCs w:val="0"/>
          <w:sz w:val="28"/>
          <w:szCs w:val="28"/>
        </w:rPr>
      </w:pPr>
      <w:bookmarkStart w:id="274" w:name="_Toc109715016"/>
      <w:bookmarkStart w:id="275" w:name="_Toc5711"/>
      <w:bookmarkStart w:id="276" w:name="_Toc164179622"/>
      <w:bookmarkStart w:id="277" w:name="_Toc48836966"/>
      <w:bookmarkStart w:id="278" w:name="_Toc5238"/>
      <w:bookmarkStart w:id="279" w:name="_Toc29541"/>
      <w:r>
        <w:rPr>
          <w:b/>
          <w:bCs w:val="0"/>
          <w:sz w:val="28"/>
          <w:szCs w:val="28"/>
        </w:rPr>
        <w:t>文明施工</w:t>
      </w:r>
      <w:r>
        <w:rPr>
          <w:rFonts w:hint="eastAsia"/>
          <w:b/>
          <w:bCs w:val="0"/>
          <w:sz w:val="28"/>
          <w:szCs w:val="28"/>
        </w:rPr>
        <w:t>保证措施</w:t>
      </w:r>
      <w:bookmarkEnd w:id="274"/>
      <w:bookmarkEnd w:id="275"/>
      <w:bookmarkEnd w:id="276"/>
      <w:bookmarkEnd w:id="277"/>
      <w:bookmarkEnd w:id="278"/>
      <w:bookmarkEnd w:id="279"/>
    </w:p>
    <w:p w14:paraId="1B2D85B7">
      <w:r>
        <w:rPr>
          <w:rFonts w:hint="eastAsia"/>
        </w:rPr>
        <w:t>分析项目文明施工中可能出现的不利因素，见</w:t>
      </w:r>
      <w:r>
        <w:rPr>
          <w:b/>
          <w:bCs/>
        </w:rPr>
        <w:fldChar w:fldCharType="begin"/>
      </w:r>
      <w:r>
        <w:rPr>
          <w:b/>
          <w:bCs/>
        </w:rPr>
        <w:instrText xml:space="preserve"> </w:instrText>
      </w:r>
      <w:r>
        <w:rPr>
          <w:rFonts w:hint="eastAsia"/>
          <w:b/>
          <w:bCs/>
        </w:rPr>
        <w:instrText xml:space="preserve">REF _Ref141694215 \h</w:instrText>
      </w:r>
      <w:r>
        <w:rPr>
          <w:b/>
          <w:bCs/>
        </w:rPr>
        <w:instrText xml:space="preserve">  \* MERGEFORMAT </w:instrText>
      </w:r>
      <w:r>
        <w:rPr>
          <w:b/>
          <w:bCs/>
        </w:rPr>
        <w:fldChar w:fldCharType="separate"/>
      </w:r>
      <w:r>
        <w:rPr>
          <w:rFonts w:hint="eastAsia"/>
          <w:b/>
          <w:bCs/>
        </w:rPr>
        <w:t>表</w:t>
      </w:r>
      <w:r>
        <w:rPr>
          <w:b/>
          <w:bCs/>
        </w:rPr>
        <w:t>10.4</w:t>
      </w:r>
      <w:r>
        <w:rPr>
          <w:b/>
          <w:bCs/>
        </w:rPr>
        <w:noBreakHyphen/>
      </w:r>
      <w:r>
        <w:rPr>
          <w:b/>
          <w:bCs/>
        </w:rPr>
        <w:t>1</w:t>
      </w:r>
      <w:r>
        <w:rPr>
          <w:b/>
          <w:bCs/>
        </w:rPr>
        <w:fldChar w:fldCharType="end"/>
      </w:r>
      <w:r>
        <w:rPr>
          <w:rFonts w:hint="eastAsia"/>
        </w:rPr>
        <w:t>。从施工人员、施工物资、设备、驻地、施工过程等角度出发做好文明施工措施落实。</w:t>
      </w:r>
    </w:p>
    <w:p w14:paraId="63342194">
      <w:pPr>
        <w:pStyle w:val="16"/>
        <w:shd w:val="clear" w:color="auto" w:fill="auto"/>
        <w:adjustRightInd w:val="0"/>
        <w:ind w:firstLine="0" w:firstLineChars="0"/>
        <w:rPr>
          <w:rFonts w:ascii="Times New Roman" w:hAnsi="Times New Roman" w:cstheme="majorBidi"/>
          <w:color w:val="auto"/>
          <w:szCs w:val="20"/>
        </w:rPr>
      </w:pPr>
      <w:bookmarkStart w:id="280" w:name="_Ref141694215"/>
      <w:r>
        <w:rPr>
          <w:rFonts w:hint="eastAsia" w:ascii="Times New Roman" w:hAnsi="Times New Roman" w:cstheme="majorBidi"/>
          <w:color w:val="auto"/>
          <w:szCs w:val="20"/>
        </w:rPr>
        <w:t>表</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ascii="Times New Roman" w:hAnsi="Times New Roman" w:cstheme="majorBidi"/>
          <w:color w:val="auto"/>
          <w:szCs w:val="20"/>
        </w:rPr>
        <w:t>10.4</w:t>
      </w:r>
      <w:r>
        <w:rPr>
          <w:rFonts w:ascii="Times New Roman" w:hAnsi="Times New Roman" w:cstheme="majorBidi"/>
          <w:color w:val="auto"/>
          <w:szCs w:val="20"/>
        </w:rPr>
        <w:fldChar w:fldCharType="end"/>
      </w:r>
      <w:r>
        <w:rPr>
          <w:rFonts w:ascii="Times New Roman" w:hAnsi="Times New Roman" w:cstheme="majorBidi"/>
          <w:color w:val="auto"/>
          <w:szCs w:val="20"/>
        </w:rPr>
        <w:noBreakHyphen/>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SEQ 表 \* ARABIC \s 2</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ascii="Times New Roman" w:hAnsi="Times New Roman" w:cstheme="majorBidi"/>
          <w:color w:val="auto"/>
          <w:szCs w:val="20"/>
        </w:rPr>
        <w:t>1</w:t>
      </w:r>
      <w:r>
        <w:rPr>
          <w:rFonts w:ascii="Times New Roman" w:hAnsi="Times New Roman" w:cstheme="majorBidi"/>
          <w:color w:val="auto"/>
          <w:szCs w:val="20"/>
        </w:rPr>
        <w:fldChar w:fldCharType="end"/>
      </w:r>
      <w:bookmarkEnd w:id="280"/>
      <w:r>
        <w:rPr>
          <w:rFonts w:ascii="Times New Roman" w:hAnsi="Times New Roman" w:cstheme="majorBidi"/>
          <w:color w:val="auto"/>
          <w:szCs w:val="20"/>
        </w:rPr>
        <w:t xml:space="preserve"> </w:t>
      </w:r>
      <w:r>
        <w:rPr>
          <w:rFonts w:hint="eastAsia" w:ascii="Times New Roman" w:hAnsi="Times New Roman" w:cstheme="majorBidi"/>
          <w:color w:val="auto"/>
          <w:szCs w:val="20"/>
        </w:rPr>
        <w:t>文明施工不利因素一览表</w:t>
      </w:r>
    </w:p>
    <w:tbl>
      <w:tblPr>
        <w:tblStyle w:val="42"/>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Layout w:type="autofit"/>
        <w:tblCellMar>
          <w:top w:w="0" w:type="dxa"/>
          <w:left w:w="0" w:type="dxa"/>
          <w:bottom w:w="0" w:type="dxa"/>
          <w:right w:w="0" w:type="dxa"/>
        </w:tblCellMar>
      </w:tblPr>
      <w:tblGrid>
        <w:gridCol w:w="733"/>
        <w:gridCol w:w="1277"/>
        <w:gridCol w:w="2337"/>
        <w:gridCol w:w="4748"/>
      </w:tblGrid>
      <w:tr w14:paraId="77B7F7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0" w:hRule="atLeast"/>
          <w:tblHeader/>
          <w:jc w:val="center"/>
        </w:trPr>
        <w:tc>
          <w:tcPr>
            <w:tcW w:w="403" w:type="pct"/>
            <w:shd w:val="clear" w:color="auto" w:fill="FFFFFF"/>
            <w:vAlign w:val="center"/>
          </w:tcPr>
          <w:p w14:paraId="36CC9226">
            <w:pPr>
              <w:pStyle w:val="50"/>
              <w:rPr>
                <w:b/>
              </w:rPr>
            </w:pPr>
            <w:r>
              <w:rPr>
                <w:b/>
              </w:rPr>
              <w:t>序号</w:t>
            </w:r>
          </w:p>
        </w:tc>
        <w:tc>
          <w:tcPr>
            <w:tcW w:w="702" w:type="pct"/>
            <w:shd w:val="clear" w:color="auto" w:fill="FFFFFF"/>
            <w:vAlign w:val="center"/>
          </w:tcPr>
          <w:p w14:paraId="79AB0CD1">
            <w:pPr>
              <w:pStyle w:val="50"/>
              <w:rPr>
                <w:b/>
              </w:rPr>
            </w:pPr>
            <w:r>
              <w:rPr>
                <w:rFonts w:hint="eastAsia"/>
                <w:b/>
              </w:rPr>
              <w:t>施工环节</w:t>
            </w:r>
          </w:p>
        </w:tc>
        <w:tc>
          <w:tcPr>
            <w:tcW w:w="1285" w:type="pct"/>
            <w:shd w:val="clear" w:color="auto" w:fill="FFFFFF"/>
            <w:vAlign w:val="center"/>
          </w:tcPr>
          <w:p w14:paraId="6F3E45A8">
            <w:pPr>
              <w:pStyle w:val="50"/>
              <w:rPr>
                <w:b/>
              </w:rPr>
            </w:pPr>
            <w:r>
              <w:rPr>
                <w:rFonts w:hint="eastAsia"/>
                <w:b/>
              </w:rPr>
              <w:t>不利因素</w:t>
            </w:r>
          </w:p>
        </w:tc>
        <w:tc>
          <w:tcPr>
            <w:tcW w:w="2610" w:type="pct"/>
            <w:shd w:val="clear" w:color="auto" w:fill="FFFFFF"/>
            <w:vAlign w:val="center"/>
          </w:tcPr>
          <w:p w14:paraId="429556DB">
            <w:pPr>
              <w:pStyle w:val="50"/>
              <w:rPr>
                <w:b/>
              </w:rPr>
            </w:pPr>
            <w:r>
              <w:rPr>
                <w:rFonts w:hint="eastAsia"/>
                <w:b/>
              </w:rPr>
              <w:t>可能出现的后果</w:t>
            </w:r>
          </w:p>
        </w:tc>
      </w:tr>
      <w:tr w14:paraId="611201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FFFFFF"/>
            <w:vAlign w:val="center"/>
          </w:tcPr>
          <w:p w14:paraId="341C161D">
            <w:pPr>
              <w:pStyle w:val="50"/>
              <w:rPr>
                <w:b/>
                <w:bCs/>
              </w:rPr>
            </w:pPr>
            <w:r>
              <w:rPr>
                <w:rFonts w:hint="eastAsia"/>
                <w:bCs/>
              </w:rPr>
              <w:t>1</w:t>
            </w:r>
          </w:p>
        </w:tc>
        <w:tc>
          <w:tcPr>
            <w:tcW w:w="702" w:type="pct"/>
            <w:shd w:val="clear" w:color="auto" w:fill="FFFFFF"/>
            <w:vAlign w:val="center"/>
          </w:tcPr>
          <w:p w14:paraId="2D3E8625">
            <w:pPr>
              <w:pStyle w:val="50"/>
              <w:rPr>
                <w:b w:val="0"/>
                <w:bCs w:val="0"/>
              </w:rPr>
            </w:pPr>
            <w:r>
              <w:rPr>
                <w:rFonts w:hint="eastAsia"/>
                <w:b w:val="0"/>
                <w:bCs w:val="0"/>
              </w:rPr>
              <w:t>施工人员</w:t>
            </w:r>
          </w:p>
        </w:tc>
        <w:tc>
          <w:tcPr>
            <w:tcW w:w="1285" w:type="pct"/>
            <w:shd w:val="clear" w:color="auto" w:fill="FFFFFF"/>
            <w:vAlign w:val="center"/>
          </w:tcPr>
          <w:p w14:paraId="1BB47F98">
            <w:pPr>
              <w:pStyle w:val="50"/>
              <w:rPr>
                <w:b w:val="0"/>
                <w:bCs w:val="0"/>
              </w:rPr>
            </w:pPr>
            <w:r>
              <w:rPr>
                <w:rFonts w:hint="eastAsia"/>
                <w:b w:val="0"/>
                <w:bCs w:val="0"/>
              </w:rPr>
              <w:t>文明施工制度不健全或对人员文明行为要求执行不严</w:t>
            </w:r>
          </w:p>
        </w:tc>
        <w:tc>
          <w:tcPr>
            <w:tcW w:w="2610" w:type="pct"/>
            <w:shd w:val="clear" w:color="auto" w:fill="FFFFFF"/>
            <w:vAlign w:val="center"/>
          </w:tcPr>
          <w:p w14:paraId="10A61008">
            <w:pPr>
              <w:pStyle w:val="50"/>
              <w:jc w:val="both"/>
              <w:rPr>
                <w:b w:val="0"/>
                <w:bCs w:val="0"/>
              </w:rPr>
            </w:pPr>
            <w:r>
              <w:rPr>
                <w:rFonts w:hint="eastAsia"/>
                <w:b w:val="0"/>
                <w:bCs w:val="0"/>
              </w:rPr>
              <w:t>1、人员不按照项目部要求着装；</w:t>
            </w:r>
          </w:p>
          <w:p w14:paraId="4DB7521F">
            <w:pPr>
              <w:pStyle w:val="50"/>
              <w:jc w:val="both"/>
              <w:rPr>
                <w:b w:val="0"/>
                <w:bCs w:val="0"/>
              </w:rPr>
            </w:pPr>
            <w:r>
              <w:rPr>
                <w:rFonts w:hint="eastAsia"/>
                <w:b w:val="0"/>
                <w:bCs w:val="0"/>
              </w:rPr>
              <w:t>2、导致施工垃圾清理不到位、设备维护不当、材料摆放杂乱，形成较差的场容场貌；</w:t>
            </w:r>
          </w:p>
          <w:p w14:paraId="0C5A4953">
            <w:pPr>
              <w:pStyle w:val="50"/>
              <w:jc w:val="both"/>
              <w:rPr>
                <w:b w:val="0"/>
                <w:bCs w:val="0"/>
              </w:rPr>
            </w:pPr>
            <w:r>
              <w:rPr>
                <w:rFonts w:hint="eastAsia"/>
                <w:b w:val="0"/>
                <w:bCs w:val="0"/>
              </w:rPr>
              <w:t>3、违章施工、野蛮施工。</w:t>
            </w:r>
          </w:p>
        </w:tc>
      </w:tr>
      <w:tr w14:paraId="418C6B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FFFFFF"/>
            <w:vAlign w:val="center"/>
          </w:tcPr>
          <w:p w14:paraId="0B2715DE">
            <w:pPr>
              <w:pStyle w:val="50"/>
              <w:rPr>
                <w:b/>
                <w:bCs/>
              </w:rPr>
            </w:pPr>
            <w:r>
              <w:rPr>
                <w:rFonts w:hint="eastAsia"/>
                <w:bCs/>
              </w:rPr>
              <w:t>2</w:t>
            </w:r>
          </w:p>
        </w:tc>
        <w:tc>
          <w:tcPr>
            <w:tcW w:w="702" w:type="pct"/>
            <w:shd w:val="clear" w:color="auto" w:fill="FFFFFF"/>
            <w:vAlign w:val="center"/>
          </w:tcPr>
          <w:p w14:paraId="0C00C9B7">
            <w:pPr>
              <w:pStyle w:val="50"/>
              <w:rPr>
                <w:b w:val="0"/>
                <w:bCs w:val="0"/>
              </w:rPr>
            </w:pPr>
            <w:r>
              <w:rPr>
                <w:rFonts w:hint="eastAsia"/>
                <w:b w:val="0"/>
                <w:bCs w:val="0"/>
              </w:rPr>
              <w:t>物资</w:t>
            </w:r>
          </w:p>
        </w:tc>
        <w:tc>
          <w:tcPr>
            <w:tcW w:w="1285" w:type="pct"/>
            <w:shd w:val="clear" w:color="auto" w:fill="FFFFFF"/>
            <w:vAlign w:val="center"/>
          </w:tcPr>
          <w:p w14:paraId="5B937FC0">
            <w:pPr>
              <w:pStyle w:val="50"/>
              <w:rPr>
                <w:b w:val="0"/>
                <w:bCs w:val="0"/>
              </w:rPr>
            </w:pPr>
            <w:r>
              <w:rPr>
                <w:rFonts w:hint="eastAsia"/>
                <w:b w:val="0"/>
                <w:bCs w:val="0"/>
              </w:rPr>
              <w:t>运输、储存过程的包装方式不当或破坏</w:t>
            </w:r>
          </w:p>
        </w:tc>
        <w:tc>
          <w:tcPr>
            <w:tcW w:w="2610" w:type="pct"/>
            <w:shd w:val="clear" w:color="auto" w:fill="FFFFFF"/>
            <w:vAlign w:val="center"/>
          </w:tcPr>
          <w:p w14:paraId="293962DC">
            <w:pPr>
              <w:pStyle w:val="50"/>
              <w:jc w:val="both"/>
              <w:rPr>
                <w:b w:val="0"/>
                <w:bCs w:val="0"/>
              </w:rPr>
            </w:pPr>
            <w:r>
              <w:rPr>
                <w:rFonts w:hint="eastAsia"/>
                <w:b w:val="0"/>
                <w:bCs w:val="0"/>
              </w:rPr>
              <w:t>1、材料摆放杂乱、施工废料随意丢弃；</w:t>
            </w:r>
          </w:p>
          <w:p w14:paraId="08340435">
            <w:pPr>
              <w:pStyle w:val="50"/>
              <w:jc w:val="both"/>
              <w:rPr>
                <w:b w:val="0"/>
                <w:bCs w:val="0"/>
              </w:rPr>
            </w:pPr>
            <w:r>
              <w:rPr>
                <w:rFonts w:hint="eastAsia"/>
                <w:b w:val="0"/>
                <w:bCs w:val="0"/>
              </w:rPr>
              <w:t>2、储存中意外泄漏造成污染或环境破坏。</w:t>
            </w:r>
          </w:p>
        </w:tc>
      </w:tr>
      <w:tr w14:paraId="197C34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0" w:hRule="atLeast"/>
          <w:jc w:val="center"/>
        </w:trPr>
        <w:tc>
          <w:tcPr>
            <w:tcW w:w="403" w:type="pct"/>
            <w:shd w:val="clear" w:color="auto" w:fill="FFFFFF"/>
            <w:vAlign w:val="center"/>
          </w:tcPr>
          <w:p w14:paraId="07584212">
            <w:pPr>
              <w:pStyle w:val="50"/>
              <w:rPr>
                <w:b/>
                <w:bCs/>
              </w:rPr>
            </w:pPr>
            <w:r>
              <w:rPr>
                <w:rFonts w:hint="eastAsia"/>
                <w:bCs/>
              </w:rPr>
              <w:t>3</w:t>
            </w:r>
          </w:p>
        </w:tc>
        <w:tc>
          <w:tcPr>
            <w:tcW w:w="702" w:type="pct"/>
            <w:shd w:val="clear" w:color="auto" w:fill="FFFFFF"/>
            <w:vAlign w:val="center"/>
          </w:tcPr>
          <w:p w14:paraId="057E3409">
            <w:pPr>
              <w:pStyle w:val="50"/>
              <w:rPr>
                <w:b w:val="0"/>
                <w:bCs w:val="0"/>
              </w:rPr>
            </w:pPr>
            <w:r>
              <w:rPr>
                <w:rFonts w:hint="eastAsia"/>
                <w:b w:val="0"/>
                <w:bCs w:val="0"/>
              </w:rPr>
              <w:t>设备</w:t>
            </w:r>
          </w:p>
        </w:tc>
        <w:tc>
          <w:tcPr>
            <w:tcW w:w="1285" w:type="pct"/>
            <w:shd w:val="clear" w:color="auto" w:fill="FFFFFF"/>
            <w:vAlign w:val="center"/>
          </w:tcPr>
          <w:p w14:paraId="48E06FAB">
            <w:pPr>
              <w:pStyle w:val="50"/>
              <w:rPr>
                <w:b w:val="0"/>
                <w:bCs w:val="0"/>
              </w:rPr>
            </w:pPr>
            <w:r>
              <w:rPr>
                <w:rFonts w:hint="eastAsia"/>
                <w:b w:val="0"/>
                <w:bCs w:val="0"/>
              </w:rPr>
              <w:t>维护保养不到位</w:t>
            </w:r>
          </w:p>
        </w:tc>
        <w:tc>
          <w:tcPr>
            <w:tcW w:w="2610" w:type="pct"/>
            <w:shd w:val="clear" w:color="auto" w:fill="FFFFFF"/>
            <w:vAlign w:val="center"/>
          </w:tcPr>
          <w:p w14:paraId="73BB5EFE">
            <w:pPr>
              <w:pStyle w:val="50"/>
              <w:jc w:val="both"/>
              <w:rPr>
                <w:b w:val="0"/>
                <w:bCs w:val="0"/>
              </w:rPr>
            </w:pPr>
            <w:r>
              <w:rPr>
                <w:rFonts w:hint="eastAsia"/>
                <w:b w:val="0"/>
                <w:bCs w:val="0"/>
              </w:rPr>
              <w:t>1、设备外观脏乱差；</w:t>
            </w:r>
          </w:p>
          <w:p w14:paraId="1A1D4F0A">
            <w:pPr>
              <w:pStyle w:val="50"/>
              <w:jc w:val="both"/>
              <w:rPr>
                <w:b w:val="0"/>
                <w:bCs w:val="0"/>
              </w:rPr>
            </w:pPr>
            <w:r>
              <w:rPr>
                <w:rFonts w:hint="eastAsia"/>
                <w:b w:val="0"/>
                <w:bCs w:val="0"/>
              </w:rPr>
              <w:t>2、设备停靠不整齐，影响形象。</w:t>
            </w:r>
          </w:p>
        </w:tc>
      </w:tr>
      <w:tr w14:paraId="654B92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FFFFFF"/>
            <w:vAlign w:val="center"/>
          </w:tcPr>
          <w:p w14:paraId="381443DC">
            <w:pPr>
              <w:pStyle w:val="50"/>
              <w:rPr>
                <w:b/>
                <w:bCs/>
              </w:rPr>
            </w:pPr>
            <w:r>
              <w:rPr>
                <w:rFonts w:hint="eastAsia"/>
                <w:bCs/>
              </w:rPr>
              <w:t>4</w:t>
            </w:r>
          </w:p>
        </w:tc>
        <w:tc>
          <w:tcPr>
            <w:tcW w:w="702" w:type="pct"/>
            <w:shd w:val="clear" w:color="auto" w:fill="FFFFFF"/>
            <w:vAlign w:val="center"/>
          </w:tcPr>
          <w:p w14:paraId="3C25D119">
            <w:pPr>
              <w:pStyle w:val="50"/>
              <w:rPr>
                <w:b w:val="0"/>
                <w:bCs w:val="0"/>
              </w:rPr>
            </w:pPr>
            <w:r>
              <w:rPr>
                <w:rFonts w:hint="eastAsia"/>
                <w:b w:val="0"/>
                <w:bCs w:val="0"/>
              </w:rPr>
              <w:t>生活办公</w:t>
            </w:r>
          </w:p>
        </w:tc>
        <w:tc>
          <w:tcPr>
            <w:tcW w:w="1285" w:type="pct"/>
            <w:shd w:val="clear" w:color="auto" w:fill="FFFFFF"/>
            <w:vAlign w:val="center"/>
          </w:tcPr>
          <w:p w14:paraId="1AB6D3C8">
            <w:pPr>
              <w:pStyle w:val="50"/>
              <w:rPr>
                <w:b w:val="0"/>
                <w:bCs w:val="0"/>
              </w:rPr>
            </w:pPr>
            <w:r>
              <w:rPr>
                <w:rFonts w:hint="eastAsia"/>
                <w:b w:val="0"/>
                <w:bCs w:val="0"/>
              </w:rPr>
              <w:t>房间清洁卫生不到位</w:t>
            </w:r>
          </w:p>
        </w:tc>
        <w:tc>
          <w:tcPr>
            <w:tcW w:w="2610" w:type="pct"/>
            <w:shd w:val="clear" w:color="auto" w:fill="FFFFFF"/>
            <w:vAlign w:val="center"/>
          </w:tcPr>
          <w:p w14:paraId="0A3FA0DE">
            <w:pPr>
              <w:pStyle w:val="50"/>
              <w:jc w:val="both"/>
              <w:rPr>
                <w:b w:val="0"/>
                <w:bCs w:val="0"/>
              </w:rPr>
            </w:pPr>
            <w:r>
              <w:rPr>
                <w:rFonts w:hint="eastAsia"/>
                <w:b w:val="0"/>
                <w:bCs w:val="0"/>
              </w:rPr>
              <w:t>1、生活和办公垃圾随意丢弃，区域内不整洁、卫生条件下降。</w:t>
            </w:r>
          </w:p>
        </w:tc>
      </w:tr>
      <w:tr w14:paraId="692FBB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FFFFFF"/>
            <w:vAlign w:val="center"/>
          </w:tcPr>
          <w:p w14:paraId="0FAF87BC">
            <w:pPr>
              <w:pStyle w:val="50"/>
              <w:rPr>
                <w:b/>
                <w:bCs/>
              </w:rPr>
            </w:pPr>
            <w:r>
              <w:rPr>
                <w:rFonts w:hint="eastAsia"/>
                <w:bCs/>
              </w:rPr>
              <w:t>5</w:t>
            </w:r>
          </w:p>
        </w:tc>
        <w:tc>
          <w:tcPr>
            <w:tcW w:w="702" w:type="pct"/>
            <w:shd w:val="clear" w:color="auto" w:fill="FFFFFF"/>
            <w:vAlign w:val="center"/>
          </w:tcPr>
          <w:p w14:paraId="0980A753">
            <w:pPr>
              <w:pStyle w:val="50"/>
              <w:rPr>
                <w:b w:val="0"/>
                <w:bCs w:val="0"/>
              </w:rPr>
            </w:pPr>
            <w:r>
              <w:rPr>
                <w:rFonts w:hint="eastAsia"/>
                <w:b w:val="0"/>
                <w:bCs w:val="0"/>
              </w:rPr>
              <w:t>施工过程</w:t>
            </w:r>
          </w:p>
        </w:tc>
        <w:tc>
          <w:tcPr>
            <w:tcW w:w="1285" w:type="pct"/>
            <w:shd w:val="clear" w:color="auto" w:fill="FFFFFF"/>
            <w:vAlign w:val="center"/>
          </w:tcPr>
          <w:p w14:paraId="050A0143">
            <w:pPr>
              <w:pStyle w:val="50"/>
              <w:rPr>
                <w:b w:val="0"/>
                <w:bCs w:val="0"/>
              </w:rPr>
            </w:pPr>
            <w:r>
              <w:rPr>
                <w:rFonts w:hint="eastAsia"/>
                <w:b w:val="0"/>
                <w:bCs w:val="0"/>
              </w:rPr>
              <w:t>每天施工开始时间过早、结束过晚</w:t>
            </w:r>
          </w:p>
        </w:tc>
        <w:tc>
          <w:tcPr>
            <w:tcW w:w="2610" w:type="pct"/>
            <w:shd w:val="clear" w:color="auto" w:fill="FFFFFF"/>
            <w:vAlign w:val="center"/>
          </w:tcPr>
          <w:p w14:paraId="76CBBEBC">
            <w:pPr>
              <w:pStyle w:val="50"/>
              <w:jc w:val="both"/>
              <w:rPr>
                <w:b w:val="0"/>
                <w:bCs w:val="0"/>
              </w:rPr>
            </w:pPr>
            <w:r>
              <w:rPr>
                <w:rFonts w:hint="eastAsia"/>
                <w:b w:val="0"/>
                <w:bCs w:val="0"/>
              </w:rPr>
              <w:t>1、噪声污染扰民。</w:t>
            </w:r>
          </w:p>
        </w:tc>
      </w:tr>
    </w:tbl>
    <w:p w14:paraId="22ACD390">
      <w:pPr>
        <w:pStyle w:val="4"/>
        <w:bidi w:val="0"/>
        <w:ind w:left="720" w:leftChars="0" w:hanging="720" w:firstLineChars="0"/>
        <w:rPr>
          <w:rFonts w:hint="eastAsia"/>
          <w:b/>
          <w:bCs w:val="0"/>
        </w:rPr>
      </w:pPr>
      <w:r>
        <w:rPr>
          <w:rFonts w:hint="eastAsia"/>
          <w:b/>
          <w:bCs w:val="0"/>
        </w:rPr>
        <w:t>人员文明施工管理措施</w:t>
      </w:r>
    </w:p>
    <w:p w14:paraId="245C9367">
      <w:pPr>
        <w:pStyle w:val="16"/>
        <w:shd w:val="clear" w:color="auto" w:fill="auto"/>
        <w:adjustRightInd w:val="0"/>
        <w:ind w:firstLine="0" w:firstLineChars="0"/>
        <w:rPr>
          <w:rFonts w:ascii="Times New Roman" w:hAnsi="Times New Roman" w:cstheme="majorBidi"/>
          <w:color w:val="auto"/>
          <w:szCs w:val="20"/>
        </w:rPr>
      </w:pPr>
      <w:r>
        <w:rPr>
          <w:rFonts w:hint="eastAsia" w:ascii="Times New Roman" w:hAnsi="Times New Roman" w:cstheme="majorBidi"/>
          <w:color w:val="auto"/>
          <w:szCs w:val="20"/>
        </w:rPr>
        <w:t>表</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ascii="Times New Roman" w:hAnsi="Times New Roman" w:cstheme="majorBidi"/>
          <w:color w:val="auto"/>
          <w:szCs w:val="20"/>
        </w:rPr>
        <w:t>10.4</w:t>
      </w:r>
      <w:r>
        <w:rPr>
          <w:rFonts w:ascii="Times New Roman" w:hAnsi="Times New Roman" w:cstheme="majorBidi"/>
          <w:color w:val="auto"/>
          <w:szCs w:val="20"/>
        </w:rPr>
        <w:fldChar w:fldCharType="end"/>
      </w:r>
      <w:r>
        <w:rPr>
          <w:rFonts w:hint="eastAsia" w:cstheme="majorBidi"/>
          <w:color w:val="auto"/>
          <w:szCs w:val="20"/>
          <w:lang w:val="en-US" w:eastAsia="zh-CN"/>
        </w:rPr>
        <w:t>.1</w:t>
      </w:r>
      <w:r>
        <w:rPr>
          <w:rFonts w:ascii="Times New Roman" w:hAnsi="Times New Roman" w:cstheme="majorBidi"/>
          <w:color w:val="auto"/>
          <w:szCs w:val="20"/>
        </w:rPr>
        <w:noBreakHyphen/>
      </w:r>
      <w:r>
        <w:rPr>
          <w:rFonts w:hint="eastAsia" w:cstheme="majorBidi"/>
          <w:color w:val="auto"/>
          <w:szCs w:val="20"/>
          <w:lang w:val="en-US" w:eastAsia="zh-CN"/>
        </w:rPr>
        <w:t>1</w:t>
      </w:r>
      <w:r>
        <w:rPr>
          <w:rFonts w:ascii="Times New Roman" w:hAnsi="Times New Roman" w:cstheme="majorBidi"/>
          <w:color w:val="auto"/>
          <w:szCs w:val="20"/>
        </w:rPr>
        <w:t xml:space="preserve"> </w:t>
      </w:r>
      <w:r>
        <w:rPr>
          <w:rFonts w:hint="eastAsia" w:ascii="Times New Roman" w:hAnsi="Times New Roman" w:cstheme="majorBidi"/>
          <w:color w:val="auto"/>
          <w:szCs w:val="20"/>
        </w:rPr>
        <w:t>人员文明施工管理措施</w:t>
      </w:r>
    </w:p>
    <w:tbl>
      <w:tblPr>
        <w:tblStyle w:val="42"/>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46"/>
        <w:gridCol w:w="8352"/>
      </w:tblGrid>
      <w:tr w14:paraId="55FD347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blHeader/>
        </w:trPr>
        <w:tc>
          <w:tcPr>
            <w:tcW w:w="410" w:type="pct"/>
            <w:shd w:val="clear" w:color="auto" w:fill="auto"/>
            <w:vAlign w:val="center"/>
          </w:tcPr>
          <w:p w14:paraId="72B9B202">
            <w:pPr>
              <w:pStyle w:val="50"/>
              <w:rPr>
                <w:b/>
              </w:rPr>
            </w:pPr>
            <w:r>
              <w:rPr>
                <w:b/>
              </w:rPr>
              <w:t>序号</w:t>
            </w:r>
          </w:p>
        </w:tc>
        <w:tc>
          <w:tcPr>
            <w:tcW w:w="4589" w:type="pct"/>
            <w:shd w:val="clear" w:color="auto" w:fill="auto"/>
            <w:vAlign w:val="center"/>
          </w:tcPr>
          <w:p w14:paraId="481F5E05">
            <w:pPr>
              <w:pStyle w:val="50"/>
              <w:rPr>
                <w:b/>
              </w:rPr>
            </w:pPr>
            <w:r>
              <w:rPr>
                <w:b/>
              </w:rPr>
              <w:t>主要</w:t>
            </w:r>
            <w:r>
              <w:rPr>
                <w:rFonts w:hint="eastAsia"/>
                <w:b/>
              </w:rPr>
              <w:t>管理</w:t>
            </w:r>
            <w:r>
              <w:rPr>
                <w:b/>
              </w:rPr>
              <w:t>措施</w:t>
            </w:r>
          </w:p>
        </w:tc>
      </w:tr>
      <w:tr w14:paraId="60C9A1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59998F93">
            <w:pPr>
              <w:pStyle w:val="50"/>
              <w:rPr>
                <w:b/>
                <w:bCs/>
              </w:rPr>
            </w:pPr>
            <w:r>
              <w:rPr>
                <w:bCs/>
              </w:rPr>
              <w:t>1</w:t>
            </w:r>
          </w:p>
        </w:tc>
        <w:tc>
          <w:tcPr>
            <w:tcW w:w="4589" w:type="pct"/>
            <w:shd w:val="clear" w:color="auto" w:fill="auto"/>
            <w:vAlign w:val="center"/>
          </w:tcPr>
          <w:p w14:paraId="3D228DB1">
            <w:pPr>
              <w:pStyle w:val="50"/>
              <w:jc w:val="both"/>
              <w:rPr>
                <w:b w:val="0"/>
                <w:bCs w:val="0"/>
              </w:rPr>
            </w:pPr>
            <w:r>
              <w:rPr>
                <w:b w:val="0"/>
                <w:bCs w:val="0"/>
              </w:rPr>
              <w:t>施工人员应按要求分类着装，佩戴安全帽；</w:t>
            </w:r>
          </w:p>
          <w:p w14:paraId="553614B1">
            <w:pPr>
              <w:pStyle w:val="50"/>
              <w:jc w:val="both"/>
              <w:rPr>
                <w:b w:val="0"/>
                <w:bCs w:val="0"/>
              </w:rPr>
            </w:pPr>
            <w:r>
              <w:rPr>
                <w:b w:val="0"/>
                <w:bCs w:val="0"/>
              </w:rPr>
              <w:t>各种岗位人员佩戴胸卡，质量检查人员、安全监督人员佩戴红色袖标；</w:t>
            </w:r>
          </w:p>
          <w:p w14:paraId="01EC0D94">
            <w:pPr>
              <w:pStyle w:val="50"/>
              <w:jc w:val="both"/>
              <w:rPr>
                <w:b w:val="0"/>
                <w:bCs w:val="0"/>
              </w:rPr>
            </w:pPr>
            <w:r>
              <w:rPr>
                <w:b w:val="0"/>
                <w:bCs w:val="0"/>
              </w:rPr>
              <w:t>坚守岗位，职责清楚。</w:t>
            </w:r>
          </w:p>
        </w:tc>
      </w:tr>
      <w:tr w14:paraId="06FD57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306B8A9F">
            <w:pPr>
              <w:pStyle w:val="50"/>
              <w:rPr>
                <w:b/>
                <w:bCs/>
              </w:rPr>
            </w:pPr>
            <w:r>
              <w:rPr>
                <w:bCs/>
              </w:rPr>
              <w:t>2</w:t>
            </w:r>
          </w:p>
        </w:tc>
        <w:tc>
          <w:tcPr>
            <w:tcW w:w="4589" w:type="pct"/>
            <w:shd w:val="clear" w:color="auto" w:fill="auto"/>
            <w:vAlign w:val="center"/>
          </w:tcPr>
          <w:p w14:paraId="155AD87A">
            <w:pPr>
              <w:pStyle w:val="50"/>
              <w:jc w:val="both"/>
              <w:rPr>
                <w:b w:val="0"/>
                <w:bCs w:val="0"/>
              </w:rPr>
            </w:pPr>
            <w:r>
              <w:rPr>
                <w:b w:val="0"/>
                <w:bCs w:val="0"/>
              </w:rPr>
              <w:t>进入场区人员在区域内活动要举止大方、衣容整洁、文明礼貌；</w:t>
            </w:r>
          </w:p>
          <w:p w14:paraId="22249AAD">
            <w:pPr>
              <w:pStyle w:val="50"/>
              <w:jc w:val="both"/>
              <w:rPr>
                <w:b w:val="0"/>
                <w:bCs w:val="0"/>
              </w:rPr>
            </w:pPr>
            <w:r>
              <w:rPr>
                <w:b w:val="0"/>
                <w:bCs w:val="0"/>
              </w:rPr>
              <w:t>定期对全体施工人员进行法律、法规教育，严格遵守社会公德、职业道德、职业纪律；</w:t>
            </w:r>
          </w:p>
          <w:p w14:paraId="242FCB99">
            <w:pPr>
              <w:pStyle w:val="50"/>
              <w:jc w:val="both"/>
              <w:rPr>
                <w:b w:val="0"/>
                <w:bCs w:val="0"/>
              </w:rPr>
            </w:pPr>
            <w:r>
              <w:rPr>
                <w:b w:val="0"/>
                <w:bCs w:val="0"/>
              </w:rPr>
              <w:t>设专人协调处理好周边的公共关系，发生纠纷按程序逐级追究解决，杜绝打架斗殴。</w:t>
            </w:r>
          </w:p>
        </w:tc>
      </w:tr>
      <w:tr w14:paraId="33CBE8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1D047D9D">
            <w:pPr>
              <w:pStyle w:val="50"/>
              <w:rPr>
                <w:b/>
                <w:bCs/>
              </w:rPr>
            </w:pPr>
            <w:r>
              <w:rPr>
                <w:bCs/>
              </w:rPr>
              <w:t>3</w:t>
            </w:r>
          </w:p>
        </w:tc>
        <w:tc>
          <w:tcPr>
            <w:tcW w:w="4589" w:type="pct"/>
            <w:shd w:val="clear" w:color="auto" w:fill="auto"/>
            <w:vAlign w:val="center"/>
          </w:tcPr>
          <w:p w14:paraId="6F234EE9">
            <w:pPr>
              <w:pStyle w:val="50"/>
              <w:jc w:val="both"/>
              <w:rPr>
                <w:b w:val="0"/>
                <w:bCs w:val="0"/>
              </w:rPr>
            </w:pPr>
            <w:r>
              <w:rPr>
                <w:b w:val="0"/>
                <w:bCs w:val="0"/>
              </w:rPr>
              <w:t>工人在上岗前必须经过文明施工教育培训，未经培训的工人，不得使用；</w:t>
            </w:r>
          </w:p>
          <w:p w14:paraId="5DD9CF69">
            <w:pPr>
              <w:pStyle w:val="50"/>
              <w:jc w:val="both"/>
              <w:rPr>
                <w:b w:val="0"/>
                <w:bCs w:val="0"/>
              </w:rPr>
            </w:pPr>
            <w:r>
              <w:rPr>
                <w:b w:val="0"/>
                <w:bCs w:val="0"/>
              </w:rPr>
              <w:t>所有施工人员每月需要进行施工安全、法纪和文明施工教育，增强文明施工意识，养成良好的作业习惯，如不在吸烟室以外场所吸烟，严禁穿拖鞋、短袖，不酒后作业等。</w:t>
            </w:r>
          </w:p>
        </w:tc>
      </w:tr>
      <w:tr w14:paraId="3720C7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383C3EF6">
            <w:pPr>
              <w:pStyle w:val="50"/>
              <w:rPr>
                <w:b/>
                <w:bCs/>
              </w:rPr>
            </w:pPr>
            <w:r>
              <w:rPr>
                <w:bCs/>
              </w:rPr>
              <w:t>4</w:t>
            </w:r>
          </w:p>
        </w:tc>
        <w:tc>
          <w:tcPr>
            <w:tcW w:w="4589" w:type="pct"/>
            <w:shd w:val="clear" w:color="auto" w:fill="auto"/>
            <w:vAlign w:val="center"/>
          </w:tcPr>
          <w:p w14:paraId="4832833E">
            <w:pPr>
              <w:pStyle w:val="50"/>
              <w:jc w:val="both"/>
              <w:rPr>
                <w:b w:val="0"/>
                <w:bCs w:val="0"/>
              </w:rPr>
            </w:pPr>
            <w:r>
              <w:rPr>
                <w:b w:val="0"/>
                <w:bCs w:val="0"/>
              </w:rPr>
              <w:t>施工中有计划组织职工学习有关文明施工的规定，争做文明人民；</w:t>
            </w:r>
          </w:p>
          <w:p w14:paraId="443B418A">
            <w:pPr>
              <w:pStyle w:val="50"/>
              <w:jc w:val="both"/>
              <w:rPr>
                <w:b w:val="0"/>
                <w:bCs w:val="0"/>
              </w:rPr>
            </w:pPr>
            <w:r>
              <w:rPr>
                <w:b w:val="0"/>
                <w:bCs w:val="0"/>
              </w:rPr>
              <w:t>加强员工文明施工行为考评，并将考评结果</w:t>
            </w:r>
            <w:r>
              <w:rPr>
                <w:rFonts w:hint="eastAsia"/>
                <w:b w:val="0"/>
                <w:bCs w:val="0"/>
              </w:rPr>
              <w:t>纳入</w:t>
            </w:r>
            <w:r>
              <w:rPr>
                <w:b w:val="0"/>
                <w:bCs w:val="0"/>
              </w:rPr>
              <w:t>为月度绩效考核指标。</w:t>
            </w:r>
          </w:p>
        </w:tc>
      </w:tr>
      <w:tr w14:paraId="6BC4E5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410" w:type="pct"/>
            <w:shd w:val="clear" w:color="auto" w:fill="auto"/>
            <w:vAlign w:val="center"/>
          </w:tcPr>
          <w:p w14:paraId="1419818D">
            <w:pPr>
              <w:pStyle w:val="50"/>
              <w:rPr>
                <w:b/>
                <w:bCs/>
              </w:rPr>
            </w:pPr>
            <w:r>
              <w:rPr>
                <w:bCs/>
              </w:rPr>
              <w:t>5</w:t>
            </w:r>
          </w:p>
        </w:tc>
        <w:tc>
          <w:tcPr>
            <w:tcW w:w="4589" w:type="pct"/>
            <w:shd w:val="clear" w:color="auto" w:fill="auto"/>
            <w:vAlign w:val="center"/>
          </w:tcPr>
          <w:p w14:paraId="6CEC6664">
            <w:pPr>
              <w:pStyle w:val="50"/>
              <w:jc w:val="both"/>
              <w:rPr>
                <w:b w:val="0"/>
                <w:bCs w:val="0"/>
              </w:rPr>
            </w:pPr>
            <w:r>
              <w:rPr>
                <w:b w:val="0"/>
                <w:bCs w:val="0"/>
              </w:rPr>
              <w:t>建立文明施工档案，做好文明施工宣传，对违反文明施工人员进行教育、纠偏、处罚，严重者清除出场；在文明施工中表现优秀的给予褒奖。</w:t>
            </w:r>
          </w:p>
        </w:tc>
      </w:tr>
    </w:tbl>
    <w:p w14:paraId="1A6A1D87">
      <w:pPr>
        <w:pStyle w:val="4"/>
        <w:bidi w:val="0"/>
        <w:ind w:left="720" w:leftChars="0" w:hanging="720" w:firstLineChars="0"/>
        <w:rPr>
          <w:rFonts w:hint="eastAsia"/>
          <w:b/>
          <w:bCs w:val="0"/>
        </w:rPr>
      </w:pPr>
      <w:r>
        <w:rPr>
          <w:rFonts w:hint="eastAsia"/>
          <w:b/>
          <w:bCs w:val="0"/>
        </w:rPr>
        <w:t>物资文明管理措施</w:t>
      </w:r>
    </w:p>
    <w:p w14:paraId="2D2F4384">
      <w:pPr>
        <w:pStyle w:val="16"/>
        <w:shd w:val="clear" w:color="auto" w:fill="auto"/>
        <w:adjustRightInd w:val="0"/>
        <w:ind w:firstLine="0" w:firstLineChars="0"/>
        <w:rPr>
          <w:rFonts w:ascii="Times New Roman" w:hAnsi="Times New Roman" w:cstheme="majorBidi"/>
          <w:color w:val="auto"/>
          <w:szCs w:val="20"/>
        </w:rPr>
      </w:pPr>
      <w:r>
        <w:rPr>
          <w:rFonts w:hint="eastAsia" w:ascii="Times New Roman" w:hAnsi="Times New Roman" w:cstheme="majorBidi"/>
          <w:color w:val="auto"/>
          <w:szCs w:val="20"/>
        </w:rPr>
        <w:t>表</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ascii="Times New Roman" w:hAnsi="Times New Roman" w:cstheme="majorBidi"/>
          <w:color w:val="auto"/>
          <w:szCs w:val="20"/>
        </w:rPr>
        <w:t>10.4</w:t>
      </w:r>
      <w:r>
        <w:rPr>
          <w:rFonts w:ascii="Times New Roman" w:hAnsi="Times New Roman" w:cstheme="majorBidi"/>
          <w:color w:val="auto"/>
          <w:szCs w:val="20"/>
        </w:rPr>
        <w:fldChar w:fldCharType="end"/>
      </w:r>
      <w:r>
        <w:rPr>
          <w:rFonts w:hint="eastAsia" w:cstheme="majorBidi"/>
          <w:color w:val="auto"/>
          <w:szCs w:val="20"/>
          <w:lang w:val="en-US" w:eastAsia="zh-CN"/>
        </w:rPr>
        <w:t>.2</w:t>
      </w:r>
      <w:r>
        <w:rPr>
          <w:rFonts w:ascii="Times New Roman" w:hAnsi="Times New Roman" w:cstheme="majorBidi"/>
          <w:color w:val="auto"/>
          <w:szCs w:val="20"/>
        </w:rPr>
        <w:noBreakHyphen/>
      </w:r>
      <w:r>
        <w:rPr>
          <w:rFonts w:hint="eastAsia" w:cstheme="majorBidi"/>
          <w:color w:val="auto"/>
          <w:szCs w:val="20"/>
          <w:lang w:val="en-US" w:eastAsia="zh-CN"/>
        </w:rPr>
        <w:t>2</w:t>
      </w:r>
      <w:r>
        <w:rPr>
          <w:rFonts w:hint="eastAsia" w:ascii="Times New Roman" w:hAnsi="Times New Roman" w:cstheme="majorBidi"/>
          <w:color w:val="auto"/>
          <w:szCs w:val="20"/>
        </w:rPr>
        <w:t xml:space="preserve"> 物资文明管理措施</w:t>
      </w:r>
    </w:p>
    <w:tbl>
      <w:tblPr>
        <w:tblStyle w:val="42"/>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33"/>
        <w:gridCol w:w="8365"/>
      </w:tblGrid>
      <w:tr w14:paraId="380F61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blHeader/>
          <w:jc w:val="center"/>
        </w:trPr>
        <w:tc>
          <w:tcPr>
            <w:tcW w:w="403" w:type="pct"/>
            <w:shd w:val="clear" w:color="auto" w:fill="auto"/>
            <w:vAlign w:val="center"/>
          </w:tcPr>
          <w:p w14:paraId="7B0826C0">
            <w:pPr>
              <w:pStyle w:val="50"/>
              <w:rPr>
                <w:b/>
              </w:rPr>
            </w:pPr>
            <w:r>
              <w:rPr>
                <w:b/>
              </w:rPr>
              <w:t>序号</w:t>
            </w:r>
          </w:p>
        </w:tc>
        <w:tc>
          <w:tcPr>
            <w:tcW w:w="4596" w:type="pct"/>
            <w:shd w:val="clear" w:color="auto" w:fill="auto"/>
            <w:vAlign w:val="center"/>
          </w:tcPr>
          <w:p w14:paraId="5F346670">
            <w:pPr>
              <w:pStyle w:val="50"/>
              <w:rPr>
                <w:b/>
              </w:rPr>
            </w:pPr>
            <w:r>
              <w:rPr>
                <w:b/>
              </w:rPr>
              <w:t>主要</w:t>
            </w:r>
            <w:r>
              <w:rPr>
                <w:rFonts w:hint="eastAsia"/>
                <w:b/>
              </w:rPr>
              <w:t>管理</w:t>
            </w:r>
            <w:r>
              <w:rPr>
                <w:b/>
              </w:rPr>
              <w:t>措施</w:t>
            </w:r>
          </w:p>
        </w:tc>
      </w:tr>
      <w:tr w14:paraId="6A96E5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auto"/>
            <w:vAlign w:val="center"/>
          </w:tcPr>
          <w:p w14:paraId="2A4140A8">
            <w:pPr>
              <w:pStyle w:val="50"/>
              <w:rPr>
                <w:b/>
                <w:bCs/>
              </w:rPr>
            </w:pPr>
            <w:r>
              <w:rPr>
                <w:bCs/>
              </w:rPr>
              <w:t>1</w:t>
            </w:r>
          </w:p>
        </w:tc>
        <w:tc>
          <w:tcPr>
            <w:tcW w:w="4596" w:type="pct"/>
            <w:shd w:val="clear" w:color="auto" w:fill="auto"/>
            <w:vAlign w:val="center"/>
          </w:tcPr>
          <w:p w14:paraId="2F466B0B">
            <w:pPr>
              <w:pStyle w:val="50"/>
              <w:jc w:val="both"/>
              <w:rPr>
                <w:b w:val="0"/>
                <w:bCs w:val="0"/>
              </w:rPr>
            </w:pPr>
            <w:r>
              <w:rPr>
                <w:rFonts w:hint="eastAsia"/>
                <w:b w:val="0"/>
                <w:bCs w:val="0"/>
              </w:rPr>
              <w:t>砂石料运输车辆采用篷布覆盖，在料仓内按规格分类分批堆放，严禁混堆</w:t>
            </w:r>
          </w:p>
        </w:tc>
      </w:tr>
      <w:tr w14:paraId="74F106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auto"/>
            <w:vAlign w:val="center"/>
          </w:tcPr>
          <w:p w14:paraId="6AB3769D">
            <w:pPr>
              <w:pStyle w:val="50"/>
              <w:rPr>
                <w:b/>
                <w:bCs/>
              </w:rPr>
            </w:pPr>
            <w:r>
              <w:rPr>
                <w:bCs/>
              </w:rPr>
              <w:t>2</w:t>
            </w:r>
          </w:p>
        </w:tc>
        <w:tc>
          <w:tcPr>
            <w:tcW w:w="4596" w:type="pct"/>
            <w:shd w:val="clear" w:color="auto" w:fill="auto"/>
            <w:vAlign w:val="center"/>
          </w:tcPr>
          <w:p w14:paraId="53BAE3DD">
            <w:pPr>
              <w:pStyle w:val="50"/>
              <w:jc w:val="both"/>
              <w:rPr>
                <w:b w:val="0"/>
                <w:bCs w:val="0"/>
              </w:rPr>
            </w:pPr>
            <w:r>
              <w:rPr>
                <w:rFonts w:hint="eastAsia"/>
                <w:b w:val="0"/>
                <w:bCs w:val="0"/>
              </w:rPr>
              <w:t>钢筋加工场按原材料、半成品、成品分区堆放，设置相应的标识标牌</w:t>
            </w:r>
          </w:p>
        </w:tc>
      </w:tr>
      <w:tr w14:paraId="400580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auto"/>
            <w:vAlign w:val="center"/>
          </w:tcPr>
          <w:p w14:paraId="4BDC782F">
            <w:pPr>
              <w:pStyle w:val="50"/>
              <w:rPr>
                <w:b/>
                <w:bCs/>
              </w:rPr>
            </w:pPr>
            <w:r>
              <w:rPr>
                <w:bCs/>
              </w:rPr>
              <w:t>3</w:t>
            </w:r>
          </w:p>
        </w:tc>
        <w:tc>
          <w:tcPr>
            <w:tcW w:w="4596" w:type="pct"/>
            <w:shd w:val="clear" w:color="auto" w:fill="auto"/>
            <w:vAlign w:val="center"/>
          </w:tcPr>
          <w:p w14:paraId="74CB8983">
            <w:pPr>
              <w:pStyle w:val="50"/>
              <w:jc w:val="both"/>
              <w:rPr>
                <w:b w:val="0"/>
                <w:bCs w:val="0"/>
              </w:rPr>
            </w:pPr>
            <w:r>
              <w:rPr>
                <w:rFonts w:hint="eastAsia"/>
                <w:b w:val="0"/>
                <w:bCs w:val="0"/>
              </w:rPr>
              <w:t>销轴、安全销、螺栓、套筒等存放在干燥的仓库内，由专人负责保管存放</w:t>
            </w:r>
          </w:p>
        </w:tc>
      </w:tr>
      <w:tr w14:paraId="458EC2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jc w:val="center"/>
        </w:trPr>
        <w:tc>
          <w:tcPr>
            <w:tcW w:w="403" w:type="pct"/>
            <w:shd w:val="clear" w:color="auto" w:fill="auto"/>
            <w:vAlign w:val="center"/>
          </w:tcPr>
          <w:p w14:paraId="393BBFBE">
            <w:pPr>
              <w:pStyle w:val="50"/>
              <w:rPr>
                <w:b/>
                <w:bCs/>
              </w:rPr>
            </w:pPr>
            <w:r>
              <w:rPr>
                <w:bCs/>
              </w:rPr>
              <w:t>4</w:t>
            </w:r>
          </w:p>
        </w:tc>
        <w:tc>
          <w:tcPr>
            <w:tcW w:w="4596" w:type="pct"/>
            <w:shd w:val="clear" w:color="auto" w:fill="auto"/>
            <w:vAlign w:val="center"/>
          </w:tcPr>
          <w:p w14:paraId="5E2D4DEB">
            <w:pPr>
              <w:pStyle w:val="50"/>
              <w:jc w:val="both"/>
              <w:rPr>
                <w:b w:val="0"/>
                <w:bCs w:val="0"/>
              </w:rPr>
            </w:pPr>
            <w:r>
              <w:rPr>
                <w:rFonts w:hint="eastAsia"/>
                <w:b w:val="0"/>
                <w:bCs w:val="0"/>
              </w:rPr>
              <w:t>现场相关小型、临时物资设置相应的储存收纳箱，便于集中存放和取用</w:t>
            </w:r>
          </w:p>
        </w:tc>
      </w:tr>
    </w:tbl>
    <w:p w14:paraId="64155ADA">
      <w:pPr>
        <w:pStyle w:val="4"/>
        <w:bidi w:val="0"/>
        <w:ind w:left="720" w:leftChars="0" w:hanging="720" w:firstLineChars="0"/>
        <w:rPr>
          <w:rFonts w:hint="eastAsia"/>
          <w:b/>
          <w:bCs w:val="0"/>
        </w:rPr>
      </w:pPr>
      <w:r>
        <w:rPr>
          <w:rFonts w:hint="eastAsia"/>
          <w:b/>
          <w:bCs w:val="0"/>
        </w:rPr>
        <w:t>机械文明施工管理措施</w:t>
      </w:r>
    </w:p>
    <w:p w14:paraId="627D0247">
      <w:r>
        <w:rPr>
          <w:rFonts w:hint="eastAsia"/>
        </w:rPr>
        <w:t>编制车辆与机械设备文明驾驶守则，制定各种车辆、机械的操作规程，加强车辆、机械的维修与保养。车辆、机械不带故障上路，不违规违章行驶，杜绝机械、车辆事故。</w:t>
      </w:r>
      <w:r>
        <w:br w:type="page"/>
      </w:r>
    </w:p>
    <w:p w14:paraId="2DC2DB60">
      <w:pPr>
        <w:pStyle w:val="16"/>
        <w:shd w:val="clear" w:color="auto" w:fill="auto"/>
        <w:adjustRightInd w:val="0"/>
        <w:ind w:firstLine="0" w:firstLineChars="0"/>
        <w:rPr>
          <w:rFonts w:ascii="Times New Roman" w:hAnsi="Times New Roman" w:cstheme="majorBidi"/>
          <w:color w:val="auto"/>
          <w:szCs w:val="20"/>
        </w:rPr>
      </w:pPr>
      <w:r>
        <w:rPr>
          <w:rFonts w:hint="eastAsia" w:ascii="Times New Roman" w:hAnsi="Times New Roman" w:cstheme="majorBidi"/>
          <w:color w:val="auto"/>
          <w:szCs w:val="20"/>
        </w:rPr>
        <w:t>表</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ascii="Times New Roman" w:hAnsi="Times New Roman" w:cstheme="majorBidi"/>
          <w:color w:val="auto"/>
          <w:szCs w:val="20"/>
        </w:rPr>
        <w:t>10.4</w:t>
      </w:r>
      <w:r>
        <w:rPr>
          <w:rFonts w:ascii="Times New Roman" w:hAnsi="Times New Roman" w:cstheme="majorBidi"/>
          <w:color w:val="auto"/>
          <w:szCs w:val="20"/>
        </w:rPr>
        <w:fldChar w:fldCharType="end"/>
      </w:r>
      <w:r>
        <w:rPr>
          <w:rFonts w:hint="eastAsia" w:cstheme="majorBidi"/>
          <w:color w:val="auto"/>
          <w:szCs w:val="20"/>
          <w:lang w:val="en-US" w:eastAsia="zh-CN"/>
        </w:rPr>
        <w:t>.3</w:t>
      </w:r>
      <w:r>
        <w:rPr>
          <w:rFonts w:ascii="Times New Roman" w:hAnsi="Times New Roman" w:cstheme="majorBidi"/>
          <w:color w:val="auto"/>
          <w:szCs w:val="20"/>
        </w:rPr>
        <w:noBreakHyphen/>
      </w:r>
      <w:r>
        <w:rPr>
          <w:rFonts w:hint="eastAsia" w:cstheme="majorBidi"/>
          <w:color w:val="auto"/>
          <w:szCs w:val="20"/>
          <w:lang w:val="en-US" w:eastAsia="zh-CN"/>
        </w:rPr>
        <w:t>1</w:t>
      </w:r>
      <w:r>
        <w:rPr>
          <w:rFonts w:ascii="Times New Roman" w:hAnsi="Times New Roman" w:cstheme="majorBidi"/>
          <w:color w:val="auto"/>
          <w:szCs w:val="20"/>
        </w:rPr>
        <w:t xml:space="preserve"> </w:t>
      </w:r>
      <w:r>
        <w:rPr>
          <w:rFonts w:hint="eastAsia" w:ascii="Times New Roman" w:hAnsi="Times New Roman" w:cstheme="majorBidi"/>
          <w:color w:val="auto"/>
          <w:szCs w:val="20"/>
        </w:rPr>
        <w:t>机械文明施工管理措施</w:t>
      </w:r>
    </w:p>
    <w:tbl>
      <w:tblPr>
        <w:tblStyle w:val="42"/>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717"/>
        <w:gridCol w:w="8381"/>
      </w:tblGrid>
      <w:tr w14:paraId="748C39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blHeader/>
        </w:trPr>
        <w:tc>
          <w:tcPr>
            <w:tcW w:w="394" w:type="pct"/>
            <w:shd w:val="clear" w:color="auto" w:fill="auto"/>
            <w:vAlign w:val="center"/>
          </w:tcPr>
          <w:p w14:paraId="49558E64">
            <w:pPr>
              <w:pStyle w:val="50"/>
              <w:rPr>
                <w:bCs/>
              </w:rPr>
            </w:pPr>
            <w:r>
              <w:rPr>
                <w:bCs/>
              </w:rPr>
              <w:t>序号</w:t>
            </w:r>
          </w:p>
        </w:tc>
        <w:tc>
          <w:tcPr>
            <w:tcW w:w="4605" w:type="pct"/>
            <w:shd w:val="clear" w:color="auto" w:fill="auto"/>
            <w:vAlign w:val="center"/>
          </w:tcPr>
          <w:p w14:paraId="668D21EA">
            <w:pPr>
              <w:pStyle w:val="50"/>
              <w:rPr>
                <w:bCs/>
              </w:rPr>
            </w:pPr>
            <w:r>
              <w:rPr>
                <w:bCs/>
              </w:rPr>
              <w:t>主要</w:t>
            </w:r>
            <w:r>
              <w:rPr>
                <w:rFonts w:hint="eastAsia"/>
                <w:bCs/>
              </w:rPr>
              <w:t>管理</w:t>
            </w:r>
            <w:r>
              <w:rPr>
                <w:bCs/>
              </w:rPr>
              <w:t>措施</w:t>
            </w:r>
          </w:p>
        </w:tc>
      </w:tr>
      <w:tr w14:paraId="294490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7D9F19E8">
            <w:pPr>
              <w:pStyle w:val="50"/>
              <w:rPr>
                <w:b/>
                <w:bCs/>
              </w:rPr>
            </w:pPr>
            <w:r>
              <w:rPr>
                <w:bCs/>
              </w:rPr>
              <w:t>1</w:t>
            </w:r>
          </w:p>
        </w:tc>
        <w:tc>
          <w:tcPr>
            <w:tcW w:w="4605" w:type="pct"/>
            <w:shd w:val="clear" w:color="auto" w:fill="auto"/>
            <w:vAlign w:val="center"/>
          </w:tcPr>
          <w:p w14:paraId="4C0AD3CD">
            <w:pPr>
              <w:pStyle w:val="50"/>
              <w:jc w:val="both"/>
              <w:rPr>
                <w:b w:val="0"/>
                <w:bCs w:val="0"/>
              </w:rPr>
            </w:pPr>
            <w:r>
              <w:rPr>
                <w:b w:val="0"/>
                <w:bCs w:val="0"/>
              </w:rPr>
              <w:t>配备专职的车辆、机械管理员，负责现场的车辆、机械的管理及调度；</w:t>
            </w:r>
          </w:p>
          <w:p w14:paraId="2F0488C7">
            <w:pPr>
              <w:pStyle w:val="50"/>
              <w:jc w:val="both"/>
              <w:rPr>
                <w:b w:val="0"/>
                <w:bCs w:val="0"/>
              </w:rPr>
            </w:pPr>
            <w:r>
              <w:rPr>
                <w:b w:val="0"/>
                <w:bCs w:val="0"/>
              </w:rPr>
              <w:t>配备专业人员，负责现场的车辆、机械的维修、保养，使车辆、机械保持良好的状况。</w:t>
            </w:r>
          </w:p>
        </w:tc>
      </w:tr>
      <w:tr w14:paraId="2EA325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46E71767">
            <w:pPr>
              <w:pStyle w:val="50"/>
              <w:rPr>
                <w:b/>
                <w:bCs/>
              </w:rPr>
            </w:pPr>
            <w:r>
              <w:rPr>
                <w:bCs/>
              </w:rPr>
              <w:t>2</w:t>
            </w:r>
          </w:p>
        </w:tc>
        <w:tc>
          <w:tcPr>
            <w:tcW w:w="4605" w:type="pct"/>
            <w:shd w:val="clear" w:color="auto" w:fill="auto"/>
            <w:vAlign w:val="center"/>
          </w:tcPr>
          <w:p w14:paraId="74FE0404">
            <w:pPr>
              <w:pStyle w:val="50"/>
              <w:jc w:val="both"/>
              <w:rPr>
                <w:b w:val="0"/>
                <w:bCs w:val="0"/>
              </w:rPr>
            </w:pPr>
            <w:r>
              <w:rPr>
                <w:b w:val="0"/>
                <w:bCs w:val="0"/>
              </w:rPr>
              <w:t>统一车辆、机械的颜色、标记、标识，并制定相应的机械操作规程。</w:t>
            </w:r>
          </w:p>
        </w:tc>
      </w:tr>
      <w:tr w14:paraId="6C97B9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6472907E">
            <w:pPr>
              <w:pStyle w:val="50"/>
              <w:rPr>
                <w:b/>
                <w:bCs/>
              </w:rPr>
            </w:pPr>
            <w:r>
              <w:rPr>
                <w:bCs/>
              </w:rPr>
              <w:t>3</w:t>
            </w:r>
          </w:p>
        </w:tc>
        <w:tc>
          <w:tcPr>
            <w:tcW w:w="4605" w:type="pct"/>
            <w:shd w:val="clear" w:color="auto" w:fill="auto"/>
            <w:vAlign w:val="center"/>
          </w:tcPr>
          <w:p w14:paraId="6C2CE7B9">
            <w:pPr>
              <w:pStyle w:val="50"/>
              <w:jc w:val="both"/>
              <w:rPr>
                <w:b w:val="0"/>
                <w:bCs w:val="0"/>
              </w:rPr>
            </w:pPr>
            <w:r>
              <w:rPr>
                <w:b w:val="0"/>
                <w:bCs w:val="0"/>
              </w:rPr>
              <w:t>车辆、机械经常清洗，停放有序；</w:t>
            </w:r>
          </w:p>
          <w:p w14:paraId="7624DE99">
            <w:pPr>
              <w:pStyle w:val="50"/>
              <w:jc w:val="both"/>
              <w:rPr>
                <w:b w:val="0"/>
                <w:bCs w:val="0"/>
              </w:rPr>
            </w:pPr>
            <w:r>
              <w:rPr>
                <w:b w:val="0"/>
                <w:bCs w:val="0"/>
              </w:rPr>
              <w:t>定期对驾驶人员进行遵章守纪、交通法规、文明施工教育，保证文明行驶，礼让三先，确保交通安全。</w:t>
            </w:r>
          </w:p>
        </w:tc>
      </w:tr>
      <w:tr w14:paraId="1F26FC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003B7AF8">
            <w:pPr>
              <w:pStyle w:val="50"/>
              <w:rPr>
                <w:b/>
                <w:bCs/>
              </w:rPr>
            </w:pPr>
            <w:r>
              <w:rPr>
                <w:bCs/>
              </w:rPr>
              <w:t>4</w:t>
            </w:r>
          </w:p>
        </w:tc>
        <w:tc>
          <w:tcPr>
            <w:tcW w:w="4605" w:type="pct"/>
            <w:shd w:val="clear" w:color="auto" w:fill="auto"/>
            <w:vAlign w:val="center"/>
          </w:tcPr>
          <w:p w14:paraId="62624F2B">
            <w:pPr>
              <w:pStyle w:val="50"/>
              <w:jc w:val="both"/>
              <w:rPr>
                <w:b w:val="0"/>
                <w:bCs w:val="0"/>
              </w:rPr>
            </w:pPr>
            <w:r>
              <w:rPr>
                <w:b w:val="0"/>
                <w:bCs w:val="0"/>
              </w:rPr>
              <w:t>清洗车辆机械排出的污水有排放措施，不随地流淌；</w:t>
            </w:r>
          </w:p>
          <w:p w14:paraId="28A34495">
            <w:pPr>
              <w:pStyle w:val="50"/>
              <w:jc w:val="both"/>
              <w:rPr>
                <w:b w:val="0"/>
                <w:bCs w:val="0"/>
              </w:rPr>
            </w:pPr>
            <w:r>
              <w:rPr>
                <w:b w:val="0"/>
                <w:bCs w:val="0"/>
              </w:rPr>
              <w:t>机械设备防止严重漏油，运行中产生的油污水不随意污染道路及水源。</w:t>
            </w:r>
          </w:p>
        </w:tc>
      </w:tr>
      <w:tr w14:paraId="51C5D8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012A720E">
            <w:pPr>
              <w:pStyle w:val="50"/>
              <w:rPr>
                <w:b/>
                <w:bCs/>
              </w:rPr>
            </w:pPr>
            <w:r>
              <w:rPr>
                <w:bCs/>
              </w:rPr>
              <w:t>5</w:t>
            </w:r>
          </w:p>
        </w:tc>
        <w:tc>
          <w:tcPr>
            <w:tcW w:w="4605" w:type="pct"/>
            <w:shd w:val="clear" w:color="auto" w:fill="auto"/>
            <w:vAlign w:val="center"/>
          </w:tcPr>
          <w:p w14:paraId="1B619F2E">
            <w:pPr>
              <w:pStyle w:val="50"/>
              <w:jc w:val="both"/>
              <w:rPr>
                <w:b w:val="0"/>
                <w:bCs w:val="0"/>
              </w:rPr>
            </w:pPr>
            <w:r>
              <w:rPr>
                <w:b w:val="0"/>
                <w:bCs w:val="0"/>
              </w:rPr>
              <w:t>合理规划使用施工场地内各种车辆、机械、设备，减少噪音累加，尽量采用底噪音设备，控制噪音污染。</w:t>
            </w:r>
          </w:p>
        </w:tc>
      </w:tr>
      <w:tr w14:paraId="369506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394" w:type="pct"/>
            <w:shd w:val="clear" w:color="auto" w:fill="auto"/>
            <w:vAlign w:val="center"/>
          </w:tcPr>
          <w:p w14:paraId="57612F15">
            <w:pPr>
              <w:pStyle w:val="50"/>
              <w:rPr>
                <w:b/>
                <w:bCs/>
              </w:rPr>
            </w:pPr>
            <w:r>
              <w:rPr>
                <w:bCs/>
              </w:rPr>
              <w:t>6</w:t>
            </w:r>
          </w:p>
        </w:tc>
        <w:tc>
          <w:tcPr>
            <w:tcW w:w="4605" w:type="pct"/>
            <w:shd w:val="clear" w:color="auto" w:fill="auto"/>
            <w:vAlign w:val="center"/>
          </w:tcPr>
          <w:p w14:paraId="73003592">
            <w:pPr>
              <w:pStyle w:val="50"/>
              <w:jc w:val="both"/>
              <w:rPr>
                <w:b w:val="0"/>
                <w:bCs w:val="0"/>
              </w:rPr>
            </w:pPr>
            <w:r>
              <w:rPr>
                <w:b w:val="0"/>
                <w:bCs w:val="0"/>
              </w:rPr>
              <w:t>装运土石方、建筑垃圾等车辆，采取覆盖措施，确保行驶途中不污染道路和环境</w:t>
            </w:r>
            <w:r>
              <w:rPr>
                <w:rFonts w:hint="eastAsia"/>
                <w:b w:val="0"/>
                <w:bCs w:val="0"/>
              </w:rPr>
              <w:t>。</w:t>
            </w:r>
          </w:p>
        </w:tc>
      </w:tr>
    </w:tbl>
    <w:p w14:paraId="480A7EFB">
      <w:pPr>
        <w:pStyle w:val="4"/>
        <w:bidi w:val="0"/>
        <w:ind w:left="720" w:leftChars="0" w:hanging="720" w:firstLineChars="0"/>
        <w:rPr>
          <w:rFonts w:hint="eastAsia"/>
          <w:b/>
          <w:bCs w:val="0"/>
        </w:rPr>
      </w:pPr>
      <w:r>
        <w:rPr>
          <w:rFonts w:hint="eastAsia"/>
          <w:b/>
          <w:bCs w:val="0"/>
        </w:rPr>
        <w:t>驻地文明施工管理措施</w:t>
      </w:r>
    </w:p>
    <w:p w14:paraId="362FC1B9">
      <w:pPr>
        <w:pStyle w:val="16"/>
        <w:shd w:val="clear" w:color="auto" w:fill="auto"/>
        <w:adjustRightInd w:val="0"/>
        <w:ind w:firstLine="0" w:firstLineChars="0"/>
        <w:rPr>
          <w:rFonts w:ascii="Times New Roman" w:hAnsi="Times New Roman" w:cstheme="majorBidi"/>
          <w:color w:val="auto"/>
          <w:szCs w:val="20"/>
        </w:rPr>
      </w:pPr>
      <w:r>
        <w:rPr>
          <w:rFonts w:hint="eastAsia" w:ascii="Times New Roman" w:hAnsi="Times New Roman" w:cstheme="majorBidi"/>
          <w:color w:val="auto"/>
          <w:szCs w:val="20"/>
        </w:rPr>
        <w:t>表</w:t>
      </w:r>
      <w:r>
        <w:rPr>
          <w:rFonts w:ascii="Times New Roman" w:hAnsi="Times New Roman" w:cstheme="majorBidi"/>
          <w:color w:val="auto"/>
          <w:szCs w:val="20"/>
        </w:rPr>
        <w:fldChar w:fldCharType="begin"/>
      </w:r>
      <w:r>
        <w:rPr>
          <w:rFonts w:ascii="Times New Roman" w:hAnsi="Times New Roman" w:cstheme="majorBidi"/>
          <w:color w:val="auto"/>
          <w:szCs w:val="20"/>
        </w:rPr>
        <w:instrText xml:space="preserve"> </w:instrText>
      </w:r>
      <w:r>
        <w:rPr>
          <w:rFonts w:hint="eastAsia" w:ascii="Times New Roman" w:hAnsi="Times New Roman" w:cstheme="majorBidi"/>
          <w:color w:val="auto"/>
          <w:szCs w:val="20"/>
        </w:rPr>
        <w:instrText xml:space="preserve">STYLEREF 2 \s</w:instrText>
      </w:r>
      <w:r>
        <w:rPr>
          <w:rFonts w:ascii="Times New Roman" w:hAnsi="Times New Roman" w:cstheme="majorBidi"/>
          <w:color w:val="auto"/>
          <w:szCs w:val="20"/>
        </w:rPr>
        <w:instrText xml:space="preserve"> </w:instrText>
      </w:r>
      <w:r>
        <w:rPr>
          <w:rFonts w:ascii="Times New Roman" w:hAnsi="Times New Roman" w:cstheme="majorBidi"/>
          <w:color w:val="auto"/>
          <w:szCs w:val="20"/>
        </w:rPr>
        <w:fldChar w:fldCharType="separate"/>
      </w:r>
      <w:r>
        <w:rPr>
          <w:rFonts w:ascii="Times New Roman" w:hAnsi="Times New Roman" w:cstheme="majorBidi"/>
          <w:color w:val="auto"/>
          <w:szCs w:val="20"/>
        </w:rPr>
        <w:t>10.4</w:t>
      </w:r>
      <w:r>
        <w:rPr>
          <w:rFonts w:ascii="Times New Roman" w:hAnsi="Times New Roman" w:cstheme="majorBidi"/>
          <w:color w:val="auto"/>
          <w:szCs w:val="20"/>
        </w:rPr>
        <w:fldChar w:fldCharType="end"/>
      </w:r>
      <w:r>
        <w:rPr>
          <w:rFonts w:hint="eastAsia" w:cstheme="majorBidi"/>
          <w:color w:val="auto"/>
          <w:szCs w:val="20"/>
          <w:lang w:val="en-US" w:eastAsia="zh-CN"/>
        </w:rPr>
        <w:t>.4</w:t>
      </w:r>
      <w:r>
        <w:rPr>
          <w:rFonts w:ascii="Times New Roman" w:hAnsi="Times New Roman" w:cstheme="majorBidi"/>
          <w:color w:val="auto"/>
          <w:szCs w:val="20"/>
        </w:rPr>
        <w:noBreakHyphen/>
      </w:r>
      <w:r>
        <w:rPr>
          <w:rFonts w:hint="eastAsia" w:cstheme="majorBidi"/>
          <w:color w:val="auto"/>
          <w:szCs w:val="20"/>
          <w:lang w:val="en-US" w:eastAsia="zh-CN"/>
        </w:rPr>
        <w:t>1</w:t>
      </w:r>
      <w:r>
        <w:rPr>
          <w:rFonts w:ascii="Times New Roman" w:hAnsi="Times New Roman" w:cstheme="majorBidi"/>
          <w:color w:val="auto"/>
          <w:szCs w:val="20"/>
        </w:rPr>
        <w:t xml:space="preserve"> </w:t>
      </w:r>
      <w:r>
        <w:rPr>
          <w:rFonts w:hint="eastAsia" w:ascii="Times New Roman" w:hAnsi="Times New Roman" w:cstheme="majorBidi"/>
          <w:color w:val="auto"/>
          <w:szCs w:val="20"/>
        </w:rPr>
        <w:t>驻地文明施工管理措施</w:t>
      </w:r>
    </w:p>
    <w:tbl>
      <w:tblPr>
        <w:tblStyle w:val="42"/>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Layout w:type="autofit"/>
        <w:tblCellMar>
          <w:top w:w="0" w:type="dxa"/>
          <w:left w:w="0" w:type="dxa"/>
          <w:bottom w:w="0" w:type="dxa"/>
          <w:right w:w="0" w:type="dxa"/>
        </w:tblCellMar>
      </w:tblPr>
      <w:tblGrid>
        <w:gridCol w:w="727"/>
        <w:gridCol w:w="1185"/>
        <w:gridCol w:w="7184"/>
      </w:tblGrid>
      <w:tr w14:paraId="78F515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0" w:hRule="atLeast"/>
          <w:tblHeader/>
          <w:jc w:val="center"/>
        </w:trPr>
        <w:tc>
          <w:tcPr>
            <w:tcW w:w="400" w:type="pct"/>
            <w:shd w:val="clear" w:color="auto" w:fill="FFFFFF"/>
            <w:vAlign w:val="center"/>
          </w:tcPr>
          <w:p w14:paraId="72F1DCA7">
            <w:pPr>
              <w:pStyle w:val="50"/>
              <w:rPr>
                <w:b/>
              </w:rPr>
            </w:pPr>
            <w:r>
              <w:rPr>
                <w:b/>
              </w:rPr>
              <w:t>序号</w:t>
            </w:r>
          </w:p>
        </w:tc>
        <w:tc>
          <w:tcPr>
            <w:tcW w:w="651" w:type="pct"/>
            <w:shd w:val="clear" w:color="auto" w:fill="FFFFFF"/>
            <w:vAlign w:val="center"/>
          </w:tcPr>
          <w:p w14:paraId="0735D9F7">
            <w:pPr>
              <w:pStyle w:val="50"/>
              <w:rPr>
                <w:b/>
              </w:rPr>
            </w:pPr>
            <w:r>
              <w:rPr>
                <w:b/>
              </w:rPr>
              <w:t>项目区域</w:t>
            </w:r>
          </w:p>
        </w:tc>
        <w:tc>
          <w:tcPr>
            <w:tcW w:w="3948" w:type="pct"/>
            <w:shd w:val="clear" w:color="auto" w:fill="FFFFFF"/>
            <w:vAlign w:val="center"/>
          </w:tcPr>
          <w:p w14:paraId="26E13467">
            <w:pPr>
              <w:pStyle w:val="50"/>
              <w:rPr>
                <w:b/>
              </w:rPr>
            </w:pPr>
            <w:r>
              <w:rPr>
                <w:b/>
              </w:rPr>
              <w:t>主要保证措施</w:t>
            </w:r>
          </w:p>
        </w:tc>
      </w:tr>
      <w:tr w14:paraId="515729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0" w:hRule="atLeast"/>
          <w:jc w:val="center"/>
        </w:trPr>
        <w:tc>
          <w:tcPr>
            <w:tcW w:w="400" w:type="pct"/>
            <w:shd w:val="clear" w:color="auto" w:fill="FFFFFF"/>
            <w:vAlign w:val="center"/>
          </w:tcPr>
          <w:p w14:paraId="707DE1F2">
            <w:pPr>
              <w:pStyle w:val="50"/>
              <w:rPr>
                <w:b/>
                <w:bCs/>
              </w:rPr>
            </w:pPr>
            <w:r>
              <w:rPr>
                <w:bCs/>
              </w:rPr>
              <w:t>1</w:t>
            </w:r>
          </w:p>
        </w:tc>
        <w:tc>
          <w:tcPr>
            <w:tcW w:w="651" w:type="pct"/>
            <w:shd w:val="clear" w:color="auto" w:fill="FFFFFF"/>
            <w:vAlign w:val="center"/>
          </w:tcPr>
          <w:p w14:paraId="6F7140BD">
            <w:pPr>
              <w:pStyle w:val="50"/>
              <w:rPr>
                <w:b/>
                <w:bCs/>
              </w:rPr>
            </w:pPr>
            <w:r>
              <w:rPr>
                <w:bCs/>
              </w:rPr>
              <w:t>生活区</w:t>
            </w:r>
          </w:p>
        </w:tc>
        <w:tc>
          <w:tcPr>
            <w:tcW w:w="3948" w:type="pct"/>
            <w:shd w:val="clear" w:color="auto" w:fill="FFFFFF"/>
            <w:vAlign w:val="center"/>
          </w:tcPr>
          <w:p w14:paraId="59DF9B50">
            <w:pPr>
              <w:pStyle w:val="50"/>
              <w:jc w:val="both"/>
              <w:rPr>
                <w:b w:val="0"/>
                <w:bCs w:val="0"/>
              </w:rPr>
            </w:pPr>
            <w:r>
              <w:rPr>
                <w:rFonts w:hint="eastAsia"/>
                <w:b w:val="0"/>
                <w:bCs w:val="0"/>
              </w:rPr>
              <w:t>（1）</w:t>
            </w:r>
            <w:r>
              <w:rPr>
                <w:b w:val="0"/>
                <w:bCs w:val="0"/>
              </w:rPr>
              <w:t>按批准的施工组织设计平面布置图，修建宿舍、食堂、开水房、淋浴间、厕所、卫生室、文体活动场所、封闭式垃圾站、污水处理站、消防通道等生活区临建设施，合理布局，做到生活设施规范化、标准化、人性化。</w:t>
            </w:r>
          </w:p>
          <w:p w14:paraId="4364D4C3">
            <w:pPr>
              <w:pStyle w:val="50"/>
              <w:jc w:val="both"/>
              <w:rPr>
                <w:b w:val="0"/>
                <w:bCs w:val="0"/>
              </w:rPr>
            </w:pPr>
            <w:r>
              <w:rPr>
                <w:rFonts w:hint="eastAsia"/>
                <w:b w:val="0"/>
                <w:bCs w:val="0"/>
              </w:rPr>
              <w:t>（2）</w:t>
            </w:r>
            <w:r>
              <w:rPr>
                <w:b w:val="0"/>
                <w:bCs w:val="0"/>
              </w:rPr>
              <w:t>在生活区入口处设置门楼，并设置生活区指示牌、路牌指示牌；宿舍区设宣传教育栏、住宿人员一览表，切实起到教育、表扬先进、促进后进的作用；在生活区临建设施处设相对应的规章制度及标识标牌；在生活区周围插设宣传旗。</w:t>
            </w:r>
          </w:p>
          <w:p w14:paraId="10F53454">
            <w:pPr>
              <w:pStyle w:val="50"/>
              <w:jc w:val="both"/>
              <w:rPr>
                <w:b w:val="0"/>
                <w:bCs w:val="0"/>
              </w:rPr>
            </w:pPr>
            <w:r>
              <w:rPr>
                <w:rFonts w:hint="eastAsia"/>
                <w:b w:val="0"/>
                <w:bCs w:val="0"/>
              </w:rPr>
              <w:t>（3）</w:t>
            </w:r>
            <w:r>
              <w:rPr>
                <w:b w:val="0"/>
                <w:bCs w:val="0"/>
              </w:rPr>
              <w:t>做好生活区场地硬化、绿化；按规范要求建设专项生活办公区水电供应设施及排水设施，严禁电线私拉乱接、使用大功率用电设备，严禁乱排污水；做好安全消防设施。</w:t>
            </w:r>
          </w:p>
          <w:p w14:paraId="70E37565">
            <w:pPr>
              <w:pStyle w:val="50"/>
              <w:jc w:val="both"/>
              <w:rPr>
                <w:b w:val="0"/>
                <w:bCs w:val="0"/>
              </w:rPr>
            </w:pPr>
            <w:r>
              <w:rPr>
                <w:rFonts w:hint="eastAsia"/>
                <w:b w:val="0"/>
                <w:bCs w:val="0"/>
              </w:rPr>
              <w:t>（4）</w:t>
            </w:r>
            <w:r>
              <w:rPr>
                <w:b w:val="0"/>
                <w:bCs w:val="0"/>
              </w:rPr>
              <w:t>生活区设施设专人维护，生活区（宿舍、食堂、厕所等）由专人清洁。宿舍整洁、物品有序；保持食堂通风、卫生、清洁；室外环境清洁，无污物、污水；垃圾密封存放，及时清运；厕所定期喷药，无异味，清洁卫生等。</w:t>
            </w:r>
          </w:p>
          <w:p w14:paraId="5986C4EA">
            <w:pPr>
              <w:pStyle w:val="50"/>
              <w:jc w:val="both"/>
              <w:rPr>
                <w:b w:val="0"/>
                <w:bCs w:val="0"/>
              </w:rPr>
            </w:pPr>
            <w:r>
              <w:rPr>
                <w:rFonts w:hint="eastAsia"/>
                <w:b w:val="0"/>
                <w:bCs w:val="0"/>
              </w:rPr>
              <w:t>（5）</w:t>
            </w:r>
            <w:r>
              <w:rPr>
                <w:b w:val="0"/>
                <w:bCs w:val="0"/>
              </w:rPr>
              <w:t>定期进行生活区文明施工检查，开展文明施工宣传。在宣传教育栏中对生活区文明情况进行奖罚公告、督促整改，创造一个和谐、有序、文明的生活环境。</w:t>
            </w:r>
          </w:p>
        </w:tc>
      </w:tr>
      <w:tr w14:paraId="749352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FFFFFF"/>
          <w:tblCellMar>
            <w:top w:w="0" w:type="dxa"/>
            <w:left w:w="0" w:type="dxa"/>
            <w:bottom w:w="0" w:type="dxa"/>
            <w:right w:w="0" w:type="dxa"/>
          </w:tblCellMar>
        </w:tblPrEx>
        <w:trPr>
          <w:trHeight w:val="0" w:hRule="atLeast"/>
          <w:jc w:val="center"/>
        </w:trPr>
        <w:tc>
          <w:tcPr>
            <w:tcW w:w="400" w:type="pct"/>
            <w:shd w:val="clear" w:color="auto" w:fill="FFFFFF"/>
            <w:vAlign w:val="center"/>
          </w:tcPr>
          <w:p w14:paraId="1A7AB8DA">
            <w:pPr>
              <w:pStyle w:val="50"/>
              <w:rPr>
                <w:b/>
                <w:bCs/>
              </w:rPr>
            </w:pPr>
            <w:r>
              <w:rPr>
                <w:bCs/>
              </w:rPr>
              <w:t>2</w:t>
            </w:r>
          </w:p>
        </w:tc>
        <w:tc>
          <w:tcPr>
            <w:tcW w:w="651" w:type="pct"/>
            <w:shd w:val="clear" w:color="auto" w:fill="FFFFFF"/>
            <w:vAlign w:val="center"/>
          </w:tcPr>
          <w:p w14:paraId="72C8B06F">
            <w:pPr>
              <w:pStyle w:val="50"/>
              <w:rPr>
                <w:b/>
                <w:bCs/>
              </w:rPr>
            </w:pPr>
            <w:r>
              <w:rPr>
                <w:bCs/>
              </w:rPr>
              <w:t>办公区</w:t>
            </w:r>
          </w:p>
        </w:tc>
        <w:tc>
          <w:tcPr>
            <w:tcW w:w="3948" w:type="pct"/>
            <w:shd w:val="clear" w:color="auto" w:fill="FFFFFF"/>
            <w:vAlign w:val="center"/>
          </w:tcPr>
          <w:p w14:paraId="02D88359">
            <w:pPr>
              <w:pStyle w:val="50"/>
              <w:jc w:val="both"/>
              <w:rPr>
                <w:b w:val="0"/>
                <w:bCs w:val="0"/>
              </w:rPr>
            </w:pPr>
            <w:r>
              <w:rPr>
                <w:rFonts w:hint="eastAsia"/>
                <w:b w:val="0"/>
                <w:bCs w:val="0"/>
              </w:rPr>
              <w:t>（1）</w:t>
            </w:r>
            <w:r>
              <w:rPr>
                <w:b w:val="0"/>
                <w:bCs w:val="0"/>
              </w:rPr>
              <w:t>按批准的施工组织设计平面布置图，建设规范化、标准化的项目部大门、门卫、围墙、围挡、旗杆、旗帜、宣传教育栏、洗车台、停车场、门厅、会议室、办公室等办公区临建设施。</w:t>
            </w:r>
          </w:p>
          <w:p w14:paraId="717009E5">
            <w:pPr>
              <w:pStyle w:val="50"/>
              <w:jc w:val="both"/>
              <w:rPr>
                <w:b w:val="0"/>
                <w:bCs w:val="0"/>
              </w:rPr>
            </w:pPr>
            <w:r>
              <w:rPr>
                <w:rFonts w:hint="eastAsia"/>
                <w:b w:val="0"/>
                <w:bCs w:val="0"/>
              </w:rPr>
              <w:t>（2）</w:t>
            </w:r>
            <w:r>
              <w:rPr>
                <w:b w:val="0"/>
                <w:bCs w:val="0"/>
              </w:rPr>
              <w:t>在大门入口处，设置周正醒目的“七牌一图”，即工程概况牌、工程责任人牌、安全制度牌、消防保卫制度牌、环境保护制度牌、文明施工牌、工程创优牌、施工总平面布置图。</w:t>
            </w:r>
          </w:p>
          <w:p w14:paraId="138056F2">
            <w:pPr>
              <w:pStyle w:val="50"/>
              <w:jc w:val="both"/>
              <w:rPr>
                <w:b w:val="0"/>
                <w:bCs w:val="0"/>
              </w:rPr>
            </w:pPr>
            <w:r>
              <w:rPr>
                <w:rFonts w:hint="eastAsia"/>
                <w:b w:val="0"/>
                <w:bCs w:val="0"/>
              </w:rPr>
              <w:t>（3）</w:t>
            </w:r>
            <w:r>
              <w:rPr>
                <w:b w:val="0"/>
                <w:bCs w:val="0"/>
              </w:rPr>
              <w:t>在门厅设立宣传教育栏、办公区平面布置图及其它标识标牌，在办公区周围插设宣传旗，切实起到教育、宣传作用。</w:t>
            </w:r>
          </w:p>
          <w:p w14:paraId="7EB6185B">
            <w:pPr>
              <w:pStyle w:val="50"/>
              <w:jc w:val="both"/>
              <w:rPr>
                <w:b w:val="0"/>
                <w:bCs w:val="0"/>
              </w:rPr>
            </w:pPr>
            <w:r>
              <w:rPr>
                <w:rFonts w:hint="eastAsia"/>
                <w:b w:val="0"/>
                <w:bCs w:val="0"/>
              </w:rPr>
              <w:t>（4）</w:t>
            </w:r>
            <w:r>
              <w:rPr>
                <w:b w:val="0"/>
                <w:bCs w:val="0"/>
              </w:rPr>
              <w:t>办公室或值班室，墙面悬挂现场总平面布置图、施工形象进度图、组织机构、工作职责、工作制度。</w:t>
            </w:r>
          </w:p>
          <w:p w14:paraId="181C7A81">
            <w:pPr>
              <w:pStyle w:val="50"/>
              <w:jc w:val="both"/>
              <w:rPr>
                <w:b w:val="0"/>
                <w:bCs w:val="0"/>
              </w:rPr>
            </w:pPr>
            <w:r>
              <w:rPr>
                <w:rFonts w:hint="eastAsia"/>
                <w:b w:val="0"/>
                <w:bCs w:val="0"/>
              </w:rPr>
              <w:t>（5）</w:t>
            </w:r>
            <w:r>
              <w:rPr>
                <w:b w:val="0"/>
                <w:bCs w:val="0"/>
              </w:rPr>
              <w:t>办公区设施设专人维护，办公区（办公室、会议室、门厅等）由专人清洁，做到办公室整洁、物品有序，给员工提供一个良好的办公环境。门卫室做好外来人员、车辆登记，并做到车辆停放规范。</w:t>
            </w:r>
          </w:p>
          <w:p w14:paraId="620C17DC">
            <w:pPr>
              <w:pStyle w:val="50"/>
              <w:jc w:val="both"/>
              <w:rPr>
                <w:b w:val="0"/>
                <w:bCs w:val="0"/>
              </w:rPr>
            </w:pPr>
            <w:r>
              <w:rPr>
                <w:b w:val="0"/>
                <w:bCs w:val="0"/>
              </w:rPr>
              <w:t>文明施工管理员每天对办公区进行检查，并在宣传教育栏中进行奖罚公告、督促整改，创造一个和谐、有序办公环境。</w:t>
            </w:r>
          </w:p>
          <w:p w14:paraId="2525743D">
            <w:pPr>
              <w:pStyle w:val="50"/>
              <w:jc w:val="both"/>
              <w:rPr>
                <w:b w:val="0"/>
                <w:bCs w:val="0"/>
              </w:rPr>
            </w:pPr>
            <w:r>
              <w:rPr>
                <w:rFonts w:hint="eastAsia"/>
                <w:b w:val="0"/>
                <w:bCs w:val="0"/>
              </w:rPr>
              <w:t>（6）</w:t>
            </w:r>
            <w:r>
              <w:rPr>
                <w:b w:val="0"/>
                <w:bCs w:val="0"/>
              </w:rPr>
              <w:t>做好办公区场地硬化、绿化，按规范要求建设专项生活办公区水电供应设施及排水设施，严禁电线私拉乱接、使用大功率用电设备，严禁乱排污水；做好安全消防设施。</w:t>
            </w:r>
          </w:p>
        </w:tc>
      </w:tr>
    </w:tbl>
    <w:p w14:paraId="2E821558">
      <w:pPr>
        <w:pStyle w:val="4"/>
        <w:bidi w:val="0"/>
        <w:ind w:left="720" w:leftChars="0" w:hanging="720" w:firstLineChars="0"/>
        <w:rPr>
          <w:rFonts w:hint="eastAsia"/>
          <w:b/>
          <w:bCs w:val="0"/>
        </w:rPr>
      </w:pPr>
      <w:r>
        <w:rPr>
          <w:rFonts w:hint="eastAsia"/>
          <w:b/>
          <w:bCs w:val="0"/>
        </w:rPr>
        <w:t>现场文明施工管理措施</w:t>
      </w:r>
    </w:p>
    <w:p w14:paraId="49D2F83B">
      <w:r>
        <w:rPr>
          <w:rFonts w:hint="eastAsia"/>
        </w:rPr>
        <w:t>（1）修建的生产和生活设施，合理布局。</w:t>
      </w:r>
    </w:p>
    <w:p w14:paraId="7991A6CA">
      <w:r>
        <w:rPr>
          <w:rFonts w:hint="eastAsia"/>
        </w:rPr>
        <w:t>（2）建立文明施工责任区，划分区域明确责任人，挂牌监督。</w:t>
      </w:r>
    </w:p>
    <w:p w14:paraId="5F1411B6">
      <w:r>
        <w:rPr>
          <w:rFonts w:hint="eastAsia"/>
        </w:rPr>
        <w:t>（3）临时场地布置科学合理，机具材料堆放有序，布局合理，无造成污染的现象。</w:t>
      </w:r>
    </w:p>
    <w:p w14:paraId="4E80E02F">
      <w:r>
        <w:rPr>
          <w:rFonts w:hint="eastAsia"/>
        </w:rPr>
        <w:t>（4）施工现场做好文明施工宣传标识牌布置，要齐全、美观、整齐、按照规定的材料、式样、颜色、内容等标准格式统一加工制作。</w:t>
      </w:r>
    </w:p>
    <w:p w14:paraId="26F89658">
      <w:r>
        <w:rPr>
          <w:rFonts w:hint="eastAsia"/>
        </w:rPr>
        <w:t>（5）对进场的材料、机具、安全禁令标志、配电箱、消防器材等严格按布置图位置进行堆放、设置，堆放设置要做到整齐有序，材料挂设标识牌，注明名称、品种、规格、检验状态。每天由专职文明施工管理员负责检查。</w:t>
      </w:r>
    </w:p>
    <w:p w14:paraId="430C8B23">
      <w:pPr>
        <w:ind w:firstLine="480"/>
        <w:sectPr>
          <w:footerReference r:id="rId14" w:type="default"/>
          <w:pgSz w:w="11906" w:h="16838"/>
          <w:pgMar w:top="1418" w:right="1418" w:bottom="1418" w:left="1418" w:header="851" w:footer="992" w:gutter="0"/>
          <w:pgNumType w:fmt="decimal"/>
          <w:cols w:space="425" w:num="1"/>
          <w:docGrid w:linePitch="498" w:charSpace="17788"/>
        </w:sectPr>
      </w:pPr>
      <w:r>
        <w:rPr>
          <w:rFonts w:hint="eastAsia"/>
        </w:rPr>
        <w:t>（6）施工现场设置醒目的安全警示标志标语，作业场所有安全操作规程。</w:t>
      </w:r>
    </w:p>
    <w:p w14:paraId="6648D33E">
      <w:pPr>
        <w:pStyle w:val="2"/>
        <w:bidi w:val="0"/>
        <w:ind w:left="432" w:leftChars="0" w:hanging="432" w:firstLineChars="0"/>
        <w:rPr>
          <w:rFonts w:hint="eastAsia"/>
        </w:rPr>
      </w:pPr>
      <w:bookmarkStart w:id="281" w:name="_Toc8196"/>
      <w:bookmarkStart w:id="282" w:name="_Toc21589"/>
      <w:bookmarkStart w:id="283" w:name="_Toc12062"/>
      <w:bookmarkStart w:id="284" w:name="_Toc8125"/>
      <w:r>
        <w:rPr>
          <w:rFonts w:hint="eastAsia"/>
        </w:rPr>
        <w:t>计算书</w:t>
      </w:r>
      <w:bookmarkEnd w:id="281"/>
      <w:bookmarkEnd w:id="282"/>
      <w:bookmarkEnd w:id="283"/>
      <w:bookmarkEnd w:id="284"/>
    </w:p>
    <w:p w14:paraId="2409DEB3">
      <w:pPr>
        <w:pStyle w:val="3"/>
        <w:bidi w:val="0"/>
        <w:ind w:left="575" w:leftChars="0" w:hanging="575" w:firstLineChars="0"/>
        <w:rPr>
          <w:b/>
          <w:bCs w:val="0"/>
          <w:sz w:val="28"/>
          <w:szCs w:val="28"/>
        </w:rPr>
      </w:pPr>
      <w:bookmarkStart w:id="285" w:name="_Toc32682"/>
      <w:bookmarkStart w:id="286" w:name="_Toc8152"/>
      <w:bookmarkStart w:id="287" w:name="_Toc31585"/>
      <w:bookmarkStart w:id="288" w:name="_Toc27865"/>
      <w:r>
        <w:rPr>
          <w:rFonts w:hint="eastAsia"/>
          <w:b/>
          <w:bCs w:val="0"/>
          <w:sz w:val="28"/>
          <w:szCs w:val="28"/>
        </w:rPr>
        <w:t>选用的吊索受力计算</w:t>
      </w:r>
      <w:bookmarkEnd w:id="285"/>
      <w:bookmarkEnd w:id="286"/>
      <w:bookmarkEnd w:id="287"/>
      <w:bookmarkEnd w:id="288"/>
    </w:p>
    <w:p w14:paraId="1C747A5E">
      <w:pPr>
        <w:pStyle w:val="4"/>
        <w:bidi w:val="0"/>
        <w:ind w:left="720" w:leftChars="0" w:hanging="720" w:firstLineChars="0"/>
        <w:rPr>
          <w:rFonts w:hint="eastAsia"/>
          <w:b/>
          <w:bCs w:val="0"/>
          <w:lang w:val="en-US" w:eastAsia="zh-CN"/>
        </w:rPr>
      </w:pPr>
      <w:bookmarkStart w:id="289" w:name="_Toc7720"/>
      <w:bookmarkStart w:id="290" w:name="_Toc21344"/>
      <w:bookmarkStart w:id="291" w:name="_Toc4403"/>
      <w:bookmarkStart w:id="292" w:name="_Toc19094"/>
      <w:bookmarkStart w:id="293" w:name="_Toc10409856"/>
      <w:bookmarkStart w:id="294" w:name="_Toc4685"/>
      <w:r>
        <w:rPr>
          <w:rFonts w:hint="eastAsia"/>
          <w:b/>
          <w:bCs w:val="0"/>
          <w:lang w:val="en-US" w:eastAsia="zh-CN"/>
        </w:rPr>
        <w:t>钢丝绳选型计算</w:t>
      </w:r>
      <w:bookmarkEnd w:id="289"/>
    </w:p>
    <w:p w14:paraId="056D9EAD">
      <w:pPr>
        <w:rPr>
          <w:color w:val="auto"/>
        </w:rPr>
      </w:pPr>
      <w:bookmarkStart w:id="295" w:name="_Toc16842"/>
      <w:r>
        <w:rPr>
          <w:rFonts w:hint="eastAsia"/>
          <w:color w:val="auto"/>
          <w:lang w:val="en-US" w:eastAsia="zh-CN"/>
        </w:rPr>
        <w:t>1、</w:t>
      </w:r>
      <w:r>
        <w:rPr>
          <w:color w:val="auto"/>
        </w:rPr>
        <w:t>钢丝绳选型依据</w:t>
      </w:r>
      <w:bookmarkEnd w:id="295"/>
    </w:p>
    <w:p w14:paraId="14FBCB4D">
      <w:pPr>
        <w:ind w:firstLine="480"/>
        <w:rPr>
          <w:rFonts w:ascii="Times New Roman" w:hAnsi="Times New Roman" w:eastAsia="宋体" w:cs="Times New Roman"/>
        </w:rPr>
      </w:pPr>
      <w:r>
        <w:rPr>
          <w:rFonts w:hint="eastAsia" w:ascii="Times New Roman" w:hAnsi="Times New Roman" w:eastAsia="宋体" w:cs="Times New Roman"/>
        </w:rPr>
        <w:t>根据起吊重量选择相对应的钢丝绳和卸扣。</w:t>
      </w:r>
    </w:p>
    <w:p w14:paraId="3E7ADD7B">
      <w:pPr>
        <w:ind w:firstLine="480"/>
        <w:rPr>
          <w:rFonts w:ascii="Times New Roman" w:hAnsi="Times New Roman" w:eastAsia="宋体" w:cs="Times New Roman"/>
        </w:rPr>
      </w:pPr>
      <w:r>
        <w:rPr>
          <w:rFonts w:hint="eastAsia" w:ascii="Times New Roman" w:hAnsi="Times New Roman" w:eastAsia="宋体" w:cs="Times New Roman"/>
        </w:rPr>
        <w:t>有对称分布的与垂直方向具有相同角度的单肢吊索组成的多肢吊索的工作荷载按《一般用途钢丝绳吊索特性和技术条件》公式计算：</w:t>
      </w:r>
    </w:p>
    <w:p w14:paraId="1D06F252">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WLL=</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d>
            <m:dPr>
              <m:ctrlPr>
                <w:rPr>
                  <w:rFonts w:ascii="Cambria Math" w:hAnsi="Cambria Math"/>
                </w:rPr>
              </m:ctrlPr>
            </m:dPr>
            <m:e>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e>
          </m:d>
        </m:oMath>
      </m:oMathPara>
    </w:p>
    <w:p w14:paraId="1664C266">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p w14:paraId="1D6C9664">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p w14:paraId="58F3B136">
      <w:pPr>
        <w:widowControl w:val="0"/>
        <w:tabs>
          <w:tab w:val="left" w:pos="1200"/>
        </w:tabs>
        <w:spacing w:line="360" w:lineRule="auto"/>
        <w:ind w:firstLine="0" w:firstLineChars="0"/>
        <w:jc w:val="both"/>
        <w:rPr>
          <w:rFonts w:hint="eastAsia" w:ascii="Times New Roman" w:hAnsi="Times New Roman" w:eastAsia="宋体" w:cs="Times New Roman"/>
          <w:kern w:val="2"/>
          <w:sz w:val="24"/>
          <w:szCs w:val="21"/>
          <w:lang w:val="en-US" w:eastAsia="zh-CN" w:bidi="ar-SA"/>
        </w:rPr>
      </w:pPr>
    </w:p>
    <w:tbl>
      <w:tblPr>
        <w:tblStyle w:val="2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
        <w:gridCol w:w="849"/>
        <w:gridCol w:w="8013"/>
      </w:tblGrid>
      <w:tr w14:paraId="0620E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D482C2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75F73737">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WLL</w:t>
            </w:r>
          </w:p>
        </w:tc>
        <w:tc>
          <w:tcPr>
            <w:tcW w:w="8048" w:type="dxa"/>
          </w:tcPr>
          <w:p w14:paraId="350BD8B3">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——吊索额定工作荷载，单位为t；</w:t>
            </w:r>
          </w:p>
        </w:tc>
      </w:tr>
      <w:tr w14:paraId="3D1CF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65244B4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221F8D3">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48" w:type="dxa"/>
          </w:tcPr>
          <w:p w14:paraId="484F3F25">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42FD0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76E3DF8">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34DDBEE4">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e</w:t>
            </w:r>
          </w:p>
        </w:tc>
        <w:tc>
          <w:tcPr>
            <w:tcW w:w="8048" w:type="dxa"/>
          </w:tcPr>
          <w:p w14:paraId="5091E118">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——接头形式效能近似系数，压制接头取0.9，插编接头取0.75；</w:t>
            </w:r>
          </w:p>
        </w:tc>
      </w:tr>
      <w:tr w14:paraId="3F28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75B9A60">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13ECC18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p>
        </w:tc>
        <w:tc>
          <w:tcPr>
            <w:tcW w:w="8048" w:type="dxa"/>
          </w:tcPr>
          <w:p w14:paraId="6D1C6A0D">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——肢的数量与垂直方向角度的相关系数，两肢吊索取1.4，3～4肢吊索取2.1；</w:t>
            </w:r>
          </w:p>
        </w:tc>
      </w:tr>
      <w:tr w14:paraId="35A5A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76132B1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764A4D1C">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u</w:t>
            </w:r>
          </w:p>
        </w:tc>
        <w:tc>
          <w:tcPr>
            <w:tcW w:w="8048" w:type="dxa"/>
          </w:tcPr>
          <w:p w14:paraId="3B37FF85">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——安全系数，一般取6；</w:t>
            </w:r>
          </w:p>
        </w:tc>
      </w:tr>
      <w:tr w14:paraId="3E1E3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1E60E9BB">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50" w:type="dxa"/>
          </w:tcPr>
          <w:p w14:paraId="581622FD">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vertAlign w:val="subscript"/>
                <w:lang w:val="en-US" w:eastAsia="zh-CN" w:bidi="ar-SA"/>
              </w:rPr>
              <w:t>m</w:t>
            </w:r>
          </w:p>
        </w:tc>
        <w:tc>
          <w:tcPr>
            <w:tcW w:w="8048" w:type="dxa"/>
          </w:tcPr>
          <w:p w14:paraId="55779B4E">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——质量与力的转换系数，取值为9.80665。</w:t>
            </w:r>
          </w:p>
        </w:tc>
      </w:tr>
    </w:tbl>
    <w:p w14:paraId="735759A8">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钢丝绳最小破断拉力按《重要用途钢丝绳》公式计算：</w:t>
      </w:r>
    </w:p>
    <w:p w14:paraId="69DD35C9">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p>
            <m:sSupPr>
              <m:ctrlPr>
                <w:rPr>
                  <w:rFonts w:ascii="Cambria Math" w:hAnsi="Cambria Math"/>
                </w:rPr>
              </m:ctrlPr>
            </m:sSupPr>
            <m:e>
              <m:r>
                <m:rPr>
                  <m:nor/>
                  <m:sty m:val="p"/>
                </m:rPr>
                <w:rPr>
                  <w:b w:val="0"/>
                  <w:i w:val="0"/>
                </w:rPr>
                <m:t>D</m:t>
              </m:r>
              <m:ctrlPr>
                <w:rPr>
                  <w:rFonts w:ascii="Cambria Math" w:hAnsi="Cambria Math"/>
                </w:rPr>
              </m:ctrlPr>
            </m:e>
            <m:sup>
              <m:r>
                <m:rPr>
                  <m:nor/>
                  <m:sty m:val="p"/>
                </m:rPr>
                <w:rPr>
                  <w:b w:val="0"/>
                  <w:i w:val="0"/>
                </w:rPr>
                <m:t>2</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÷1000</m:t>
          </m:r>
        </m:oMath>
      </m:oMathPara>
    </w:p>
    <w:p w14:paraId="33D18343">
      <w:pPr>
        <w:widowControl w:val="0"/>
        <w:tabs>
          <w:tab w:val="left" w:pos="1200"/>
        </w:tabs>
        <w:spacing w:line="360" w:lineRule="auto"/>
        <w:ind w:firstLine="0" w:firstLineChars="0"/>
        <w:jc w:val="both"/>
        <w:rPr>
          <w:rFonts w:ascii="Times New Roman" w:hAnsi="Times New Roman" w:eastAsia="宋体" w:cs="Times New Roman"/>
          <w:kern w:val="2"/>
          <w:sz w:val="24"/>
          <w:szCs w:val="21"/>
          <w:lang w:val="en-US" w:eastAsia="zh-CN" w:bidi="ar-SA"/>
        </w:rPr>
      </w:pPr>
      <w:r>
        <w:rPr>
          <w:rFonts w:hint="eastAsia" w:ascii="Times New Roman" w:hAnsi="Times New Roman" w:eastAsia="宋体" w:cs="Times New Roman"/>
          <w:kern w:val="2"/>
          <w:sz w:val="24"/>
          <w:szCs w:val="21"/>
          <w:lang w:val="en-US" w:eastAsia="zh-CN" w:bidi="ar-SA"/>
        </w:rPr>
        <w:t>式中：</w:t>
      </w:r>
    </w:p>
    <w:tbl>
      <w:tblPr>
        <w:tblStyle w:val="2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
        <w:gridCol w:w="863"/>
        <w:gridCol w:w="8029"/>
      </w:tblGrid>
      <w:tr w14:paraId="40F3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03F6610E">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0ABF4D6A">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F</w:t>
            </w:r>
            <w:r>
              <w:rPr>
                <w:rFonts w:ascii="Times New Roman" w:hAnsi="Times New Roman" w:eastAsia="宋体" w:cs="Times New Roman"/>
                <w:i/>
                <w:kern w:val="0"/>
                <w:sz w:val="24"/>
                <w:szCs w:val="20"/>
                <w:vertAlign w:val="subscript"/>
                <w:lang w:val="en-US" w:eastAsia="zh-CN" w:bidi="ar-SA"/>
              </w:rPr>
              <w:t>0</w:t>
            </w:r>
          </w:p>
        </w:tc>
        <w:tc>
          <w:tcPr>
            <w:tcW w:w="8063" w:type="dxa"/>
          </w:tcPr>
          <w:p w14:paraId="57335D38">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——钢丝绳最小破断拉力，单位为kN；</w:t>
            </w:r>
          </w:p>
        </w:tc>
      </w:tr>
      <w:tr w14:paraId="2200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3689F6F0">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2625B91">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D</w:t>
            </w:r>
          </w:p>
        </w:tc>
        <w:tc>
          <w:tcPr>
            <w:tcW w:w="8063" w:type="dxa"/>
          </w:tcPr>
          <w:p w14:paraId="24EFED3E">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——钢丝绳公称直径，单位为mm；</w:t>
            </w:r>
          </w:p>
        </w:tc>
      </w:tr>
      <w:tr w14:paraId="30985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2D884356">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58837302">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ascii="Times New Roman" w:hAnsi="Times New Roman" w:eastAsia="宋体" w:cs="Times New Roman"/>
                <w:i/>
                <w:kern w:val="0"/>
                <w:sz w:val="24"/>
                <w:szCs w:val="20"/>
                <w:lang w:val="en-US" w:eastAsia="zh-CN" w:bidi="ar-SA"/>
              </w:rPr>
              <w:t>R</w:t>
            </w:r>
            <w:r>
              <w:rPr>
                <w:rFonts w:ascii="Times New Roman" w:hAnsi="Times New Roman" w:eastAsia="宋体" w:cs="Times New Roman"/>
                <w:i/>
                <w:kern w:val="0"/>
                <w:sz w:val="24"/>
                <w:szCs w:val="20"/>
                <w:vertAlign w:val="subscript"/>
                <w:lang w:val="en-US" w:eastAsia="zh-CN" w:bidi="ar-SA"/>
              </w:rPr>
              <w:t>0</w:t>
            </w:r>
          </w:p>
        </w:tc>
        <w:tc>
          <w:tcPr>
            <w:tcW w:w="8063" w:type="dxa"/>
          </w:tcPr>
          <w:p w14:paraId="641A1268">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——钢丝绳公称抗拉强度，取1</w:t>
            </w:r>
            <w:r>
              <w:rPr>
                <w:rFonts w:hint="eastAsia" w:cs="Times New Roman"/>
                <w:kern w:val="0"/>
                <w:sz w:val="24"/>
                <w:szCs w:val="20"/>
                <w:lang w:val="en-US" w:eastAsia="zh-CN" w:bidi="ar-SA"/>
              </w:rPr>
              <w:t>87</w:t>
            </w:r>
            <w:r>
              <w:rPr>
                <w:rFonts w:hint="eastAsia" w:ascii="Times New Roman" w:hAnsi="Times New Roman" w:eastAsia="宋体" w:cs="Times New Roman"/>
                <w:kern w:val="0"/>
                <w:sz w:val="24"/>
                <w:szCs w:val="20"/>
                <w:lang w:val="en-US" w:eastAsia="zh-CN" w:bidi="ar-SA"/>
              </w:rPr>
              <w:t>0MPa；</w:t>
            </w:r>
          </w:p>
        </w:tc>
      </w:tr>
      <w:tr w14:paraId="38BD6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 w:type="dxa"/>
          </w:tcPr>
          <w:p w14:paraId="4807D7F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p>
        </w:tc>
        <w:tc>
          <w:tcPr>
            <w:tcW w:w="865" w:type="dxa"/>
            <w:vAlign w:val="center"/>
          </w:tcPr>
          <w:p w14:paraId="451E8099">
            <w:pPr>
              <w:widowControl w:val="0"/>
              <w:tabs>
                <w:tab w:val="left" w:pos="1320"/>
              </w:tabs>
              <w:spacing w:line="360" w:lineRule="auto"/>
              <w:ind w:firstLine="0" w:firstLineChars="0"/>
              <w:jc w:val="center"/>
              <w:rPr>
                <w:rFonts w:ascii="Times New Roman" w:hAnsi="Times New Roman" w:eastAsia="宋体" w:cs="Times New Roman"/>
                <w:i/>
                <w:kern w:val="0"/>
                <w:sz w:val="24"/>
                <w:szCs w:val="20"/>
                <w:lang w:val="en-US" w:eastAsia="zh-CN" w:bidi="ar-SA"/>
              </w:rPr>
            </w:pPr>
            <w:r>
              <w:rPr>
                <w:rFonts w:hint="eastAsia" w:ascii="Times New Roman" w:hAnsi="Times New Roman" w:eastAsia="宋体" w:cs="Times New Roman"/>
                <w:i/>
                <w:kern w:val="0"/>
                <w:sz w:val="24"/>
                <w:szCs w:val="20"/>
                <w:lang w:val="en-US" w:eastAsia="zh-CN" w:bidi="ar-SA"/>
              </w:rPr>
              <w:t>K</w:t>
            </w:r>
            <w:r>
              <w:rPr>
                <w:rFonts w:ascii="Times New Roman" w:hAnsi="Times New Roman" w:eastAsia="宋体" w:cs="Times New Roman"/>
                <w:i/>
                <w:kern w:val="0"/>
                <w:sz w:val="24"/>
                <w:szCs w:val="20"/>
                <w:lang w:val="en-US" w:eastAsia="zh-CN" w:bidi="ar-SA"/>
              </w:rPr>
              <w:t>’</w:t>
            </w:r>
          </w:p>
        </w:tc>
        <w:tc>
          <w:tcPr>
            <w:tcW w:w="8063" w:type="dxa"/>
          </w:tcPr>
          <w:p w14:paraId="28552690">
            <w:pPr>
              <w:widowControl w:val="0"/>
              <w:tabs>
                <w:tab w:val="left" w:pos="1200"/>
              </w:tabs>
              <w:spacing w:line="360" w:lineRule="auto"/>
              <w:ind w:firstLine="0" w:firstLineChars="0"/>
              <w:jc w:val="both"/>
              <w:rPr>
                <w:rFonts w:ascii="Times New Roman" w:hAnsi="Times New Roman" w:eastAsia="宋体" w:cs="Times New Roman"/>
                <w:kern w:val="0"/>
                <w:sz w:val="24"/>
                <w:szCs w:val="20"/>
                <w:lang w:val="en-US" w:eastAsia="zh-CN" w:bidi="ar-SA"/>
              </w:rPr>
            </w:pPr>
            <w:r>
              <w:rPr>
                <w:rFonts w:hint="eastAsia" w:ascii="Times New Roman" w:hAnsi="Times New Roman" w:eastAsia="宋体" w:cs="Times New Roman"/>
                <w:kern w:val="0"/>
                <w:sz w:val="24"/>
                <w:szCs w:val="20"/>
                <w:lang w:val="en-US" w:eastAsia="zh-CN" w:bidi="ar-SA"/>
              </w:rPr>
              <w:t>——钢丝绳的最小破断拉力系数，6×</w:t>
            </w:r>
            <w:r>
              <w:rPr>
                <w:rFonts w:hint="eastAsia" w:cs="Times New Roman"/>
                <w:kern w:val="0"/>
                <w:sz w:val="24"/>
                <w:szCs w:val="20"/>
                <w:lang w:val="en-US" w:eastAsia="zh-CN" w:bidi="ar-SA"/>
              </w:rPr>
              <w:t>19W</w:t>
            </w:r>
            <w:r>
              <w:rPr>
                <w:rFonts w:hint="eastAsia" w:ascii="Times New Roman" w:hAnsi="Times New Roman" w:eastAsia="宋体" w:cs="Times New Roman"/>
                <w:kern w:val="0"/>
                <w:sz w:val="24"/>
                <w:szCs w:val="20"/>
                <w:lang w:val="en-US" w:eastAsia="zh-CN" w:bidi="ar-SA"/>
              </w:rPr>
              <w:t>+IWR钢丝绳取0.3</w:t>
            </w:r>
            <w:r>
              <w:rPr>
                <w:rFonts w:hint="eastAsia" w:cs="Times New Roman"/>
                <w:kern w:val="0"/>
                <w:sz w:val="24"/>
                <w:szCs w:val="20"/>
                <w:lang w:val="en-US" w:eastAsia="zh-CN" w:bidi="ar-SA"/>
              </w:rPr>
              <w:t>3</w:t>
            </w:r>
            <w:r>
              <w:rPr>
                <w:rFonts w:hint="eastAsia" w:ascii="Times New Roman" w:hAnsi="Times New Roman" w:eastAsia="宋体" w:cs="Times New Roman"/>
                <w:kern w:val="0"/>
                <w:sz w:val="24"/>
                <w:szCs w:val="20"/>
                <w:lang w:val="en-US" w:eastAsia="zh-CN" w:bidi="ar-SA"/>
              </w:rPr>
              <w:t>。</w:t>
            </w:r>
          </w:p>
        </w:tc>
      </w:tr>
    </w:tbl>
    <w:p w14:paraId="4E89594C">
      <w:pPr>
        <w:ind w:firstLine="480"/>
        <w:rPr>
          <w:rFonts w:ascii="Times New Roman" w:hAnsi="Times New Roman" w:eastAsia="宋体" w:cs="Times New Roman"/>
        </w:rPr>
      </w:pPr>
      <w:r>
        <w:rPr>
          <w:rFonts w:hint="eastAsia" w:ascii="Times New Roman" w:hAnsi="Times New Roman" w:eastAsia="宋体" w:cs="Times New Roman"/>
        </w:rPr>
        <w:t>采用四点吊的塔吊主要部件除起重臂外最大重量为</w:t>
      </w:r>
      <w:r>
        <w:rPr>
          <w:rFonts w:hint="eastAsia" w:cs="Times New Roman"/>
          <w:lang w:val="en-US" w:eastAsia="zh-CN"/>
        </w:rPr>
        <w:t>回转总成</w:t>
      </w:r>
      <w:r>
        <w:rPr>
          <w:rFonts w:hint="eastAsia" w:ascii="Times New Roman" w:hAnsi="Times New Roman" w:eastAsia="宋体" w:cs="Times New Roman"/>
        </w:rPr>
        <w:t>，</w:t>
      </w:r>
      <w:r>
        <w:rPr>
          <w:rFonts w:hint="eastAsia" w:cs="Times New Roman"/>
          <w:lang w:val="en-US" w:eastAsia="zh-CN"/>
        </w:rPr>
        <w:t>回转总成</w:t>
      </w:r>
      <w:r>
        <w:rPr>
          <w:rFonts w:hint="eastAsia" w:ascii="Times New Roman" w:hAnsi="Times New Roman" w:eastAsia="宋体" w:cs="Times New Roman"/>
        </w:rPr>
        <w:t>起重量约</w:t>
      </w:r>
      <w:r>
        <w:rPr>
          <w:rFonts w:hint="eastAsia" w:cs="Times New Roman"/>
          <w:lang w:val="en-US" w:eastAsia="zh-CN"/>
        </w:rPr>
        <w:t>5.593t</w:t>
      </w:r>
      <w:r>
        <w:rPr>
          <w:rFonts w:hint="eastAsia" w:ascii="Times New Roman" w:hAnsi="Times New Roman" w:eastAsia="宋体" w:cs="Times New Roman"/>
        </w:rPr>
        <w:t>，钢丝绳与回转总成60°夹角，以回转总成顶部四个销轴孔作为吊装孔，钢丝绳采用压制接头。</w:t>
      </w:r>
    </w:p>
    <w:p w14:paraId="7FCC6C33">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70C417A8">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5.593</m:t>
              </m:r>
              <m:r>
                <m:rPr>
                  <m:nor/>
                  <m:sty m:val="p"/>
                </m:rPr>
                <w:rPr>
                  <w:b w:val="0"/>
                  <w:i w:val="0"/>
                </w:rPr>
                <m:t>×9.80665×6</m:t>
              </m:r>
              <m:ctrlPr>
                <w:rPr>
                  <w:rFonts w:ascii="Cambria Math" w:hAnsi="Cambria Math"/>
                </w:rPr>
              </m:ctrlPr>
            </m:num>
            <m:den>
              <m:r>
                <m:rPr>
                  <m:nor/>
                  <m:sty m:val="p"/>
                </m:rPr>
                <w:rPr>
                  <w:b w:val="0"/>
                  <w:i w:val="0"/>
                </w:rPr>
                <m:t>0.9×2.1</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174.13</m:t>
          </m:r>
          <m:r>
            <m:rPr>
              <m:nor/>
              <m:sty m:val="p"/>
            </m:rPr>
            <w:rPr>
              <w:b w:val="0"/>
              <w:i w:val="0"/>
            </w:rPr>
            <m:t>kN</m:t>
          </m:r>
        </m:oMath>
      </m:oMathPara>
    </w:p>
    <w:p w14:paraId="6D246934">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5CFEF702">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174.13</m:t>
                  </m:r>
                  <m:ctrlPr>
                    <w:rPr>
                      <w:rFonts w:ascii="Cambria Math" w:hAnsi="Cambria Math"/>
                    </w:rPr>
                  </m:ctrlPr>
                </m:num>
                <m:den>
                  <m:r>
                    <m:rPr>
                      <m:nor/>
                      <m:sty m:val="p"/>
                    </m:rPr>
                    <w:rPr>
                      <w:b w:val="0"/>
                      <w:i w:val="0"/>
                    </w:rPr>
                    <m:t>0.33×</m:t>
                  </m:r>
                  <m:r>
                    <m:rPr>
                      <m:nor/>
                      <m:sty m:val="p"/>
                    </m:rPr>
                    <w:rPr>
                      <w:rFonts w:hint="default" w:ascii="Cambria Math" w:hAnsi="Cambria Math"/>
                      <w:b w:val="0"/>
                      <w:i w:val="0"/>
                      <w:lang w:val="en-US" w:eastAsia="zh-CN"/>
                    </w:rPr>
                    <m:t>1870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16.80</m:t>
          </m:r>
          <m:r>
            <m:rPr>
              <m:nor/>
              <m:sty m:val="p"/>
            </m:rPr>
            <w:rPr>
              <w:b w:val="0"/>
              <w:i w:val="0"/>
            </w:rPr>
            <m:t>mm</m:t>
          </m:r>
        </m:oMath>
      </m:oMathPara>
    </w:p>
    <w:p w14:paraId="5AFB8197">
      <w:pPr>
        <w:ind w:firstLine="480"/>
        <w:rPr>
          <w:rFonts w:ascii="Times New Roman" w:hAnsi="Times New Roman" w:eastAsia="宋体" w:cs="Times New Roman"/>
        </w:rPr>
      </w:pPr>
      <w:r>
        <w:rPr>
          <w:rFonts w:hint="eastAsia" w:ascii="Times New Roman" w:hAnsi="Times New Roman" w:eastAsia="宋体" w:cs="Times New Roman"/>
        </w:rPr>
        <w:t>采用</w:t>
      </w:r>
      <w:r>
        <w:rPr>
          <w:rFonts w:hint="eastAsia" w:cs="Times New Roman"/>
          <w:lang w:val="en-US" w:eastAsia="zh-CN"/>
        </w:rPr>
        <w:t>φ</w:t>
      </w:r>
      <w:r>
        <w:rPr>
          <w:rFonts w:hint="eastAsia" w:ascii="SJQY" w:hAnsi="SJQY" w:eastAsia="SJQY" w:cs="Times New Roman"/>
          <w:lang w:val="en-US" w:eastAsia="zh-CN"/>
        </w:rPr>
        <w:t>18</w:t>
      </w:r>
      <w:r>
        <w:rPr>
          <w:rFonts w:hint="eastAsia" w:ascii="Times New Roman" w:hAnsi="Times New Roman" w:eastAsia="宋体" w:cs="Times New Roman"/>
        </w:rPr>
        <w:t>mm钢丝绳可满足要求。</w:t>
      </w:r>
    </w:p>
    <w:p w14:paraId="32D1DC52">
      <w:pPr>
        <w:ind w:firstLine="480"/>
        <w:rPr>
          <w:rFonts w:ascii="Times New Roman" w:hAnsi="Times New Roman" w:eastAsia="宋体" w:cs="Times New Roman"/>
        </w:rPr>
      </w:pPr>
      <w:r>
        <w:rPr>
          <w:rFonts w:hint="eastAsia" w:cs="Times New Roman"/>
          <w:lang w:val="en-US" w:eastAsia="zh-CN"/>
        </w:rPr>
        <w:t>平衡重</w:t>
      </w:r>
      <w:r>
        <w:rPr>
          <w:rFonts w:hint="eastAsia" w:ascii="Times New Roman" w:hAnsi="Times New Roman" w:eastAsia="宋体" w:cs="Times New Roman"/>
        </w:rPr>
        <w:t>最大重量约</w:t>
      </w:r>
      <w:r>
        <w:rPr>
          <w:rFonts w:hint="eastAsia" w:cs="Times New Roman"/>
          <w:lang w:val="en-US" w:eastAsia="zh-CN"/>
        </w:rPr>
        <w:t>3.25</w:t>
      </w:r>
      <w:r>
        <w:rPr>
          <w:rFonts w:hint="eastAsia" w:ascii="Times New Roman" w:hAnsi="Times New Roman" w:eastAsia="宋体" w:cs="Times New Roman"/>
        </w:rPr>
        <w:t>t，钢丝绳与</w:t>
      </w:r>
      <w:r>
        <w:rPr>
          <w:rFonts w:hint="eastAsia" w:cs="Times New Roman"/>
          <w:lang w:val="en-US" w:eastAsia="zh-CN"/>
        </w:rPr>
        <w:t>平衡重</w:t>
      </w:r>
      <w:r>
        <w:rPr>
          <w:rFonts w:hint="eastAsia" w:ascii="Times New Roman" w:hAnsi="Times New Roman" w:eastAsia="宋体" w:cs="Times New Roman"/>
        </w:rPr>
        <w:t>成60°夹角，</w:t>
      </w:r>
      <w:r>
        <w:rPr>
          <w:rFonts w:hint="eastAsia" w:cs="Times New Roman"/>
          <w:lang w:val="en-US" w:eastAsia="zh-CN"/>
        </w:rPr>
        <w:t>平衡重</w:t>
      </w:r>
      <w:r>
        <w:rPr>
          <w:rFonts w:hint="eastAsia" w:ascii="Times New Roman" w:hAnsi="Times New Roman" w:eastAsia="宋体" w:cs="Times New Roman"/>
        </w:rPr>
        <w:t>吊装采用两点吊，钢丝绳采用压制接头。</w:t>
      </w:r>
    </w:p>
    <w:p w14:paraId="2A4ECA3D">
      <w:pPr>
        <w:ind w:firstLine="480"/>
        <w:rPr>
          <w:rFonts w:ascii="Times New Roman" w:hAnsi="Times New Roman" w:eastAsia="宋体" w:cs="Times New Roman"/>
        </w:rPr>
      </w:pPr>
      <w:r>
        <w:rPr>
          <w:rFonts w:hint="eastAsia" w:ascii="Times New Roman" w:hAnsi="Times New Roman" w:eastAsia="宋体" w:cs="Times New Roman"/>
        </w:rPr>
        <w:t>每根钢丝绳最小破断拉力：</w:t>
      </w:r>
    </w:p>
    <w:p w14:paraId="0CB63C11">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r>
            <m:rPr>
              <m:nor/>
              <m:sty m:val="p"/>
            </m:rPr>
            <w:rPr>
              <w:b w:val="0"/>
              <w:i w:val="0"/>
            </w:rPr>
            <m:t>=</m:t>
          </m:r>
          <m:f>
            <m:fPr>
              <m:ctrlPr>
                <w:rPr>
                  <w:rFonts w:ascii="Cambria Math" w:hAnsi="Cambria Math"/>
                </w:rPr>
              </m:ctrlPr>
            </m:fPr>
            <m:num>
              <m:r>
                <m:rPr>
                  <m:nor/>
                  <m:sty m:val="p"/>
                </m:rPr>
                <w:rPr>
                  <w:b w:val="0"/>
                  <w:i w:val="0"/>
                </w:rPr>
                <m:t>WLL×</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m</m:t>
                  </m:r>
                  <m:ctrlPr>
                    <w:rPr>
                      <w:rFonts w:ascii="Cambria Math" w:hAnsi="Cambria Math"/>
                    </w:rPr>
                  </m:ctrlPr>
                </m:sub>
              </m:sSub>
              <m:r>
                <m:rPr>
                  <m:nor/>
                  <m:sty m:val="p"/>
                </m:rPr>
                <w:rPr>
                  <w:b w:val="0"/>
                  <w:i w:val="0"/>
                </w:rPr>
                <m:t>×</m:t>
              </m:r>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u</m:t>
                  </m:r>
                  <m:ctrlPr>
                    <w:rPr>
                      <w:rFonts w:ascii="Cambria Math" w:hAnsi="Cambria Math"/>
                    </w:rPr>
                  </m:ctrlPr>
                </m:sub>
              </m:sSub>
              <m:ctrlPr>
                <w:rPr>
                  <w:rFonts w:ascii="Cambria Math" w:hAnsi="Cambria Math"/>
                </w:rPr>
              </m:ctrlPr>
            </m:num>
            <m:den>
              <m:sSub>
                <m:sSubPr>
                  <m:ctrlPr>
                    <w:rPr>
                      <w:rFonts w:ascii="Cambria Math" w:hAnsi="Cambria Math"/>
                    </w:rPr>
                  </m:ctrlPr>
                </m:sSubPr>
                <m:e>
                  <m:r>
                    <m:rPr>
                      <m:nor/>
                      <m:sty m:val="p"/>
                    </m:rPr>
                    <w:rPr>
                      <w:b w:val="0"/>
                      <w:i w:val="0"/>
                    </w:rPr>
                    <m:t>K</m:t>
                  </m:r>
                  <m:ctrlPr>
                    <w:rPr>
                      <w:rFonts w:ascii="Cambria Math" w:hAnsi="Cambria Math"/>
                    </w:rPr>
                  </m:ctrlPr>
                </m:e>
                <m:sub>
                  <m:r>
                    <m:rPr>
                      <m:nor/>
                      <m:sty m:val="p"/>
                    </m:rPr>
                    <w:rPr>
                      <w:b w:val="0"/>
                      <w:i w:val="0"/>
                    </w:rPr>
                    <m:t>e</m:t>
                  </m:r>
                  <m:ctrlPr>
                    <w:rPr>
                      <w:rFonts w:ascii="Cambria Math" w:hAnsi="Cambria Math"/>
                    </w:rPr>
                  </m:ctrlPr>
                </m:sub>
              </m:sSub>
              <m:r>
                <m:rPr>
                  <m:nor/>
                  <m:sty m:val="p"/>
                </m:rPr>
                <w:rPr>
                  <w:b w:val="0"/>
                  <w:i w:val="0"/>
                </w:rPr>
                <m:t>×K</m:t>
              </m:r>
              <m:ctrlPr>
                <w:rPr>
                  <w:rFonts w:ascii="Cambria Math" w:hAnsi="Cambria Math"/>
                </w:rPr>
              </m:ctrlPr>
            </m:den>
          </m:f>
          <m:r>
            <m:rPr>
              <m:nor/>
              <m:sty m:val="p"/>
            </m:rPr>
            <w:rPr>
              <w:b w:val="0"/>
              <w:i w:val="0"/>
            </w:rPr>
            <m:t>=</m:t>
          </m:r>
          <m:f>
            <m:fPr>
              <m:ctrlPr>
                <w:rPr>
                  <w:rFonts w:ascii="Cambria Math" w:hAnsi="Cambria Math"/>
                </w:rPr>
              </m:ctrlPr>
            </m:fPr>
            <m:num>
              <m:r>
                <m:rPr>
                  <m:nor/>
                  <m:sty m:val="p"/>
                </m:rPr>
                <w:rPr>
                  <w:rFonts w:hint="default" w:ascii="Cambria Math" w:hAnsi="Cambria Math"/>
                  <w:b w:val="0"/>
                  <w:i w:val="0"/>
                  <w:lang w:val="en-US" w:eastAsia="zh-CN"/>
                </w:rPr>
                <m:t>3.25</m:t>
              </m:r>
              <m:r>
                <m:rPr>
                  <m:nor/>
                  <m:sty m:val="p"/>
                </m:rPr>
                <w:rPr>
                  <w:b w:val="0"/>
                  <w:i w:val="0"/>
                </w:rPr>
                <m:t>×9.80665×6</m:t>
              </m:r>
              <m:ctrlPr>
                <w:rPr>
                  <w:rFonts w:ascii="Cambria Math" w:hAnsi="Cambria Math"/>
                </w:rPr>
              </m:ctrlPr>
            </m:num>
            <m:den>
              <m:r>
                <m:rPr>
                  <m:nor/>
                  <m:sty m:val="p"/>
                </m:rPr>
                <w:rPr>
                  <w:b w:val="0"/>
                  <w:i w:val="0"/>
                </w:rPr>
                <m:t>0.9×1.4</m:t>
              </m:r>
              <m:ctrlPr>
                <w:rPr>
                  <w:rFonts w:ascii="Cambria Math" w:hAnsi="Cambria Math"/>
                </w:rPr>
              </m:ctrlPr>
            </m:den>
          </m:f>
          <m:r>
            <m:rPr>
              <m:nor/>
              <m:sty m:val="p"/>
            </m:rPr>
            <w:rPr>
              <w:b w:val="0"/>
              <w:i w:val="0"/>
            </w:rPr>
            <m:t>=</m:t>
          </m:r>
          <m:r>
            <m:rPr>
              <m:nor/>
              <m:sty m:val="p"/>
            </m:rPr>
            <w:rPr>
              <w:rFonts w:hint="default" w:ascii="Cambria Math" w:hAnsi="Cambria Math"/>
              <w:b w:val="0"/>
              <w:i w:val="0"/>
              <w:lang w:val="en-US" w:eastAsia="zh-CN"/>
            </w:rPr>
            <m:t>151.77</m:t>
          </m:r>
          <m:r>
            <m:rPr>
              <m:nor/>
              <m:sty m:val="p"/>
            </m:rPr>
            <w:rPr>
              <w:b w:val="0"/>
              <w:i w:val="0"/>
            </w:rPr>
            <m:t>kN</m:t>
          </m:r>
        </m:oMath>
      </m:oMathPara>
    </w:p>
    <w:p w14:paraId="3388D4F8">
      <w:pPr>
        <w:ind w:firstLine="480"/>
        <w:rPr>
          <w:rFonts w:ascii="Times New Roman" w:hAnsi="Times New Roman" w:eastAsia="宋体" w:cs="Times New Roman"/>
        </w:rPr>
      </w:pPr>
      <w:r>
        <w:rPr>
          <w:rFonts w:hint="eastAsia" w:ascii="Times New Roman" w:hAnsi="Times New Roman" w:eastAsia="宋体" w:cs="Times New Roman"/>
        </w:rPr>
        <w:t>则钢丝绳最小公称直径：</w:t>
      </w:r>
    </w:p>
    <w:p w14:paraId="3EF08A37">
      <w:pPr>
        <w:widowControl w:val="0"/>
        <w:tabs>
          <w:tab w:val="left" w:pos="1320"/>
        </w:tabs>
        <w:spacing w:line="360" w:lineRule="auto"/>
        <w:ind w:firstLine="0" w:firstLineChars="0"/>
        <w:jc w:val="center"/>
        <w:rPr>
          <w:rFonts w:ascii="Times New Roman" w:hAnsi="Times New Roman" w:eastAsia="宋体" w:cs="Times New Roman"/>
          <w:i/>
          <w:kern w:val="2"/>
          <w:sz w:val="24"/>
          <w:szCs w:val="21"/>
          <w:lang w:val="en-US" w:eastAsia="zh-CN" w:bidi="ar-SA"/>
        </w:rPr>
      </w:pPr>
      <m:oMathPara>
        <m:oMath>
          <m:r>
            <m:rPr>
              <m:nor/>
              <m:sty m:val="p"/>
            </m:rPr>
            <w:rPr>
              <w:b w:val="0"/>
              <w:i w:val="0"/>
            </w:rPr>
            <m:t>D=</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sSub>
                    <m:sSubPr>
                      <m:ctrlPr>
                        <w:rPr>
                          <w:rFonts w:ascii="Cambria Math" w:hAnsi="Cambria Math"/>
                        </w:rPr>
                      </m:ctrlPr>
                    </m:sSubPr>
                    <m:e>
                      <m:r>
                        <m:rPr>
                          <m:nor/>
                          <m:sty m:val="p"/>
                        </m:rPr>
                        <w:rPr>
                          <w:b w:val="0"/>
                          <w:i w:val="0"/>
                        </w:rPr>
                        <m:t>F</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num>
                <m:den>
                  <m:sSup>
                    <m:sSupPr>
                      <m:ctrlPr>
                        <w:rPr>
                          <w:rFonts w:ascii="Cambria Math" w:hAnsi="Cambria Math"/>
                        </w:rPr>
                      </m:ctrlPr>
                    </m:sSupPr>
                    <m:e>
                      <m:r>
                        <m:rPr>
                          <m:nor/>
                          <m:sty m:val="p"/>
                        </m:rPr>
                        <w:rPr>
                          <w:b w:val="0"/>
                          <w:i w:val="0"/>
                        </w:rPr>
                        <m:t>K</m:t>
                      </m:r>
                      <m:ctrlPr>
                        <w:rPr>
                          <w:rFonts w:ascii="Cambria Math" w:hAnsi="Cambria Math"/>
                        </w:rPr>
                      </m:ctrlPr>
                    </m:e>
                    <m:sup>
                      <m:r>
                        <m:rPr>
                          <m:nor/>
                          <m:sty m:val="p"/>
                        </m:rPr>
                        <w:rPr>
                          <w:b w:val="0"/>
                          <w:i w:val="0"/>
                        </w:rPr>
                        <m:t>'</m:t>
                      </m:r>
                      <m:ctrlPr>
                        <w:rPr>
                          <w:rFonts w:ascii="Cambria Math" w:hAnsi="Cambria Math"/>
                        </w:rPr>
                      </m:ctrlPr>
                    </m:sup>
                  </m:sSup>
                  <m:r>
                    <m:rPr>
                      <m:nor/>
                      <m:sty m:val="p"/>
                    </m:rPr>
                    <w:rPr>
                      <w:b w:val="0"/>
                      <w:i w:val="0"/>
                    </w:rPr>
                    <m:t>×</m:t>
                  </m:r>
                  <m:sSub>
                    <m:sSubPr>
                      <m:ctrlPr>
                        <w:rPr>
                          <w:rFonts w:ascii="Cambria Math" w:hAnsi="Cambria Math"/>
                        </w:rPr>
                      </m:ctrlPr>
                    </m:sSubPr>
                    <m:e>
                      <m:r>
                        <m:rPr>
                          <m:nor/>
                          <m:sty m:val="p"/>
                        </m:rPr>
                        <w:rPr>
                          <w:b w:val="0"/>
                          <w:i w:val="0"/>
                        </w:rPr>
                        <m:t>R</m:t>
                      </m:r>
                      <m:ctrlPr>
                        <w:rPr>
                          <w:rFonts w:ascii="Cambria Math" w:hAnsi="Cambria Math"/>
                        </w:rPr>
                      </m:ctrlPr>
                    </m:e>
                    <m:sub>
                      <m:r>
                        <m:rPr>
                          <m:nor/>
                          <m:sty m:val="p"/>
                        </m:rPr>
                        <w:rPr>
                          <w:b w:val="0"/>
                          <w:i w:val="0"/>
                        </w:rPr>
                        <m:t>0</m:t>
                      </m:r>
                      <m:ctrlPr>
                        <w:rPr>
                          <w:rFonts w:ascii="Cambria Math" w:hAnsi="Cambria Math"/>
                        </w:rPr>
                      </m:ctrlPr>
                    </m:sub>
                  </m:sSub>
                  <m:ctrlPr>
                    <w:rPr>
                      <w:rFonts w:ascii="Cambria Math" w:hAnsi="Cambria Math"/>
                    </w:rPr>
                  </m:ctrlPr>
                </m:den>
              </m:f>
              <m:ctrlPr>
                <w:rPr>
                  <w:rFonts w:ascii="Cambria Math" w:hAnsi="Cambria Math"/>
                </w:rPr>
              </m:ctrlPr>
            </m:e>
          </m:rad>
          <m:r>
            <m:rPr>
              <m:nor/>
              <m:sty m:val="p"/>
            </m:rPr>
            <w:rPr>
              <w:b w:val="0"/>
              <w:i w:val="0"/>
            </w:rPr>
            <m:t>=</m:t>
          </m:r>
          <m:rad>
            <m:radPr>
              <m:degHide m:val="1"/>
              <m:ctrlPr>
                <w:rPr>
                  <w:rFonts w:ascii="Cambria Math" w:hAnsi="Cambria Math"/>
                </w:rPr>
              </m:ctrlPr>
            </m:radPr>
            <m:deg>
              <m:ctrlPr>
                <w:rPr>
                  <w:rFonts w:ascii="Cambria Math" w:hAnsi="Cambria Math"/>
                </w:rPr>
              </m:ctrlPr>
            </m:deg>
            <m:e>
              <m:f>
                <m:fPr>
                  <m:ctrlPr>
                    <w:rPr>
                      <w:rFonts w:ascii="Cambria Math" w:hAnsi="Cambria Math"/>
                    </w:rPr>
                  </m:ctrlPr>
                </m:fPr>
                <m:num>
                  <m:r>
                    <m:rPr>
                      <m:nor/>
                      <m:sty m:val="p"/>
                    </m:rPr>
                    <w:rPr>
                      <w:b w:val="0"/>
                      <w:i w:val="0"/>
                    </w:rPr>
                    <m:t>1000×</m:t>
                  </m:r>
                  <m:r>
                    <m:rPr>
                      <m:nor/>
                      <m:sty m:val="p"/>
                    </m:rPr>
                    <w:rPr>
                      <w:rFonts w:hint="default" w:ascii="Cambria Math" w:hAnsi="Cambria Math"/>
                      <w:b w:val="0"/>
                      <w:i w:val="0"/>
                      <w:lang w:val="en-US" w:eastAsia="zh-CN"/>
                    </w:rPr>
                    <m:t>151.77</m:t>
                  </m:r>
                  <m:ctrlPr>
                    <w:rPr>
                      <w:rFonts w:ascii="Cambria Math" w:hAnsi="Cambria Math"/>
                    </w:rPr>
                  </m:ctrlPr>
                </m:num>
                <m:den>
                  <m:r>
                    <m:rPr>
                      <m:nor/>
                      <m:sty m:val="p"/>
                    </m:rPr>
                    <w:rPr>
                      <w:b w:val="0"/>
                      <w:i w:val="0"/>
                    </w:rPr>
                    <m:t>0.33×1</m:t>
                  </m:r>
                  <m:r>
                    <m:rPr>
                      <m:nor/>
                      <m:sty m:val="p"/>
                    </m:rPr>
                    <w:rPr>
                      <w:rFonts w:hint="default" w:ascii="Cambria Math" w:hAnsi="Cambria Math"/>
                      <w:b w:val="0"/>
                      <w:i w:val="0"/>
                      <w:lang w:val="en-US" w:eastAsia="zh-CN"/>
                    </w:rPr>
                    <m:t>87</m:t>
                  </m:r>
                  <m:r>
                    <m:rPr>
                      <m:nor/>
                      <m:sty m:val="p"/>
                    </m:rPr>
                    <w:rPr>
                      <w:b w:val="0"/>
                      <w:i w:val="0"/>
                    </w:rPr>
                    <m:t>0</m:t>
                  </m:r>
                  <m:ctrlPr>
                    <w:rPr>
                      <w:rFonts w:ascii="Cambria Math" w:hAnsi="Cambria Math"/>
                    </w:rPr>
                  </m:ctrlPr>
                </m:den>
              </m:f>
              <m:ctrlPr>
                <w:rPr>
                  <w:rFonts w:ascii="Cambria Math" w:hAnsi="Cambria Math"/>
                </w:rPr>
              </m:ctrlPr>
            </m:e>
          </m:rad>
          <m:r>
            <m:rPr>
              <m:nor/>
              <m:sty m:val="p"/>
            </m:rPr>
            <w:rPr>
              <w:b w:val="0"/>
              <w:i w:val="0"/>
            </w:rPr>
            <m:t>=</m:t>
          </m:r>
          <m:r>
            <m:rPr>
              <m:nor/>
              <m:sty m:val="p"/>
            </m:rPr>
            <w:rPr>
              <w:rFonts w:hint="default" w:ascii="Cambria Math" w:hAnsi="Cambria Math"/>
              <w:b w:val="0"/>
              <w:i w:val="0"/>
              <w:lang w:val="en-US" w:eastAsia="zh-CN"/>
            </w:rPr>
            <m:t>15.69</m:t>
          </m:r>
          <m:r>
            <m:rPr>
              <m:nor/>
              <m:sty m:val="p"/>
            </m:rPr>
            <w:rPr>
              <w:b w:val="0"/>
              <w:i w:val="0"/>
            </w:rPr>
            <m:t>mm</m:t>
          </m:r>
        </m:oMath>
      </m:oMathPara>
    </w:p>
    <w:p w14:paraId="35B135EE">
      <w:pPr>
        <w:ind w:firstLine="480"/>
        <w:rPr>
          <w:rFonts w:ascii="Times New Roman" w:hAnsi="Times New Roman" w:eastAsia="宋体" w:cs="Times New Roman"/>
        </w:rPr>
      </w:pPr>
      <w:r>
        <w:rPr>
          <w:rFonts w:hint="eastAsia" w:ascii="宋体" w:hAnsi="宋体" w:eastAsia="宋体" w:cs="宋体"/>
        </w:rPr>
        <w:t>采用</w:t>
      </w:r>
      <w:r>
        <w:rPr>
          <w:rFonts w:hint="eastAsia" w:ascii="SJQY" w:hAnsi="SJQY" w:eastAsia="SJQY" w:cs="Times New Roman"/>
          <w:lang w:val="en-US" w:eastAsia="zh-CN"/>
        </w:rPr>
        <w:t>φ</w:t>
      </w:r>
      <w:r>
        <w:rPr>
          <w:rFonts w:hint="eastAsia" w:cs="Times New Roman"/>
          <w:lang w:val="en-US" w:eastAsia="zh-CN"/>
        </w:rPr>
        <w:t>16</w:t>
      </w:r>
      <w:r>
        <w:rPr>
          <w:rFonts w:hint="eastAsia" w:ascii="Times New Roman" w:hAnsi="Times New Roman" w:eastAsia="宋体" w:cs="Times New Roman"/>
        </w:rPr>
        <w:t>mm钢丝绳可满足要求。</w:t>
      </w:r>
    </w:p>
    <w:p w14:paraId="43F11658">
      <w:pPr>
        <w:pStyle w:val="4"/>
        <w:bidi w:val="0"/>
        <w:ind w:left="720" w:leftChars="0" w:hanging="720" w:firstLineChars="0"/>
        <w:rPr>
          <w:rFonts w:hint="eastAsia"/>
          <w:b/>
          <w:bCs w:val="0"/>
          <w:lang w:val="en-US" w:eastAsia="zh-CN"/>
        </w:rPr>
      </w:pPr>
      <w:bookmarkStart w:id="296" w:name="_Toc132535969"/>
      <w:r>
        <w:rPr>
          <w:rFonts w:hint="eastAsia"/>
          <w:b/>
          <w:bCs w:val="0"/>
          <w:lang w:val="en-US" w:eastAsia="zh-CN"/>
        </w:rPr>
        <w:t>卸扣选型</w:t>
      </w:r>
      <w:bookmarkEnd w:id="296"/>
    </w:p>
    <w:p w14:paraId="4C24094D">
      <w:pPr>
        <w:ind w:firstLine="480"/>
        <w:rPr>
          <w:rFonts w:ascii="Times New Roman" w:hAnsi="Times New Roman" w:eastAsia="宋体" w:cs="Times New Roman"/>
        </w:rPr>
      </w:pPr>
      <w:r>
        <w:rPr>
          <w:rFonts w:hint="eastAsia" w:ascii="Times New Roman" w:hAnsi="Times New Roman" w:eastAsia="宋体" w:cs="Times New Roman"/>
        </w:rPr>
        <w:t>卸扣根据《一般起重用D形和弓形锻造卸扣》（GB/T25854-2010）的规定选用。</w:t>
      </w:r>
    </w:p>
    <w:p w14:paraId="3390CA82">
      <w:pPr>
        <w:keepNext/>
        <w:tabs>
          <w:tab w:val="left" w:pos="360"/>
        </w:tabs>
        <w:spacing w:line="360" w:lineRule="auto"/>
        <w:jc w:val="center"/>
        <w:rPr>
          <w:rFonts w:ascii="Times New Roman" w:hAnsi="Times New Roman" w:eastAsia="黑体" w:cs="Times New Roman"/>
          <w:kern w:val="2"/>
          <w:sz w:val="21"/>
          <w:lang w:val="en-US" w:eastAsia="zh-CN" w:bidi="ar-SA"/>
        </w:rPr>
      </w:pPr>
      <w:r>
        <w:rPr>
          <w:rFonts w:hint="eastAsia" w:ascii="Times New Roman" w:hAnsi="Times New Roman" w:eastAsia="黑体" w:cs="Times New Roman"/>
          <w:kern w:val="2"/>
          <w:sz w:val="21"/>
          <w:lang w:val="en-US" w:eastAsia="zh-CN" w:bidi="ar-SA"/>
        </w:rPr>
        <w:t>表11.1.2</w:t>
      </w:r>
      <w:r>
        <w:rPr>
          <w:rFonts w:ascii="Times New Roman" w:hAnsi="Times New Roman" w:eastAsia="黑体" w:cs="Times New Roman"/>
          <w:kern w:val="2"/>
          <w:sz w:val="21"/>
          <w:lang w:val="en-US" w:eastAsia="zh-CN" w:bidi="ar-SA"/>
        </w:rPr>
        <w:noBreakHyphen/>
      </w:r>
      <w:r>
        <w:rPr>
          <w:rFonts w:hint="eastAsia" w:ascii="Times New Roman" w:hAnsi="Times New Roman" w:eastAsia="黑体" w:cs="Times New Roman"/>
          <w:kern w:val="2"/>
          <w:sz w:val="21"/>
          <w:lang w:val="en-US" w:eastAsia="zh-CN" w:bidi="ar-SA"/>
        </w:rPr>
        <w:t>1D形卸扣尺寸</w:t>
      </w:r>
    </w:p>
    <w:tbl>
      <w:tblPr>
        <w:tblStyle w:val="38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205"/>
        <w:gridCol w:w="1205"/>
        <w:gridCol w:w="1205"/>
        <w:gridCol w:w="1072"/>
        <w:gridCol w:w="1072"/>
        <w:gridCol w:w="1229"/>
        <w:gridCol w:w="1012"/>
        <w:gridCol w:w="1101"/>
      </w:tblGrid>
      <w:tr w14:paraId="70D80F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986" w:type="pct"/>
            <w:gridSpan w:val="3"/>
            <w:shd w:val="clear" w:color="auto" w:fill="4472C4"/>
            <w:vAlign w:val="center"/>
          </w:tcPr>
          <w:p w14:paraId="194DBFDE">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极限工作荷载WLL</w:t>
            </w:r>
          </w:p>
        </w:tc>
        <w:tc>
          <w:tcPr>
            <w:tcW w:w="589" w:type="pct"/>
            <w:vMerge w:val="restart"/>
            <w:shd w:val="clear" w:color="auto" w:fill="4472C4"/>
            <w:vAlign w:val="center"/>
          </w:tcPr>
          <w:p w14:paraId="065E9B80">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a</w:t>
            </w:r>
          </w:p>
          <w:p w14:paraId="4EF2FA35">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89" w:type="pct"/>
            <w:vMerge w:val="restart"/>
            <w:shd w:val="clear" w:color="auto" w:fill="4472C4"/>
            <w:vAlign w:val="center"/>
          </w:tcPr>
          <w:p w14:paraId="19631A7F">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D</w:t>
            </w:r>
            <w:r>
              <w:rPr>
                <w:rFonts w:ascii="Times New Roman" w:hAnsi="Times New Roman" w:eastAsia="仿宋" w:cs="Times New Roman"/>
                <w:b/>
                <w:color w:val="FFFFFF"/>
                <w:kern w:val="0"/>
                <w:sz w:val="21"/>
                <w:szCs w:val="21"/>
                <w:vertAlign w:val="superscript"/>
                <w:lang w:val="en-US" w:eastAsia="zh-CN" w:bidi="ar-SA"/>
              </w:rPr>
              <w:t>b</w:t>
            </w:r>
          </w:p>
          <w:p w14:paraId="09684ED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675" w:type="pct"/>
            <w:vMerge w:val="restart"/>
            <w:shd w:val="clear" w:color="auto" w:fill="4472C4"/>
            <w:vAlign w:val="center"/>
          </w:tcPr>
          <w:p w14:paraId="330C9A4A">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e</w:t>
            </w:r>
            <w:r>
              <w:rPr>
                <w:rFonts w:ascii="Times New Roman" w:hAnsi="Times New Roman" w:eastAsia="仿宋" w:cs="Times New Roman"/>
                <w:b/>
                <w:color w:val="FFFFFF"/>
                <w:kern w:val="0"/>
                <w:sz w:val="21"/>
                <w:szCs w:val="21"/>
                <w:vertAlign w:val="superscript"/>
                <w:lang w:val="en-US" w:eastAsia="zh-CN" w:bidi="ar-SA"/>
              </w:rPr>
              <w:t>c</w:t>
            </w:r>
          </w:p>
          <w:p w14:paraId="7B04991D">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max</w:t>
            </w:r>
          </w:p>
        </w:tc>
        <w:tc>
          <w:tcPr>
            <w:tcW w:w="556" w:type="pct"/>
            <w:vMerge w:val="restart"/>
            <w:shd w:val="clear" w:color="auto" w:fill="4472C4"/>
            <w:vAlign w:val="center"/>
          </w:tcPr>
          <w:p w14:paraId="2B04FD24">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S</w:t>
            </w:r>
            <w:r>
              <w:rPr>
                <w:rFonts w:ascii="Times New Roman" w:hAnsi="Times New Roman" w:eastAsia="仿宋" w:cs="Times New Roman"/>
                <w:b/>
                <w:color w:val="FFFFFF"/>
                <w:kern w:val="0"/>
                <w:sz w:val="21"/>
                <w:szCs w:val="21"/>
                <w:vertAlign w:val="superscript"/>
                <w:lang w:val="en-US" w:eastAsia="zh-CN" w:bidi="ar-SA"/>
              </w:rPr>
              <w:t>d</w:t>
            </w:r>
          </w:p>
          <w:p w14:paraId="7FDF4BCA">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c>
          <w:tcPr>
            <w:tcW w:w="605" w:type="pct"/>
            <w:vMerge w:val="restart"/>
            <w:shd w:val="clear" w:color="auto" w:fill="4472C4"/>
            <w:vAlign w:val="center"/>
          </w:tcPr>
          <w:p w14:paraId="14CE5310">
            <w:pPr>
              <w:widowControl w:val="0"/>
              <w:spacing w:line="240" w:lineRule="auto"/>
              <w:ind w:firstLine="0" w:firstLineChars="0"/>
              <w:jc w:val="center"/>
              <w:rPr>
                <w:rFonts w:ascii="Times New Roman" w:hAnsi="Times New Roman" w:eastAsia="仿宋" w:cs="Times New Roman"/>
                <w:b w:val="0"/>
                <w:color w:val="FFFFFF"/>
                <w:kern w:val="0"/>
                <w:sz w:val="21"/>
                <w:szCs w:val="21"/>
                <w:vertAlign w:val="superscript"/>
                <w:lang w:val="en-US" w:eastAsia="zh-CN" w:bidi="ar-SA"/>
              </w:rPr>
            </w:pPr>
            <w:r>
              <w:rPr>
                <w:rFonts w:ascii="Times New Roman" w:hAnsi="Times New Roman" w:eastAsia="仿宋" w:cs="Times New Roman"/>
                <w:b/>
                <w:color w:val="FFFFFF"/>
                <w:kern w:val="0"/>
                <w:sz w:val="21"/>
                <w:szCs w:val="21"/>
                <w:lang w:val="en-US" w:eastAsia="zh-CN" w:bidi="ar-SA"/>
              </w:rPr>
              <w:t>W</w:t>
            </w:r>
            <w:r>
              <w:rPr>
                <w:rFonts w:ascii="Times New Roman" w:hAnsi="Times New Roman" w:eastAsia="仿宋" w:cs="Times New Roman"/>
                <w:b/>
                <w:color w:val="FFFFFF"/>
                <w:kern w:val="0"/>
                <w:sz w:val="21"/>
                <w:szCs w:val="21"/>
                <w:vertAlign w:val="superscript"/>
                <w:lang w:val="en-US" w:eastAsia="zh-CN" w:bidi="ar-SA"/>
              </w:rPr>
              <w:t>b</w:t>
            </w:r>
          </w:p>
          <w:p w14:paraId="04F8D5B7">
            <w:pPr>
              <w:widowControl w:val="0"/>
              <w:spacing w:line="240" w:lineRule="auto"/>
              <w:ind w:firstLine="0" w:firstLineChars="0"/>
              <w:jc w:val="center"/>
              <w:rPr>
                <w:rFonts w:ascii="Times New Roman" w:hAnsi="Times New Roman" w:eastAsia="仿宋" w:cs="Times New Roman"/>
                <w:b w:val="0"/>
                <w:color w:val="FFFFFF"/>
                <w:kern w:val="0"/>
                <w:sz w:val="21"/>
                <w:szCs w:val="21"/>
                <w:lang w:val="en-US" w:eastAsia="zh-CN" w:bidi="ar-SA"/>
              </w:rPr>
            </w:pPr>
            <w:r>
              <w:rPr>
                <w:rFonts w:ascii="Times New Roman" w:hAnsi="Times New Roman" w:eastAsia="仿宋" w:cs="Times New Roman"/>
                <w:b/>
                <w:color w:val="FFFFFF"/>
                <w:kern w:val="0"/>
                <w:sz w:val="21"/>
                <w:szCs w:val="21"/>
                <w:lang w:val="en-US" w:eastAsia="zh-CN" w:bidi="ar-SA"/>
              </w:rPr>
              <w:t>min</w:t>
            </w:r>
          </w:p>
        </w:tc>
      </w:tr>
      <w:tr w14:paraId="51C0CA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4472C4"/>
            <w:vAlign w:val="center"/>
          </w:tcPr>
          <w:p w14:paraId="56A71202">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4级</w:t>
            </w:r>
          </w:p>
        </w:tc>
        <w:tc>
          <w:tcPr>
            <w:tcW w:w="662" w:type="pct"/>
            <w:shd w:val="clear" w:color="auto" w:fill="4472C4"/>
            <w:vAlign w:val="center"/>
          </w:tcPr>
          <w:p w14:paraId="1ED52407">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6级</w:t>
            </w:r>
          </w:p>
        </w:tc>
        <w:tc>
          <w:tcPr>
            <w:tcW w:w="662" w:type="pct"/>
            <w:shd w:val="clear" w:color="auto" w:fill="4472C4"/>
            <w:vAlign w:val="center"/>
          </w:tcPr>
          <w:p w14:paraId="36A8E880">
            <w:pPr>
              <w:widowControl w:val="0"/>
              <w:spacing w:line="240" w:lineRule="auto"/>
              <w:ind w:firstLine="0" w:firstLineChars="0"/>
              <w:jc w:val="center"/>
              <w:rPr>
                <w:rFonts w:ascii="Times New Roman" w:hAnsi="Times New Roman" w:eastAsia="仿宋" w:cs="Times New Roman"/>
                <w:b/>
                <w:bCs/>
                <w:color w:val="FFFFFF"/>
                <w:kern w:val="0"/>
                <w:sz w:val="21"/>
                <w:szCs w:val="21"/>
                <w:lang w:val="en-US" w:eastAsia="zh-CN" w:bidi="ar-SA"/>
              </w:rPr>
            </w:pPr>
            <w:r>
              <w:rPr>
                <w:rFonts w:ascii="Times New Roman" w:hAnsi="Times New Roman" w:eastAsia="仿宋" w:cs="Times New Roman"/>
                <w:b/>
                <w:bCs/>
                <w:color w:val="FFFFFF"/>
                <w:kern w:val="0"/>
                <w:sz w:val="21"/>
                <w:szCs w:val="21"/>
                <w:lang w:val="en-US" w:eastAsia="zh-CN" w:bidi="ar-SA"/>
              </w:rPr>
              <w:t>8级</w:t>
            </w:r>
          </w:p>
        </w:tc>
        <w:tc>
          <w:tcPr>
            <w:tcW w:w="589" w:type="pct"/>
            <w:vMerge w:val="continue"/>
            <w:shd w:val="clear" w:color="auto" w:fill="auto"/>
            <w:vAlign w:val="center"/>
          </w:tcPr>
          <w:p w14:paraId="1146BE5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89" w:type="pct"/>
            <w:vMerge w:val="continue"/>
            <w:shd w:val="clear" w:color="auto" w:fill="auto"/>
            <w:vAlign w:val="center"/>
          </w:tcPr>
          <w:p w14:paraId="2BADF26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75" w:type="pct"/>
            <w:vMerge w:val="continue"/>
            <w:shd w:val="clear" w:color="auto" w:fill="auto"/>
            <w:vAlign w:val="center"/>
          </w:tcPr>
          <w:p w14:paraId="02496AA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556" w:type="pct"/>
            <w:vMerge w:val="continue"/>
            <w:shd w:val="clear" w:color="auto" w:fill="auto"/>
            <w:vAlign w:val="center"/>
          </w:tcPr>
          <w:p w14:paraId="413699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c>
          <w:tcPr>
            <w:tcW w:w="605" w:type="pct"/>
            <w:vMerge w:val="continue"/>
            <w:shd w:val="clear" w:color="auto" w:fill="auto"/>
            <w:vAlign w:val="center"/>
          </w:tcPr>
          <w:p w14:paraId="71631C9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p>
        </w:tc>
      </w:tr>
      <w:tr w14:paraId="525698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986" w:type="pct"/>
            <w:gridSpan w:val="3"/>
            <w:shd w:val="clear" w:color="auto" w:fill="auto"/>
            <w:vAlign w:val="center"/>
          </w:tcPr>
          <w:p w14:paraId="27D427F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t</w:t>
            </w:r>
          </w:p>
        </w:tc>
        <w:tc>
          <w:tcPr>
            <w:tcW w:w="3014" w:type="pct"/>
            <w:gridSpan w:val="5"/>
            <w:shd w:val="clear" w:color="auto" w:fill="auto"/>
            <w:vAlign w:val="center"/>
          </w:tcPr>
          <w:p w14:paraId="7AE04FD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mm</w:t>
            </w:r>
          </w:p>
        </w:tc>
      </w:tr>
      <w:tr w14:paraId="2B0B34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6482948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w:t>
            </w:r>
          </w:p>
        </w:tc>
        <w:tc>
          <w:tcPr>
            <w:tcW w:w="662" w:type="pct"/>
            <w:shd w:val="clear" w:color="auto" w:fill="auto"/>
            <w:vAlign w:val="center"/>
          </w:tcPr>
          <w:p w14:paraId="55EEB5E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679AC2E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589" w:type="pct"/>
            <w:shd w:val="clear" w:color="auto" w:fill="auto"/>
            <w:vAlign w:val="center"/>
          </w:tcPr>
          <w:p w14:paraId="4EB3A06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31.5</w:t>
            </w:r>
          </w:p>
        </w:tc>
        <w:tc>
          <w:tcPr>
            <w:tcW w:w="589" w:type="pct"/>
            <w:shd w:val="clear" w:color="auto" w:fill="auto"/>
            <w:vAlign w:val="center"/>
          </w:tcPr>
          <w:p w14:paraId="2E1F421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675" w:type="pct"/>
            <w:shd w:val="clear" w:color="auto" w:fill="auto"/>
            <w:vAlign w:val="center"/>
          </w:tcPr>
          <w:p w14:paraId="1DA7D78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78.1</w:t>
            </w:r>
          </w:p>
        </w:tc>
        <w:tc>
          <w:tcPr>
            <w:tcW w:w="556" w:type="pct"/>
            <w:shd w:val="clear" w:color="auto" w:fill="auto"/>
            <w:vAlign w:val="center"/>
          </w:tcPr>
          <w:p w14:paraId="54E91CF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05" w:type="pct"/>
            <w:shd w:val="clear" w:color="auto" w:fill="auto"/>
            <w:vAlign w:val="center"/>
          </w:tcPr>
          <w:p w14:paraId="5E63BA8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r>
      <w:tr w14:paraId="593F51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B125B6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1A784DE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3A1D076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589" w:type="pct"/>
            <w:shd w:val="clear" w:color="auto" w:fill="auto"/>
            <w:vAlign w:val="center"/>
          </w:tcPr>
          <w:p w14:paraId="7A0DD96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35.5</w:t>
            </w:r>
          </w:p>
        </w:tc>
        <w:tc>
          <w:tcPr>
            <w:tcW w:w="589" w:type="pct"/>
            <w:shd w:val="clear" w:color="auto" w:fill="auto"/>
            <w:vAlign w:val="center"/>
          </w:tcPr>
          <w:p w14:paraId="33ABF96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75" w:type="pct"/>
            <w:shd w:val="clear" w:color="auto" w:fill="auto"/>
            <w:vAlign w:val="center"/>
          </w:tcPr>
          <w:p w14:paraId="0EDCB7E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88</w:t>
            </w:r>
          </w:p>
        </w:tc>
        <w:tc>
          <w:tcPr>
            <w:tcW w:w="556" w:type="pct"/>
            <w:shd w:val="clear" w:color="auto" w:fill="auto"/>
            <w:vAlign w:val="center"/>
          </w:tcPr>
          <w:p w14:paraId="1E4C53D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05" w:type="pct"/>
            <w:shd w:val="clear" w:color="auto" w:fill="auto"/>
            <w:vAlign w:val="center"/>
          </w:tcPr>
          <w:p w14:paraId="52966FE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r>
      <w:tr w14:paraId="0794DB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A16548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w:t>
            </w:r>
          </w:p>
        </w:tc>
        <w:tc>
          <w:tcPr>
            <w:tcW w:w="662" w:type="pct"/>
            <w:shd w:val="clear" w:color="auto" w:fill="auto"/>
            <w:vAlign w:val="center"/>
          </w:tcPr>
          <w:p w14:paraId="6E269D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6679BE8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589" w:type="pct"/>
            <w:shd w:val="clear" w:color="auto" w:fill="auto"/>
            <w:vAlign w:val="center"/>
          </w:tcPr>
          <w:p w14:paraId="1920D63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53C0972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675" w:type="pct"/>
            <w:shd w:val="clear" w:color="auto" w:fill="auto"/>
            <w:vAlign w:val="center"/>
          </w:tcPr>
          <w:p w14:paraId="5A84B12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99</w:t>
            </w:r>
          </w:p>
        </w:tc>
        <w:tc>
          <w:tcPr>
            <w:tcW w:w="556" w:type="pct"/>
            <w:shd w:val="clear" w:color="auto" w:fill="auto"/>
            <w:vAlign w:val="center"/>
          </w:tcPr>
          <w:p w14:paraId="3832EB3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05" w:type="pct"/>
            <w:shd w:val="clear" w:color="auto" w:fill="auto"/>
            <w:vAlign w:val="center"/>
          </w:tcPr>
          <w:p w14:paraId="0AA2C1A7">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r>
      <w:tr w14:paraId="60F399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2E29F1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w:t>
            </w:r>
          </w:p>
        </w:tc>
        <w:tc>
          <w:tcPr>
            <w:tcW w:w="662" w:type="pct"/>
            <w:shd w:val="clear" w:color="auto" w:fill="auto"/>
            <w:vAlign w:val="center"/>
          </w:tcPr>
          <w:p w14:paraId="53649F7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44B7BE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589" w:type="pct"/>
            <w:shd w:val="clear" w:color="auto" w:fill="auto"/>
            <w:vAlign w:val="center"/>
          </w:tcPr>
          <w:p w14:paraId="3734163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45</w:t>
            </w:r>
          </w:p>
        </w:tc>
        <w:tc>
          <w:tcPr>
            <w:tcW w:w="589" w:type="pct"/>
            <w:shd w:val="clear" w:color="auto" w:fill="auto"/>
            <w:vAlign w:val="center"/>
          </w:tcPr>
          <w:p w14:paraId="0F2D9F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75" w:type="pct"/>
            <w:shd w:val="clear" w:color="auto" w:fill="auto"/>
            <w:vAlign w:val="center"/>
          </w:tcPr>
          <w:p w14:paraId="2B4B973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110</w:t>
            </w:r>
          </w:p>
        </w:tc>
        <w:tc>
          <w:tcPr>
            <w:tcW w:w="556" w:type="pct"/>
            <w:shd w:val="clear" w:color="auto" w:fill="auto"/>
            <w:vAlign w:val="center"/>
          </w:tcPr>
          <w:p w14:paraId="1C5AAA7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05" w:type="pct"/>
            <w:shd w:val="clear" w:color="auto" w:fill="auto"/>
            <w:vAlign w:val="center"/>
          </w:tcPr>
          <w:p w14:paraId="7A07437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r>
      <w:tr w14:paraId="574F4A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313725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62" w:type="pct"/>
            <w:shd w:val="clear" w:color="auto" w:fill="auto"/>
            <w:vAlign w:val="center"/>
          </w:tcPr>
          <w:p w14:paraId="74B8CE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1893D14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589" w:type="pct"/>
            <w:shd w:val="clear" w:color="auto" w:fill="auto"/>
            <w:vAlign w:val="center"/>
          </w:tcPr>
          <w:p w14:paraId="514AC77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6DAE5A0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675" w:type="pct"/>
            <w:shd w:val="clear" w:color="auto" w:fill="auto"/>
            <w:vAlign w:val="center"/>
          </w:tcPr>
          <w:p w14:paraId="541584C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123.2</w:t>
            </w:r>
          </w:p>
        </w:tc>
        <w:tc>
          <w:tcPr>
            <w:tcW w:w="556" w:type="pct"/>
            <w:shd w:val="clear" w:color="auto" w:fill="auto"/>
            <w:vAlign w:val="center"/>
          </w:tcPr>
          <w:p w14:paraId="35A19CB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112</w:t>
            </w:r>
          </w:p>
        </w:tc>
        <w:tc>
          <w:tcPr>
            <w:tcW w:w="605" w:type="pct"/>
            <w:shd w:val="clear" w:color="auto" w:fill="auto"/>
            <w:vAlign w:val="center"/>
          </w:tcPr>
          <w:p w14:paraId="3C265CB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r>
      <w:tr w14:paraId="29B37C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5F64D73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w:t>
            </w:r>
          </w:p>
        </w:tc>
        <w:tc>
          <w:tcPr>
            <w:tcW w:w="662" w:type="pct"/>
            <w:shd w:val="clear" w:color="auto" w:fill="auto"/>
            <w:vAlign w:val="center"/>
          </w:tcPr>
          <w:p w14:paraId="3684D2D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2B8E3D9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589" w:type="pct"/>
            <w:shd w:val="clear" w:color="auto" w:fill="auto"/>
            <w:vAlign w:val="center"/>
          </w:tcPr>
          <w:p w14:paraId="584A932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56</w:t>
            </w:r>
          </w:p>
        </w:tc>
        <w:tc>
          <w:tcPr>
            <w:tcW w:w="589" w:type="pct"/>
            <w:shd w:val="clear" w:color="auto" w:fill="auto"/>
            <w:vAlign w:val="center"/>
          </w:tcPr>
          <w:p w14:paraId="5571F89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75" w:type="pct"/>
            <w:shd w:val="clear" w:color="auto" w:fill="auto"/>
            <w:vAlign w:val="center"/>
          </w:tcPr>
          <w:p w14:paraId="222668C1">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138.6</w:t>
            </w:r>
          </w:p>
        </w:tc>
        <w:tc>
          <w:tcPr>
            <w:tcW w:w="556" w:type="pct"/>
            <w:shd w:val="clear" w:color="auto" w:fill="auto"/>
            <w:vAlign w:val="center"/>
          </w:tcPr>
          <w:p w14:paraId="0BE5F81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125</w:t>
            </w:r>
          </w:p>
        </w:tc>
        <w:tc>
          <w:tcPr>
            <w:tcW w:w="605" w:type="pct"/>
            <w:shd w:val="clear" w:color="auto" w:fill="auto"/>
            <w:vAlign w:val="center"/>
          </w:tcPr>
          <w:p w14:paraId="5A4226AF">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r>
      <w:tr w14:paraId="31CD3C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0F953D1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w:t>
            </w:r>
          </w:p>
        </w:tc>
        <w:tc>
          <w:tcPr>
            <w:tcW w:w="662" w:type="pct"/>
            <w:shd w:val="clear" w:color="auto" w:fill="auto"/>
            <w:vAlign w:val="center"/>
          </w:tcPr>
          <w:p w14:paraId="5C1EB5D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3C6FC28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589" w:type="pct"/>
            <w:shd w:val="clear" w:color="auto" w:fill="auto"/>
            <w:vAlign w:val="center"/>
          </w:tcPr>
          <w:p w14:paraId="3D85BBF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623378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675" w:type="pct"/>
            <w:shd w:val="clear" w:color="auto" w:fill="auto"/>
            <w:vAlign w:val="center"/>
          </w:tcPr>
          <w:p w14:paraId="0745ECD6">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156.2</w:t>
            </w:r>
          </w:p>
        </w:tc>
        <w:tc>
          <w:tcPr>
            <w:tcW w:w="556" w:type="pct"/>
            <w:shd w:val="clear" w:color="auto" w:fill="auto"/>
            <w:vAlign w:val="center"/>
          </w:tcPr>
          <w:p w14:paraId="2EA38A1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140</w:t>
            </w:r>
          </w:p>
        </w:tc>
        <w:tc>
          <w:tcPr>
            <w:tcW w:w="605" w:type="pct"/>
            <w:shd w:val="clear" w:color="auto" w:fill="auto"/>
            <w:vAlign w:val="center"/>
          </w:tcPr>
          <w:p w14:paraId="16490D7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r>
      <w:tr w14:paraId="73E38B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7351A5D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25</w:t>
            </w:r>
          </w:p>
        </w:tc>
        <w:tc>
          <w:tcPr>
            <w:tcW w:w="662" w:type="pct"/>
            <w:shd w:val="clear" w:color="auto" w:fill="auto"/>
            <w:vAlign w:val="center"/>
          </w:tcPr>
          <w:p w14:paraId="0DB19D9E">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4C6E482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589" w:type="pct"/>
            <w:shd w:val="clear" w:color="auto" w:fill="auto"/>
            <w:vAlign w:val="center"/>
          </w:tcPr>
          <w:p w14:paraId="5D7F20F8">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71</w:t>
            </w:r>
          </w:p>
        </w:tc>
        <w:tc>
          <w:tcPr>
            <w:tcW w:w="589" w:type="pct"/>
            <w:shd w:val="clear" w:color="auto" w:fill="auto"/>
            <w:vAlign w:val="center"/>
          </w:tcPr>
          <w:p w14:paraId="1B238A3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675" w:type="pct"/>
            <w:shd w:val="clear" w:color="auto" w:fill="auto"/>
            <w:vAlign w:val="center"/>
          </w:tcPr>
          <w:p w14:paraId="0D8025A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178</w:t>
            </w:r>
          </w:p>
        </w:tc>
        <w:tc>
          <w:tcPr>
            <w:tcW w:w="556" w:type="pct"/>
            <w:shd w:val="clear" w:color="auto" w:fill="auto"/>
            <w:vAlign w:val="center"/>
          </w:tcPr>
          <w:p w14:paraId="2910667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160</w:t>
            </w:r>
          </w:p>
        </w:tc>
        <w:tc>
          <w:tcPr>
            <w:tcW w:w="605" w:type="pct"/>
            <w:shd w:val="clear" w:color="auto" w:fill="auto"/>
            <w:vAlign w:val="center"/>
          </w:tcPr>
          <w:p w14:paraId="23C2DEC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r>
      <w:tr w14:paraId="79C80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11EA2E4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32</w:t>
            </w:r>
          </w:p>
        </w:tc>
        <w:tc>
          <w:tcPr>
            <w:tcW w:w="662" w:type="pct"/>
            <w:shd w:val="clear" w:color="auto" w:fill="auto"/>
            <w:vAlign w:val="center"/>
          </w:tcPr>
          <w:p w14:paraId="77BC21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50</w:t>
            </w:r>
          </w:p>
        </w:tc>
        <w:tc>
          <w:tcPr>
            <w:tcW w:w="662" w:type="pct"/>
            <w:shd w:val="clear" w:color="auto" w:fill="auto"/>
            <w:vAlign w:val="center"/>
          </w:tcPr>
          <w:p w14:paraId="47A469CA">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589" w:type="pct"/>
            <w:shd w:val="clear" w:color="auto" w:fill="auto"/>
            <w:vAlign w:val="center"/>
          </w:tcPr>
          <w:p w14:paraId="737506E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7FCF52D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675" w:type="pct"/>
            <w:shd w:val="clear" w:color="auto" w:fill="auto"/>
            <w:vAlign w:val="center"/>
          </w:tcPr>
          <w:p w14:paraId="77AB5A1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198</w:t>
            </w:r>
          </w:p>
        </w:tc>
        <w:tc>
          <w:tcPr>
            <w:tcW w:w="556" w:type="pct"/>
            <w:shd w:val="clear" w:color="auto" w:fill="auto"/>
            <w:vAlign w:val="center"/>
          </w:tcPr>
          <w:p w14:paraId="239D225C">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180</w:t>
            </w:r>
          </w:p>
        </w:tc>
        <w:tc>
          <w:tcPr>
            <w:tcW w:w="605" w:type="pct"/>
            <w:shd w:val="clear" w:color="auto" w:fill="auto"/>
            <w:vAlign w:val="center"/>
          </w:tcPr>
          <w:p w14:paraId="133296B9">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r>
      <w:tr w14:paraId="283251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662" w:type="pct"/>
            <w:shd w:val="clear" w:color="auto" w:fill="auto"/>
            <w:vAlign w:val="center"/>
          </w:tcPr>
          <w:p w14:paraId="10CD3F7D">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40</w:t>
            </w:r>
          </w:p>
        </w:tc>
        <w:tc>
          <w:tcPr>
            <w:tcW w:w="662" w:type="pct"/>
            <w:shd w:val="clear" w:color="auto" w:fill="auto"/>
            <w:vAlign w:val="center"/>
          </w:tcPr>
          <w:p w14:paraId="4C6DDE9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63</w:t>
            </w:r>
          </w:p>
        </w:tc>
        <w:tc>
          <w:tcPr>
            <w:tcW w:w="662" w:type="pct"/>
            <w:shd w:val="clear" w:color="auto" w:fill="auto"/>
            <w:vAlign w:val="center"/>
          </w:tcPr>
          <w:p w14:paraId="0C9FC6DB">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80</w:t>
            </w:r>
          </w:p>
        </w:tc>
        <w:tc>
          <w:tcPr>
            <w:tcW w:w="589" w:type="pct"/>
            <w:shd w:val="clear" w:color="auto" w:fill="auto"/>
            <w:vAlign w:val="center"/>
          </w:tcPr>
          <w:p w14:paraId="5FDAC4A5">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90</w:t>
            </w:r>
          </w:p>
        </w:tc>
        <w:tc>
          <w:tcPr>
            <w:tcW w:w="589" w:type="pct"/>
            <w:shd w:val="clear" w:color="auto" w:fill="auto"/>
            <w:vAlign w:val="center"/>
          </w:tcPr>
          <w:p w14:paraId="74905943">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c>
          <w:tcPr>
            <w:tcW w:w="675" w:type="pct"/>
            <w:shd w:val="clear" w:color="auto" w:fill="auto"/>
            <w:vAlign w:val="center"/>
          </w:tcPr>
          <w:p w14:paraId="19B60A72">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220</w:t>
            </w:r>
          </w:p>
        </w:tc>
        <w:tc>
          <w:tcPr>
            <w:tcW w:w="556" w:type="pct"/>
            <w:shd w:val="clear" w:color="auto" w:fill="auto"/>
            <w:vAlign w:val="center"/>
          </w:tcPr>
          <w:p w14:paraId="4AB04664">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200</w:t>
            </w:r>
          </w:p>
        </w:tc>
        <w:tc>
          <w:tcPr>
            <w:tcW w:w="605" w:type="pct"/>
            <w:shd w:val="clear" w:color="auto" w:fill="auto"/>
            <w:vAlign w:val="center"/>
          </w:tcPr>
          <w:p w14:paraId="61A64280">
            <w:pPr>
              <w:widowControl w:val="0"/>
              <w:spacing w:line="240" w:lineRule="auto"/>
              <w:ind w:firstLine="0" w:firstLineChars="0"/>
              <w:jc w:val="center"/>
              <w:rPr>
                <w:rFonts w:ascii="Times New Roman" w:hAnsi="Times New Roman" w:eastAsia="仿宋" w:cs="Times New Roman"/>
                <w:color w:val="000000"/>
                <w:kern w:val="0"/>
                <w:sz w:val="21"/>
                <w:szCs w:val="21"/>
                <w:lang w:val="en-US" w:eastAsia="zh-CN" w:bidi="ar-SA"/>
              </w:rPr>
            </w:pPr>
            <w:r>
              <w:rPr>
                <w:rFonts w:ascii="Times New Roman" w:hAnsi="Times New Roman" w:eastAsia="仿宋" w:cs="Times New Roman"/>
                <w:color w:val="000000"/>
                <w:kern w:val="0"/>
                <w:sz w:val="21"/>
                <w:szCs w:val="21"/>
                <w:lang w:val="en-US" w:eastAsia="zh-CN" w:bidi="ar-SA"/>
              </w:rPr>
              <w:t>100</w:t>
            </w:r>
          </w:p>
        </w:tc>
      </w:tr>
    </w:tbl>
    <w:p w14:paraId="0C174BBB">
      <w:pPr>
        <w:ind w:firstLine="480"/>
        <w:rPr>
          <w:rFonts w:ascii="Times New Roman" w:hAnsi="Times New Roman" w:eastAsia="宋体" w:cs="Times New Roman"/>
        </w:rPr>
      </w:pPr>
      <w:r>
        <w:rPr>
          <w:rFonts w:hint="eastAsia" w:ascii="Times New Roman" w:hAnsi="Times New Roman" w:eastAsia="宋体" w:cs="Times New Roman"/>
        </w:rPr>
        <w:t>四点吊的塔吊主要部件除起重臂</w:t>
      </w:r>
      <w:r>
        <w:rPr>
          <w:rFonts w:hint="eastAsia" w:cs="Times New Roman"/>
          <w:lang w:eastAsia="zh-CN"/>
        </w:rPr>
        <w:t>、</w:t>
      </w:r>
      <w:r>
        <w:rPr>
          <w:rFonts w:hint="eastAsia" w:cs="Times New Roman"/>
          <w:lang w:val="en-US" w:eastAsia="zh-CN"/>
        </w:rPr>
        <w:t>平衡重</w:t>
      </w:r>
      <w:r>
        <w:rPr>
          <w:rFonts w:hint="eastAsia" w:ascii="Times New Roman" w:hAnsi="Times New Roman" w:eastAsia="宋体" w:cs="Times New Roman"/>
        </w:rPr>
        <w:t>外钢丝绳连接卸扣工作荷载：</w:t>
      </w:r>
    </w:p>
    <w:p w14:paraId="5B3DC6D6">
      <w:pPr>
        <w:ind w:firstLine="480"/>
        <w:rPr>
          <w:rFonts w:ascii="Times New Roman" w:hAnsi="Times New Roman" w:eastAsia="宋体" w:cs="Times New Roman"/>
          <w:highlight w:val="none"/>
        </w:rPr>
      </w:pPr>
      <m:oMath>
        <m:r>
          <m:rPr>
            <m:nor/>
            <m:sty m:val="p"/>
          </m:rPr>
          <w:rPr>
            <w:rFonts w:ascii="Cambria Math" w:hAnsi="Cambria Math"/>
            <w:b w:val="0"/>
            <w:i w:val="0"/>
            <w:highlight w:val="none"/>
          </w:rPr>
          <m:t>WL</m:t>
        </m:r>
        <m:sSub>
          <m:sSubPr>
            <m:ctrlPr>
              <w:rPr>
                <w:rFonts w:ascii="Cambria Math" w:hAnsi="Cambria Math"/>
                <w:i/>
                <w:highlight w:val="none"/>
              </w:rPr>
            </m:ctrlPr>
          </m:sSubPr>
          <m:e>
            <m:r>
              <m:rPr>
                <m:nor/>
                <m:sty m:val="p"/>
              </m:rPr>
              <w:rPr>
                <w:rFonts w:ascii="Cambria Math" w:hAnsi="Cambria Math"/>
                <w:b w:val="0"/>
                <w:i w:val="0"/>
                <w:highlight w:val="none"/>
              </w:rPr>
              <m:t>L</m:t>
            </m:r>
            <m:ctrlPr>
              <w:rPr>
                <w:rFonts w:ascii="Cambria Math" w:hAnsi="Cambria Math"/>
                <w:i/>
                <w:highlight w:val="none"/>
              </w:rPr>
            </m:ctrlPr>
          </m:e>
          <m:sub>
            <m:r>
              <m:rPr>
                <m:nor/>
                <m:sty m:val="p"/>
              </m:rPr>
              <w:rPr>
                <w:rFonts w:ascii="Cambria Math" w:hAnsi="Cambria Math"/>
                <w:b w:val="0"/>
                <w:i w:val="0"/>
                <w:highlight w:val="none"/>
              </w:rPr>
              <m:t>0</m:t>
            </m:r>
            <m:ctrlPr>
              <w:rPr>
                <w:rFonts w:ascii="Cambria Math" w:hAnsi="Cambria Math"/>
                <w:i/>
                <w:highlight w:val="none"/>
              </w:rPr>
            </m:ctrlPr>
          </m:sub>
        </m:sSub>
        <m:r>
          <m:rPr>
            <m:nor/>
            <m:sty m:val="p"/>
          </m:rPr>
          <w:rPr>
            <w:rFonts w:ascii="Cambria Math" w:hAnsi="Cambria Math"/>
            <w:b w:val="0"/>
            <w:i w:val="0"/>
            <w:highlight w:val="none"/>
          </w:rPr>
          <m:t>=</m:t>
        </m:r>
        <m:f>
          <m:fPr>
            <m:ctrlPr>
              <w:rPr>
                <w:rFonts w:ascii="Cambria Math" w:hAnsi="Cambria Math"/>
                <w:i/>
                <w:highlight w:val="none"/>
              </w:rPr>
            </m:ctrlPr>
          </m:fPr>
          <m:num>
            <m:r>
              <m:rPr/>
              <w:rPr>
                <w:rFonts w:hint="default" w:ascii="Cambria Math" w:hAnsi="Cambria Math"/>
                <w:highlight w:val="none"/>
                <w:lang w:val="en-US" w:eastAsia="zh-CN"/>
              </w:rPr>
              <m:t>174.13</m:t>
            </m:r>
            <m:ctrlPr>
              <w:rPr>
                <w:rFonts w:ascii="Cambria Math" w:hAnsi="Cambria Math"/>
                <w:i/>
                <w:highlight w:val="none"/>
              </w:rPr>
            </m:ctrlPr>
          </m:num>
          <m:den>
            <m:r>
              <m:rPr>
                <m:nor/>
                <m:sty m:val="p"/>
              </m:rPr>
              <w:rPr>
                <w:rFonts w:ascii="Cambria Math" w:hAnsi="Cambria Math"/>
                <w:b w:val="0"/>
                <w:i w:val="0"/>
                <w:highlight w:val="none"/>
              </w:rPr>
              <m:t>6</m:t>
            </m:r>
            <m:ctrlPr>
              <w:rPr>
                <w:rFonts w:ascii="Cambria Math" w:hAnsi="Cambria Math"/>
                <w:i/>
                <w:highlight w:val="none"/>
              </w:rPr>
            </m:ctrlPr>
          </m:den>
        </m:f>
        <m:r>
          <m:rPr>
            <m:nor/>
            <m:sty m:val="p"/>
          </m:rPr>
          <w:rPr>
            <w:rFonts w:ascii="Cambria Math" w:hAnsi="Cambria Math"/>
            <w:b w:val="0"/>
            <w:i w:val="0"/>
            <w:highlight w:val="none"/>
          </w:rPr>
          <m:t>=</m:t>
        </m:r>
        <m:r>
          <m:rPr>
            <m:nor/>
            <m:sty m:val="p"/>
          </m:rPr>
          <w:rPr>
            <w:rFonts w:hint="default" w:ascii="Cambria Math" w:hAnsi="Cambria Math"/>
            <w:b w:val="0"/>
            <w:i w:val="0"/>
            <w:highlight w:val="none"/>
            <w:lang w:val="en-US" w:eastAsia="zh-CN"/>
          </w:rPr>
          <m:t>29.03</m:t>
        </m:r>
        <m:r>
          <m:rPr>
            <m:nor/>
            <m:sty m:val="p"/>
          </m:rPr>
          <w:rPr>
            <w:rFonts w:ascii="Cambria Math" w:hAnsi="Cambria Math"/>
            <w:b w:val="0"/>
            <w:i w:val="0"/>
            <w:highlight w:val="none"/>
          </w:rPr>
          <m:t>kN</m:t>
        </m:r>
      </m:oMath>
      <w:r>
        <w:rPr>
          <w:rFonts w:hint="eastAsia" w:ascii="Times New Roman" w:hAnsi="Times New Roman" w:eastAsia="宋体" w:cs="Times New Roman"/>
          <w:highlight w:val="none"/>
        </w:rPr>
        <w:t>，选用卸扣GB/T25854-6-DW</w:t>
      </w:r>
      <w:r>
        <w:rPr>
          <w:rFonts w:hint="eastAsia" w:cs="Times New Roman"/>
          <w:highlight w:val="none"/>
          <w:lang w:val="en-US" w:eastAsia="zh-CN"/>
        </w:rPr>
        <w:t>5</w:t>
      </w:r>
      <w:r>
        <w:rPr>
          <w:rFonts w:hint="eastAsia" w:ascii="Times New Roman" w:hAnsi="Times New Roman" w:eastAsia="宋体" w:cs="Times New Roman"/>
          <w:highlight w:val="none"/>
        </w:rPr>
        <w:t>。</w:t>
      </w:r>
    </w:p>
    <w:p w14:paraId="24A6B945">
      <w:pPr>
        <w:ind w:firstLine="480"/>
        <w:rPr>
          <w:rFonts w:ascii="Times New Roman" w:hAnsi="Times New Roman" w:eastAsia="宋体" w:cs="Times New Roman"/>
          <w:highlight w:val="none"/>
        </w:rPr>
      </w:pPr>
      <w:r>
        <w:rPr>
          <w:rFonts w:hint="eastAsia" w:ascii="Times New Roman" w:hAnsi="Times New Roman" w:eastAsia="宋体" w:cs="Times New Roman"/>
          <w:highlight w:val="none"/>
        </w:rPr>
        <w:t>起重臂</w:t>
      </w:r>
      <w:r>
        <w:rPr>
          <w:rFonts w:hint="eastAsia" w:cs="Times New Roman"/>
          <w:highlight w:val="none"/>
          <w:lang w:eastAsia="zh-CN"/>
        </w:rPr>
        <w:t>、</w:t>
      </w:r>
      <w:r>
        <w:rPr>
          <w:rFonts w:hint="eastAsia" w:cs="Times New Roman"/>
          <w:highlight w:val="none"/>
          <w:lang w:val="en-US" w:eastAsia="zh-CN"/>
        </w:rPr>
        <w:t>平衡重</w:t>
      </w:r>
      <w:r>
        <w:rPr>
          <w:rFonts w:hint="eastAsia" w:ascii="Times New Roman" w:hAnsi="Times New Roman" w:eastAsia="宋体" w:cs="Times New Roman"/>
          <w:highlight w:val="none"/>
        </w:rPr>
        <w:t>吊装钢丝绳连接卸扣工作荷载：</w:t>
      </w:r>
    </w:p>
    <w:p w14:paraId="6C4EA10F">
      <w:pPr>
        <w:ind w:firstLine="480"/>
        <w:rPr>
          <w:rFonts w:ascii="Times New Roman" w:hAnsi="Times New Roman" w:eastAsia="宋体" w:cs="Times New Roman"/>
          <w:highlight w:val="none"/>
        </w:rPr>
      </w:pPr>
      <m:oMath>
        <m:r>
          <m:rPr>
            <m:nor/>
            <m:sty m:val="p"/>
          </m:rPr>
          <w:rPr>
            <w:rFonts w:ascii="Cambria Math" w:hAnsi="Cambria Math" w:cs="Times New Roman"/>
            <w:b w:val="0"/>
            <w:i w:val="0"/>
            <w:highlight w:val="none"/>
          </w:rPr>
          <m:t>WL</m:t>
        </m:r>
        <m:sSub>
          <m:sSubPr>
            <m:ctrlPr>
              <w:rPr>
                <w:rFonts w:ascii="Cambria Math" w:hAnsi="Cambria Math" w:cs="Times New Roman"/>
                <w:i/>
                <w:highlight w:val="none"/>
              </w:rPr>
            </m:ctrlPr>
          </m:sSubPr>
          <m:e>
            <m:r>
              <m:rPr>
                <m:nor/>
                <m:sty m:val="p"/>
              </m:rPr>
              <w:rPr>
                <w:rFonts w:ascii="Cambria Math" w:hAnsi="Cambria Math" w:cs="Times New Roman"/>
                <w:b w:val="0"/>
                <w:i w:val="0"/>
                <w:highlight w:val="none"/>
              </w:rPr>
              <m:t>L</m:t>
            </m:r>
            <m:ctrlPr>
              <w:rPr>
                <w:rFonts w:ascii="Cambria Math" w:hAnsi="Cambria Math" w:cs="Times New Roman"/>
                <w:i/>
                <w:highlight w:val="none"/>
              </w:rPr>
            </m:ctrlPr>
          </m:e>
          <m:sub>
            <m:r>
              <m:rPr>
                <m:nor/>
                <m:sty m:val="p"/>
              </m:rPr>
              <w:rPr>
                <w:rFonts w:ascii="Cambria Math" w:hAnsi="Cambria Math" w:cs="Times New Roman"/>
                <w:b w:val="0"/>
                <w:i w:val="0"/>
                <w:highlight w:val="none"/>
              </w:rPr>
              <m:t>0</m:t>
            </m:r>
            <m:ctrlPr>
              <w:rPr>
                <w:rFonts w:ascii="Cambria Math" w:hAnsi="Cambria Math" w:cs="Times New Roman"/>
                <w:i/>
                <w:highlight w:val="none"/>
              </w:rPr>
            </m:ctrlPr>
          </m:sub>
        </m:sSub>
        <m:r>
          <m:rPr>
            <m:nor/>
            <m:sty m:val="p"/>
          </m:rPr>
          <w:rPr>
            <w:rFonts w:ascii="Cambria Math" w:hAnsi="Cambria Math" w:cs="Times New Roman"/>
            <w:b w:val="0"/>
            <w:i w:val="0"/>
            <w:highlight w:val="none"/>
          </w:rPr>
          <m:t>=</m:t>
        </m:r>
        <m:f>
          <m:fPr>
            <m:ctrlPr>
              <w:rPr>
                <w:rFonts w:ascii="Cambria Math" w:hAnsi="Cambria Math" w:cs="Times New Roman"/>
                <w:i/>
                <w:highlight w:val="none"/>
              </w:rPr>
            </m:ctrlPr>
          </m:fPr>
          <m:num>
            <m:r>
              <m:rPr>
                <m:sty m:val="p"/>
              </m:rPr>
              <w:rPr>
                <w:rFonts w:hint="default" w:ascii="Cambria Math" w:cs="Times New Roman"/>
                <w:highlight w:val="none"/>
                <w:lang w:val="en-US" w:eastAsia="zh-CN"/>
              </w:rPr>
              <m:t>151.77</m:t>
            </m:r>
            <m:ctrlPr>
              <w:rPr>
                <w:rFonts w:ascii="Cambria Math" w:hAnsi="Cambria Math" w:cs="Times New Roman"/>
                <w:i/>
                <w:highlight w:val="none"/>
              </w:rPr>
            </m:ctrlPr>
          </m:num>
          <m:den>
            <m:r>
              <m:rPr>
                <m:nor/>
                <m:sty m:val="p"/>
              </m:rPr>
              <w:rPr>
                <w:rFonts w:ascii="Cambria Math" w:hAnsi="Cambria Math" w:cs="Times New Roman"/>
                <w:b w:val="0"/>
                <w:i w:val="0"/>
                <w:highlight w:val="none"/>
              </w:rPr>
              <m:t>6</m:t>
            </m:r>
            <m:ctrlPr>
              <w:rPr>
                <w:rFonts w:ascii="Cambria Math" w:hAnsi="Cambria Math" w:cs="Times New Roman"/>
                <w:i/>
                <w:highlight w:val="none"/>
              </w:rPr>
            </m:ctrlPr>
          </m:den>
        </m:f>
        <m:r>
          <m:rPr>
            <m:nor/>
            <m:sty m:val="p"/>
          </m:rPr>
          <w:rPr>
            <w:rFonts w:ascii="Cambria Math" w:hAnsi="Cambria Math" w:cs="Times New Roman"/>
            <w:b w:val="0"/>
            <w:i w:val="0"/>
            <w:highlight w:val="none"/>
          </w:rPr>
          <m:t>=</m:t>
        </m:r>
        <m:r>
          <m:rPr>
            <m:nor/>
            <m:sty m:val="p"/>
          </m:rPr>
          <w:rPr>
            <w:rFonts w:hint="default" w:ascii="Cambria Math" w:cs="Times New Roman"/>
            <w:b w:val="0"/>
            <w:i w:val="0"/>
            <w:highlight w:val="none"/>
            <w:lang w:val="en-US" w:eastAsia="zh-CN"/>
          </w:rPr>
          <m:t>25.30</m:t>
        </m:r>
        <m:r>
          <m:rPr>
            <m:nor/>
            <m:sty m:val="p"/>
          </m:rPr>
          <w:rPr>
            <w:rFonts w:ascii="Cambria Math" w:hAnsi="Cambria Math" w:cs="Times New Roman"/>
            <w:b w:val="0"/>
            <w:i w:val="0"/>
            <w:highlight w:val="none"/>
          </w:rPr>
          <m:t>kN</m:t>
        </m:r>
      </m:oMath>
      <w:r>
        <w:rPr>
          <w:rFonts w:hint="eastAsia" w:ascii="Times New Roman" w:hAnsi="Times New Roman" w:eastAsia="宋体" w:cs="Times New Roman"/>
          <w:highlight w:val="none"/>
        </w:rPr>
        <w:t>，选用卸扣GB/T25854-6-DW</w:t>
      </w:r>
      <w:r>
        <w:rPr>
          <w:rFonts w:hint="eastAsia" w:cs="Times New Roman"/>
          <w:highlight w:val="none"/>
          <w:lang w:val="en-US" w:eastAsia="zh-CN"/>
        </w:rPr>
        <w:t>5</w:t>
      </w:r>
      <w:r>
        <w:rPr>
          <w:rFonts w:hint="eastAsia" w:ascii="Times New Roman" w:hAnsi="Times New Roman" w:eastAsia="宋体" w:cs="Times New Roman"/>
          <w:highlight w:val="none"/>
        </w:rPr>
        <w:t>。</w:t>
      </w:r>
    </w:p>
    <w:p w14:paraId="41824F75">
      <w:r>
        <w:rPr>
          <w:color w:val="auto"/>
        </w:rPr>
        <w:t>根据塔吊基础设计参数及塔吊主要部件重量及吊</w:t>
      </w:r>
      <w:r>
        <w:rPr>
          <w:rFonts w:hint="eastAsia"/>
          <w:color w:val="auto"/>
        </w:rPr>
        <w:t>装</w:t>
      </w:r>
      <w:r>
        <w:rPr>
          <w:color w:val="auto"/>
        </w:rPr>
        <w:t>高度，确定安装过程中所需的最大吊重、最大钢丝绳夹角，结合施工现场实际情况，确定起重钢丝绳型号。钢丝绳及卸扣选型见下表。</w:t>
      </w:r>
    </w:p>
    <w:p w14:paraId="6598208D">
      <w:pPr>
        <w:pStyle w:val="16"/>
        <w:rPr>
          <w:color w:val="auto"/>
        </w:rPr>
      </w:pPr>
      <w:r>
        <w:rPr>
          <w:color w:val="auto"/>
        </w:rPr>
        <w:t xml:space="preserve">表 </w:t>
      </w:r>
      <w:r>
        <w:rPr>
          <w:rFonts w:hint="eastAsia"/>
          <w:color w:val="auto"/>
          <w:lang w:val="en-US" w:eastAsia="zh-CN"/>
        </w:rPr>
        <w:t>11.1-1</w:t>
      </w:r>
      <w:r>
        <w:rPr>
          <w:color w:val="auto"/>
        </w:rPr>
        <w:t>钢丝绳选型表</w:t>
      </w:r>
    </w:p>
    <w:tbl>
      <w:tblPr>
        <w:tblStyle w:val="43"/>
        <w:tblW w:w="59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1"/>
        <w:gridCol w:w="1559"/>
        <w:gridCol w:w="2835"/>
        <w:gridCol w:w="567"/>
        <w:gridCol w:w="567"/>
      </w:tblGrid>
      <w:tr w14:paraId="41DF74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411" w:type="dxa"/>
            <w:vAlign w:val="center"/>
          </w:tcPr>
          <w:p w14:paraId="48992B50">
            <w:pPr>
              <w:pStyle w:val="327"/>
              <w:rPr>
                <w:b w:val="0"/>
                <w:color w:val="auto"/>
              </w:rPr>
            </w:pPr>
            <w:r>
              <w:rPr>
                <w:b/>
                <w:color w:val="auto"/>
              </w:rPr>
              <w:t>序号</w:t>
            </w:r>
          </w:p>
        </w:tc>
        <w:tc>
          <w:tcPr>
            <w:tcW w:w="1559" w:type="dxa"/>
            <w:vAlign w:val="center"/>
          </w:tcPr>
          <w:p w14:paraId="2B69C5FF">
            <w:pPr>
              <w:pStyle w:val="327"/>
              <w:rPr>
                <w:b w:val="0"/>
                <w:color w:val="auto"/>
              </w:rPr>
            </w:pPr>
            <w:r>
              <w:rPr>
                <w:b/>
                <w:color w:val="auto"/>
              </w:rPr>
              <w:t>设备名称</w:t>
            </w:r>
          </w:p>
        </w:tc>
        <w:tc>
          <w:tcPr>
            <w:tcW w:w="2835" w:type="dxa"/>
            <w:vAlign w:val="center"/>
          </w:tcPr>
          <w:p w14:paraId="591DE1A5">
            <w:pPr>
              <w:pStyle w:val="327"/>
              <w:rPr>
                <w:b w:val="0"/>
                <w:color w:val="auto"/>
              </w:rPr>
            </w:pPr>
            <w:r>
              <w:rPr>
                <w:b/>
                <w:color w:val="auto"/>
              </w:rPr>
              <w:t>规格型号</w:t>
            </w:r>
          </w:p>
        </w:tc>
        <w:tc>
          <w:tcPr>
            <w:tcW w:w="567" w:type="dxa"/>
            <w:vAlign w:val="center"/>
          </w:tcPr>
          <w:p w14:paraId="3C505794">
            <w:pPr>
              <w:pStyle w:val="327"/>
              <w:rPr>
                <w:b w:val="0"/>
                <w:color w:val="auto"/>
              </w:rPr>
            </w:pPr>
            <w:r>
              <w:rPr>
                <w:b/>
                <w:color w:val="auto"/>
              </w:rPr>
              <w:t>单位</w:t>
            </w:r>
          </w:p>
        </w:tc>
        <w:tc>
          <w:tcPr>
            <w:tcW w:w="567" w:type="dxa"/>
            <w:vAlign w:val="center"/>
          </w:tcPr>
          <w:p w14:paraId="7564A4F8">
            <w:pPr>
              <w:pStyle w:val="327"/>
              <w:rPr>
                <w:b w:val="0"/>
                <w:color w:val="auto"/>
              </w:rPr>
            </w:pPr>
            <w:r>
              <w:rPr>
                <w:b/>
                <w:color w:val="auto"/>
              </w:rPr>
              <w:t>数量</w:t>
            </w:r>
          </w:p>
        </w:tc>
      </w:tr>
      <w:tr w14:paraId="1D4B31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24328160">
            <w:pPr>
              <w:pStyle w:val="327"/>
              <w:numPr>
                <w:ilvl w:val="0"/>
                <w:numId w:val="45"/>
              </w:numPr>
              <w:ind w:left="425" w:leftChars="0" w:hanging="425" w:firstLineChars="0"/>
              <w:rPr>
                <w:rFonts w:hint="default" w:eastAsia="宋体"/>
                <w:color w:val="auto"/>
                <w:lang w:val="en-US" w:eastAsia="zh-CN"/>
              </w:rPr>
            </w:pPr>
          </w:p>
        </w:tc>
        <w:tc>
          <w:tcPr>
            <w:tcW w:w="1559" w:type="dxa"/>
            <w:vAlign w:val="center"/>
          </w:tcPr>
          <w:p w14:paraId="5873FBC6">
            <w:pPr>
              <w:pStyle w:val="327"/>
              <w:rPr>
                <w:color w:val="auto"/>
              </w:rPr>
            </w:pPr>
            <w:r>
              <w:rPr>
                <w:color w:val="auto"/>
              </w:rPr>
              <w:t>起重用钢丝绳</w:t>
            </w:r>
          </w:p>
        </w:tc>
        <w:tc>
          <w:tcPr>
            <w:tcW w:w="2835" w:type="dxa"/>
            <w:vAlign w:val="center"/>
          </w:tcPr>
          <w:p w14:paraId="383C94F7">
            <w:pPr>
              <w:pStyle w:val="327"/>
              <w:rPr>
                <w:color w:val="auto"/>
              </w:rPr>
            </w:pPr>
            <w:r>
              <w:rPr>
                <w:rFonts w:hint="eastAsia" w:cs="Times New Roman"/>
                <w:b w:val="0"/>
                <w:bCs w:val="0"/>
                <w:lang w:val="en-US" w:eastAsia="zh-CN"/>
              </w:rPr>
              <w:t>16</w:t>
            </w:r>
            <w:r>
              <w:rPr>
                <w:rFonts w:cs="Times New Roman"/>
                <w:b w:val="0"/>
                <w:bCs w:val="0"/>
              </w:rPr>
              <w:t>mm</w:t>
            </w:r>
            <w:r>
              <w:rPr>
                <w:rFonts w:eastAsia="仿宋" w:cs="Times New Roman"/>
                <w:b w:val="0"/>
                <w:bCs w:val="0"/>
              </w:rPr>
              <w:t>6×19S+FC1</w:t>
            </w:r>
            <w:r>
              <w:rPr>
                <w:rFonts w:hint="eastAsia" w:eastAsia="仿宋" w:cs="Times New Roman"/>
                <w:b w:val="0"/>
                <w:bCs w:val="0"/>
                <w:lang w:val="en-US" w:eastAsia="zh-CN"/>
              </w:rPr>
              <w:t>8</w:t>
            </w:r>
            <w:r>
              <w:rPr>
                <w:rFonts w:eastAsia="仿宋" w:cs="Times New Roman"/>
                <w:b w:val="0"/>
                <w:bCs w:val="0"/>
              </w:rPr>
              <w:t>70</w:t>
            </w:r>
            <w:r>
              <w:rPr>
                <w:rFonts w:cs="Times New Roman"/>
                <w:b w:val="0"/>
                <w:bCs w:val="0"/>
              </w:rPr>
              <w:t>Mpa</w:t>
            </w:r>
          </w:p>
        </w:tc>
        <w:tc>
          <w:tcPr>
            <w:tcW w:w="567" w:type="dxa"/>
            <w:vAlign w:val="center"/>
          </w:tcPr>
          <w:p w14:paraId="11AD972C">
            <w:pPr>
              <w:pStyle w:val="327"/>
              <w:rPr>
                <w:color w:val="auto"/>
              </w:rPr>
            </w:pPr>
            <w:r>
              <w:rPr>
                <w:color w:val="auto"/>
              </w:rPr>
              <w:t>根</w:t>
            </w:r>
          </w:p>
        </w:tc>
        <w:tc>
          <w:tcPr>
            <w:tcW w:w="567" w:type="dxa"/>
            <w:vAlign w:val="center"/>
          </w:tcPr>
          <w:p w14:paraId="5F961709">
            <w:pPr>
              <w:pStyle w:val="327"/>
              <w:rPr>
                <w:rFonts w:hint="eastAsia" w:eastAsia="宋体"/>
                <w:color w:val="auto"/>
                <w:lang w:eastAsia="zh-CN"/>
              </w:rPr>
            </w:pPr>
            <w:r>
              <w:rPr>
                <w:rFonts w:hint="eastAsia"/>
                <w:color w:val="auto"/>
                <w:lang w:val="en-US" w:eastAsia="zh-CN"/>
              </w:rPr>
              <w:t>2</w:t>
            </w:r>
          </w:p>
        </w:tc>
      </w:tr>
      <w:tr w14:paraId="5D210D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31021C1A">
            <w:pPr>
              <w:pStyle w:val="327"/>
              <w:numPr>
                <w:ilvl w:val="0"/>
                <w:numId w:val="45"/>
              </w:numPr>
              <w:ind w:left="425" w:leftChars="0" w:hanging="425" w:firstLineChars="0"/>
              <w:rPr>
                <w:rFonts w:hint="eastAsia" w:eastAsia="宋体"/>
                <w:color w:val="auto"/>
                <w:lang w:val="en-US" w:eastAsia="zh-CN"/>
              </w:rPr>
            </w:pPr>
          </w:p>
        </w:tc>
        <w:tc>
          <w:tcPr>
            <w:tcW w:w="1559" w:type="dxa"/>
            <w:vAlign w:val="center"/>
          </w:tcPr>
          <w:p w14:paraId="209A7D16">
            <w:pPr>
              <w:pStyle w:val="327"/>
              <w:rPr>
                <w:color w:val="auto"/>
              </w:rPr>
            </w:pPr>
            <w:r>
              <w:rPr>
                <w:color w:val="auto"/>
              </w:rPr>
              <w:t>起重用钢丝绳</w:t>
            </w:r>
          </w:p>
        </w:tc>
        <w:tc>
          <w:tcPr>
            <w:tcW w:w="2835" w:type="dxa"/>
            <w:vAlign w:val="center"/>
          </w:tcPr>
          <w:p w14:paraId="0CA9CD5D">
            <w:pPr>
              <w:pStyle w:val="327"/>
              <w:rPr>
                <w:color w:val="auto"/>
              </w:rPr>
            </w:pPr>
            <w:r>
              <w:rPr>
                <w:rFonts w:hint="eastAsia" w:cs="Times New Roman"/>
                <w:b w:val="0"/>
                <w:bCs w:val="0"/>
                <w:lang w:val="en-US" w:eastAsia="zh-CN"/>
              </w:rPr>
              <w:t>18</w:t>
            </w:r>
            <w:r>
              <w:rPr>
                <w:rFonts w:cs="Times New Roman"/>
                <w:b w:val="0"/>
                <w:bCs w:val="0"/>
              </w:rPr>
              <w:t>mm</w:t>
            </w:r>
            <w:r>
              <w:rPr>
                <w:rFonts w:eastAsia="仿宋" w:cs="Times New Roman"/>
                <w:b w:val="0"/>
                <w:bCs w:val="0"/>
              </w:rPr>
              <w:t>6×19S+FC1</w:t>
            </w:r>
            <w:r>
              <w:rPr>
                <w:rFonts w:hint="eastAsia" w:eastAsia="仿宋" w:cs="Times New Roman"/>
                <w:b w:val="0"/>
                <w:bCs w:val="0"/>
                <w:lang w:val="en-US" w:eastAsia="zh-CN"/>
              </w:rPr>
              <w:t>8</w:t>
            </w:r>
            <w:r>
              <w:rPr>
                <w:rFonts w:eastAsia="仿宋" w:cs="Times New Roman"/>
                <w:b w:val="0"/>
                <w:bCs w:val="0"/>
              </w:rPr>
              <w:t>70</w:t>
            </w:r>
            <w:r>
              <w:rPr>
                <w:rFonts w:cs="Times New Roman"/>
                <w:b w:val="0"/>
                <w:bCs w:val="0"/>
              </w:rPr>
              <w:t>Mpa</w:t>
            </w:r>
          </w:p>
        </w:tc>
        <w:tc>
          <w:tcPr>
            <w:tcW w:w="567" w:type="dxa"/>
            <w:vAlign w:val="center"/>
          </w:tcPr>
          <w:p w14:paraId="32160006">
            <w:pPr>
              <w:pStyle w:val="327"/>
              <w:rPr>
                <w:color w:val="auto"/>
              </w:rPr>
            </w:pPr>
            <w:r>
              <w:rPr>
                <w:color w:val="auto"/>
              </w:rPr>
              <w:t>根</w:t>
            </w:r>
          </w:p>
        </w:tc>
        <w:tc>
          <w:tcPr>
            <w:tcW w:w="567" w:type="dxa"/>
            <w:vAlign w:val="center"/>
          </w:tcPr>
          <w:p w14:paraId="6EAF7027">
            <w:pPr>
              <w:pStyle w:val="327"/>
              <w:rPr>
                <w:color w:val="auto"/>
              </w:rPr>
            </w:pPr>
            <w:r>
              <w:rPr>
                <w:color w:val="auto"/>
              </w:rPr>
              <w:t>4</w:t>
            </w:r>
          </w:p>
        </w:tc>
      </w:tr>
      <w:tr w14:paraId="78E3D2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1" w:type="dxa"/>
            <w:vAlign w:val="center"/>
          </w:tcPr>
          <w:p w14:paraId="5B3D6BA9">
            <w:pPr>
              <w:pStyle w:val="327"/>
              <w:numPr>
                <w:ilvl w:val="0"/>
                <w:numId w:val="45"/>
              </w:numPr>
              <w:ind w:left="425" w:leftChars="0" w:hanging="425" w:firstLineChars="0"/>
              <w:rPr>
                <w:rFonts w:hint="default"/>
                <w:color w:val="auto"/>
                <w:lang w:val="en-US" w:eastAsia="zh-CN"/>
              </w:rPr>
            </w:pPr>
          </w:p>
        </w:tc>
        <w:tc>
          <w:tcPr>
            <w:tcW w:w="1559" w:type="dxa"/>
            <w:vAlign w:val="center"/>
          </w:tcPr>
          <w:p w14:paraId="68522954">
            <w:pPr>
              <w:pStyle w:val="327"/>
              <w:ind w:firstLine="0" w:firstLineChars="0"/>
              <w:rPr>
                <w:rFonts w:ascii="Times New Roman" w:hAnsi="Times New Roman" w:eastAsia="宋体" w:cstheme="minorBidi"/>
                <w:color w:val="auto"/>
                <w:kern w:val="2"/>
                <w:sz w:val="21"/>
                <w:szCs w:val="21"/>
                <w:lang w:val="en-US" w:eastAsia="zh-CN" w:bidi="ar-SA"/>
              </w:rPr>
            </w:pPr>
            <w:r>
              <w:rPr>
                <w:color w:val="auto"/>
              </w:rPr>
              <w:t>卸扣</w:t>
            </w:r>
          </w:p>
        </w:tc>
        <w:tc>
          <w:tcPr>
            <w:tcW w:w="2835" w:type="dxa"/>
            <w:vAlign w:val="center"/>
          </w:tcPr>
          <w:p w14:paraId="357474C1">
            <w:pPr>
              <w:pStyle w:val="327"/>
              <w:ind w:firstLine="0" w:firstLineChars="0"/>
              <w:rPr>
                <w:rFonts w:hint="default" w:ascii="Times New Roman" w:hAnsi="Times New Roman" w:eastAsia="宋体" w:cstheme="minorBidi"/>
                <w:color w:val="auto"/>
                <w:kern w:val="2"/>
                <w:sz w:val="21"/>
                <w:szCs w:val="21"/>
                <w:lang w:val="en-US" w:eastAsia="zh-CN" w:bidi="ar-SA"/>
              </w:rPr>
            </w:pPr>
            <w:r>
              <w:t>GB/T 25854-6-DW</w:t>
            </w:r>
            <w:r>
              <w:rPr>
                <w:rFonts w:hint="eastAsia"/>
                <w:lang w:val="en-US" w:eastAsia="zh-CN"/>
              </w:rPr>
              <w:t>5</w:t>
            </w:r>
          </w:p>
        </w:tc>
        <w:tc>
          <w:tcPr>
            <w:tcW w:w="567" w:type="dxa"/>
            <w:vAlign w:val="center"/>
          </w:tcPr>
          <w:p w14:paraId="19B39ABE">
            <w:pPr>
              <w:pStyle w:val="327"/>
              <w:ind w:firstLine="0" w:firstLineChars="0"/>
              <w:rPr>
                <w:rFonts w:ascii="Times New Roman" w:hAnsi="Times New Roman" w:eastAsia="宋体" w:cstheme="minorBidi"/>
                <w:color w:val="auto"/>
                <w:kern w:val="2"/>
                <w:sz w:val="21"/>
                <w:szCs w:val="21"/>
                <w:lang w:val="en-US" w:eastAsia="zh-CN" w:bidi="ar-SA"/>
              </w:rPr>
            </w:pPr>
            <w:r>
              <w:rPr>
                <w:color w:val="auto"/>
              </w:rPr>
              <w:t>个</w:t>
            </w:r>
          </w:p>
        </w:tc>
        <w:tc>
          <w:tcPr>
            <w:tcW w:w="567" w:type="dxa"/>
            <w:vAlign w:val="center"/>
          </w:tcPr>
          <w:p w14:paraId="713274D4">
            <w:pPr>
              <w:pStyle w:val="327"/>
              <w:ind w:firstLine="0" w:firstLineChars="0"/>
              <w:rPr>
                <w:rFonts w:ascii="Times New Roman" w:hAnsi="Times New Roman" w:eastAsia="宋体" w:cstheme="minorBidi"/>
                <w:color w:val="auto"/>
                <w:kern w:val="2"/>
                <w:sz w:val="21"/>
                <w:szCs w:val="21"/>
                <w:lang w:val="en-US" w:eastAsia="zh-CN" w:bidi="ar-SA"/>
              </w:rPr>
            </w:pPr>
            <w:r>
              <w:rPr>
                <w:color w:val="auto"/>
              </w:rPr>
              <w:t>4</w:t>
            </w:r>
          </w:p>
        </w:tc>
      </w:tr>
    </w:tbl>
    <w:p w14:paraId="7CC416EF">
      <w:pPr>
        <w:pStyle w:val="2"/>
        <w:bidi w:val="0"/>
        <w:ind w:left="432" w:leftChars="0" w:hanging="432" w:firstLineChars="0"/>
      </w:pPr>
      <w:bookmarkStart w:id="297" w:name="_Toc24691"/>
      <w:bookmarkStart w:id="298" w:name="_Toc20622"/>
      <w:bookmarkStart w:id="299" w:name="_Toc19981"/>
      <w:r>
        <w:rPr>
          <w:rFonts w:hint="eastAsia"/>
        </w:rPr>
        <w:t>附件</w:t>
      </w:r>
      <w:bookmarkEnd w:id="297"/>
      <w:bookmarkEnd w:id="298"/>
      <w:bookmarkEnd w:id="299"/>
    </w:p>
    <w:p w14:paraId="4F197C06">
      <w:pPr>
        <w:pStyle w:val="3"/>
        <w:bidi w:val="0"/>
        <w:ind w:left="575" w:leftChars="0" w:hanging="575" w:firstLineChars="0"/>
        <w:rPr>
          <w:rFonts w:hint="eastAsia"/>
          <w:b/>
          <w:bCs w:val="0"/>
        </w:rPr>
      </w:pPr>
      <w:bookmarkStart w:id="300" w:name="_Toc27354"/>
      <w:bookmarkStart w:id="301" w:name="_Toc26885"/>
      <w:bookmarkStart w:id="302" w:name="_Toc21514"/>
      <w:r>
        <w:rPr>
          <w:rFonts w:hint="eastAsia"/>
          <w:b/>
          <w:bCs w:val="0"/>
        </w:rPr>
        <w:t>附</w:t>
      </w:r>
      <w:r>
        <w:rPr>
          <w:rFonts w:hint="eastAsia"/>
          <w:b/>
          <w:bCs w:val="0"/>
          <w:lang w:val="en-US" w:eastAsia="zh-CN"/>
        </w:rPr>
        <w:t>件1：</w:t>
      </w:r>
      <w:r>
        <w:rPr>
          <w:rFonts w:hint="eastAsia"/>
          <w:b/>
          <w:bCs w:val="0"/>
        </w:rPr>
        <w:t>安装单位资质及人员证件</w:t>
      </w:r>
      <w:bookmarkEnd w:id="290"/>
      <w:bookmarkEnd w:id="291"/>
      <w:bookmarkEnd w:id="292"/>
      <w:bookmarkEnd w:id="293"/>
      <w:bookmarkEnd w:id="294"/>
      <w:bookmarkEnd w:id="300"/>
      <w:bookmarkEnd w:id="301"/>
      <w:bookmarkEnd w:id="302"/>
    </w:p>
    <w:p w14:paraId="2FA94ADF">
      <w:pPr>
        <w:pStyle w:val="3"/>
        <w:bidi w:val="0"/>
        <w:ind w:left="575" w:leftChars="0" w:hanging="575" w:firstLineChars="0"/>
        <w:rPr>
          <w:rFonts w:hint="eastAsia"/>
          <w:b/>
          <w:bCs w:val="0"/>
          <w:lang w:eastAsia="zh-CN"/>
        </w:rPr>
      </w:pPr>
      <w:bookmarkStart w:id="303" w:name="_Toc401"/>
      <w:bookmarkStart w:id="304" w:name="_Toc12411"/>
      <w:bookmarkStart w:id="305" w:name="_Toc7629"/>
      <w:bookmarkStart w:id="306" w:name="_Toc29018"/>
      <w:bookmarkStart w:id="307" w:name="_Toc13018"/>
      <w:bookmarkStart w:id="308" w:name="_Toc25359"/>
      <w:bookmarkStart w:id="309" w:name="_Toc31666"/>
      <w:r>
        <w:rPr>
          <w:rFonts w:hint="eastAsia"/>
          <w:b/>
          <w:bCs w:val="0"/>
        </w:rPr>
        <w:t>附</w:t>
      </w:r>
      <w:r>
        <w:rPr>
          <w:rFonts w:hint="eastAsia"/>
          <w:b/>
          <w:bCs w:val="0"/>
          <w:lang w:val="en-US" w:eastAsia="zh-CN"/>
        </w:rPr>
        <w:t>件2：</w:t>
      </w:r>
      <w:r>
        <w:rPr>
          <w:rFonts w:hint="eastAsia"/>
          <w:b/>
          <w:bCs w:val="0"/>
        </w:rPr>
        <w:t xml:space="preserve"> 制造单位资质</w:t>
      </w:r>
      <w:bookmarkEnd w:id="303"/>
      <w:bookmarkEnd w:id="304"/>
      <w:bookmarkEnd w:id="305"/>
      <w:bookmarkEnd w:id="306"/>
      <w:bookmarkEnd w:id="307"/>
      <w:bookmarkEnd w:id="308"/>
      <w:bookmarkEnd w:id="309"/>
    </w:p>
    <w:p w14:paraId="31A66E7B">
      <w:pPr>
        <w:pStyle w:val="3"/>
        <w:bidi w:val="0"/>
        <w:ind w:left="575" w:leftChars="0" w:hanging="575" w:firstLineChars="0"/>
        <w:rPr>
          <w:rFonts w:hint="default"/>
          <w:b/>
          <w:bCs w:val="0"/>
          <w:lang w:val="en-US" w:eastAsia="zh-CN"/>
        </w:rPr>
      </w:pPr>
      <w:bookmarkStart w:id="310" w:name="_Toc10007"/>
      <w:bookmarkStart w:id="311" w:name="_Toc18975"/>
      <w:bookmarkStart w:id="312" w:name="_Toc29836"/>
      <w:r>
        <w:rPr>
          <w:rFonts w:hint="eastAsia"/>
          <w:b/>
          <w:bCs w:val="0"/>
          <w:lang w:val="en-US" w:eastAsia="zh-CN"/>
        </w:rPr>
        <w:t>附件3：塔式起重机说明书</w:t>
      </w:r>
      <w:bookmarkEnd w:id="310"/>
      <w:bookmarkEnd w:id="311"/>
      <w:bookmarkEnd w:id="312"/>
    </w:p>
    <w:p w14:paraId="05686EDA">
      <w:pPr>
        <w:pStyle w:val="3"/>
        <w:bidi w:val="0"/>
        <w:ind w:left="575" w:leftChars="0" w:hanging="575" w:firstLineChars="0"/>
        <w:rPr>
          <w:rFonts w:hint="default"/>
          <w:b/>
          <w:bCs w:val="0"/>
          <w:lang w:val="en-US" w:eastAsia="zh-CN"/>
        </w:rPr>
      </w:pPr>
      <w:bookmarkStart w:id="313" w:name="_Toc23218"/>
      <w:bookmarkStart w:id="314" w:name="_Toc5938"/>
      <w:bookmarkStart w:id="315" w:name="_Toc9337"/>
      <w:r>
        <w:rPr>
          <w:rFonts w:hint="eastAsia"/>
          <w:b/>
          <w:bCs w:val="0"/>
          <w:lang w:val="en-US" w:eastAsia="zh-CN"/>
        </w:rPr>
        <w:t>附件4：塔式起重机安装自检验收表</w:t>
      </w:r>
      <w:bookmarkEnd w:id="313"/>
      <w:bookmarkEnd w:id="314"/>
      <w:bookmarkEnd w:id="315"/>
    </w:p>
    <w:p w14:paraId="60BC27A1"/>
    <w:p w14:paraId="652212BA"/>
    <w:p w14:paraId="2B402A99"/>
    <w:sectPr>
      <w:pgSz w:w="11906" w:h="16838"/>
      <w:pgMar w:top="1417" w:right="1134" w:bottom="1417" w:left="1701" w:header="851" w:footer="850" w:gutter="0"/>
      <w:pgNumType w:fmt="decimal"/>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ST Kaiti">
    <w:altName w:val="宋体"/>
    <w:panose1 w:val="00000000000000000000"/>
    <w:charset w:val="86"/>
    <w:family w:val="roma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1F00FF" w:csb1="FFFF0000"/>
  </w:font>
  <w:font w:name="等线">
    <w:panose1 w:val="02010600030101010101"/>
    <w:charset w:val="86"/>
    <w:family w:val="auto"/>
    <w:pitch w:val="default"/>
    <w:sig w:usb0="A00002BF" w:usb1="38CF7CFA" w:usb2="00000016" w:usb3="00000000" w:csb0="0004000F" w:csb1="00000000"/>
  </w:font>
  <w:font w:name="Cambria Math">
    <w:panose1 w:val="02040503050406030204"/>
    <w:charset w:val="00"/>
    <w:family w:val="auto"/>
    <w:pitch w:val="default"/>
    <w:sig w:usb0="E00006FF" w:usb1="420024FF" w:usb2="02000000" w:usb3="00000000" w:csb0="2000019F" w:csb1="00000000"/>
  </w:font>
  <w:font w:name="SJQY">
    <w:altName w:val="宋体"/>
    <w:panose1 w:val="02010600030101010101"/>
    <w:charset w:val="86"/>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81505">
    <w:pPr>
      <w:pStyle w:val="28"/>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eastAsia="宋体" w:cs="Times New Roman"/>
        <w:kern w:val="2"/>
        <w:sz w:val="24"/>
        <w:szCs w:val="21"/>
        <w:lang w:val="en-US" w:eastAsia="zh-CN" w:bidi="ar-SA"/>
      </w:rPr>
      <w:id w:val="147482860"/>
    </w:sdtPr>
    <w:sdtEndPr>
      <w:rPr>
        <w:rFonts w:ascii="Times New Roman" w:hAnsi="Times New Roman" w:eastAsia="宋体" w:cs="Times New Roman"/>
        <w:kern w:val="2"/>
        <w:sz w:val="18"/>
        <w:szCs w:val="18"/>
        <w:lang w:val="en-US" w:eastAsia="zh-CN" w:bidi="ar-SA"/>
      </w:rPr>
    </w:sdtEndPr>
    <w:sdtContent>
      <w:p w14:paraId="7CEF36A0">
        <w:pPr>
          <w:widowControl w:val="0"/>
          <w:snapToGrid w:val="0"/>
          <w:spacing w:line="360" w:lineRule="auto"/>
          <w:ind w:firstLine="360" w:firstLineChars="0"/>
          <w:jc w:val="center"/>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 xml:space="preserve">第 </w:t>
        </w: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PAGE   \* MERGEFORMAT</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121</w:t>
        </w:r>
        <w:r>
          <w:rPr>
            <w:rFonts w:ascii="Times New Roman" w:hAnsi="Times New Roman" w:eastAsia="宋体" w:cs="Times New Roman"/>
            <w:kern w:val="2"/>
            <w:sz w:val="18"/>
            <w:szCs w:val="18"/>
            <w:lang w:val="en-US" w:eastAsia="zh-CN" w:bidi="ar-SA"/>
          </w:rPr>
          <w:fldChar w:fldCharType="end"/>
        </w:r>
        <w:r>
          <w:rPr>
            <w:rFonts w:ascii="Times New Roman" w:hAnsi="Times New Roman" w:eastAsia="宋体" w:cs="Times New Roman"/>
            <w:kern w:val="2"/>
            <w:sz w:val="18"/>
            <w:szCs w:val="18"/>
            <w:lang w:val="en-US" w:eastAsia="zh-CN" w:bidi="ar-SA"/>
          </w:rPr>
          <w:t xml:space="preserve"> </w:t>
        </w:r>
        <w:r>
          <w:rPr>
            <w:rFonts w:hint="eastAsia" w:ascii="Times New Roman" w:hAnsi="Times New Roman" w:eastAsia="宋体" w:cs="Times New Roman"/>
            <w:kern w:val="2"/>
            <w:sz w:val="18"/>
            <w:szCs w:val="18"/>
            <w:lang w:val="en-US" w:eastAsia="zh-CN" w:bidi="ar-SA"/>
          </w:rPr>
          <w:t xml:space="preserve">页 </w:t>
        </w:r>
        <w:r>
          <w:rPr>
            <w:rFonts w:ascii="Times New Roman" w:hAnsi="Times New Roman" w:eastAsia="宋体" w:cs="Times New Roman"/>
            <w:kern w:val="2"/>
            <w:sz w:val="18"/>
            <w:szCs w:val="18"/>
            <w:lang w:val="en-US" w:eastAsia="zh-CN" w:bidi="ar-SA"/>
          </w:rPr>
          <w:t xml:space="preserve"> </w:t>
        </w:r>
        <w:r>
          <w:rPr>
            <w:rFonts w:hint="eastAsia" w:ascii="Times New Roman" w:hAnsi="Times New Roman" w:eastAsia="宋体" w:cs="Times New Roman"/>
            <w:kern w:val="2"/>
            <w:sz w:val="18"/>
            <w:szCs w:val="18"/>
            <w:lang w:val="en-US" w:eastAsia="zh-CN" w:bidi="ar-SA"/>
          </w:rPr>
          <w:t xml:space="preserve">共 </w:t>
        </w: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w:instrText>
        </w:r>
        <w:r>
          <w:rPr>
            <w:rFonts w:ascii="Times New Roman" w:hAnsi="Times New Roman" w:eastAsia="宋体" w:cs="Times New Roman"/>
            <w:kern w:val="2"/>
            <w:sz w:val="18"/>
            <w:szCs w:val="18"/>
            <w:lang w:val="en-US" w:eastAsia="zh-CN" w:bidi="ar-SA"/>
          </w:rPr>
          <w:fldChar w:fldCharType="begin"/>
        </w:r>
        <w:r>
          <w:rPr>
            <w:rFonts w:ascii="Times New Roman" w:hAnsi="Times New Roman" w:eastAsia="宋体" w:cs="Times New Roman"/>
            <w:kern w:val="2"/>
            <w:sz w:val="18"/>
            <w:szCs w:val="18"/>
            <w:lang w:val="en-US" w:eastAsia="zh-CN" w:bidi="ar-SA"/>
          </w:rPr>
          <w:instrText xml:space="preserve"> NUMPAGES   \* MERGEFORMAT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instrText xml:space="preserve">112</w:instrText>
        </w:r>
        <w:r>
          <w:rPr>
            <w:rFonts w:ascii="Times New Roman" w:hAnsi="Times New Roman" w:eastAsia="宋体" w:cs="Times New Roman"/>
            <w:kern w:val="2"/>
            <w:sz w:val="18"/>
            <w:szCs w:val="18"/>
            <w:lang w:val="en-US" w:eastAsia="zh-CN" w:bidi="ar-SA"/>
          </w:rPr>
          <w:fldChar w:fldCharType="end"/>
        </w:r>
        <w:r>
          <w:rPr>
            <w:rFonts w:ascii="Times New Roman" w:hAnsi="Times New Roman" w:eastAsia="宋体" w:cs="Times New Roman"/>
            <w:kern w:val="2"/>
            <w:sz w:val="18"/>
            <w:szCs w:val="18"/>
            <w:lang w:val="en-US" w:eastAsia="zh-CN" w:bidi="ar-SA"/>
          </w:rPr>
          <w:instrText xml:space="preserve">-5 </w:instrText>
        </w:r>
        <w:r>
          <w:rPr>
            <w:rFonts w:ascii="Times New Roman" w:hAnsi="Times New Roman" w:eastAsia="宋体" w:cs="Times New Roman"/>
            <w:kern w:val="2"/>
            <w:sz w:val="18"/>
            <w:szCs w:val="18"/>
            <w:lang w:val="en-US" w:eastAsia="zh-CN" w:bidi="ar-SA"/>
          </w:rPr>
          <w:fldChar w:fldCharType="separate"/>
        </w:r>
        <w:r>
          <w:rPr>
            <w:rFonts w:ascii="Times New Roman" w:hAnsi="Times New Roman" w:eastAsia="宋体" w:cs="Times New Roman"/>
            <w:kern w:val="2"/>
            <w:sz w:val="18"/>
            <w:szCs w:val="18"/>
            <w:lang w:val="en-US" w:eastAsia="zh-CN" w:bidi="ar-SA"/>
          </w:rPr>
          <w:t>107</w:t>
        </w:r>
        <w:r>
          <w:rPr>
            <w:rFonts w:ascii="Times New Roman" w:hAnsi="Times New Roman" w:eastAsia="宋体" w:cs="Times New Roman"/>
            <w:kern w:val="2"/>
            <w:sz w:val="18"/>
            <w:szCs w:val="18"/>
            <w:lang w:val="en-US" w:eastAsia="zh-CN" w:bidi="ar-SA"/>
          </w:rPr>
          <w:fldChar w:fldCharType="end"/>
        </w:r>
        <w:r>
          <w:rPr>
            <w:rFonts w:ascii="Times New Roman" w:hAnsi="Times New Roman" w:eastAsia="宋体" w:cs="Times New Roman"/>
            <w:kern w:val="2"/>
            <w:sz w:val="18"/>
            <w:szCs w:val="18"/>
            <w:lang w:val="en-US" w:eastAsia="zh-CN" w:bidi="ar-SA"/>
          </w:rPr>
          <w:t xml:space="preserve"> </w:t>
        </w:r>
        <w:r>
          <w:rPr>
            <w:rFonts w:hint="eastAsia" w:ascii="Times New Roman" w:hAnsi="Times New Roman" w:eastAsia="宋体" w:cs="Times New Roman"/>
            <w:kern w:val="2"/>
            <w:sz w:val="18"/>
            <w:szCs w:val="18"/>
            <w:lang w:val="en-US" w:eastAsia="zh-CN" w:bidi="ar-SA"/>
          </w:rPr>
          <w:t>页</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B4C22">
    <w:pPr>
      <w:pStyle w:val="28"/>
      <w:jc w:val="both"/>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6ABA81">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dNuWI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3qbphGxU8/vp9+&#10;Ppx+fSM4g0CNCzPE3TtExvadbdE2w3nAYeLdVl6nLxgR+CHv8SKvaCPh6dJ0Mp3mcHH4hg3ws8fr&#10;zof4XlhNklFQj/p1srLDJsQ+dAhJ2YxdS6W6GipDmoJevX6T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dNuWIzAgAAYwQAAA4AAAAAAAAAAQAgAAAAHwEAAGRycy9lMm9Eb2MueG1sUEsF&#10;BgAAAAAGAAYAWQEAAMQFAAAAAA==&#10;">
              <v:fill on="f" focussize="0,0"/>
              <v:stroke on="f" weight="0.5pt"/>
              <v:imagedata o:title=""/>
              <o:lock v:ext="edit" aspectratio="f"/>
              <v:textbox inset="0mm,0mm,0mm,0mm" style="mso-fit-shape-to-text:t;">
                <w:txbxContent>
                  <w:p w14:paraId="5C6ABA81">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7A8EE">
    <w:pPr>
      <w:pStyle w:val="28"/>
      <w:jc w:val="both"/>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962992">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yWR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iC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7JZFzICAABjBAAADgAAAAAAAAABACAAAAAfAQAAZHJzL2Uyb0RvYy54bWxQSwUG&#10;AAAAAAYABgBZAQAAwwUAAAAA&#10;">
              <v:fill on="f" focussize="0,0"/>
              <v:stroke on="f" weight="0.5pt"/>
              <v:imagedata o:title=""/>
              <o:lock v:ext="edit" aspectratio="f"/>
              <v:textbox inset="0mm,0mm,0mm,0mm" style="mso-fit-shape-to-text:t;">
                <w:txbxContent>
                  <w:p w14:paraId="13962992">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7EA62">
    <w:pPr>
      <w:spacing w:line="196" w:lineRule="auto"/>
      <w:ind w:firstLine="4528"/>
      <w:rPr>
        <w:rFonts w:hint="default" w:ascii="Times New Roman" w:hAnsi="Times New Roman" w:eastAsia="宋体" w:cs="Times New Roman"/>
        <w:sz w:val="17"/>
        <w:szCs w:val="17"/>
        <w:lang w:val="en-US" w:eastAsia="zh-CN"/>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DAF214">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kBxM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zqa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uQHEzICAABjBAAADgAAAAAAAAABACAAAAAfAQAAZHJzL2Uyb0RvYy54bWxQSwUG&#10;AAAAAAYABgBZAQAAwwUAAAAA&#10;">
              <v:fill on="f" focussize="0,0"/>
              <v:stroke on="f" weight="0.5pt"/>
              <v:imagedata o:title=""/>
              <o:lock v:ext="edit" aspectratio="f"/>
              <v:textbox inset="0mm,0mm,0mm,0mm" style="mso-fit-shape-to-text:t;">
                <w:txbxContent>
                  <w:p w14:paraId="21DAF214">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E31B1">
    <w:pPr>
      <w:pStyle w:val="28"/>
      <w:ind w:firstLine="0" w:firstLineChars="0"/>
      <w:jc w:val="cente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6C7CF9">
                          <w:pPr>
                            <w:pStyle w:val="2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hoMzAgAAYw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D+hoMzAgAAYwQAAA4AAAAAAAAAAQAgAAAAHwEAAGRycy9lMm9Eb2MueG1sUEsF&#10;BgAAAAAGAAYAWQEAAMQFAAAAAA==&#10;">
              <v:fill on="f" focussize="0,0"/>
              <v:stroke on="f" weight="0.5pt"/>
              <v:imagedata o:title=""/>
              <o:lock v:ext="edit" aspectratio="f"/>
              <v:textbox inset="0mm,0mm,0mm,0mm" style="mso-fit-shape-to-text:t;">
                <w:txbxContent>
                  <w:p w14:paraId="6F6C7CF9">
                    <w:pPr>
                      <w:pStyle w:val="2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A1C9E">
    <w:pPr>
      <w:pStyle w:val="29"/>
      <w:pBdr>
        <w:bottom w:val="none" w:color="auto" w:sz="0" w:space="1"/>
      </w:pBdr>
      <w:jc w:val="distribu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04F5E8">
    <w:pPr>
      <w:pBdr>
        <w:bottom w:val="single" w:color="auto" w:sz="4" w:space="1"/>
      </w:pBdr>
      <w:snapToGrid w:val="0"/>
      <w:spacing w:line="240" w:lineRule="auto"/>
      <w:ind w:firstLine="0" w:firstLineChars="0"/>
      <w:jc w:val="left"/>
      <w:rPr>
        <w:rFonts w:ascii="Times New Roman" w:hAnsi="Times New Roman" w:eastAsia="楷体" w:cs="Times New Roman"/>
        <w:sz w:val="18"/>
        <w:szCs w:val="18"/>
      </w:rPr>
    </w:pPr>
    <w:r>
      <w:rPr>
        <w:rFonts w:hint="eastAsia" w:ascii="Times New Roman" w:hAnsi="Times New Roman" w:eastAsia="楷体" w:cs="Times New Roman"/>
        <w:sz w:val="18"/>
        <w:szCs w:val="18"/>
      </w:rPr>
      <w:t>十巫南高速公路SWYZ-2项目经理部</w:t>
    </w:r>
    <w:r>
      <w:rPr>
        <w:rFonts w:ascii="Times New Roman" w:hAnsi="Times New Roman" w:eastAsia="楷体" w:cs="Times New Roman"/>
        <w:sz w:val="18"/>
        <w:szCs w:val="18"/>
      </w:rPr>
      <w:ptab w:relativeTo="margin" w:alignment="right" w:leader="none"/>
    </w:r>
    <w:r>
      <w:rPr>
        <w:rFonts w:hint="eastAsia" w:eastAsia="楷体" w:cs="Times New Roman"/>
        <w:sz w:val="18"/>
        <w:szCs w:val="18"/>
        <w:lang w:eastAsia="zh-CN"/>
      </w:rPr>
      <w:t>XGT7022-12S</w:t>
    </w:r>
    <w:r>
      <w:rPr>
        <w:rFonts w:hint="eastAsia" w:ascii="Times New Roman" w:hAnsi="Times New Roman" w:eastAsia="楷体" w:cs="Times New Roman"/>
        <w:sz w:val="18"/>
        <w:szCs w:val="18"/>
      </w:rPr>
      <w:t>（11#）</w:t>
    </w:r>
    <w:r>
      <w:rPr>
        <w:rFonts w:ascii="Times New Roman" w:hAnsi="Times New Roman" w:eastAsia="楷体" w:cs="Times New Roman"/>
        <w:sz w:val="18"/>
        <w:szCs w:val="18"/>
      </w:rPr>
      <w:fldChar w:fldCharType="begin"/>
    </w:r>
    <w:r>
      <w:rPr>
        <w:rFonts w:ascii="Times New Roman" w:hAnsi="Times New Roman" w:eastAsia="楷体" w:cs="Times New Roman"/>
        <w:sz w:val="18"/>
        <w:szCs w:val="18"/>
      </w:rPr>
      <w:instrText xml:space="preserve"> </w:instrText>
    </w:r>
    <w:r>
      <w:rPr>
        <w:rFonts w:hint="eastAsia" w:ascii="Times New Roman" w:hAnsi="Times New Roman" w:eastAsia="楷体" w:cs="Times New Roman"/>
        <w:sz w:val="18"/>
        <w:szCs w:val="18"/>
      </w:rPr>
      <w:instrText xml:space="preserve">REF 设备类型 \h</w:instrText>
    </w:r>
    <w:r>
      <w:rPr>
        <w:rFonts w:ascii="Times New Roman" w:hAnsi="Times New Roman" w:eastAsia="楷体" w:cs="Times New Roman"/>
        <w:sz w:val="18"/>
        <w:szCs w:val="18"/>
      </w:rPr>
      <w:instrText xml:space="preserve">  \* MERGEFORMAT </w:instrText>
    </w:r>
    <w:r>
      <w:rPr>
        <w:rFonts w:ascii="Times New Roman" w:hAnsi="Times New Roman" w:eastAsia="楷体" w:cs="Times New Roman"/>
        <w:sz w:val="18"/>
        <w:szCs w:val="18"/>
      </w:rPr>
      <w:fldChar w:fldCharType="separate"/>
    </w:r>
    <w:r>
      <w:rPr>
        <w:rFonts w:hint="eastAsia" w:ascii="Times New Roman" w:hAnsi="Times New Roman" w:eastAsia="楷体" w:cs="Times New Roman"/>
        <w:sz w:val="18"/>
        <w:szCs w:val="18"/>
      </w:rPr>
      <w:t>塔式起重机</w:t>
    </w:r>
    <w:r>
      <w:rPr>
        <w:rFonts w:ascii="Times New Roman" w:hAnsi="Times New Roman" w:eastAsia="楷体" w:cs="Times New Roman"/>
        <w:sz w:val="18"/>
        <w:szCs w:val="18"/>
      </w:rPr>
      <w:fldChar w:fldCharType="end"/>
    </w:r>
    <w:r>
      <w:rPr>
        <w:rFonts w:ascii="Times New Roman" w:hAnsi="Times New Roman" w:eastAsia="楷体" w:cs="Times New Roman"/>
        <w:sz w:val="18"/>
        <w:szCs w:val="18"/>
      </w:rPr>
      <w:fldChar w:fldCharType="begin"/>
    </w:r>
    <w:r>
      <w:rPr>
        <w:rFonts w:ascii="Times New Roman" w:hAnsi="Times New Roman" w:eastAsia="楷体" w:cs="Times New Roman"/>
        <w:sz w:val="18"/>
        <w:szCs w:val="18"/>
      </w:rPr>
      <w:instrText xml:space="preserve"> REF 方案类别 \h  \* MERGEFORMAT </w:instrText>
    </w:r>
    <w:r>
      <w:rPr>
        <w:rFonts w:ascii="Times New Roman" w:hAnsi="Times New Roman" w:eastAsia="楷体" w:cs="Times New Roman"/>
        <w:sz w:val="18"/>
        <w:szCs w:val="18"/>
      </w:rPr>
      <w:fldChar w:fldCharType="separate"/>
    </w:r>
    <w:r>
      <w:rPr>
        <w:rFonts w:hint="eastAsia" w:ascii="Times New Roman" w:hAnsi="Times New Roman" w:eastAsia="楷体" w:cs="Times New Roman"/>
        <w:sz w:val="18"/>
        <w:szCs w:val="18"/>
      </w:rPr>
      <w:t>安装专项施工方案</w:t>
    </w:r>
    <w:r>
      <w:rPr>
        <w:rFonts w:ascii="Times New Roman" w:hAnsi="Times New Roman" w:eastAsia="楷体" w:cs="Times New Roman"/>
        <w:sz w:val="18"/>
        <w:szCs w:val="1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C3F9E">
    <w:pPr>
      <w:pBdr>
        <w:bottom w:val="single" w:color="auto" w:sz="4" w:space="1"/>
      </w:pBdr>
      <w:snapToGrid w:val="0"/>
      <w:spacing w:line="240" w:lineRule="auto"/>
      <w:ind w:firstLine="0" w:firstLineChars="0"/>
      <w:jc w:val="left"/>
      <w:rPr>
        <w:rFonts w:ascii="Times New Roman" w:hAnsi="Times New Roman" w:eastAsia="楷体" w:cs="Times New Roman"/>
        <w:sz w:val="18"/>
        <w:szCs w:val="18"/>
      </w:rPr>
    </w:pPr>
    <w:r>
      <w:rPr>
        <w:rFonts w:hint="eastAsia" w:ascii="Times New Roman" w:hAnsi="Times New Roman" w:eastAsia="楷体" w:cs="Times New Roman"/>
        <w:sz w:val="18"/>
        <w:szCs w:val="18"/>
      </w:rPr>
      <w:t>十巫南高速公路SWYZ-2项目经理部</w:t>
    </w:r>
    <w:r>
      <w:rPr>
        <w:rFonts w:ascii="Times New Roman" w:hAnsi="Times New Roman" w:eastAsia="楷体" w:cs="Times New Roman"/>
        <w:sz w:val="18"/>
        <w:szCs w:val="18"/>
      </w:rPr>
      <w:ptab w:relativeTo="margin" w:alignment="right" w:leader="none"/>
    </w:r>
    <w:r>
      <w:rPr>
        <w:rFonts w:hint="eastAsia" w:eastAsia="楷体" w:cs="Times New Roman"/>
        <w:sz w:val="18"/>
        <w:szCs w:val="18"/>
        <w:lang w:eastAsia="zh-CN"/>
      </w:rPr>
      <w:t>XGT7022-12S</w:t>
    </w:r>
    <w:r>
      <w:rPr>
        <w:rFonts w:hint="eastAsia" w:ascii="Times New Roman" w:hAnsi="Times New Roman" w:eastAsia="楷体" w:cs="Times New Roman"/>
        <w:sz w:val="18"/>
        <w:szCs w:val="18"/>
      </w:rPr>
      <w:t>（12#）</w:t>
    </w:r>
    <w:r>
      <w:rPr>
        <w:rFonts w:ascii="Times New Roman" w:hAnsi="Times New Roman" w:eastAsia="楷体" w:cs="Times New Roman"/>
        <w:sz w:val="18"/>
        <w:szCs w:val="18"/>
      </w:rPr>
      <w:fldChar w:fldCharType="begin"/>
    </w:r>
    <w:r>
      <w:rPr>
        <w:rFonts w:ascii="Times New Roman" w:hAnsi="Times New Roman" w:eastAsia="楷体" w:cs="Times New Roman"/>
        <w:sz w:val="18"/>
        <w:szCs w:val="18"/>
      </w:rPr>
      <w:instrText xml:space="preserve"> </w:instrText>
    </w:r>
    <w:r>
      <w:rPr>
        <w:rFonts w:hint="eastAsia" w:ascii="Times New Roman" w:hAnsi="Times New Roman" w:eastAsia="楷体" w:cs="Times New Roman"/>
        <w:sz w:val="18"/>
        <w:szCs w:val="18"/>
      </w:rPr>
      <w:instrText xml:space="preserve">REF 设备类型 \h</w:instrText>
    </w:r>
    <w:r>
      <w:rPr>
        <w:rFonts w:ascii="Times New Roman" w:hAnsi="Times New Roman" w:eastAsia="楷体" w:cs="Times New Roman"/>
        <w:sz w:val="18"/>
        <w:szCs w:val="18"/>
      </w:rPr>
      <w:instrText xml:space="preserve">  \* MERGEFORMAT </w:instrText>
    </w:r>
    <w:r>
      <w:rPr>
        <w:rFonts w:ascii="Times New Roman" w:hAnsi="Times New Roman" w:eastAsia="楷体" w:cs="Times New Roman"/>
        <w:sz w:val="18"/>
        <w:szCs w:val="18"/>
      </w:rPr>
      <w:fldChar w:fldCharType="separate"/>
    </w:r>
    <w:r>
      <w:rPr>
        <w:rFonts w:hint="eastAsia" w:ascii="Times New Roman" w:hAnsi="Times New Roman" w:eastAsia="楷体" w:cs="Times New Roman"/>
        <w:sz w:val="18"/>
        <w:szCs w:val="18"/>
      </w:rPr>
      <w:t>塔式起重机</w:t>
    </w:r>
    <w:r>
      <w:rPr>
        <w:rFonts w:ascii="Times New Roman" w:hAnsi="Times New Roman" w:eastAsia="楷体" w:cs="Times New Roman"/>
        <w:sz w:val="18"/>
        <w:szCs w:val="18"/>
      </w:rPr>
      <w:fldChar w:fldCharType="end"/>
    </w:r>
    <w:r>
      <w:rPr>
        <w:rFonts w:ascii="Times New Roman" w:hAnsi="Times New Roman" w:eastAsia="楷体" w:cs="Times New Roman"/>
        <w:sz w:val="18"/>
        <w:szCs w:val="18"/>
      </w:rPr>
      <w:fldChar w:fldCharType="begin"/>
    </w:r>
    <w:r>
      <w:rPr>
        <w:rFonts w:ascii="Times New Roman" w:hAnsi="Times New Roman" w:eastAsia="楷体" w:cs="Times New Roman"/>
        <w:sz w:val="18"/>
        <w:szCs w:val="18"/>
      </w:rPr>
      <w:instrText xml:space="preserve"> REF 方案类别 \h  \* MERGEFORMAT </w:instrText>
    </w:r>
    <w:r>
      <w:rPr>
        <w:rFonts w:ascii="Times New Roman" w:hAnsi="Times New Roman" w:eastAsia="楷体" w:cs="Times New Roman"/>
        <w:sz w:val="18"/>
        <w:szCs w:val="18"/>
      </w:rPr>
      <w:fldChar w:fldCharType="separate"/>
    </w:r>
    <w:r>
      <w:rPr>
        <w:rFonts w:hint="eastAsia" w:ascii="Times New Roman" w:hAnsi="Times New Roman" w:eastAsia="楷体" w:cs="Times New Roman"/>
        <w:sz w:val="18"/>
        <w:szCs w:val="18"/>
      </w:rPr>
      <w:t>安装专项施工方案</w:t>
    </w:r>
    <w:r>
      <w:rPr>
        <w:rFonts w:ascii="Times New Roman" w:hAnsi="Times New Roman" w:eastAsia="楷体" w:cs="Times New Roman"/>
        <w:sz w:val="18"/>
        <w:szCs w:val="18"/>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7505CA">
    <w:pPr>
      <w:pBdr>
        <w:bottom w:val="single" w:color="auto" w:sz="4" w:space="1"/>
      </w:pBdr>
      <w:snapToGrid w:val="0"/>
      <w:spacing w:line="240" w:lineRule="auto"/>
      <w:ind w:firstLine="0" w:firstLineChars="0"/>
      <w:jc w:val="left"/>
      <w:rPr>
        <w:rFonts w:eastAsia="楷体"/>
        <w:sz w:val="18"/>
        <w:szCs w:val="18"/>
      </w:rPr>
    </w:pPr>
    <w:r>
      <w:rPr>
        <w:rFonts w:hint="eastAsia" w:eastAsia="楷体"/>
        <w:sz w:val="18"/>
        <w:szCs w:val="18"/>
        <w:lang w:val="en-US" w:eastAsia="zh-CN"/>
      </w:rPr>
      <w:t>十巫南高速公路SWYZ-2项目经理部</w:t>
    </w:r>
    <w:r>
      <w:rPr>
        <w:rFonts w:eastAsia="楷体"/>
        <w:sz w:val="18"/>
        <w:szCs w:val="18"/>
      </w:rPr>
      <w:ptab w:relativeTo="margin" w:alignment="right" w:leader="none"/>
    </w:r>
    <w:r>
      <w:rPr>
        <w:rFonts w:hint="eastAsia" w:eastAsia="楷体"/>
        <w:sz w:val="18"/>
        <w:szCs w:val="18"/>
        <w:lang w:val="en-US" w:eastAsia="zh-CN"/>
      </w:rPr>
      <w:t>XGT7022-12S（11#）</w:t>
    </w:r>
    <w:r>
      <w:rPr>
        <w:rFonts w:eastAsia="楷体"/>
        <w:sz w:val="18"/>
        <w:szCs w:val="18"/>
      </w:rPr>
      <w:fldChar w:fldCharType="begin"/>
    </w:r>
    <w:r>
      <w:rPr>
        <w:rFonts w:eastAsia="楷体"/>
        <w:sz w:val="18"/>
        <w:szCs w:val="18"/>
      </w:rPr>
      <w:instrText xml:space="preserve"> </w:instrText>
    </w:r>
    <w:r>
      <w:rPr>
        <w:rFonts w:hint="eastAsia" w:eastAsia="楷体"/>
        <w:sz w:val="18"/>
        <w:szCs w:val="18"/>
      </w:rPr>
      <w:instrText xml:space="preserve">REF 设备类型 \h</w:instrText>
    </w:r>
    <w:r>
      <w:rPr>
        <w:rFonts w:eastAsia="楷体"/>
        <w:sz w:val="18"/>
        <w:szCs w:val="18"/>
      </w:rPr>
      <w:instrText xml:space="preserve">  \* MERGEFORMAT </w:instrText>
    </w:r>
    <w:r>
      <w:rPr>
        <w:rFonts w:eastAsia="楷体"/>
        <w:sz w:val="18"/>
        <w:szCs w:val="18"/>
      </w:rPr>
      <w:fldChar w:fldCharType="separate"/>
    </w:r>
    <w:r>
      <w:rPr>
        <w:rFonts w:hint="eastAsia" w:eastAsia="楷体"/>
        <w:sz w:val="18"/>
        <w:szCs w:val="18"/>
      </w:rPr>
      <w:t>塔式起重机</w:t>
    </w:r>
    <w:r>
      <w:rPr>
        <w:rFonts w:eastAsia="楷体"/>
        <w:sz w:val="18"/>
        <w:szCs w:val="18"/>
      </w:rPr>
      <w:fldChar w:fldCharType="end"/>
    </w:r>
    <w:r>
      <w:rPr>
        <w:rFonts w:eastAsia="楷体"/>
        <w:sz w:val="18"/>
        <w:szCs w:val="18"/>
      </w:rPr>
      <w:fldChar w:fldCharType="begin"/>
    </w:r>
    <w:r>
      <w:rPr>
        <w:rFonts w:eastAsia="楷体"/>
        <w:sz w:val="18"/>
        <w:szCs w:val="18"/>
      </w:rPr>
      <w:instrText xml:space="preserve"> REF 方案类别 \h  \* MERGEFORMAT </w:instrText>
    </w:r>
    <w:r>
      <w:rPr>
        <w:rFonts w:eastAsia="楷体"/>
        <w:sz w:val="18"/>
        <w:szCs w:val="18"/>
      </w:rPr>
      <w:fldChar w:fldCharType="separate"/>
    </w:r>
    <w:r>
      <w:rPr>
        <w:rFonts w:hint="eastAsia" w:eastAsia="楷体"/>
        <w:sz w:val="18"/>
        <w:szCs w:val="18"/>
      </w:rPr>
      <w:t>安装专项施工方案</w:t>
    </w:r>
    <w:r>
      <w:rPr>
        <w:rFonts w:eastAsia="楷体"/>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EC2B82"/>
    <w:multiLevelType w:val="multilevel"/>
    <w:tmpl w:val="81EC2B82"/>
    <w:lvl w:ilvl="0" w:tentative="0">
      <w:start w:val="1"/>
      <w:numFmt w:val="decimal"/>
      <w:suff w:val="nothing"/>
      <w:lvlText w:val="%1"/>
      <w:lvlJc w:val="center"/>
      <w:pPr>
        <w:ind w:left="24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99FE947D"/>
    <w:multiLevelType w:val="multilevel"/>
    <w:tmpl w:val="99FE947D"/>
    <w:lvl w:ilvl="0" w:tentative="0">
      <w:start w:val="1"/>
      <w:numFmt w:val="decimal"/>
      <w:suff w:val="nothing"/>
      <w:lvlText w:val="%1"/>
      <w:lvlJc w:val="center"/>
      <w:pPr>
        <w:ind w:left="24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AC1455DD"/>
    <w:multiLevelType w:val="multilevel"/>
    <w:tmpl w:val="AC1455DD"/>
    <w:lvl w:ilvl="0" w:tentative="0">
      <w:start w:val="1"/>
      <w:numFmt w:val="decimal"/>
      <w:suff w:val="space"/>
      <w:lvlText w:val="%1"/>
      <w:lvlJc w:val="left"/>
      <w:pPr>
        <w:tabs>
          <w:tab w:val="left" w:pos="0"/>
        </w:tabs>
        <w:ind w:left="0" w:firstLine="0"/>
      </w:pPr>
      <w:rPr>
        <w:rFonts w:hint="default" w:ascii="宋体" w:hAnsi="宋体" w:eastAsia="宋体" w:cs="宋体"/>
      </w:rPr>
    </w:lvl>
    <w:lvl w:ilvl="1" w:tentative="0">
      <w:start w:val="1"/>
      <w:numFmt w:val="decimal"/>
      <w:suff w:val="space"/>
      <w:lvlText w:val="%1.%2"/>
      <w:lvlJc w:val="left"/>
      <w:pPr>
        <w:tabs>
          <w:tab w:val="left" w:pos="420"/>
        </w:tabs>
        <w:ind w:left="0" w:firstLine="0"/>
      </w:pPr>
      <w:rPr>
        <w:rFonts w:hint="default" w:ascii="宋体" w:hAnsi="宋体" w:eastAsia="宋体" w:cs="宋体"/>
      </w:rPr>
    </w:lvl>
    <w:lvl w:ilvl="2" w:tentative="0">
      <w:start w:val="1"/>
      <w:numFmt w:val="decimal"/>
      <w:suff w:val="space"/>
      <w:lvlText w:val="%1.%2.%3"/>
      <w:lvlJc w:val="left"/>
      <w:pPr>
        <w:tabs>
          <w:tab w:val="left" w:pos="420"/>
        </w:tabs>
        <w:ind w:left="0" w:firstLine="0"/>
      </w:pPr>
      <w:rPr>
        <w:rFonts w:hint="default" w:ascii="宋体" w:hAnsi="宋体" w:eastAsia="宋体" w:cs="宋体"/>
      </w:rPr>
    </w:lvl>
    <w:lvl w:ilvl="3" w:tentative="0">
      <w:start w:val="1"/>
      <w:numFmt w:val="decimal"/>
      <w:suff w:val="space"/>
      <w:lvlText w:val="%1.%2.%3.%4"/>
      <w:lvlJc w:val="left"/>
      <w:pPr>
        <w:tabs>
          <w:tab w:val="left" w:pos="0"/>
        </w:tabs>
        <w:ind w:left="0" w:firstLine="0"/>
      </w:pPr>
      <w:rPr>
        <w:rFonts w:hint="default" w:ascii="宋体" w:hAnsi="宋体" w:eastAsia="宋体" w:cs="宋体"/>
      </w:rPr>
    </w:lvl>
    <w:lvl w:ilvl="4" w:tentative="0">
      <w:start w:val="1"/>
      <w:numFmt w:val="decimal"/>
      <w:lvlRestart w:val="2"/>
      <w:suff w:val="space"/>
      <w:lvlText w:val="表%1.%2-%5 "/>
      <w:lvlJc w:val="left"/>
      <w:pPr>
        <w:tabs>
          <w:tab w:val="left" w:pos="0"/>
        </w:tabs>
        <w:ind w:left="0" w:firstLine="0"/>
      </w:pPr>
      <w:rPr>
        <w:rFonts w:hint="default" w:ascii="宋体" w:hAnsi="宋体" w:eastAsia="宋体" w:cs="宋体"/>
        <w:b/>
        <w:sz w:val="21"/>
        <w:szCs w:val="21"/>
      </w:rPr>
    </w:lvl>
    <w:lvl w:ilvl="5" w:tentative="0">
      <w:start w:val="1"/>
      <w:numFmt w:val="decimal"/>
      <w:lvlRestart w:val="2"/>
      <w:pStyle w:val="223"/>
      <w:isLgl/>
      <w:suff w:val="space"/>
      <w:lvlText w:val="图%1.%2-%6 "/>
      <w:lvlJc w:val="left"/>
      <w:pPr>
        <w:tabs>
          <w:tab w:val="left" w:pos="3118"/>
        </w:tabs>
        <w:ind w:left="4269" w:hanging="1151"/>
      </w:pPr>
      <w:rPr>
        <w:rFonts w:hint="default" w:ascii="宋体" w:hAnsi="宋体" w:eastAsia="宋体" w:cs="宋体"/>
        <w:sz w:val="21"/>
        <w:szCs w:val="21"/>
      </w:rPr>
    </w:lvl>
    <w:lvl w:ilvl="6" w:tentative="0">
      <w:start w:val="1"/>
      <w:numFmt w:val="decimal"/>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abstractNum w:abstractNumId="3">
    <w:nsid w:val="B3AFC5A7"/>
    <w:multiLevelType w:val="multilevel"/>
    <w:tmpl w:val="B3AFC5A7"/>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E2DCBF6D"/>
    <w:multiLevelType w:val="singleLevel"/>
    <w:tmpl w:val="E2DCBF6D"/>
    <w:lvl w:ilvl="0" w:tentative="0">
      <w:start w:val="1"/>
      <w:numFmt w:val="decimal"/>
      <w:lvlText w:val="%1"/>
      <w:lvlJc w:val="left"/>
      <w:pPr>
        <w:tabs>
          <w:tab w:val="left" w:pos="420"/>
        </w:tabs>
        <w:ind w:left="425" w:leftChars="0" w:hanging="425" w:firstLineChars="0"/>
      </w:pPr>
      <w:rPr>
        <w:rFonts w:hint="default"/>
      </w:rPr>
    </w:lvl>
  </w:abstractNum>
  <w:abstractNum w:abstractNumId="5">
    <w:nsid w:val="009156B1"/>
    <w:multiLevelType w:val="multilevel"/>
    <w:tmpl w:val="009156B1"/>
    <w:lvl w:ilvl="0" w:tentative="0">
      <w:start w:val="1"/>
      <w:numFmt w:val="decimal"/>
      <w:suff w:val="nothing"/>
      <w:lvlText w:val="（%1）"/>
      <w:lvlJc w:val="left"/>
      <w:pPr>
        <w:ind w:left="114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0934742"/>
    <w:multiLevelType w:val="multilevel"/>
    <w:tmpl w:val="00934742"/>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28F4F97"/>
    <w:multiLevelType w:val="multilevel"/>
    <w:tmpl w:val="028F4F97"/>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07D47F01"/>
    <w:multiLevelType w:val="multilevel"/>
    <w:tmpl w:val="07D47F0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08B70E3F"/>
    <w:multiLevelType w:val="singleLevel"/>
    <w:tmpl w:val="08B70E3F"/>
    <w:lvl w:ilvl="0" w:tentative="0">
      <w:start w:val="1"/>
      <w:numFmt w:val="decimal"/>
      <w:suff w:val="nothing"/>
      <w:lvlText w:val="%1"/>
      <w:lvlJc w:val="left"/>
      <w:pPr>
        <w:ind w:left="425" w:leftChars="0" w:hanging="425" w:firstLineChars="0"/>
      </w:pPr>
      <w:rPr>
        <w:rFonts w:hint="default"/>
      </w:rPr>
    </w:lvl>
  </w:abstractNum>
  <w:abstractNum w:abstractNumId="10">
    <w:nsid w:val="0A406FC0"/>
    <w:multiLevelType w:val="multilevel"/>
    <w:tmpl w:val="0A406FC0"/>
    <w:lvl w:ilvl="0" w:tentative="0">
      <w:start w:val="1"/>
      <w:numFmt w:val="bullet"/>
      <w:pStyle w:val="115"/>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0AB904C0"/>
    <w:multiLevelType w:val="multilevel"/>
    <w:tmpl w:val="0AB904C0"/>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suff w:val="space"/>
      <w:lvlText w:val="（%6）"/>
      <w:lvlJc w:val="left"/>
      <w:pPr>
        <w:ind w:left="0" w:firstLine="0"/>
      </w:pPr>
      <w:rPr>
        <w:rFonts w:hint="eastAsia"/>
        <w:color w:val="auto"/>
        <w:lang w:val="en-US"/>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2">
    <w:nsid w:val="0EC25B78"/>
    <w:multiLevelType w:val="multilevel"/>
    <w:tmpl w:val="0EC25B7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1567EC35"/>
    <w:multiLevelType w:val="singleLevel"/>
    <w:tmpl w:val="1567EC35"/>
    <w:lvl w:ilvl="0" w:tentative="0">
      <w:start w:val="1"/>
      <w:numFmt w:val="decimal"/>
      <w:suff w:val="nothing"/>
      <w:lvlText w:val="%1"/>
      <w:lvlJc w:val="left"/>
      <w:pPr>
        <w:tabs>
          <w:tab w:val="left" w:pos="0"/>
        </w:tabs>
        <w:ind w:left="0" w:firstLine="0"/>
      </w:pPr>
      <w:rPr>
        <w:rFonts w:hint="default"/>
      </w:rPr>
    </w:lvl>
  </w:abstractNum>
  <w:abstractNum w:abstractNumId="14">
    <w:nsid w:val="16CBA154"/>
    <w:multiLevelType w:val="multilevel"/>
    <w:tmpl w:val="16CBA154"/>
    <w:lvl w:ilvl="0" w:tentative="0">
      <w:start w:val="1"/>
      <w:numFmt w:val="decimal"/>
      <w:pStyle w:val="2"/>
      <w:suff w:val="space"/>
      <w:lvlText w:val="%1"/>
      <w:lvlJc w:val="left"/>
      <w:pPr>
        <w:ind w:left="432" w:hanging="432"/>
      </w:pPr>
      <w:rPr>
        <w:rFonts w:hint="default"/>
      </w:rPr>
    </w:lvl>
    <w:lvl w:ilvl="1" w:tentative="0">
      <w:start w:val="1"/>
      <w:numFmt w:val="decimal"/>
      <w:pStyle w:val="3"/>
      <w:suff w:val="space"/>
      <w:lvlText w:val="%1.%2"/>
      <w:lvlJc w:val="left"/>
      <w:pPr>
        <w:ind w:left="575" w:hanging="575"/>
      </w:pPr>
      <w:rPr>
        <w:rFonts w:hint="default"/>
        <w:b/>
        <w:bCs/>
      </w:rPr>
    </w:lvl>
    <w:lvl w:ilvl="2" w:tentative="0">
      <w:start w:val="1"/>
      <w:numFmt w:val="decimal"/>
      <w:pStyle w:val="4"/>
      <w:suff w:val="space"/>
      <w:lvlText w:val="%1.%2.%3"/>
      <w:lvlJc w:val="left"/>
      <w:pPr>
        <w:tabs>
          <w:tab w:val="left" w:pos="0"/>
        </w:tabs>
        <w:ind w:left="720" w:hanging="720"/>
      </w:pPr>
      <w:rPr>
        <w:rFonts w:hint="default"/>
      </w:rPr>
    </w:lvl>
    <w:lvl w:ilvl="3" w:tentative="0">
      <w:start w:val="1"/>
      <w:numFmt w:val="decimal"/>
      <w:pStyle w:val="5"/>
      <w:suff w:val="space"/>
      <w:lvlText w:val="%1.%2.%3.%4"/>
      <w:lvlJc w:val="left"/>
      <w:pPr>
        <w:ind w:left="864" w:hanging="864"/>
      </w:pPr>
      <w:rPr>
        <w:rFonts w:hint="default"/>
      </w:rPr>
    </w:lvl>
    <w:lvl w:ilvl="4" w:tentative="0">
      <w:start w:val="1"/>
      <w:numFmt w:val="decimal"/>
      <w:pStyle w:val="7"/>
      <w:suff w:val="space"/>
      <w:lvlText w:val="%1.%2.%3.%4.%5"/>
      <w:lvlJc w:val="left"/>
      <w:pPr>
        <w:ind w:left="1008" w:hanging="1008"/>
      </w:pPr>
      <w:rPr>
        <w:rFonts w:hint="default"/>
      </w:rPr>
    </w:lvl>
    <w:lvl w:ilvl="5" w:tentative="0">
      <w:start w:val="1"/>
      <w:numFmt w:val="decimal"/>
      <w:pStyle w:val="8"/>
      <w:lvlText w:val="%1.%2.%3.%4.%5.%6"/>
      <w:lvlJc w:val="left"/>
      <w:pPr>
        <w:ind w:left="1151" w:hanging="1151"/>
      </w:pPr>
      <w:rPr>
        <w:rFonts w:hint="default"/>
      </w:rPr>
    </w:lvl>
    <w:lvl w:ilvl="6" w:tentative="0">
      <w:start w:val="1"/>
      <w:numFmt w:val="decimal"/>
      <w:pStyle w:val="9"/>
      <w:lvlText w:val="%1.%2.%3.%4.%5.%6.%7"/>
      <w:lvlJc w:val="left"/>
      <w:pPr>
        <w:ind w:left="1296" w:hanging="1296"/>
      </w:pPr>
      <w:rPr>
        <w:rFonts w:hint="default"/>
      </w:rPr>
    </w:lvl>
    <w:lvl w:ilvl="7" w:tentative="0">
      <w:start w:val="1"/>
      <w:numFmt w:val="decimal"/>
      <w:pStyle w:val="10"/>
      <w:lvlText w:val="%1.%2.%3.%4.%5.%6.%7.%8"/>
      <w:lvlJc w:val="left"/>
      <w:pPr>
        <w:ind w:left="1440" w:hanging="1440"/>
      </w:pPr>
      <w:rPr>
        <w:rFonts w:hint="default"/>
      </w:rPr>
    </w:lvl>
    <w:lvl w:ilvl="8" w:tentative="0">
      <w:start w:val="1"/>
      <w:numFmt w:val="decimal"/>
      <w:pStyle w:val="11"/>
      <w:lvlText w:val="%1.%2.%3.%4.%5.%6.%7.%8.%9"/>
      <w:lvlJc w:val="left"/>
      <w:pPr>
        <w:ind w:left="1583" w:hanging="1583"/>
      </w:pPr>
      <w:rPr>
        <w:rFonts w:hint="default"/>
      </w:rPr>
    </w:lvl>
  </w:abstractNum>
  <w:abstractNum w:abstractNumId="15">
    <w:nsid w:val="1B7B647C"/>
    <w:multiLevelType w:val="multilevel"/>
    <w:tmpl w:val="1B7B647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1CA1D74B"/>
    <w:multiLevelType w:val="multilevel"/>
    <w:tmpl w:val="1CA1D74B"/>
    <w:lvl w:ilvl="0" w:tentative="0">
      <w:start w:val="1"/>
      <w:numFmt w:val="decimal"/>
      <w:pStyle w:val="79"/>
      <w:lvlText w:val="%1、"/>
      <w:lvlJc w:val="left"/>
      <w:pPr>
        <w:tabs>
          <w:tab w:val="left" w:pos="0"/>
        </w:tabs>
        <w:ind w:left="0" w:firstLine="0"/>
      </w:pPr>
      <w:rPr>
        <w:rFonts w:hint="default" w:ascii="Times New Roman" w:hAnsi="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2AE010E5"/>
    <w:multiLevelType w:val="multilevel"/>
    <w:tmpl w:val="2AE010E5"/>
    <w:lvl w:ilvl="0" w:tentative="0">
      <w:start w:val="1"/>
      <w:numFmt w:val="decimal"/>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2C28278E"/>
    <w:multiLevelType w:val="multilevel"/>
    <w:tmpl w:val="2C28278E"/>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2E2321FC"/>
    <w:multiLevelType w:val="multilevel"/>
    <w:tmpl w:val="2E2321F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2F8363A2"/>
    <w:multiLevelType w:val="multilevel"/>
    <w:tmpl w:val="2F8363A2"/>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31895762"/>
    <w:multiLevelType w:val="singleLevel"/>
    <w:tmpl w:val="31895762"/>
    <w:lvl w:ilvl="0" w:tentative="0">
      <w:start w:val="1"/>
      <w:numFmt w:val="decimal"/>
      <w:suff w:val="nothing"/>
      <w:lvlText w:val="%1"/>
      <w:lvlJc w:val="left"/>
      <w:pPr>
        <w:ind w:left="425" w:leftChars="0" w:hanging="425" w:firstLineChars="0"/>
      </w:pPr>
      <w:rPr>
        <w:rFonts w:hint="default"/>
      </w:rPr>
    </w:lvl>
  </w:abstractNum>
  <w:abstractNum w:abstractNumId="22">
    <w:nsid w:val="3283101D"/>
    <w:multiLevelType w:val="multilevel"/>
    <w:tmpl w:val="3283101D"/>
    <w:lvl w:ilvl="0" w:tentative="0">
      <w:start w:val="1"/>
      <w:numFmt w:val="decimal"/>
      <w:pStyle w:val="70"/>
      <w:lvlText w:val="（%1）"/>
      <w:lvlJc w:val="left"/>
      <w:pPr>
        <w:ind w:left="840" w:hanging="420"/>
      </w:pPr>
      <w:rPr>
        <w:rFonts w:hint="default" w:ascii="Times New Roman" w:hAnsi="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3">
    <w:nsid w:val="33910E62"/>
    <w:multiLevelType w:val="multilevel"/>
    <w:tmpl w:val="33910E62"/>
    <w:lvl w:ilvl="0" w:tentative="0">
      <w:start w:val="1"/>
      <w:numFmt w:val="decimal"/>
      <w:suff w:val="nothing"/>
      <w:lvlText w:val="%1"/>
      <w:lvlJc w:val="center"/>
      <w:pPr>
        <w:ind w:left="24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375D2254"/>
    <w:multiLevelType w:val="multilevel"/>
    <w:tmpl w:val="375D2254"/>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41B72D11"/>
    <w:multiLevelType w:val="multilevel"/>
    <w:tmpl w:val="41B72D11"/>
    <w:lvl w:ilvl="0" w:tentative="0">
      <w:start w:val="1"/>
      <w:numFmt w:val="decimal"/>
      <w:suff w:val="nothing"/>
      <w:lvlText w:val="%1"/>
      <w:lvlJc w:val="center"/>
      <w:pPr>
        <w:ind w:left="24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2DD4FC1"/>
    <w:multiLevelType w:val="multilevel"/>
    <w:tmpl w:val="42DD4FC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44535BD3"/>
    <w:multiLevelType w:val="multilevel"/>
    <w:tmpl w:val="44535BD3"/>
    <w:lvl w:ilvl="0" w:tentative="0">
      <w:start w:val="1"/>
      <w:numFmt w:val="bullet"/>
      <w:pStyle w:val="153"/>
      <w:lvlText w:val=""/>
      <w:lvlJc w:val="left"/>
      <w:pPr>
        <w:ind w:left="420" w:hanging="420"/>
      </w:pPr>
      <w:rPr>
        <w:rFonts w:hint="default" w:ascii="Wingdings" w:hAnsi="Wingdings"/>
        <w:color w:val="FF000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8">
    <w:nsid w:val="4521537E"/>
    <w:multiLevelType w:val="multilevel"/>
    <w:tmpl w:val="4521537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4B5C54D9"/>
    <w:multiLevelType w:val="multilevel"/>
    <w:tmpl w:val="4B5C54D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500F0A56"/>
    <w:multiLevelType w:val="multilevel"/>
    <w:tmpl w:val="500F0A56"/>
    <w:lvl w:ilvl="0" w:tentative="0">
      <w:start w:val="1"/>
      <w:numFmt w:val="decimal"/>
      <w:pStyle w:val="113"/>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564146E5"/>
    <w:multiLevelType w:val="multilevel"/>
    <w:tmpl w:val="564146E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56D45BAF"/>
    <w:multiLevelType w:val="multilevel"/>
    <w:tmpl w:val="56D45BAF"/>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5F481554"/>
    <w:multiLevelType w:val="multilevel"/>
    <w:tmpl w:val="5F481554"/>
    <w:lvl w:ilvl="0" w:tentative="0">
      <w:start w:val="1"/>
      <w:numFmt w:val="decimal"/>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63AF0736"/>
    <w:multiLevelType w:val="multilevel"/>
    <w:tmpl w:val="63AF073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65640C4E"/>
    <w:multiLevelType w:val="multilevel"/>
    <w:tmpl w:val="65640C4E"/>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6B5277C9"/>
    <w:multiLevelType w:val="multilevel"/>
    <w:tmpl w:val="6B5277C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6F9507F6"/>
    <w:multiLevelType w:val="multilevel"/>
    <w:tmpl w:val="6F9507F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73357FAF"/>
    <w:multiLevelType w:val="multilevel"/>
    <w:tmpl w:val="73357FAF"/>
    <w:lvl w:ilvl="0" w:tentative="0">
      <w:start w:val="1"/>
      <w:numFmt w:val="decimal"/>
      <w:suff w:val="nothing"/>
      <w:lvlText w:val="（%1）"/>
      <w:lvlJc w:val="left"/>
      <w:pPr>
        <w:ind w:left="0" w:firstLine="48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9">
    <w:nsid w:val="771C2D68"/>
    <w:multiLevelType w:val="multilevel"/>
    <w:tmpl w:val="771C2D68"/>
    <w:lvl w:ilvl="0" w:tentative="0">
      <w:start w:val="1"/>
      <w:numFmt w:val="bullet"/>
      <w:pStyle w:val="88"/>
      <w:suff w:val="space"/>
      <w:lvlText w:val=""/>
      <w:lvlJc w:val="left"/>
      <w:pPr>
        <w:ind w:left="0" w:firstLine="0"/>
      </w:pPr>
      <w:rPr>
        <w:rFonts w:hint="default" w:ascii="Wingdings" w:hAnsi="Wingdings"/>
        <w:color w:val="000000" w:themeColor="text1"/>
        <w14:textFill>
          <w14:solidFill>
            <w14:schemeClr w14:val="tx1"/>
          </w14:solidFill>
        </w14:textFil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0">
    <w:nsid w:val="774D27EF"/>
    <w:multiLevelType w:val="multilevel"/>
    <w:tmpl w:val="774D27EF"/>
    <w:lvl w:ilvl="0" w:tentative="0">
      <w:start w:val="1"/>
      <w:numFmt w:val="decimal"/>
      <w:pStyle w:val="140"/>
      <w:lvlText w:val="%1) "/>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1">
    <w:nsid w:val="7C007252"/>
    <w:multiLevelType w:val="multilevel"/>
    <w:tmpl w:val="7C007252"/>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4"/>
  </w:num>
  <w:num w:numId="2">
    <w:abstractNumId w:val="22"/>
  </w:num>
  <w:num w:numId="3">
    <w:abstractNumId w:val="16"/>
  </w:num>
  <w:num w:numId="4">
    <w:abstractNumId w:val="39"/>
  </w:num>
  <w:num w:numId="5">
    <w:abstractNumId w:val="30"/>
  </w:num>
  <w:num w:numId="6">
    <w:abstractNumId w:val="10"/>
  </w:num>
  <w:num w:numId="7">
    <w:abstractNumId w:val="40"/>
  </w:num>
  <w:num w:numId="8">
    <w:abstractNumId w:val="27"/>
  </w:num>
  <w:num w:numId="9">
    <w:abstractNumId w:val="2"/>
  </w:num>
  <w:num w:numId="10">
    <w:abstractNumId w:val="35"/>
  </w:num>
  <w:num w:numId="11">
    <w:abstractNumId w:val="4"/>
  </w:num>
  <w:num w:numId="12">
    <w:abstractNumId w:val="33"/>
  </w:num>
  <w:num w:numId="13">
    <w:abstractNumId w:val="32"/>
  </w:num>
  <w:num w:numId="14">
    <w:abstractNumId w:val="17"/>
  </w:num>
  <w:num w:numId="15">
    <w:abstractNumId w:val="6"/>
  </w:num>
  <w:num w:numId="16">
    <w:abstractNumId w:val="29"/>
  </w:num>
  <w:num w:numId="17">
    <w:abstractNumId w:val="26"/>
  </w:num>
  <w:num w:numId="18">
    <w:abstractNumId w:val="31"/>
  </w:num>
  <w:num w:numId="19">
    <w:abstractNumId w:val="20"/>
  </w:num>
  <w:num w:numId="20">
    <w:abstractNumId w:val="9"/>
  </w:num>
  <w:num w:numId="21">
    <w:abstractNumId w:val="18"/>
  </w:num>
  <w:num w:numId="22">
    <w:abstractNumId w:val="19"/>
  </w:num>
  <w:num w:numId="23">
    <w:abstractNumId w:val="25"/>
  </w:num>
  <w:num w:numId="24">
    <w:abstractNumId w:val="13"/>
  </w:num>
  <w:num w:numId="25">
    <w:abstractNumId w:val="0"/>
  </w:num>
  <w:num w:numId="26">
    <w:abstractNumId w:val="38"/>
  </w:num>
  <w:num w:numId="27">
    <w:abstractNumId w:val="37"/>
  </w:num>
  <w:num w:numId="28">
    <w:abstractNumId w:val="3"/>
  </w:num>
  <w:num w:numId="29">
    <w:abstractNumId w:val="8"/>
  </w:num>
  <w:num w:numId="30">
    <w:abstractNumId w:val="36"/>
  </w:num>
  <w:num w:numId="31">
    <w:abstractNumId w:val="15"/>
  </w:num>
  <w:num w:numId="32">
    <w:abstractNumId w:val="28"/>
  </w:num>
  <w:num w:numId="33">
    <w:abstractNumId w:val="12"/>
  </w:num>
  <w:num w:numId="34">
    <w:abstractNumId w:val="34"/>
  </w:num>
  <w:num w:numId="35">
    <w:abstractNumId w:val="24"/>
  </w:num>
  <w:num w:numId="36">
    <w:abstractNumId w:val="41"/>
  </w:num>
  <w:num w:numId="37">
    <w:abstractNumId w:val="1"/>
  </w:num>
  <w:num w:numId="38">
    <w:abstractNumId w:val="7"/>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5"/>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0"/>
  <w:drawingGridHorizontalSpacing w:val="120"/>
  <w:drawingGridVerticalSpacing w:val="163"/>
  <w:displayHorizontalDrawingGridEvery w:val="1"/>
  <w:displayVerticalDrawingGridEvery w:val="1"/>
  <w:noPunctuationKerning w:val="1"/>
  <w:characterSpacingControl w:val="doNotCompres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JjNTQxMzI5N2U2YmJmZjM0ZmIzYTE2OWQ0MTYxNjAifQ=="/>
  </w:docVars>
  <w:rsids>
    <w:rsidRoot w:val="002B2E32"/>
    <w:rsid w:val="00000BF2"/>
    <w:rsid w:val="00000BFB"/>
    <w:rsid w:val="00000FB1"/>
    <w:rsid w:val="00001FBA"/>
    <w:rsid w:val="000022EE"/>
    <w:rsid w:val="00002586"/>
    <w:rsid w:val="000026C2"/>
    <w:rsid w:val="00004D4E"/>
    <w:rsid w:val="000061D7"/>
    <w:rsid w:val="00006B13"/>
    <w:rsid w:val="0000744A"/>
    <w:rsid w:val="00007CAA"/>
    <w:rsid w:val="00010214"/>
    <w:rsid w:val="00011044"/>
    <w:rsid w:val="000112F2"/>
    <w:rsid w:val="00011A50"/>
    <w:rsid w:val="00011F9E"/>
    <w:rsid w:val="00012440"/>
    <w:rsid w:val="000137AD"/>
    <w:rsid w:val="00013DF8"/>
    <w:rsid w:val="00015CD6"/>
    <w:rsid w:val="00017206"/>
    <w:rsid w:val="0001780C"/>
    <w:rsid w:val="00017C1D"/>
    <w:rsid w:val="00017D4C"/>
    <w:rsid w:val="0002005A"/>
    <w:rsid w:val="00020314"/>
    <w:rsid w:val="000219D2"/>
    <w:rsid w:val="0002239E"/>
    <w:rsid w:val="00023252"/>
    <w:rsid w:val="00023825"/>
    <w:rsid w:val="0002421A"/>
    <w:rsid w:val="00024867"/>
    <w:rsid w:val="0002616F"/>
    <w:rsid w:val="00026268"/>
    <w:rsid w:val="00026F73"/>
    <w:rsid w:val="0003026A"/>
    <w:rsid w:val="00031A04"/>
    <w:rsid w:val="00031C95"/>
    <w:rsid w:val="0003233C"/>
    <w:rsid w:val="00035E0E"/>
    <w:rsid w:val="000363BE"/>
    <w:rsid w:val="00037913"/>
    <w:rsid w:val="00037CF1"/>
    <w:rsid w:val="000413C1"/>
    <w:rsid w:val="000415F2"/>
    <w:rsid w:val="00041A6C"/>
    <w:rsid w:val="0004210D"/>
    <w:rsid w:val="00044C71"/>
    <w:rsid w:val="00044E80"/>
    <w:rsid w:val="000452F6"/>
    <w:rsid w:val="00047EC2"/>
    <w:rsid w:val="00047F2C"/>
    <w:rsid w:val="00051B29"/>
    <w:rsid w:val="00052ECB"/>
    <w:rsid w:val="000532F3"/>
    <w:rsid w:val="0005399A"/>
    <w:rsid w:val="000548E9"/>
    <w:rsid w:val="00055247"/>
    <w:rsid w:val="0005660D"/>
    <w:rsid w:val="00056E56"/>
    <w:rsid w:val="0005709E"/>
    <w:rsid w:val="00057326"/>
    <w:rsid w:val="000575B8"/>
    <w:rsid w:val="000600C1"/>
    <w:rsid w:val="000607A9"/>
    <w:rsid w:val="00060ECD"/>
    <w:rsid w:val="00060EF0"/>
    <w:rsid w:val="00061784"/>
    <w:rsid w:val="000621A7"/>
    <w:rsid w:val="00064866"/>
    <w:rsid w:val="000648E9"/>
    <w:rsid w:val="00064912"/>
    <w:rsid w:val="00064C39"/>
    <w:rsid w:val="00064CCB"/>
    <w:rsid w:val="00065675"/>
    <w:rsid w:val="000658C7"/>
    <w:rsid w:val="00067E5E"/>
    <w:rsid w:val="00070767"/>
    <w:rsid w:val="00070A63"/>
    <w:rsid w:val="00071B12"/>
    <w:rsid w:val="00076091"/>
    <w:rsid w:val="000767D9"/>
    <w:rsid w:val="00076A44"/>
    <w:rsid w:val="0007702D"/>
    <w:rsid w:val="00080336"/>
    <w:rsid w:val="00080E39"/>
    <w:rsid w:val="00081400"/>
    <w:rsid w:val="00082C12"/>
    <w:rsid w:val="0008381D"/>
    <w:rsid w:val="00084009"/>
    <w:rsid w:val="000860B6"/>
    <w:rsid w:val="00086627"/>
    <w:rsid w:val="00086771"/>
    <w:rsid w:val="00086BE0"/>
    <w:rsid w:val="00087972"/>
    <w:rsid w:val="0009010D"/>
    <w:rsid w:val="000902AB"/>
    <w:rsid w:val="00091E34"/>
    <w:rsid w:val="0009366F"/>
    <w:rsid w:val="00093AA1"/>
    <w:rsid w:val="00095C9C"/>
    <w:rsid w:val="00096AF3"/>
    <w:rsid w:val="0009720D"/>
    <w:rsid w:val="000A1ED3"/>
    <w:rsid w:val="000A2158"/>
    <w:rsid w:val="000A325D"/>
    <w:rsid w:val="000A4074"/>
    <w:rsid w:val="000A4C76"/>
    <w:rsid w:val="000A4F56"/>
    <w:rsid w:val="000A4FCD"/>
    <w:rsid w:val="000A5C65"/>
    <w:rsid w:val="000A63FA"/>
    <w:rsid w:val="000A6743"/>
    <w:rsid w:val="000A6C8E"/>
    <w:rsid w:val="000B0CD8"/>
    <w:rsid w:val="000B15A8"/>
    <w:rsid w:val="000B16A4"/>
    <w:rsid w:val="000B28DA"/>
    <w:rsid w:val="000B3C56"/>
    <w:rsid w:val="000B442E"/>
    <w:rsid w:val="000B52B7"/>
    <w:rsid w:val="000B5420"/>
    <w:rsid w:val="000B617A"/>
    <w:rsid w:val="000B6DFD"/>
    <w:rsid w:val="000B6FCC"/>
    <w:rsid w:val="000C13BE"/>
    <w:rsid w:val="000C3754"/>
    <w:rsid w:val="000C38B9"/>
    <w:rsid w:val="000C3968"/>
    <w:rsid w:val="000C70E7"/>
    <w:rsid w:val="000D05BE"/>
    <w:rsid w:val="000D155E"/>
    <w:rsid w:val="000D3441"/>
    <w:rsid w:val="000D426A"/>
    <w:rsid w:val="000D5B5F"/>
    <w:rsid w:val="000D6043"/>
    <w:rsid w:val="000D63AE"/>
    <w:rsid w:val="000D6BA1"/>
    <w:rsid w:val="000D79C8"/>
    <w:rsid w:val="000E07C8"/>
    <w:rsid w:val="000E0AE0"/>
    <w:rsid w:val="000E15CA"/>
    <w:rsid w:val="000E2A4A"/>
    <w:rsid w:val="000E2FF9"/>
    <w:rsid w:val="000E37D3"/>
    <w:rsid w:val="000E4E6F"/>
    <w:rsid w:val="000E563D"/>
    <w:rsid w:val="000E5796"/>
    <w:rsid w:val="000E5D0F"/>
    <w:rsid w:val="000E5F55"/>
    <w:rsid w:val="000E644F"/>
    <w:rsid w:val="000E66FC"/>
    <w:rsid w:val="000E6750"/>
    <w:rsid w:val="000E67E0"/>
    <w:rsid w:val="000E7EF8"/>
    <w:rsid w:val="000F0B4F"/>
    <w:rsid w:val="000F2864"/>
    <w:rsid w:val="000F307A"/>
    <w:rsid w:val="000F5616"/>
    <w:rsid w:val="000F630B"/>
    <w:rsid w:val="000F73FC"/>
    <w:rsid w:val="000F77AF"/>
    <w:rsid w:val="000F7ACF"/>
    <w:rsid w:val="0010095A"/>
    <w:rsid w:val="00100FF8"/>
    <w:rsid w:val="00101E1B"/>
    <w:rsid w:val="00101E21"/>
    <w:rsid w:val="00102171"/>
    <w:rsid w:val="00103CC8"/>
    <w:rsid w:val="00104267"/>
    <w:rsid w:val="00104A7E"/>
    <w:rsid w:val="00107F0C"/>
    <w:rsid w:val="001100D2"/>
    <w:rsid w:val="001101E7"/>
    <w:rsid w:val="00110319"/>
    <w:rsid w:val="00110C88"/>
    <w:rsid w:val="00110F16"/>
    <w:rsid w:val="00111684"/>
    <w:rsid w:val="00111D76"/>
    <w:rsid w:val="001122CA"/>
    <w:rsid w:val="00112DB5"/>
    <w:rsid w:val="001138B7"/>
    <w:rsid w:val="0011520D"/>
    <w:rsid w:val="00115533"/>
    <w:rsid w:val="00115643"/>
    <w:rsid w:val="00115819"/>
    <w:rsid w:val="00115C56"/>
    <w:rsid w:val="001166E1"/>
    <w:rsid w:val="00116B59"/>
    <w:rsid w:val="0012016E"/>
    <w:rsid w:val="00121507"/>
    <w:rsid w:val="001218DD"/>
    <w:rsid w:val="0012240E"/>
    <w:rsid w:val="00124985"/>
    <w:rsid w:val="00124A1C"/>
    <w:rsid w:val="00125667"/>
    <w:rsid w:val="0012580D"/>
    <w:rsid w:val="0012608A"/>
    <w:rsid w:val="001260CF"/>
    <w:rsid w:val="00127699"/>
    <w:rsid w:val="00130213"/>
    <w:rsid w:val="001321C3"/>
    <w:rsid w:val="00132967"/>
    <w:rsid w:val="00132E28"/>
    <w:rsid w:val="0013386D"/>
    <w:rsid w:val="00133B42"/>
    <w:rsid w:val="00133B76"/>
    <w:rsid w:val="0013532F"/>
    <w:rsid w:val="00135BD2"/>
    <w:rsid w:val="00135C64"/>
    <w:rsid w:val="00140A9F"/>
    <w:rsid w:val="0014133D"/>
    <w:rsid w:val="00141C01"/>
    <w:rsid w:val="0014225C"/>
    <w:rsid w:val="00142EDC"/>
    <w:rsid w:val="001430E4"/>
    <w:rsid w:val="00143317"/>
    <w:rsid w:val="0014520E"/>
    <w:rsid w:val="001456B2"/>
    <w:rsid w:val="00145C34"/>
    <w:rsid w:val="00147333"/>
    <w:rsid w:val="00150FA6"/>
    <w:rsid w:val="00151C44"/>
    <w:rsid w:val="00151E65"/>
    <w:rsid w:val="001522E2"/>
    <w:rsid w:val="00153893"/>
    <w:rsid w:val="00153F93"/>
    <w:rsid w:val="0015522F"/>
    <w:rsid w:val="00156BBA"/>
    <w:rsid w:val="00161DAA"/>
    <w:rsid w:val="0016512C"/>
    <w:rsid w:val="0016513C"/>
    <w:rsid w:val="00165B86"/>
    <w:rsid w:val="001666A2"/>
    <w:rsid w:val="0016739C"/>
    <w:rsid w:val="001675A0"/>
    <w:rsid w:val="001677B7"/>
    <w:rsid w:val="00167888"/>
    <w:rsid w:val="00167F19"/>
    <w:rsid w:val="00167F1C"/>
    <w:rsid w:val="0017128C"/>
    <w:rsid w:val="001731CF"/>
    <w:rsid w:val="00173484"/>
    <w:rsid w:val="00173C2E"/>
    <w:rsid w:val="00174D7F"/>
    <w:rsid w:val="00175791"/>
    <w:rsid w:val="001758B8"/>
    <w:rsid w:val="00175993"/>
    <w:rsid w:val="00175C11"/>
    <w:rsid w:val="00175DEE"/>
    <w:rsid w:val="00175E5E"/>
    <w:rsid w:val="00177E62"/>
    <w:rsid w:val="00180BD0"/>
    <w:rsid w:val="00182A92"/>
    <w:rsid w:val="00182AA9"/>
    <w:rsid w:val="00183185"/>
    <w:rsid w:val="00183346"/>
    <w:rsid w:val="0018465B"/>
    <w:rsid w:val="001846AC"/>
    <w:rsid w:val="001847F7"/>
    <w:rsid w:val="00184F57"/>
    <w:rsid w:val="001879F5"/>
    <w:rsid w:val="00191796"/>
    <w:rsid w:val="00191CD4"/>
    <w:rsid w:val="001927D7"/>
    <w:rsid w:val="00192E21"/>
    <w:rsid w:val="00192F49"/>
    <w:rsid w:val="00193798"/>
    <w:rsid w:val="00195371"/>
    <w:rsid w:val="001955AF"/>
    <w:rsid w:val="00195969"/>
    <w:rsid w:val="00195A30"/>
    <w:rsid w:val="001962B4"/>
    <w:rsid w:val="0019685C"/>
    <w:rsid w:val="00196D0E"/>
    <w:rsid w:val="001972E8"/>
    <w:rsid w:val="00197909"/>
    <w:rsid w:val="001A037B"/>
    <w:rsid w:val="001A2167"/>
    <w:rsid w:val="001A2429"/>
    <w:rsid w:val="001A2595"/>
    <w:rsid w:val="001A27C7"/>
    <w:rsid w:val="001A4183"/>
    <w:rsid w:val="001A4670"/>
    <w:rsid w:val="001A4708"/>
    <w:rsid w:val="001A4C6F"/>
    <w:rsid w:val="001A4CCF"/>
    <w:rsid w:val="001A5612"/>
    <w:rsid w:val="001A58AA"/>
    <w:rsid w:val="001A5C5F"/>
    <w:rsid w:val="001A69A0"/>
    <w:rsid w:val="001A6C32"/>
    <w:rsid w:val="001A7124"/>
    <w:rsid w:val="001A7C5F"/>
    <w:rsid w:val="001B0444"/>
    <w:rsid w:val="001B1AD7"/>
    <w:rsid w:val="001B1B7E"/>
    <w:rsid w:val="001B1F40"/>
    <w:rsid w:val="001B26BD"/>
    <w:rsid w:val="001B2A14"/>
    <w:rsid w:val="001B2AF4"/>
    <w:rsid w:val="001B322D"/>
    <w:rsid w:val="001B3445"/>
    <w:rsid w:val="001B47CF"/>
    <w:rsid w:val="001B533B"/>
    <w:rsid w:val="001B61D8"/>
    <w:rsid w:val="001B6D08"/>
    <w:rsid w:val="001B6E13"/>
    <w:rsid w:val="001B7449"/>
    <w:rsid w:val="001C10EA"/>
    <w:rsid w:val="001C1588"/>
    <w:rsid w:val="001C185E"/>
    <w:rsid w:val="001C2130"/>
    <w:rsid w:val="001C24BA"/>
    <w:rsid w:val="001C35C0"/>
    <w:rsid w:val="001C3704"/>
    <w:rsid w:val="001C4C41"/>
    <w:rsid w:val="001C56D8"/>
    <w:rsid w:val="001C6DF3"/>
    <w:rsid w:val="001C79E0"/>
    <w:rsid w:val="001C7DEE"/>
    <w:rsid w:val="001D06D1"/>
    <w:rsid w:val="001D111A"/>
    <w:rsid w:val="001D16B2"/>
    <w:rsid w:val="001D1E4A"/>
    <w:rsid w:val="001D1FE7"/>
    <w:rsid w:val="001D22E3"/>
    <w:rsid w:val="001D2406"/>
    <w:rsid w:val="001D33A5"/>
    <w:rsid w:val="001D3D8B"/>
    <w:rsid w:val="001D3E63"/>
    <w:rsid w:val="001D4474"/>
    <w:rsid w:val="001D5AD6"/>
    <w:rsid w:val="001D7595"/>
    <w:rsid w:val="001D7668"/>
    <w:rsid w:val="001D777D"/>
    <w:rsid w:val="001E12C7"/>
    <w:rsid w:val="001E2490"/>
    <w:rsid w:val="001E2525"/>
    <w:rsid w:val="001E2709"/>
    <w:rsid w:val="001E318A"/>
    <w:rsid w:val="001E510E"/>
    <w:rsid w:val="001E5DCB"/>
    <w:rsid w:val="001E60BA"/>
    <w:rsid w:val="001E65D2"/>
    <w:rsid w:val="001E70CC"/>
    <w:rsid w:val="001E78D3"/>
    <w:rsid w:val="001F188B"/>
    <w:rsid w:val="001F2A29"/>
    <w:rsid w:val="001F33B2"/>
    <w:rsid w:val="001F376B"/>
    <w:rsid w:val="001F3DC4"/>
    <w:rsid w:val="001F52CE"/>
    <w:rsid w:val="001F6166"/>
    <w:rsid w:val="001F67A9"/>
    <w:rsid w:val="001F70A2"/>
    <w:rsid w:val="001F7B76"/>
    <w:rsid w:val="00200AFB"/>
    <w:rsid w:val="00201418"/>
    <w:rsid w:val="00201BDC"/>
    <w:rsid w:val="0020276E"/>
    <w:rsid w:val="00203BD3"/>
    <w:rsid w:val="00204834"/>
    <w:rsid w:val="00204AF5"/>
    <w:rsid w:val="00204C51"/>
    <w:rsid w:val="00204D82"/>
    <w:rsid w:val="002059BE"/>
    <w:rsid w:val="00205D6B"/>
    <w:rsid w:val="00205EED"/>
    <w:rsid w:val="00207479"/>
    <w:rsid w:val="002075D0"/>
    <w:rsid w:val="002078B7"/>
    <w:rsid w:val="00210104"/>
    <w:rsid w:val="00210A8A"/>
    <w:rsid w:val="00210AA4"/>
    <w:rsid w:val="002133D0"/>
    <w:rsid w:val="00213935"/>
    <w:rsid w:val="0021396F"/>
    <w:rsid w:val="002143EE"/>
    <w:rsid w:val="002145A5"/>
    <w:rsid w:val="002147BC"/>
    <w:rsid w:val="00215795"/>
    <w:rsid w:val="00216B29"/>
    <w:rsid w:val="00217919"/>
    <w:rsid w:val="00217AB8"/>
    <w:rsid w:val="00220A4C"/>
    <w:rsid w:val="00221F37"/>
    <w:rsid w:val="00222918"/>
    <w:rsid w:val="002235E9"/>
    <w:rsid w:val="002243E3"/>
    <w:rsid w:val="00224952"/>
    <w:rsid w:val="00225589"/>
    <w:rsid w:val="0022588F"/>
    <w:rsid w:val="00225C51"/>
    <w:rsid w:val="00226B1E"/>
    <w:rsid w:val="00227F55"/>
    <w:rsid w:val="00231D0C"/>
    <w:rsid w:val="00233BC2"/>
    <w:rsid w:val="002346B2"/>
    <w:rsid w:val="00235FF7"/>
    <w:rsid w:val="00236A11"/>
    <w:rsid w:val="00236E65"/>
    <w:rsid w:val="00237237"/>
    <w:rsid w:val="00242048"/>
    <w:rsid w:val="0024302B"/>
    <w:rsid w:val="002436D5"/>
    <w:rsid w:val="00244CCA"/>
    <w:rsid w:val="00245A18"/>
    <w:rsid w:val="00247054"/>
    <w:rsid w:val="00247500"/>
    <w:rsid w:val="00247A41"/>
    <w:rsid w:val="002503B1"/>
    <w:rsid w:val="002504B3"/>
    <w:rsid w:val="002516F4"/>
    <w:rsid w:val="00252080"/>
    <w:rsid w:val="0025247F"/>
    <w:rsid w:val="0025304B"/>
    <w:rsid w:val="00253524"/>
    <w:rsid w:val="002538D5"/>
    <w:rsid w:val="00253CA3"/>
    <w:rsid w:val="002555EC"/>
    <w:rsid w:val="00255FD6"/>
    <w:rsid w:val="002571FA"/>
    <w:rsid w:val="00260B68"/>
    <w:rsid w:val="00260D94"/>
    <w:rsid w:val="00260DCE"/>
    <w:rsid w:val="002624DB"/>
    <w:rsid w:val="00262D0A"/>
    <w:rsid w:val="00262FC1"/>
    <w:rsid w:val="0026315E"/>
    <w:rsid w:val="002633E2"/>
    <w:rsid w:val="002643AF"/>
    <w:rsid w:val="00264707"/>
    <w:rsid w:val="00264817"/>
    <w:rsid w:val="002653E4"/>
    <w:rsid w:val="002669C8"/>
    <w:rsid w:val="002675DA"/>
    <w:rsid w:val="0027016D"/>
    <w:rsid w:val="00270ED7"/>
    <w:rsid w:val="00270FFE"/>
    <w:rsid w:val="00271741"/>
    <w:rsid w:val="00271BE7"/>
    <w:rsid w:val="00272887"/>
    <w:rsid w:val="00273345"/>
    <w:rsid w:val="0027416B"/>
    <w:rsid w:val="0028078C"/>
    <w:rsid w:val="002808BE"/>
    <w:rsid w:val="00280BA1"/>
    <w:rsid w:val="002819E2"/>
    <w:rsid w:val="00282411"/>
    <w:rsid w:val="00282428"/>
    <w:rsid w:val="00283C7D"/>
    <w:rsid w:val="002842CE"/>
    <w:rsid w:val="0028578E"/>
    <w:rsid w:val="00286231"/>
    <w:rsid w:val="00286A15"/>
    <w:rsid w:val="00286B5C"/>
    <w:rsid w:val="002873C3"/>
    <w:rsid w:val="00287A51"/>
    <w:rsid w:val="00287AB7"/>
    <w:rsid w:val="0029039B"/>
    <w:rsid w:val="00291D4A"/>
    <w:rsid w:val="0029280F"/>
    <w:rsid w:val="00292A32"/>
    <w:rsid w:val="00292A58"/>
    <w:rsid w:val="00293046"/>
    <w:rsid w:val="002933F3"/>
    <w:rsid w:val="002951AC"/>
    <w:rsid w:val="00295603"/>
    <w:rsid w:val="0029561F"/>
    <w:rsid w:val="00295714"/>
    <w:rsid w:val="00296098"/>
    <w:rsid w:val="00296FFF"/>
    <w:rsid w:val="002974F1"/>
    <w:rsid w:val="002976BB"/>
    <w:rsid w:val="00297F07"/>
    <w:rsid w:val="00297F77"/>
    <w:rsid w:val="002A1F8D"/>
    <w:rsid w:val="002A2CCC"/>
    <w:rsid w:val="002A35DE"/>
    <w:rsid w:val="002A3652"/>
    <w:rsid w:val="002A3E74"/>
    <w:rsid w:val="002A615A"/>
    <w:rsid w:val="002B0960"/>
    <w:rsid w:val="002B2E32"/>
    <w:rsid w:val="002B3281"/>
    <w:rsid w:val="002B32F3"/>
    <w:rsid w:val="002B3A38"/>
    <w:rsid w:val="002B44F7"/>
    <w:rsid w:val="002B4845"/>
    <w:rsid w:val="002B4949"/>
    <w:rsid w:val="002B59DC"/>
    <w:rsid w:val="002B6797"/>
    <w:rsid w:val="002B6899"/>
    <w:rsid w:val="002B6E31"/>
    <w:rsid w:val="002B7271"/>
    <w:rsid w:val="002B758B"/>
    <w:rsid w:val="002B7AE9"/>
    <w:rsid w:val="002C025C"/>
    <w:rsid w:val="002C03DF"/>
    <w:rsid w:val="002C12FB"/>
    <w:rsid w:val="002C15E5"/>
    <w:rsid w:val="002C1D98"/>
    <w:rsid w:val="002C48AC"/>
    <w:rsid w:val="002C4933"/>
    <w:rsid w:val="002C4F10"/>
    <w:rsid w:val="002C7501"/>
    <w:rsid w:val="002C7641"/>
    <w:rsid w:val="002D0132"/>
    <w:rsid w:val="002D19E2"/>
    <w:rsid w:val="002D1E3F"/>
    <w:rsid w:val="002D22D9"/>
    <w:rsid w:val="002D2CFD"/>
    <w:rsid w:val="002D4156"/>
    <w:rsid w:val="002D549F"/>
    <w:rsid w:val="002D596D"/>
    <w:rsid w:val="002D6D93"/>
    <w:rsid w:val="002D7621"/>
    <w:rsid w:val="002D78F5"/>
    <w:rsid w:val="002D7998"/>
    <w:rsid w:val="002E0544"/>
    <w:rsid w:val="002E0D89"/>
    <w:rsid w:val="002E1031"/>
    <w:rsid w:val="002E24C2"/>
    <w:rsid w:val="002E3408"/>
    <w:rsid w:val="002E3762"/>
    <w:rsid w:val="002E3F78"/>
    <w:rsid w:val="002E44CC"/>
    <w:rsid w:val="002E4795"/>
    <w:rsid w:val="002E4AFC"/>
    <w:rsid w:val="002E6143"/>
    <w:rsid w:val="002E61C8"/>
    <w:rsid w:val="002E6B75"/>
    <w:rsid w:val="002E77C7"/>
    <w:rsid w:val="002E7B41"/>
    <w:rsid w:val="002F043C"/>
    <w:rsid w:val="002F17FE"/>
    <w:rsid w:val="002F23E6"/>
    <w:rsid w:val="002F2D40"/>
    <w:rsid w:val="002F3F9E"/>
    <w:rsid w:val="002F56F2"/>
    <w:rsid w:val="002F5990"/>
    <w:rsid w:val="002F639B"/>
    <w:rsid w:val="002F674E"/>
    <w:rsid w:val="002F689E"/>
    <w:rsid w:val="002F69A0"/>
    <w:rsid w:val="002F6D22"/>
    <w:rsid w:val="0030062D"/>
    <w:rsid w:val="003009FE"/>
    <w:rsid w:val="003011C6"/>
    <w:rsid w:val="0030346F"/>
    <w:rsid w:val="0030352A"/>
    <w:rsid w:val="00303A66"/>
    <w:rsid w:val="003041F3"/>
    <w:rsid w:val="00304603"/>
    <w:rsid w:val="003047D7"/>
    <w:rsid w:val="00304FDE"/>
    <w:rsid w:val="00305923"/>
    <w:rsid w:val="00305DFC"/>
    <w:rsid w:val="0030690B"/>
    <w:rsid w:val="00306F63"/>
    <w:rsid w:val="003072C3"/>
    <w:rsid w:val="00307A95"/>
    <w:rsid w:val="003103CB"/>
    <w:rsid w:val="00310736"/>
    <w:rsid w:val="00310A27"/>
    <w:rsid w:val="00310C92"/>
    <w:rsid w:val="003112E4"/>
    <w:rsid w:val="0031160E"/>
    <w:rsid w:val="003122F6"/>
    <w:rsid w:val="00312A1F"/>
    <w:rsid w:val="003136AF"/>
    <w:rsid w:val="00314259"/>
    <w:rsid w:val="003153A3"/>
    <w:rsid w:val="00316CE5"/>
    <w:rsid w:val="00316E68"/>
    <w:rsid w:val="003172C9"/>
    <w:rsid w:val="00317F94"/>
    <w:rsid w:val="0032023C"/>
    <w:rsid w:val="00320BD9"/>
    <w:rsid w:val="00321F0E"/>
    <w:rsid w:val="003220C1"/>
    <w:rsid w:val="003221A0"/>
    <w:rsid w:val="003222D7"/>
    <w:rsid w:val="00323B48"/>
    <w:rsid w:val="00324083"/>
    <w:rsid w:val="003245B6"/>
    <w:rsid w:val="00324B3B"/>
    <w:rsid w:val="003253A9"/>
    <w:rsid w:val="00326224"/>
    <w:rsid w:val="00326BE1"/>
    <w:rsid w:val="00327C76"/>
    <w:rsid w:val="00330B20"/>
    <w:rsid w:val="00330D16"/>
    <w:rsid w:val="0033199F"/>
    <w:rsid w:val="00332373"/>
    <w:rsid w:val="00332495"/>
    <w:rsid w:val="0033294A"/>
    <w:rsid w:val="003339B3"/>
    <w:rsid w:val="00333A0B"/>
    <w:rsid w:val="00334568"/>
    <w:rsid w:val="00335594"/>
    <w:rsid w:val="00336873"/>
    <w:rsid w:val="003373EB"/>
    <w:rsid w:val="0033760E"/>
    <w:rsid w:val="003405BE"/>
    <w:rsid w:val="00340C42"/>
    <w:rsid w:val="00340DD8"/>
    <w:rsid w:val="00343A5F"/>
    <w:rsid w:val="00343B98"/>
    <w:rsid w:val="00344301"/>
    <w:rsid w:val="003446F0"/>
    <w:rsid w:val="0034506C"/>
    <w:rsid w:val="00345204"/>
    <w:rsid w:val="00345267"/>
    <w:rsid w:val="00346A7C"/>
    <w:rsid w:val="00347A5E"/>
    <w:rsid w:val="00347B67"/>
    <w:rsid w:val="00347C05"/>
    <w:rsid w:val="00347CD0"/>
    <w:rsid w:val="0035013F"/>
    <w:rsid w:val="00353774"/>
    <w:rsid w:val="003542F6"/>
    <w:rsid w:val="0035449E"/>
    <w:rsid w:val="003550FA"/>
    <w:rsid w:val="003556B2"/>
    <w:rsid w:val="003565F3"/>
    <w:rsid w:val="003568BA"/>
    <w:rsid w:val="00356BC5"/>
    <w:rsid w:val="0035757F"/>
    <w:rsid w:val="00357E3A"/>
    <w:rsid w:val="003607EC"/>
    <w:rsid w:val="00361639"/>
    <w:rsid w:val="00361A80"/>
    <w:rsid w:val="003621BC"/>
    <w:rsid w:val="0036261B"/>
    <w:rsid w:val="0036406F"/>
    <w:rsid w:val="0036579F"/>
    <w:rsid w:val="003665CE"/>
    <w:rsid w:val="00366936"/>
    <w:rsid w:val="00367BC1"/>
    <w:rsid w:val="00367C8B"/>
    <w:rsid w:val="00367E97"/>
    <w:rsid w:val="003740CC"/>
    <w:rsid w:val="0037430C"/>
    <w:rsid w:val="00374AFA"/>
    <w:rsid w:val="003751FD"/>
    <w:rsid w:val="0037796A"/>
    <w:rsid w:val="00377DD7"/>
    <w:rsid w:val="00377F0C"/>
    <w:rsid w:val="0038001C"/>
    <w:rsid w:val="00380585"/>
    <w:rsid w:val="003806D9"/>
    <w:rsid w:val="00380D5D"/>
    <w:rsid w:val="00380E75"/>
    <w:rsid w:val="00381089"/>
    <w:rsid w:val="003812E9"/>
    <w:rsid w:val="0038157D"/>
    <w:rsid w:val="003821A3"/>
    <w:rsid w:val="00382A35"/>
    <w:rsid w:val="00382C69"/>
    <w:rsid w:val="00383701"/>
    <w:rsid w:val="00383805"/>
    <w:rsid w:val="00383CD2"/>
    <w:rsid w:val="00383D7D"/>
    <w:rsid w:val="00384106"/>
    <w:rsid w:val="003846F3"/>
    <w:rsid w:val="0038485D"/>
    <w:rsid w:val="00384D64"/>
    <w:rsid w:val="003859C4"/>
    <w:rsid w:val="00385D8B"/>
    <w:rsid w:val="00385F07"/>
    <w:rsid w:val="003862FA"/>
    <w:rsid w:val="003869E4"/>
    <w:rsid w:val="00386EE2"/>
    <w:rsid w:val="003870FD"/>
    <w:rsid w:val="003876A7"/>
    <w:rsid w:val="00387C7D"/>
    <w:rsid w:val="00387F10"/>
    <w:rsid w:val="003914D3"/>
    <w:rsid w:val="00391B3F"/>
    <w:rsid w:val="00391E2A"/>
    <w:rsid w:val="00392695"/>
    <w:rsid w:val="00393A8A"/>
    <w:rsid w:val="00394022"/>
    <w:rsid w:val="0039409C"/>
    <w:rsid w:val="003947D6"/>
    <w:rsid w:val="00394EC7"/>
    <w:rsid w:val="00395121"/>
    <w:rsid w:val="00396CF6"/>
    <w:rsid w:val="0039754C"/>
    <w:rsid w:val="003A0D12"/>
    <w:rsid w:val="003A1235"/>
    <w:rsid w:val="003A29B8"/>
    <w:rsid w:val="003A2A62"/>
    <w:rsid w:val="003A2FCD"/>
    <w:rsid w:val="003A38ED"/>
    <w:rsid w:val="003A47ED"/>
    <w:rsid w:val="003A5000"/>
    <w:rsid w:val="003A51BE"/>
    <w:rsid w:val="003A55C9"/>
    <w:rsid w:val="003A58A5"/>
    <w:rsid w:val="003A6317"/>
    <w:rsid w:val="003A6A73"/>
    <w:rsid w:val="003A6AA1"/>
    <w:rsid w:val="003A730A"/>
    <w:rsid w:val="003A78B7"/>
    <w:rsid w:val="003B0261"/>
    <w:rsid w:val="003B0AE8"/>
    <w:rsid w:val="003B0AFC"/>
    <w:rsid w:val="003B0BC4"/>
    <w:rsid w:val="003B0DFF"/>
    <w:rsid w:val="003B0F53"/>
    <w:rsid w:val="003B15B1"/>
    <w:rsid w:val="003B28F9"/>
    <w:rsid w:val="003B39D0"/>
    <w:rsid w:val="003B4141"/>
    <w:rsid w:val="003B499B"/>
    <w:rsid w:val="003B686A"/>
    <w:rsid w:val="003B735C"/>
    <w:rsid w:val="003B753C"/>
    <w:rsid w:val="003B79D1"/>
    <w:rsid w:val="003C034C"/>
    <w:rsid w:val="003C05F3"/>
    <w:rsid w:val="003C07FF"/>
    <w:rsid w:val="003C11FF"/>
    <w:rsid w:val="003C1C2E"/>
    <w:rsid w:val="003C2C9E"/>
    <w:rsid w:val="003C512C"/>
    <w:rsid w:val="003C53C1"/>
    <w:rsid w:val="003C5AC5"/>
    <w:rsid w:val="003C6555"/>
    <w:rsid w:val="003C72CF"/>
    <w:rsid w:val="003D0093"/>
    <w:rsid w:val="003D027A"/>
    <w:rsid w:val="003D0852"/>
    <w:rsid w:val="003D1EDB"/>
    <w:rsid w:val="003D3D08"/>
    <w:rsid w:val="003D4F2A"/>
    <w:rsid w:val="003D5415"/>
    <w:rsid w:val="003D57FC"/>
    <w:rsid w:val="003D5D33"/>
    <w:rsid w:val="003D7458"/>
    <w:rsid w:val="003E27B6"/>
    <w:rsid w:val="003E367B"/>
    <w:rsid w:val="003E585D"/>
    <w:rsid w:val="003E5919"/>
    <w:rsid w:val="003E6155"/>
    <w:rsid w:val="003E6881"/>
    <w:rsid w:val="003E6B34"/>
    <w:rsid w:val="003E6CCA"/>
    <w:rsid w:val="003E7BFB"/>
    <w:rsid w:val="003E7C06"/>
    <w:rsid w:val="003F0A95"/>
    <w:rsid w:val="003F1743"/>
    <w:rsid w:val="003F1A6E"/>
    <w:rsid w:val="003F1C49"/>
    <w:rsid w:val="003F1D7A"/>
    <w:rsid w:val="003F271F"/>
    <w:rsid w:val="003F29AC"/>
    <w:rsid w:val="003F2C4D"/>
    <w:rsid w:val="003F309F"/>
    <w:rsid w:val="003F31B5"/>
    <w:rsid w:val="003F33D3"/>
    <w:rsid w:val="003F3ACE"/>
    <w:rsid w:val="003F3E50"/>
    <w:rsid w:val="003F4AD8"/>
    <w:rsid w:val="003F4FFB"/>
    <w:rsid w:val="003F63E9"/>
    <w:rsid w:val="003F6682"/>
    <w:rsid w:val="003F6AA6"/>
    <w:rsid w:val="003F7EEA"/>
    <w:rsid w:val="004001F9"/>
    <w:rsid w:val="0040195E"/>
    <w:rsid w:val="00402793"/>
    <w:rsid w:val="00403584"/>
    <w:rsid w:val="00406321"/>
    <w:rsid w:val="00407939"/>
    <w:rsid w:val="00410040"/>
    <w:rsid w:val="004113A6"/>
    <w:rsid w:val="00411934"/>
    <w:rsid w:val="004122BB"/>
    <w:rsid w:val="00412956"/>
    <w:rsid w:val="00412BCC"/>
    <w:rsid w:val="00412C72"/>
    <w:rsid w:val="004132AF"/>
    <w:rsid w:val="00413812"/>
    <w:rsid w:val="004139D1"/>
    <w:rsid w:val="0041445B"/>
    <w:rsid w:val="00414C6F"/>
    <w:rsid w:val="00415529"/>
    <w:rsid w:val="0041588D"/>
    <w:rsid w:val="004159BB"/>
    <w:rsid w:val="00415AC0"/>
    <w:rsid w:val="00415B12"/>
    <w:rsid w:val="0041727C"/>
    <w:rsid w:val="00417719"/>
    <w:rsid w:val="004179EE"/>
    <w:rsid w:val="004225C7"/>
    <w:rsid w:val="00422F6B"/>
    <w:rsid w:val="00423271"/>
    <w:rsid w:val="00423F81"/>
    <w:rsid w:val="00424B42"/>
    <w:rsid w:val="00424D15"/>
    <w:rsid w:val="004251FD"/>
    <w:rsid w:val="00425587"/>
    <w:rsid w:val="00425E28"/>
    <w:rsid w:val="00426872"/>
    <w:rsid w:val="00426A08"/>
    <w:rsid w:val="00427D07"/>
    <w:rsid w:val="004306DD"/>
    <w:rsid w:val="00430A3C"/>
    <w:rsid w:val="00431683"/>
    <w:rsid w:val="004317EC"/>
    <w:rsid w:val="00432E1A"/>
    <w:rsid w:val="0043363F"/>
    <w:rsid w:val="0043442A"/>
    <w:rsid w:val="004346FE"/>
    <w:rsid w:val="00434A50"/>
    <w:rsid w:val="004352D0"/>
    <w:rsid w:val="00435C6D"/>
    <w:rsid w:val="00435DFD"/>
    <w:rsid w:val="00435F01"/>
    <w:rsid w:val="004377F0"/>
    <w:rsid w:val="00441038"/>
    <w:rsid w:val="00443F58"/>
    <w:rsid w:val="00443FD0"/>
    <w:rsid w:val="00445091"/>
    <w:rsid w:val="0044558C"/>
    <w:rsid w:val="00446236"/>
    <w:rsid w:val="00446C6D"/>
    <w:rsid w:val="004501D7"/>
    <w:rsid w:val="0045075F"/>
    <w:rsid w:val="00450C8B"/>
    <w:rsid w:val="0045165A"/>
    <w:rsid w:val="00452214"/>
    <w:rsid w:val="00452FB9"/>
    <w:rsid w:val="00453B0E"/>
    <w:rsid w:val="00454AD8"/>
    <w:rsid w:val="00454C7C"/>
    <w:rsid w:val="00454C92"/>
    <w:rsid w:val="00457A34"/>
    <w:rsid w:val="00460A77"/>
    <w:rsid w:val="00461853"/>
    <w:rsid w:val="00461ADF"/>
    <w:rsid w:val="00462922"/>
    <w:rsid w:val="00462987"/>
    <w:rsid w:val="00462D6D"/>
    <w:rsid w:val="00462F85"/>
    <w:rsid w:val="00463263"/>
    <w:rsid w:val="004635CA"/>
    <w:rsid w:val="004636F3"/>
    <w:rsid w:val="00463B05"/>
    <w:rsid w:val="00463D2D"/>
    <w:rsid w:val="0046465E"/>
    <w:rsid w:val="00464ADE"/>
    <w:rsid w:val="00465CDD"/>
    <w:rsid w:val="00466173"/>
    <w:rsid w:val="0047164A"/>
    <w:rsid w:val="0047211A"/>
    <w:rsid w:val="004723DC"/>
    <w:rsid w:val="00472D39"/>
    <w:rsid w:val="00473F84"/>
    <w:rsid w:val="00474598"/>
    <w:rsid w:val="00474CAA"/>
    <w:rsid w:val="0047580B"/>
    <w:rsid w:val="0047661A"/>
    <w:rsid w:val="004766AE"/>
    <w:rsid w:val="00477168"/>
    <w:rsid w:val="00477F4E"/>
    <w:rsid w:val="00480CF9"/>
    <w:rsid w:val="0048231C"/>
    <w:rsid w:val="00482C71"/>
    <w:rsid w:val="00483ED4"/>
    <w:rsid w:val="00485DA7"/>
    <w:rsid w:val="004864F4"/>
    <w:rsid w:val="0048663B"/>
    <w:rsid w:val="004866C2"/>
    <w:rsid w:val="00486758"/>
    <w:rsid w:val="00487707"/>
    <w:rsid w:val="00487B43"/>
    <w:rsid w:val="00487C68"/>
    <w:rsid w:val="0049093C"/>
    <w:rsid w:val="00490940"/>
    <w:rsid w:val="0049278F"/>
    <w:rsid w:val="00492A81"/>
    <w:rsid w:val="00492E12"/>
    <w:rsid w:val="004936DD"/>
    <w:rsid w:val="00494CA0"/>
    <w:rsid w:val="004971F3"/>
    <w:rsid w:val="00497F94"/>
    <w:rsid w:val="004A0779"/>
    <w:rsid w:val="004A1DEB"/>
    <w:rsid w:val="004A1EE5"/>
    <w:rsid w:val="004A2714"/>
    <w:rsid w:val="004A3833"/>
    <w:rsid w:val="004A39C2"/>
    <w:rsid w:val="004A3BC3"/>
    <w:rsid w:val="004A4E0C"/>
    <w:rsid w:val="004A5426"/>
    <w:rsid w:val="004A63EB"/>
    <w:rsid w:val="004A73AB"/>
    <w:rsid w:val="004B03CC"/>
    <w:rsid w:val="004B13FC"/>
    <w:rsid w:val="004B14FE"/>
    <w:rsid w:val="004B1D51"/>
    <w:rsid w:val="004B21E4"/>
    <w:rsid w:val="004B2B0B"/>
    <w:rsid w:val="004B2F5C"/>
    <w:rsid w:val="004B368D"/>
    <w:rsid w:val="004B3DAA"/>
    <w:rsid w:val="004B4F55"/>
    <w:rsid w:val="004B510F"/>
    <w:rsid w:val="004B7213"/>
    <w:rsid w:val="004B73CD"/>
    <w:rsid w:val="004B787B"/>
    <w:rsid w:val="004C09E7"/>
    <w:rsid w:val="004C205B"/>
    <w:rsid w:val="004C2500"/>
    <w:rsid w:val="004C2F1B"/>
    <w:rsid w:val="004C433D"/>
    <w:rsid w:val="004C4792"/>
    <w:rsid w:val="004C49A2"/>
    <w:rsid w:val="004C4D79"/>
    <w:rsid w:val="004C66F5"/>
    <w:rsid w:val="004C71FA"/>
    <w:rsid w:val="004D09D2"/>
    <w:rsid w:val="004D2A2A"/>
    <w:rsid w:val="004D3475"/>
    <w:rsid w:val="004D3AFA"/>
    <w:rsid w:val="004D4110"/>
    <w:rsid w:val="004D44DE"/>
    <w:rsid w:val="004D5490"/>
    <w:rsid w:val="004D54E7"/>
    <w:rsid w:val="004D5517"/>
    <w:rsid w:val="004D7158"/>
    <w:rsid w:val="004D7A71"/>
    <w:rsid w:val="004D7AF1"/>
    <w:rsid w:val="004E07FA"/>
    <w:rsid w:val="004E1001"/>
    <w:rsid w:val="004E105E"/>
    <w:rsid w:val="004E154B"/>
    <w:rsid w:val="004E1AEA"/>
    <w:rsid w:val="004E1FC1"/>
    <w:rsid w:val="004E21C6"/>
    <w:rsid w:val="004E21E9"/>
    <w:rsid w:val="004E457C"/>
    <w:rsid w:val="004E4A80"/>
    <w:rsid w:val="004E623B"/>
    <w:rsid w:val="004E70D6"/>
    <w:rsid w:val="004E7190"/>
    <w:rsid w:val="004E736B"/>
    <w:rsid w:val="004F0F6A"/>
    <w:rsid w:val="004F10CD"/>
    <w:rsid w:val="004F2A6C"/>
    <w:rsid w:val="004F3BE9"/>
    <w:rsid w:val="004F4B7C"/>
    <w:rsid w:val="004F55CF"/>
    <w:rsid w:val="004F5616"/>
    <w:rsid w:val="004F66AB"/>
    <w:rsid w:val="004F6D98"/>
    <w:rsid w:val="004F6E2E"/>
    <w:rsid w:val="004F7FA3"/>
    <w:rsid w:val="0050060A"/>
    <w:rsid w:val="00501346"/>
    <w:rsid w:val="00501512"/>
    <w:rsid w:val="005018BA"/>
    <w:rsid w:val="005019AE"/>
    <w:rsid w:val="00502D9C"/>
    <w:rsid w:val="005043C8"/>
    <w:rsid w:val="00504CD4"/>
    <w:rsid w:val="0050503F"/>
    <w:rsid w:val="005050D5"/>
    <w:rsid w:val="00506DD5"/>
    <w:rsid w:val="005071C5"/>
    <w:rsid w:val="0050743D"/>
    <w:rsid w:val="00507576"/>
    <w:rsid w:val="005105E8"/>
    <w:rsid w:val="00510D04"/>
    <w:rsid w:val="00511742"/>
    <w:rsid w:val="005121CB"/>
    <w:rsid w:val="00513215"/>
    <w:rsid w:val="00513A4A"/>
    <w:rsid w:val="00516DD0"/>
    <w:rsid w:val="005176C4"/>
    <w:rsid w:val="00517D07"/>
    <w:rsid w:val="005217BC"/>
    <w:rsid w:val="00522849"/>
    <w:rsid w:val="00522BFF"/>
    <w:rsid w:val="005231DA"/>
    <w:rsid w:val="00523299"/>
    <w:rsid w:val="00523814"/>
    <w:rsid w:val="00524992"/>
    <w:rsid w:val="005259F8"/>
    <w:rsid w:val="00525BE9"/>
    <w:rsid w:val="00525F1C"/>
    <w:rsid w:val="00525F8F"/>
    <w:rsid w:val="00527C18"/>
    <w:rsid w:val="005303D6"/>
    <w:rsid w:val="0053067D"/>
    <w:rsid w:val="005308B5"/>
    <w:rsid w:val="00532544"/>
    <w:rsid w:val="0053261F"/>
    <w:rsid w:val="00532FD8"/>
    <w:rsid w:val="005332DA"/>
    <w:rsid w:val="005335DC"/>
    <w:rsid w:val="00533A48"/>
    <w:rsid w:val="00534576"/>
    <w:rsid w:val="00534633"/>
    <w:rsid w:val="00536717"/>
    <w:rsid w:val="005367F6"/>
    <w:rsid w:val="00536F0A"/>
    <w:rsid w:val="00537161"/>
    <w:rsid w:val="0053758D"/>
    <w:rsid w:val="00540466"/>
    <w:rsid w:val="00540622"/>
    <w:rsid w:val="00540E5D"/>
    <w:rsid w:val="00542F58"/>
    <w:rsid w:val="00543F2F"/>
    <w:rsid w:val="00544219"/>
    <w:rsid w:val="005445EB"/>
    <w:rsid w:val="0054479B"/>
    <w:rsid w:val="00544DF1"/>
    <w:rsid w:val="0054565D"/>
    <w:rsid w:val="005456A5"/>
    <w:rsid w:val="0054740A"/>
    <w:rsid w:val="00547D4C"/>
    <w:rsid w:val="005509BC"/>
    <w:rsid w:val="005510B3"/>
    <w:rsid w:val="005520FE"/>
    <w:rsid w:val="00552C74"/>
    <w:rsid w:val="00553331"/>
    <w:rsid w:val="005538A6"/>
    <w:rsid w:val="00554D2B"/>
    <w:rsid w:val="00556BBF"/>
    <w:rsid w:val="00556F67"/>
    <w:rsid w:val="005578EF"/>
    <w:rsid w:val="00560243"/>
    <w:rsid w:val="005607B6"/>
    <w:rsid w:val="00560A33"/>
    <w:rsid w:val="00560F5D"/>
    <w:rsid w:val="00561050"/>
    <w:rsid w:val="00561135"/>
    <w:rsid w:val="0056316E"/>
    <w:rsid w:val="00563327"/>
    <w:rsid w:val="00563543"/>
    <w:rsid w:val="00564D23"/>
    <w:rsid w:val="00564D66"/>
    <w:rsid w:val="005653FB"/>
    <w:rsid w:val="0056650E"/>
    <w:rsid w:val="005701AA"/>
    <w:rsid w:val="005701CB"/>
    <w:rsid w:val="00570467"/>
    <w:rsid w:val="005708CA"/>
    <w:rsid w:val="00571053"/>
    <w:rsid w:val="005712A5"/>
    <w:rsid w:val="00571D94"/>
    <w:rsid w:val="005735A0"/>
    <w:rsid w:val="0057492C"/>
    <w:rsid w:val="00574C55"/>
    <w:rsid w:val="00575468"/>
    <w:rsid w:val="005767BC"/>
    <w:rsid w:val="00577904"/>
    <w:rsid w:val="00577A46"/>
    <w:rsid w:val="00577D11"/>
    <w:rsid w:val="005822B7"/>
    <w:rsid w:val="0058242C"/>
    <w:rsid w:val="0058301C"/>
    <w:rsid w:val="00583056"/>
    <w:rsid w:val="005830DC"/>
    <w:rsid w:val="0058328F"/>
    <w:rsid w:val="00584239"/>
    <w:rsid w:val="005849F0"/>
    <w:rsid w:val="00585EC0"/>
    <w:rsid w:val="005860D7"/>
    <w:rsid w:val="005860E1"/>
    <w:rsid w:val="00586ADE"/>
    <w:rsid w:val="00587363"/>
    <w:rsid w:val="0058760C"/>
    <w:rsid w:val="00591ECE"/>
    <w:rsid w:val="0059237A"/>
    <w:rsid w:val="00593BD8"/>
    <w:rsid w:val="00595253"/>
    <w:rsid w:val="00595D4B"/>
    <w:rsid w:val="005977FC"/>
    <w:rsid w:val="005978B7"/>
    <w:rsid w:val="00597B48"/>
    <w:rsid w:val="00597C3C"/>
    <w:rsid w:val="005A05AB"/>
    <w:rsid w:val="005A08F8"/>
    <w:rsid w:val="005A17D7"/>
    <w:rsid w:val="005A2CEE"/>
    <w:rsid w:val="005A3B56"/>
    <w:rsid w:val="005A47F4"/>
    <w:rsid w:val="005A6FC2"/>
    <w:rsid w:val="005A7801"/>
    <w:rsid w:val="005B0A76"/>
    <w:rsid w:val="005B14B6"/>
    <w:rsid w:val="005B206D"/>
    <w:rsid w:val="005B321D"/>
    <w:rsid w:val="005B715B"/>
    <w:rsid w:val="005B7D86"/>
    <w:rsid w:val="005C0167"/>
    <w:rsid w:val="005C1050"/>
    <w:rsid w:val="005C1C82"/>
    <w:rsid w:val="005C247B"/>
    <w:rsid w:val="005C302C"/>
    <w:rsid w:val="005C4C53"/>
    <w:rsid w:val="005C53F0"/>
    <w:rsid w:val="005C5C2D"/>
    <w:rsid w:val="005C627D"/>
    <w:rsid w:val="005C7950"/>
    <w:rsid w:val="005C7F7A"/>
    <w:rsid w:val="005D0BEC"/>
    <w:rsid w:val="005D18A0"/>
    <w:rsid w:val="005D1A55"/>
    <w:rsid w:val="005D1D67"/>
    <w:rsid w:val="005D2A07"/>
    <w:rsid w:val="005D3085"/>
    <w:rsid w:val="005D321F"/>
    <w:rsid w:val="005D326F"/>
    <w:rsid w:val="005D55A1"/>
    <w:rsid w:val="005D5A54"/>
    <w:rsid w:val="005D60A8"/>
    <w:rsid w:val="005D747E"/>
    <w:rsid w:val="005E094E"/>
    <w:rsid w:val="005E1568"/>
    <w:rsid w:val="005E2048"/>
    <w:rsid w:val="005E251E"/>
    <w:rsid w:val="005E2AFB"/>
    <w:rsid w:val="005E2BD0"/>
    <w:rsid w:val="005E4755"/>
    <w:rsid w:val="005E4BAC"/>
    <w:rsid w:val="005E5011"/>
    <w:rsid w:val="005E5059"/>
    <w:rsid w:val="005E5318"/>
    <w:rsid w:val="005E53DA"/>
    <w:rsid w:val="005E5AE6"/>
    <w:rsid w:val="005E5BBA"/>
    <w:rsid w:val="005E6497"/>
    <w:rsid w:val="005E6F27"/>
    <w:rsid w:val="005F0DF7"/>
    <w:rsid w:val="005F1C11"/>
    <w:rsid w:val="005F4164"/>
    <w:rsid w:val="005F4F12"/>
    <w:rsid w:val="005F6231"/>
    <w:rsid w:val="005F7928"/>
    <w:rsid w:val="00600134"/>
    <w:rsid w:val="00600176"/>
    <w:rsid w:val="0060230A"/>
    <w:rsid w:val="006027A9"/>
    <w:rsid w:val="00602D84"/>
    <w:rsid w:val="006037B3"/>
    <w:rsid w:val="00603DC5"/>
    <w:rsid w:val="006046E4"/>
    <w:rsid w:val="0060509D"/>
    <w:rsid w:val="00605637"/>
    <w:rsid w:val="006056DB"/>
    <w:rsid w:val="00605CE3"/>
    <w:rsid w:val="00606C49"/>
    <w:rsid w:val="006070E6"/>
    <w:rsid w:val="006071C4"/>
    <w:rsid w:val="00607C50"/>
    <w:rsid w:val="006103D8"/>
    <w:rsid w:val="00610FC5"/>
    <w:rsid w:val="006148DA"/>
    <w:rsid w:val="00614CF7"/>
    <w:rsid w:val="00614F3C"/>
    <w:rsid w:val="00615C29"/>
    <w:rsid w:val="00615C6D"/>
    <w:rsid w:val="00616209"/>
    <w:rsid w:val="006166B7"/>
    <w:rsid w:val="00616920"/>
    <w:rsid w:val="0061712B"/>
    <w:rsid w:val="0062042F"/>
    <w:rsid w:val="0062091E"/>
    <w:rsid w:val="006224BC"/>
    <w:rsid w:val="00622921"/>
    <w:rsid w:val="00624084"/>
    <w:rsid w:val="006250D0"/>
    <w:rsid w:val="0062550C"/>
    <w:rsid w:val="006268ED"/>
    <w:rsid w:val="00626EE7"/>
    <w:rsid w:val="00631112"/>
    <w:rsid w:val="00631414"/>
    <w:rsid w:val="00631CBB"/>
    <w:rsid w:val="00631D32"/>
    <w:rsid w:val="00631FE0"/>
    <w:rsid w:val="006328F0"/>
    <w:rsid w:val="00632CEB"/>
    <w:rsid w:val="006338CF"/>
    <w:rsid w:val="00633905"/>
    <w:rsid w:val="00634304"/>
    <w:rsid w:val="00634C29"/>
    <w:rsid w:val="006356E1"/>
    <w:rsid w:val="00636276"/>
    <w:rsid w:val="006376B7"/>
    <w:rsid w:val="00640255"/>
    <w:rsid w:val="006414D1"/>
    <w:rsid w:val="00642F64"/>
    <w:rsid w:val="0064527C"/>
    <w:rsid w:val="00645364"/>
    <w:rsid w:val="00645D90"/>
    <w:rsid w:val="00646F4B"/>
    <w:rsid w:val="00647115"/>
    <w:rsid w:val="006504D5"/>
    <w:rsid w:val="00650866"/>
    <w:rsid w:val="00651026"/>
    <w:rsid w:val="006510D2"/>
    <w:rsid w:val="006517B6"/>
    <w:rsid w:val="00651957"/>
    <w:rsid w:val="006532D6"/>
    <w:rsid w:val="00654421"/>
    <w:rsid w:val="006554CA"/>
    <w:rsid w:val="00655D43"/>
    <w:rsid w:val="00656AB0"/>
    <w:rsid w:val="0066081B"/>
    <w:rsid w:val="00661096"/>
    <w:rsid w:val="006611B7"/>
    <w:rsid w:val="00661C91"/>
    <w:rsid w:val="0066253C"/>
    <w:rsid w:val="00665715"/>
    <w:rsid w:val="00666114"/>
    <w:rsid w:val="0066633B"/>
    <w:rsid w:val="00666805"/>
    <w:rsid w:val="00666834"/>
    <w:rsid w:val="00667955"/>
    <w:rsid w:val="00667B13"/>
    <w:rsid w:val="006710C7"/>
    <w:rsid w:val="0067128A"/>
    <w:rsid w:val="006720D8"/>
    <w:rsid w:val="00672441"/>
    <w:rsid w:val="00672AF6"/>
    <w:rsid w:val="006739FD"/>
    <w:rsid w:val="006745B7"/>
    <w:rsid w:val="006747E9"/>
    <w:rsid w:val="0067496E"/>
    <w:rsid w:val="00674D6B"/>
    <w:rsid w:val="006751B5"/>
    <w:rsid w:val="00675440"/>
    <w:rsid w:val="00676981"/>
    <w:rsid w:val="00676A71"/>
    <w:rsid w:val="0067733E"/>
    <w:rsid w:val="00677418"/>
    <w:rsid w:val="0067799B"/>
    <w:rsid w:val="00677E11"/>
    <w:rsid w:val="0068039A"/>
    <w:rsid w:val="00680FE8"/>
    <w:rsid w:val="0068272D"/>
    <w:rsid w:val="00682808"/>
    <w:rsid w:val="00683289"/>
    <w:rsid w:val="006840B8"/>
    <w:rsid w:val="00684190"/>
    <w:rsid w:val="00684B0E"/>
    <w:rsid w:val="00684FFD"/>
    <w:rsid w:val="00685119"/>
    <w:rsid w:val="00685A63"/>
    <w:rsid w:val="00686464"/>
    <w:rsid w:val="00686795"/>
    <w:rsid w:val="006870BC"/>
    <w:rsid w:val="0068783A"/>
    <w:rsid w:val="006903A6"/>
    <w:rsid w:val="006903C8"/>
    <w:rsid w:val="00690997"/>
    <w:rsid w:val="00690D41"/>
    <w:rsid w:val="00691185"/>
    <w:rsid w:val="006951BE"/>
    <w:rsid w:val="00695A72"/>
    <w:rsid w:val="00696ED3"/>
    <w:rsid w:val="006A168E"/>
    <w:rsid w:val="006A1FC3"/>
    <w:rsid w:val="006A3136"/>
    <w:rsid w:val="006A36E6"/>
    <w:rsid w:val="006A387A"/>
    <w:rsid w:val="006A397C"/>
    <w:rsid w:val="006A4001"/>
    <w:rsid w:val="006A53D1"/>
    <w:rsid w:val="006A690F"/>
    <w:rsid w:val="006A6931"/>
    <w:rsid w:val="006A6D23"/>
    <w:rsid w:val="006B0175"/>
    <w:rsid w:val="006B02C7"/>
    <w:rsid w:val="006B18C6"/>
    <w:rsid w:val="006B2051"/>
    <w:rsid w:val="006B244F"/>
    <w:rsid w:val="006B26E9"/>
    <w:rsid w:val="006B2BBD"/>
    <w:rsid w:val="006B301B"/>
    <w:rsid w:val="006B30C7"/>
    <w:rsid w:val="006B3B2E"/>
    <w:rsid w:val="006B3E2E"/>
    <w:rsid w:val="006B3F66"/>
    <w:rsid w:val="006B434C"/>
    <w:rsid w:val="006B49AA"/>
    <w:rsid w:val="006B4A05"/>
    <w:rsid w:val="006B5DEC"/>
    <w:rsid w:val="006B5E2C"/>
    <w:rsid w:val="006B627D"/>
    <w:rsid w:val="006C0CCF"/>
    <w:rsid w:val="006C1AFE"/>
    <w:rsid w:val="006C1BFC"/>
    <w:rsid w:val="006C3073"/>
    <w:rsid w:val="006C35B2"/>
    <w:rsid w:val="006C390B"/>
    <w:rsid w:val="006C3CB3"/>
    <w:rsid w:val="006C3E49"/>
    <w:rsid w:val="006C449D"/>
    <w:rsid w:val="006C59AC"/>
    <w:rsid w:val="006C7DAE"/>
    <w:rsid w:val="006D004A"/>
    <w:rsid w:val="006D11BF"/>
    <w:rsid w:val="006D1277"/>
    <w:rsid w:val="006D37A2"/>
    <w:rsid w:val="006D3EAF"/>
    <w:rsid w:val="006D4AA6"/>
    <w:rsid w:val="006D4ABC"/>
    <w:rsid w:val="006D50C3"/>
    <w:rsid w:val="006D5FEA"/>
    <w:rsid w:val="006D60F8"/>
    <w:rsid w:val="006D6441"/>
    <w:rsid w:val="006D7077"/>
    <w:rsid w:val="006E0783"/>
    <w:rsid w:val="006E220D"/>
    <w:rsid w:val="006E2A09"/>
    <w:rsid w:val="006E2BF1"/>
    <w:rsid w:val="006E2F52"/>
    <w:rsid w:val="006E311F"/>
    <w:rsid w:val="006E313A"/>
    <w:rsid w:val="006E3199"/>
    <w:rsid w:val="006E42F2"/>
    <w:rsid w:val="006E44F6"/>
    <w:rsid w:val="006E4725"/>
    <w:rsid w:val="006E4B55"/>
    <w:rsid w:val="006E4DFD"/>
    <w:rsid w:val="006E4E5E"/>
    <w:rsid w:val="006E4EE3"/>
    <w:rsid w:val="006E4FDD"/>
    <w:rsid w:val="006E57E5"/>
    <w:rsid w:val="006E5DC7"/>
    <w:rsid w:val="006F0F63"/>
    <w:rsid w:val="006F1355"/>
    <w:rsid w:val="006F1F5E"/>
    <w:rsid w:val="006F3401"/>
    <w:rsid w:val="006F4437"/>
    <w:rsid w:val="006F5426"/>
    <w:rsid w:val="006F54F2"/>
    <w:rsid w:val="006F580B"/>
    <w:rsid w:val="006F67F7"/>
    <w:rsid w:val="00700001"/>
    <w:rsid w:val="007011E7"/>
    <w:rsid w:val="007016F8"/>
    <w:rsid w:val="0070181C"/>
    <w:rsid w:val="00701CD4"/>
    <w:rsid w:val="00705701"/>
    <w:rsid w:val="0070575F"/>
    <w:rsid w:val="0070594B"/>
    <w:rsid w:val="00705ADB"/>
    <w:rsid w:val="00705BEB"/>
    <w:rsid w:val="007068ED"/>
    <w:rsid w:val="00706AC8"/>
    <w:rsid w:val="0070767B"/>
    <w:rsid w:val="00707815"/>
    <w:rsid w:val="00707D10"/>
    <w:rsid w:val="007102B9"/>
    <w:rsid w:val="00710715"/>
    <w:rsid w:val="00711715"/>
    <w:rsid w:val="0071256A"/>
    <w:rsid w:val="007127F9"/>
    <w:rsid w:val="00712E38"/>
    <w:rsid w:val="007130A8"/>
    <w:rsid w:val="0071318A"/>
    <w:rsid w:val="00713312"/>
    <w:rsid w:val="00713579"/>
    <w:rsid w:val="00713768"/>
    <w:rsid w:val="00713B86"/>
    <w:rsid w:val="00713F3D"/>
    <w:rsid w:val="00714079"/>
    <w:rsid w:val="0071424C"/>
    <w:rsid w:val="00714938"/>
    <w:rsid w:val="0071540E"/>
    <w:rsid w:val="00715651"/>
    <w:rsid w:val="00715BC7"/>
    <w:rsid w:val="00716284"/>
    <w:rsid w:val="007176D4"/>
    <w:rsid w:val="00717CE1"/>
    <w:rsid w:val="0072064F"/>
    <w:rsid w:val="00721202"/>
    <w:rsid w:val="00722689"/>
    <w:rsid w:val="00722763"/>
    <w:rsid w:val="00722BF6"/>
    <w:rsid w:val="00722E12"/>
    <w:rsid w:val="007235AA"/>
    <w:rsid w:val="00724725"/>
    <w:rsid w:val="007248F6"/>
    <w:rsid w:val="00725182"/>
    <w:rsid w:val="0072646D"/>
    <w:rsid w:val="00731177"/>
    <w:rsid w:val="007312AC"/>
    <w:rsid w:val="00731577"/>
    <w:rsid w:val="00731D2F"/>
    <w:rsid w:val="0073261F"/>
    <w:rsid w:val="00732748"/>
    <w:rsid w:val="0073282E"/>
    <w:rsid w:val="00733496"/>
    <w:rsid w:val="00734115"/>
    <w:rsid w:val="00734169"/>
    <w:rsid w:val="007343BF"/>
    <w:rsid w:val="00734DA4"/>
    <w:rsid w:val="00734FE1"/>
    <w:rsid w:val="0073526A"/>
    <w:rsid w:val="00735349"/>
    <w:rsid w:val="00736504"/>
    <w:rsid w:val="0073781E"/>
    <w:rsid w:val="007378D5"/>
    <w:rsid w:val="00740157"/>
    <w:rsid w:val="00740FBD"/>
    <w:rsid w:val="00741179"/>
    <w:rsid w:val="00742458"/>
    <w:rsid w:val="00742963"/>
    <w:rsid w:val="00742A36"/>
    <w:rsid w:val="00742FB2"/>
    <w:rsid w:val="00743068"/>
    <w:rsid w:val="007440CE"/>
    <w:rsid w:val="00744675"/>
    <w:rsid w:val="0074467E"/>
    <w:rsid w:val="00745DB5"/>
    <w:rsid w:val="0074611D"/>
    <w:rsid w:val="0074691D"/>
    <w:rsid w:val="00747280"/>
    <w:rsid w:val="00747BFE"/>
    <w:rsid w:val="00752102"/>
    <w:rsid w:val="00752420"/>
    <w:rsid w:val="0075288F"/>
    <w:rsid w:val="00752A0F"/>
    <w:rsid w:val="00752B46"/>
    <w:rsid w:val="00752B8A"/>
    <w:rsid w:val="00754330"/>
    <w:rsid w:val="00754339"/>
    <w:rsid w:val="00754474"/>
    <w:rsid w:val="0075492A"/>
    <w:rsid w:val="00754DE7"/>
    <w:rsid w:val="007556D2"/>
    <w:rsid w:val="00756FE2"/>
    <w:rsid w:val="0075734E"/>
    <w:rsid w:val="00760202"/>
    <w:rsid w:val="00760361"/>
    <w:rsid w:val="00761389"/>
    <w:rsid w:val="00762B1E"/>
    <w:rsid w:val="0076326A"/>
    <w:rsid w:val="0076375C"/>
    <w:rsid w:val="0076409E"/>
    <w:rsid w:val="00764982"/>
    <w:rsid w:val="00765082"/>
    <w:rsid w:val="0076518B"/>
    <w:rsid w:val="0076530B"/>
    <w:rsid w:val="00765EBF"/>
    <w:rsid w:val="007660A8"/>
    <w:rsid w:val="0076623C"/>
    <w:rsid w:val="00767B1B"/>
    <w:rsid w:val="0077018F"/>
    <w:rsid w:val="00770771"/>
    <w:rsid w:val="00770BB4"/>
    <w:rsid w:val="007710AC"/>
    <w:rsid w:val="00772090"/>
    <w:rsid w:val="00773588"/>
    <w:rsid w:val="0077358D"/>
    <w:rsid w:val="0077424A"/>
    <w:rsid w:val="007778AE"/>
    <w:rsid w:val="00777962"/>
    <w:rsid w:val="00777A7F"/>
    <w:rsid w:val="00780CAD"/>
    <w:rsid w:val="007815B2"/>
    <w:rsid w:val="00781760"/>
    <w:rsid w:val="0078322B"/>
    <w:rsid w:val="00783F66"/>
    <w:rsid w:val="007841AD"/>
    <w:rsid w:val="007856F9"/>
    <w:rsid w:val="00785A64"/>
    <w:rsid w:val="00785C30"/>
    <w:rsid w:val="00785C33"/>
    <w:rsid w:val="00785D8A"/>
    <w:rsid w:val="00785FDA"/>
    <w:rsid w:val="00786004"/>
    <w:rsid w:val="007868A7"/>
    <w:rsid w:val="00790BB9"/>
    <w:rsid w:val="00790F46"/>
    <w:rsid w:val="007938B0"/>
    <w:rsid w:val="00794821"/>
    <w:rsid w:val="00794B29"/>
    <w:rsid w:val="00795631"/>
    <w:rsid w:val="00795826"/>
    <w:rsid w:val="00795E20"/>
    <w:rsid w:val="00795FDC"/>
    <w:rsid w:val="00796552"/>
    <w:rsid w:val="00797149"/>
    <w:rsid w:val="00797505"/>
    <w:rsid w:val="00797FF6"/>
    <w:rsid w:val="007A04CD"/>
    <w:rsid w:val="007A15FA"/>
    <w:rsid w:val="007A17DF"/>
    <w:rsid w:val="007A1A58"/>
    <w:rsid w:val="007A231D"/>
    <w:rsid w:val="007A341F"/>
    <w:rsid w:val="007A415F"/>
    <w:rsid w:val="007A50F3"/>
    <w:rsid w:val="007A635B"/>
    <w:rsid w:val="007A6518"/>
    <w:rsid w:val="007A6838"/>
    <w:rsid w:val="007A71BD"/>
    <w:rsid w:val="007A75FD"/>
    <w:rsid w:val="007B0932"/>
    <w:rsid w:val="007B20EE"/>
    <w:rsid w:val="007B22BB"/>
    <w:rsid w:val="007B2A8E"/>
    <w:rsid w:val="007B461B"/>
    <w:rsid w:val="007B6046"/>
    <w:rsid w:val="007B60AE"/>
    <w:rsid w:val="007B6564"/>
    <w:rsid w:val="007B724E"/>
    <w:rsid w:val="007B7406"/>
    <w:rsid w:val="007C1AC3"/>
    <w:rsid w:val="007C2C51"/>
    <w:rsid w:val="007C2EE0"/>
    <w:rsid w:val="007C3BFB"/>
    <w:rsid w:val="007C47AA"/>
    <w:rsid w:val="007C4A5B"/>
    <w:rsid w:val="007C4B51"/>
    <w:rsid w:val="007C5468"/>
    <w:rsid w:val="007C5E7E"/>
    <w:rsid w:val="007C60BD"/>
    <w:rsid w:val="007C60D9"/>
    <w:rsid w:val="007C6DC1"/>
    <w:rsid w:val="007D07B5"/>
    <w:rsid w:val="007D0C10"/>
    <w:rsid w:val="007D1A96"/>
    <w:rsid w:val="007D2767"/>
    <w:rsid w:val="007D2895"/>
    <w:rsid w:val="007D3C65"/>
    <w:rsid w:val="007D3D91"/>
    <w:rsid w:val="007D4133"/>
    <w:rsid w:val="007D47D1"/>
    <w:rsid w:val="007D5104"/>
    <w:rsid w:val="007D5452"/>
    <w:rsid w:val="007D5836"/>
    <w:rsid w:val="007D5DE4"/>
    <w:rsid w:val="007D5F7C"/>
    <w:rsid w:val="007D6600"/>
    <w:rsid w:val="007D7F1E"/>
    <w:rsid w:val="007E111E"/>
    <w:rsid w:val="007E1758"/>
    <w:rsid w:val="007E1BA2"/>
    <w:rsid w:val="007E1C70"/>
    <w:rsid w:val="007E2A4A"/>
    <w:rsid w:val="007E3C38"/>
    <w:rsid w:val="007E6A0C"/>
    <w:rsid w:val="007E72D2"/>
    <w:rsid w:val="007E7D47"/>
    <w:rsid w:val="007F0D6D"/>
    <w:rsid w:val="007F0EAC"/>
    <w:rsid w:val="007F0FF6"/>
    <w:rsid w:val="007F22D6"/>
    <w:rsid w:val="007F2835"/>
    <w:rsid w:val="007F33A2"/>
    <w:rsid w:val="007F3D48"/>
    <w:rsid w:val="007F4380"/>
    <w:rsid w:val="007F44D2"/>
    <w:rsid w:val="007F5B4D"/>
    <w:rsid w:val="007F5D6B"/>
    <w:rsid w:val="007F603B"/>
    <w:rsid w:val="007F6648"/>
    <w:rsid w:val="007F670B"/>
    <w:rsid w:val="007F6BD3"/>
    <w:rsid w:val="007F7F56"/>
    <w:rsid w:val="007F7FE1"/>
    <w:rsid w:val="00800F7A"/>
    <w:rsid w:val="00801524"/>
    <w:rsid w:val="008023A9"/>
    <w:rsid w:val="00803D21"/>
    <w:rsid w:val="00803E11"/>
    <w:rsid w:val="0080453E"/>
    <w:rsid w:val="00804656"/>
    <w:rsid w:val="008047A9"/>
    <w:rsid w:val="00805826"/>
    <w:rsid w:val="008066C0"/>
    <w:rsid w:val="00806A16"/>
    <w:rsid w:val="00806AF2"/>
    <w:rsid w:val="008079D8"/>
    <w:rsid w:val="00807F85"/>
    <w:rsid w:val="008105EA"/>
    <w:rsid w:val="0081077F"/>
    <w:rsid w:val="00810D44"/>
    <w:rsid w:val="0081152A"/>
    <w:rsid w:val="00812151"/>
    <w:rsid w:val="0081224F"/>
    <w:rsid w:val="00812692"/>
    <w:rsid w:val="008129A6"/>
    <w:rsid w:val="00814064"/>
    <w:rsid w:val="00814533"/>
    <w:rsid w:val="00814D38"/>
    <w:rsid w:val="00814E8F"/>
    <w:rsid w:val="0081503A"/>
    <w:rsid w:val="00815784"/>
    <w:rsid w:val="008167E0"/>
    <w:rsid w:val="00816956"/>
    <w:rsid w:val="0081697F"/>
    <w:rsid w:val="00817161"/>
    <w:rsid w:val="0081788F"/>
    <w:rsid w:val="0082083A"/>
    <w:rsid w:val="00820CAA"/>
    <w:rsid w:val="00821B52"/>
    <w:rsid w:val="00822CE5"/>
    <w:rsid w:val="00822FAB"/>
    <w:rsid w:val="008242AF"/>
    <w:rsid w:val="008269B4"/>
    <w:rsid w:val="008303B7"/>
    <w:rsid w:val="00830A24"/>
    <w:rsid w:val="00831FEE"/>
    <w:rsid w:val="00832CD7"/>
    <w:rsid w:val="00834280"/>
    <w:rsid w:val="00834BF6"/>
    <w:rsid w:val="00834CE0"/>
    <w:rsid w:val="0083597E"/>
    <w:rsid w:val="008362A1"/>
    <w:rsid w:val="008371B3"/>
    <w:rsid w:val="00837571"/>
    <w:rsid w:val="00837C2E"/>
    <w:rsid w:val="008404EF"/>
    <w:rsid w:val="008407B8"/>
    <w:rsid w:val="00840BAD"/>
    <w:rsid w:val="00841A99"/>
    <w:rsid w:val="00842029"/>
    <w:rsid w:val="00843601"/>
    <w:rsid w:val="008449E0"/>
    <w:rsid w:val="00844A07"/>
    <w:rsid w:val="008464BB"/>
    <w:rsid w:val="00846914"/>
    <w:rsid w:val="00847515"/>
    <w:rsid w:val="00850499"/>
    <w:rsid w:val="00850C9A"/>
    <w:rsid w:val="00851A9C"/>
    <w:rsid w:val="008524E1"/>
    <w:rsid w:val="0085259F"/>
    <w:rsid w:val="00854E60"/>
    <w:rsid w:val="0085625E"/>
    <w:rsid w:val="00856778"/>
    <w:rsid w:val="0085679F"/>
    <w:rsid w:val="008568D6"/>
    <w:rsid w:val="00856E3F"/>
    <w:rsid w:val="00857AA6"/>
    <w:rsid w:val="00860641"/>
    <w:rsid w:val="008622D2"/>
    <w:rsid w:val="008623B4"/>
    <w:rsid w:val="008639C6"/>
    <w:rsid w:val="0086472B"/>
    <w:rsid w:val="00864B87"/>
    <w:rsid w:val="0086514B"/>
    <w:rsid w:val="00866F86"/>
    <w:rsid w:val="008674E3"/>
    <w:rsid w:val="00867D67"/>
    <w:rsid w:val="00870551"/>
    <w:rsid w:val="00871BB7"/>
    <w:rsid w:val="0087352A"/>
    <w:rsid w:val="00873712"/>
    <w:rsid w:val="00873ABF"/>
    <w:rsid w:val="00874012"/>
    <w:rsid w:val="008742DA"/>
    <w:rsid w:val="008745DC"/>
    <w:rsid w:val="00874903"/>
    <w:rsid w:val="00874DED"/>
    <w:rsid w:val="00875E2B"/>
    <w:rsid w:val="008761A7"/>
    <w:rsid w:val="00876EEF"/>
    <w:rsid w:val="00876F18"/>
    <w:rsid w:val="008812F5"/>
    <w:rsid w:val="00882108"/>
    <w:rsid w:val="00882928"/>
    <w:rsid w:val="008829B1"/>
    <w:rsid w:val="008830B3"/>
    <w:rsid w:val="008833EE"/>
    <w:rsid w:val="00883920"/>
    <w:rsid w:val="00884BF8"/>
    <w:rsid w:val="0088516B"/>
    <w:rsid w:val="00885DDF"/>
    <w:rsid w:val="0088676F"/>
    <w:rsid w:val="00886DE8"/>
    <w:rsid w:val="008872C9"/>
    <w:rsid w:val="00890EE4"/>
    <w:rsid w:val="008912C7"/>
    <w:rsid w:val="00893D35"/>
    <w:rsid w:val="00893E90"/>
    <w:rsid w:val="00893ECB"/>
    <w:rsid w:val="00894645"/>
    <w:rsid w:val="00895A76"/>
    <w:rsid w:val="008962A9"/>
    <w:rsid w:val="008968D1"/>
    <w:rsid w:val="0089733B"/>
    <w:rsid w:val="008A0472"/>
    <w:rsid w:val="008A04E3"/>
    <w:rsid w:val="008A0ED6"/>
    <w:rsid w:val="008A2002"/>
    <w:rsid w:val="008A20C0"/>
    <w:rsid w:val="008A2635"/>
    <w:rsid w:val="008A3E48"/>
    <w:rsid w:val="008A45C9"/>
    <w:rsid w:val="008A595A"/>
    <w:rsid w:val="008A5BDE"/>
    <w:rsid w:val="008A5D1B"/>
    <w:rsid w:val="008A64A9"/>
    <w:rsid w:val="008A6577"/>
    <w:rsid w:val="008B0A04"/>
    <w:rsid w:val="008B0A4A"/>
    <w:rsid w:val="008B0A8A"/>
    <w:rsid w:val="008B0ED5"/>
    <w:rsid w:val="008B16C0"/>
    <w:rsid w:val="008B245C"/>
    <w:rsid w:val="008B28ED"/>
    <w:rsid w:val="008B2D51"/>
    <w:rsid w:val="008B301D"/>
    <w:rsid w:val="008B3F64"/>
    <w:rsid w:val="008B443C"/>
    <w:rsid w:val="008B467C"/>
    <w:rsid w:val="008B4CCD"/>
    <w:rsid w:val="008B55E2"/>
    <w:rsid w:val="008B5C15"/>
    <w:rsid w:val="008B6842"/>
    <w:rsid w:val="008B6A23"/>
    <w:rsid w:val="008B6B8B"/>
    <w:rsid w:val="008B6EC7"/>
    <w:rsid w:val="008B6F90"/>
    <w:rsid w:val="008C0001"/>
    <w:rsid w:val="008C181E"/>
    <w:rsid w:val="008C3285"/>
    <w:rsid w:val="008C3358"/>
    <w:rsid w:val="008C37CE"/>
    <w:rsid w:val="008C39E9"/>
    <w:rsid w:val="008C40D3"/>
    <w:rsid w:val="008C41CF"/>
    <w:rsid w:val="008C53C1"/>
    <w:rsid w:val="008C6733"/>
    <w:rsid w:val="008C77D3"/>
    <w:rsid w:val="008C7977"/>
    <w:rsid w:val="008D0E8C"/>
    <w:rsid w:val="008D1CE3"/>
    <w:rsid w:val="008D27EB"/>
    <w:rsid w:val="008D28FA"/>
    <w:rsid w:val="008D2CCA"/>
    <w:rsid w:val="008D472B"/>
    <w:rsid w:val="008D5AD2"/>
    <w:rsid w:val="008D62B4"/>
    <w:rsid w:val="008D7704"/>
    <w:rsid w:val="008D79EC"/>
    <w:rsid w:val="008E0D62"/>
    <w:rsid w:val="008E1C90"/>
    <w:rsid w:val="008E283E"/>
    <w:rsid w:val="008E4248"/>
    <w:rsid w:val="008E4725"/>
    <w:rsid w:val="008E515E"/>
    <w:rsid w:val="008E65D3"/>
    <w:rsid w:val="008E6617"/>
    <w:rsid w:val="008E669B"/>
    <w:rsid w:val="008E781E"/>
    <w:rsid w:val="008E7C76"/>
    <w:rsid w:val="008E7EFF"/>
    <w:rsid w:val="008F01AE"/>
    <w:rsid w:val="008F06A8"/>
    <w:rsid w:val="008F0E9B"/>
    <w:rsid w:val="008F102A"/>
    <w:rsid w:val="008F209C"/>
    <w:rsid w:val="008F23E5"/>
    <w:rsid w:val="008F29B5"/>
    <w:rsid w:val="008F2EE0"/>
    <w:rsid w:val="008F34C6"/>
    <w:rsid w:val="008F39B8"/>
    <w:rsid w:val="008F3BB1"/>
    <w:rsid w:val="008F3FE8"/>
    <w:rsid w:val="008F48E8"/>
    <w:rsid w:val="008F50BD"/>
    <w:rsid w:val="008F6EC1"/>
    <w:rsid w:val="0090002E"/>
    <w:rsid w:val="00900335"/>
    <w:rsid w:val="00900B64"/>
    <w:rsid w:val="00902338"/>
    <w:rsid w:val="0090381F"/>
    <w:rsid w:val="00903B10"/>
    <w:rsid w:val="009049F0"/>
    <w:rsid w:val="009054FF"/>
    <w:rsid w:val="009078C8"/>
    <w:rsid w:val="0090796E"/>
    <w:rsid w:val="0090798D"/>
    <w:rsid w:val="00907D13"/>
    <w:rsid w:val="0091113B"/>
    <w:rsid w:val="009115E4"/>
    <w:rsid w:val="009117AF"/>
    <w:rsid w:val="00911C64"/>
    <w:rsid w:val="009140A3"/>
    <w:rsid w:val="00914595"/>
    <w:rsid w:val="00914F31"/>
    <w:rsid w:val="009163C9"/>
    <w:rsid w:val="00916693"/>
    <w:rsid w:val="009173CC"/>
    <w:rsid w:val="00920002"/>
    <w:rsid w:val="009207A8"/>
    <w:rsid w:val="00920AEA"/>
    <w:rsid w:val="00920C00"/>
    <w:rsid w:val="00920F0F"/>
    <w:rsid w:val="00921812"/>
    <w:rsid w:val="009218A1"/>
    <w:rsid w:val="0092190F"/>
    <w:rsid w:val="00922D32"/>
    <w:rsid w:val="009239E6"/>
    <w:rsid w:val="009243ED"/>
    <w:rsid w:val="00924562"/>
    <w:rsid w:val="009248AE"/>
    <w:rsid w:val="00925212"/>
    <w:rsid w:val="009254F3"/>
    <w:rsid w:val="0092698D"/>
    <w:rsid w:val="00926B9A"/>
    <w:rsid w:val="00927AEA"/>
    <w:rsid w:val="00930050"/>
    <w:rsid w:val="0093034F"/>
    <w:rsid w:val="00930D38"/>
    <w:rsid w:val="00931CBA"/>
    <w:rsid w:val="00931D63"/>
    <w:rsid w:val="00931E66"/>
    <w:rsid w:val="00932A07"/>
    <w:rsid w:val="0093364E"/>
    <w:rsid w:val="009338C5"/>
    <w:rsid w:val="00935F88"/>
    <w:rsid w:val="00940114"/>
    <w:rsid w:val="009404D2"/>
    <w:rsid w:val="0094239C"/>
    <w:rsid w:val="009429D1"/>
    <w:rsid w:val="00942B1D"/>
    <w:rsid w:val="00943126"/>
    <w:rsid w:val="00943C43"/>
    <w:rsid w:val="00944D9B"/>
    <w:rsid w:val="00945C2F"/>
    <w:rsid w:val="00946E9C"/>
    <w:rsid w:val="00947375"/>
    <w:rsid w:val="009479A6"/>
    <w:rsid w:val="009511DD"/>
    <w:rsid w:val="0095125F"/>
    <w:rsid w:val="0095214B"/>
    <w:rsid w:val="0095261E"/>
    <w:rsid w:val="009541F2"/>
    <w:rsid w:val="00954C4C"/>
    <w:rsid w:val="00955157"/>
    <w:rsid w:val="00960955"/>
    <w:rsid w:val="00961962"/>
    <w:rsid w:val="00961C84"/>
    <w:rsid w:val="009623B8"/>
    <w:rsid w:val="009639FF"/>
    <w:rsid w:val="00964919"/>
    <w:rsid w:val="00970A2C"/>
    <w:rsid w:val="00970ED1"/>
    <w:rsid w:val="00971CBA"/>
    <w:rsid w:val="009723CF"/>
    <w:rsid w:val="00972784"/>
    <w:rsid w:val="00972A10"/>
    <w:rsid w:val="00972F34"/>
    <w:rsid w:val="00974173"/>
    <w:rsid w:val="00975855"/>
    <w:rsid w:val="00976885"/>
    <w:rsid w:val="00977768"/>
    <w:rsid w:val="009804E5"/>
    <w:rsid w:val="009806CB"/>
    <w:rsid w:val="009819A8"/>
    <w:rsid w:val="00981B74"/>
    <w:rsid w:val="00982BBC"/>
    <w:rsid w:val="00982C93"/>
    <w:rsid w:val="00984BF4"/>
    <w:rsid w:val="009859C0"/>
    <w:rsid w:val="00985A50"/>
    <w:rsid w:val="00985E7D"/>
    <w:rsid w:val="00987152"/>
    <w:rsid w:val="009875F1"/>
    <w:rsid w:val="0099004C"/>
    <w:rsid w:val="00991887"/>
    <w:rsid w:val="00992115"/>
    <w:rsid w:val="00992AA5"/>
    <w:rsid w:val="00994028"/>
    <w:rsid w:val="00995977"/>
    <w:rsid w:val="00995EEF"/>
    <w:rsid w:val="00997925"/>
    <w:rsid w:val="00997C72"/>
    <w:rsid w:val="009A01B1"/>
    <w:rsid w:val="009A0434"/>
    <w:rsid w:val="009A1AFE"/>
    <w:rsid w:val="009A262E"/>
    <w:rsid w:val="009A2C94"/>
    <w:rsid w:val="009A33C0"/>
    <w:rsid w:val="009A3AE1"/>
    <w:rsid w:val="009A7BC0"/>
    <w:rsid w:val="009A7D55"/>
    <w:rsid w:val="009B10FE"/>
    <w:rsid w:val="009B1B83"/>
    <w:rsid w:val="009B3FAB"/>
    <w:rsid w:val="009B46F7"/>
    <w:rsid w:val="009B494F"/>
    <w:rsid w:val="009B50A6"/>
    <w:rsid w:val="009B51BB"/>
    <w:rsid w:val="009B5AAC"/>
    <w:rsid w:val="009B6FD2"/>
    <w:rsid w:val="009B77F8"/>
    <w:rsid w:val="009B7ACB"/>
    <w:rsid w:val="009B7DCB"/>
    <w:rsid w:val="009B7E12"/>
    <w:rsid w:val="009C0306"/>
    <w:rsid w:val="009C0888"/>
    <w:rsid w:val="009C1E32"/>
    <w:rsid w:val="009C1E42"/>
    <w:rsid w:val="009C277E"/>
    <w:rsid w:val="009C2BDC"/>
    <w:rsid w:val="009C3C5F"/>
    <w:rsid w:val="009C58B4"/>
    <w:rsid w:val="009C59E1"/>
    <w:rsid w:val="009C5F04"/>
    <w:rsid w:val="009C6326"/>
    <w:rsid w:val="009C634C"/>
    <w:rsid w:val="009C78EF"/>
    <w:rsid w:val="009D082A"/>
    <w:rsid w:val="009D102A"/>
    <w:rsid w:val="009D1369"/>
    <w:rsid w:val="009D2686"/>
    <w:rsid w:val="009D3087"/>
    <w:rsid w:val="009D44DF"/>
    <w:rsid w:val="009D4792"/>
    <w:rsid w:val="009D5A7E"/>
    <w:rsid w:val="009D6411"/>
    <w:rsid w:val="009D7221"/>
    <w:rsid w:val="009E11E8"/>
    <w:rsid w:val="009E12FF"/>
    <w:rsid w:val="009E15E6"/>
    <w:rsid w:val="009E2948"/>
    <w:rsid w:val="009E2A28"/>
    <w:rsid w:val="009E2AED"/>
    <w:rsid w:val="009E2AFE"/>
    <w:rsid w:val="009E2DD4"/>
    <w:rsid w:val="009E4124"/>
    <w:rsid w:val="009E4149"/>
    <w:rsid w:val="009E42E3"/>
    <w:rsid w:val="009E513B"/>
    <w:rsid w:val="009E5300"/>
    <w:rsid w:val="009E5465"/>
    <w:rsid w:val="009F16A8"/>
    <w:rsid w:val="009F1C30"/>
    <w:rsid w:val="009F1E16"/>
    <w:rsid w:val="009F232F"/>
    <w:rsid w:val="009F2568"/>
    <w:rsid w:val="009F2DE3"/>
    <w:rsid w:val="009F4D2F"/>
    <w:rsid w:val="009F53EE"/>
    <w:rsid w:val="009F5853"/>
    <w:rsid w:val="009F5F9F"/>
    <w:rsid w:val="009F630F"/>
    <w:rsid w:val="009F6AFA"/>
    <w:rsid w:val="009F6E99"/>
    <w:rsid w:val="009F7248"/>
    <w:rsid w:val="00A00BD8"/>
    <w:rsid w:val="00A01054"/>
    <w:rsid w:val="00A011F4"/>
    <w:rsid w:val="00A018BD"/>
    <w:rsid w:val="00A033C3"/>
    <w:rsid w:val="00A035C1"/>
    <w:rsid w:val="00A03622"/>
    <w:rsid w:val="00A05395"/>
    <w:rsid w:val="00A0546D"/>
    <w:rsid w:val="00A059F9"/>
    <w:rsid w:val="00A0625A"/>
    <w:rsid w:val="00A063C3"/>
    <w:rsid w:val="00A06A28"/>
    <w:rsid w:val="00A07F85"/>
    <w:rsid w:val="00A10B5A"/>
    <w:rsid w:val="00A11417"/>
    <w:rsid w:val="00A11696"/>
    <w:rsid w:val="00A11DC9"/>
    <w:rsid w:val="00A12546"/>
    <w:rsid w:val="00A143B4"/>
    <w:rsid w:val="00A15210"/>
    <w:rsid w:val="00A167B3"/>
    <w:rsid w:val="00A178AD"/>
    <w:rsid w:val="00A17E6D"/>
    <w:rsid w:val="00A21212"/>
    <w:rsid w:val="00A21CC0"/>
    <w:rsid w:val="00A22600"/>
    <w:rsid w:val="00A22FEF"/>
    <w:rsid w:val="00A233AE"/>
    <w:rsid w:val="00A24652"/>
    <w:rsid w:val="00A2573B"/>
    <w:rsid w:val="00A25821"/>
    <w:rsid w:val="00A25BE6"/>
    <w:rsid w:val="00A25E06"/>
    <w:rsid w:val="00A262D3"/>
    <w:rsid w:val="00A26FBF"/>
    <w:rsid w:val="00A279DD"/>
    <w:rsid w:val="00A30227"/>
    <w:rsid w:val="00A30B57"/>
    <w:rsid w:val="00A3153C"/>
    <w:rsid w:val="00A3423C"/>
    <w:rsid w:val="00A34341"/>
    <w:rsid w:val="00A34B1C"/>
    <w:rsid w:val="00A36A6B"/>
    <w:rsid w:val="00A3703D"/>
    <w:rsid w:val="00A404DB"/>
    <w:rsid w:val="00A4068C"/>
    <w:rsid w:val="00A4095E"/>
    <w:rsid w:val="00A40CD8"/>
    <w:rsid w:val="00A41783"/>
    <w:rsid w:val="00A42819"/>
    <w:rsid w:val="00A432B3"/>
    <w:rsid w:val="00A435C2"/>
    <w:rsid w:val="00A43EFB"/>
    <w:rsid w:val="00A44D71"/>
    <w:rsid w:val="00A451C9"/>
    <w:rsid w:val="00A4678E"/>
    <w:rsid w:val="00A47055"/>
    <w:rsid w:val="00A476F6"/>
    <w:rsid w:val="00A50A6D"/>
    <w:rsid w:val="00A51C7D"/>
    <w:rsid w:val="00A51CA4"/>
    <w:rsid w:val="00A53F6B"/>
    <w:rsid w:val="00A54AF8"/>
    <w:rsid w:val="00A55E9D"/>
    <w:rsid w:val="00A57318"/>
    <w:rsid w:val="00A575A9"/>
    <w:rsid w:val="00A57748"/>
    <w:rsid w:val="00A60E00"/>
    <w:rsid w:val="00A619F1"/>
    <w:rsid w:val="00A62764"/>
    <w:rsid w:val="00A62991"/>
    <w:rsid w:val="00A649B4"/>
    <w:rsid w:val="00A64D2A"/>
    <w:rsid w:val="00A664AE"/>
    <w:rsid w:val="00A66CFF"/>
    <w:rsid w:val="00A70666"/>
    <w:rsid w:val="00A7113A"/>
    <w:rsid w:val="00A71E9B"/>
    <w:rsid w:val="00A71FB8"/>
    <w:rsid w:val="00A72BA6"/>
    <w:rsid w:val="00A73169"/>
    <w:rsid w:val="00A73655"/>
    <w:rsid w:val="00A750F0"/>
    <w:rsid w:val="00A75607"/>
    <w:rsid w:val="00A75851"/>
    <w:rsid w:val="00A764A1"/>
    <w:rsid w:val="00A771C8"/>
    <w:rsid w:val="00A776A8"/>
    <w:rsid w:val="00A77801"/>
    <w:rsid w:val="00A806F9"/>
    <w:rsid w:val="00A8224C"/>
    <w:rsid w:val="00A83C9E"/>
    <w:rsid w:val="00A83E37"/>
    <w:rsid w:val="00A8436E"/>
    <w:rsid w:val="00A84B0F"/>
    <w:rsid w:val="00A861D6"/>
    <w:rsid w:val="00A86588"/>
    <w:rsid w:val="00A8714D"/>
    <w:rsid w:val="00A87196"/>
    <w:rsid w:val="00A87427"/>
    <w:rsid w:val="00A90940"/>
    <w:rsid w:val="00A91210"/>
    <w:rsid w:val="00A9165D"/>
    <w:rsid w:val="00A9181F"/>
    <w:rsid w:val="00A918DF"/>
    <w:rsid w:val="00A9365C"/>
    <w:rsid w:val="00A944C5"/>
    <w:rsid w:val="00A97962"/>
    <w:rsid w:val="00AA01AC"/>
    <w:rsid w:val="00AA2828"/>
    <w:rsid w:val="00AA291A"/>
    <w:rsid w:val="00AA2F32"/>
    <w:rsid w:val="00AA33DE"/>
    <w:rsid w:val="00AA393B"/>
    <w:rsid w:val="00AA607C"/>
    <w:rsid w:val="00AA6829"/>
    <w:rsid w:val="00AA6C45"/>
    <w:rsid w:val="00AA7D24"/>
    <w:rsid w:val="00AA7D6E"/>
    <w:rsid w:val="00AB1759"/>
    <w:rsid w:val="00AB19DE"/>
    <w:rsid w:val="00AB2BB6"/>
    <w:rsid w:val="00AB49B4"/>
    <w:rsid w:val="00AC06C1"/>
    <w:rsid w:val="00AC0ACD"/>
    <w:rsid w:val="00AC0AE7"/>
    <w:rsid w:val="00AC213B"/>
    <w:rsid w:val="00AC3404"/>
    <w:rsid w:val="00AC6497"/>
    <w:rsid w:val="00AC669D"/>
    <w:rsid w:val="00AC6FD5"/>
    <w:rsid w:val="00AC723B"/>
    <w:rsid w:val="00AC7FCB"/>
    <w:rsid w:val="00AD05FD"/>
    <w:rsid w:val="00AD066B"/>
    <w:rsid w:val="00AD0BA0"/>
    <w:rsid w:val="00AD0E51"/>
    <w:rsid w:val="00AD1386"/>
    <w:rsid w:val="00AD16A3"/>
    <w:rsid w:val="00AD24E9"/>
    <w:rsid w:val="00AD2DE7"/>
    <w:rsid w:val="00AD2FBD"/>
    <w:rsid w:val="00AD32DA"/>
    <w:rsid w:val="00AD65E4"/>
    <w:rsid w:val="00AD7188"/>
    <w:rsid w:val="00AD7852"/>
    <w:rsid w:val="00AD793F"/>
    <w:rsid w:val="00AE09F9"/>
    <w:rsid w:val="00AE13C6"/>
    <w:rsid w:val="00AE2CC7"/>
    <w:rsid w:val="00AE4884"/>
    <w:rsid w:val="00AE500D"/>
    <w:rsid w:val="00AE5F69"/>
    <w:rsid w:val="00AE65FB"/>
    <w:rsid w:val="00AE6749"/>
    <w:rsid w:val="00AE6B8E"/>
    <w:rsid w:val="00AE6F15"/>
    <w:rsid w:val="00AE72E3"/>
    <w:rsid w:val="00AE748F"/>
    <w:rsid w:val="00AE7D06"/>
    <w:rsid w:val="00AF05AC"/>
    <w:rsid w:val="00AF16D1"/>
    <w:rsid w:val="00AF1CF7"/>
    <w:rsid w:val="00AF24D7"/>
    <w:rsid w:val="00AF252E"/>
    <w:rsid w:val="00AF311E"/>
    <w:rsid w:val="00AF3514"/>
    <w:rsid w:val="00AF4777"/>
    <w:rsid w:val="00AF4EDF"/>
    <w:rsid w:val="00AF5130"/>
    <w:rsid w:val="00AF5257"/>
    <w:rsid w:val="00AF57EB"/>
    <w:rsid w:val="00AF588D"/>
    <w:rsid w:val="00AF5E7F"/>
    <w:rsid w:val="00AF62FF"/>
    <w:rsid w:val="00B017A9"/>
    <w:rsid w:val="00B021D3"/>
    <w:rsid w:val="00B023CE"/>
    <w:rsid w:val="00B03C89"/>
    <w:rsid w:val="00B03D2F"/>
    <w:rsid w:val="00B05772"/>
    <w:rsid w:val="00B05A65"/>
    <w:rsid w:val="00B05ADB"/>
    <w:rsid w:val="00B060C8"/>
    <w:rsid w:val="00B068D7"/>
    <w:rsid w:val="00B10179"/>
    <w:rsid w:val="00B10969"/>
    <w:rsid w:val="00B10AD4"/>
    <w:rsid w:val="00B12614"/>
    <w:rsid w:val="00B13AC7"/>
    <w:rsid w:val="00B165FB"/>
    <w:rsid w:val="00B174FD"/>
    <w:rsid w:val="00B17A4E"/>
    <w:rsid w:val="00B211D7"/>
    <w:rsid w:val="00B21EAC"/>
    <w:rsid w:val="00B22B7C"/>
    <w:rsid w:val="00B235F8"/>
    <w:rsid w:val="00B23B5E"/>
    <w:rsid w:val="00B23E2C"/>
    <w:rsid w:val="00B242C5"/>
    <w:rsid w:val="00B260D6"/>
    <w:rsid w:val="00B27200"/>
    <w:rsid w:val="00B2754B"/>
    <w:rsid w:val="00B31702"/>
    <w:rsid w:val="00B31A73"/>
    <w:rsid w:val="00B31D54"/>
    <w:rsid w:val="00B31EE5"/>
    <w:rsid w:val="00B33527"/>
    <w:rsid w:val="00B34A35"/>
    <w:rsid w:val="00B34DF8"/>
    <w:rsid w:val="00B366F2"/>
    <w:rsid w:val="00B36AF2"/>
    <w:rsid w:val="00B37A96"/>
    <w:rsid w:val="00B37EC1"/>
    <w:rsid w:val="00B40219"/>
    <w:rsid w:val="00B407F9"/>
    <w:rsid w:val="00B40B81"/>
    <w:rsid w:val="00B40D78"/>
    <w:rsid w:val="00B42688"/>
    <w:rsid w:val="00B43623"/>
    <w:rsid w:val="00B4383C"/>
    <w:rsid w:val="00B449E5"/>
    <w:rsid w:val="00B4556D"/>
    <w:rsid w:val="00B45F53"/>
    <w:rsid w:val="00B46540"/>
    <w:rsid w:val="00B4696C"/>
    <w:rsid w:val="00B5196D"/>
    <w:rsid w:val="00B52475"/>
    <w:rsid w:val="00B52788"/>
    <w:rsid w:val="00B53D88"/>
    <w:rsid w:val="00B53D9C"/>
    <w:rsid w:val="00B54081"/>
    <w:rsid w:val="00B54720"/>
    <w:rsid w:val="00B54F8A"/>
    <w:rsid w:val="00B56B92"/>
    <w:rsid w:val="00B56CA1"/>
    <w:rsid w:val="00B56E40"/>
    <w:rsid w:val="00B57587"/>
    <w:rsid w:val="00B60DC8"/>
    <w:rsid w:val="00B61177"/>
    <w:rsid w:val="00B61957"/>
    <w:rsid w:val="00B62136"/>
    <w:rsid w:val="00B63B1D"/>
    <w:rsid w:val="00B63CC2"/>
    <w:rsid w:val="00B650B5"/>
    <w:rsid w:val="00B652B3"/>
    <w:rsid w:val="00B66846"/>
    <w:rsid w:val="00B66C69"/>
    <w:rsid w:val="00B67B72"/>
    <w:rsid w:val="00B67E09"/>
    <w:rsid w:val="00B67E39"/>
    <w:rsid w:val="00B703FF"/>
    <w:rsid w:val="00B70456"/>
    <w:rsid w:val="00B71A95"/>
    <w:rsid w:val="00B71FB7"/>
    <w:rsid w:val="00B724B0"/>
    <w:rsid w:val="00B73132"/>
    <w:rsid w:val="00B73D29"/>
    <w:rsid w:val="00B73DEA"/>
    <w:rsid w:val="00B74B68"/>
    <w:rsid w:val="00B75597"/>
    <w:rsid w:val="00B7587A"/>
    <w:rsid w:val="00B7629B"/>
    <w:rsid w:val="00B77203"/>
    <w:rsid w:val="00B81136"/>
    <w:rsid w:val="00B811B4"/>
    <w:rsid w:val="00B814AD"/>
    <w:rsid w:val="00B822BD"/>
    <w:rsid w:val="00B82863"/>
    <w:rsid w:val="00B82C34"/>
    <w:rsid w:val="00B8323B"/>
    <w:rsid w:val="00B832AD"/>
    <w:rsid w:val="00B839D0"/>
    <w:rsid w:val="00B85687"/>
    <w:rsid w:val="00B86973"/>
    <w:rsid w:val="00B870E9"/>
    <w:rsid w:val="00B87144"/>
    <w:rsid w:val="00B90DA6"/>
    <w:rsid w:val="00B90F66"/>
    <w:rsid w:val="00B9280C"/>
    <w:rsid w:val="00B93221"/>
    <w:rsid w:val="00B93DEA"/>
    <w:rsid w:val="00B96548"/>
    <w:rsid w:val="00B96628"/>
    <w:rsid w:val="00B97984"/>
    <w:rsid w:val="00BA0809"/>
    <w:rsid w:val="00BA0D92"/>
    <w:rsid w:val="00BA12F2"/>
    <w:rsid w:val="00BA22AD"/>
    <w:rsid w:val="00BA250E"/>
    <w:rsid w:val="00BA2B64"/>
    <w:rsid w:val="00BA419D"/>
    <w:rsid w:val="00BA59DE"/>
    <w:rsid w:val="00BA6F36"/>
    <w:rsid w:val="00BA7134"/>
    <w:rsid w:val="00BA7908"/>
    <w:rsid w:val="00BB06F5"/>
    <w:rsid w:val="00BB0D6E"/>
    <w:rsid w:val="00BB1295"/>
    <w:rsid w:val="00BB3EB6"/>
    <w:rsid w:val="00BB41A2"/>
    <w:rsid w:val="00BB54E7"/>
    <w:rsid w:val="00BB5815"/>
    <w:rsid w:val="00BB65C9"/>
    <w:rsid w:val="00BB6A03"/>
    <w:rsid w:val="00BB6F90"/>
    <w:rsid w:val="00BB7C50"/>
    <w:rsid w:val="00BC02E3"/>
    <w:rsid w:val="00BC041E"/>
    <w:rsid w:val="00BC0E1B"/>
    <w:rsid w:val="00BC0FE5"/>
    <w:rsid w:val="00BC11EC"/>
    <w:rsid w:val="00BC17E3"/>
    <w:rsid w:val="00BC1CF9"/>
    <w:rsid w:val="00BC1EFD"/>
    <w:rsid w:val="00BC2572"/>
    <w:rsid w:val="00BC26E4"/>
    <w:rsid w:val="00BC2B11"/>
    <w:rsid w:val="00BC2B89"/>
    <w:rsid w:val="00BC439D"/>
    <w:rsid w:val="00BC4F00"/>
    <w:rsid w:val="00BC582A"/>
    <w:rsid w:val="00BC5B87"/>
    <w:rsid w:val="00BC5C9B"/>
    <w:rsid w:val="00BC5D31"/>
    <w:rsid w:val="00BC611F"/>
    <w:rsid w:val="00BC6DDA"/>
    <w:rsid w:val="00BC6EA6"/>
    <w:rsid w:val="00BC764C"/>
    <w:rsid w:val="00BD08D7"/>
    <w:rsid w:val="00BD0A7F"/>
    <w:rsid w:val="00BD145A"/>
    <w:rsid w:val="00BD1A8C"/>
    <w:rsid w:val="00BD1CD9"/>
    <w:rsid w:val="00BD20EE"/>
    <w:rsid w:val="00BD22B9"/>
    <w:rsid w:val="00BD26F2"/>
    <w:rsid w:val="00BD2A08"/>
    <w:rsid w:val="00BD2AE9"/>
    <w:rsid w:val="00BD34AB"/>
    <w:rsid w:val="00BD4254"/>
    <w:rsid w:val="00BD4903"/>
    <w:rsid w:val="00BD49C4"/>
    <w:rsid w:val="00BD4E98"/>
    <w:rsid w:val="00BD73E1"/>
    <w:rsid w:val="00BD7BBE"/>
    <w:rsid w:val="00BD7C86"/>
    <w:rsid w:val="00BE0316"/>
    <w:rsid w:val="00BE07F9"/>
    <w:rsid w:val="00BE0857"/>
    <w:rsid w:val="00BE096D"/>
    <w:rsid w:val="00BE0DE9"/>
    <w:rsid w:val="00BE1692"/>
    <w:rsid w:val="00BE3208"/>
    <w:rsid w:val="00BE3534"/>
    <w:rsid w:val="00BE353B"/>
    <w:rsid w:val="00BE365B"/>
    <w:rsid w:val="00BE47A1"/>
    <w:rsid w:val="00BE50F5"/>
    <w:rsid w:val="00BE65A5"/>
    <w:rsid w:val="00BE7016"/>
    <w:rsid w:val="00BE7A0C"/>
    <w:rsid w:val="00BF049F"/>
    <w:rsid w:val="00BF0D1E"/>
    <w:rsid w:val="00BF1E09"/>
    <w:rsid w:val="00BF2244"/>
    <w:rsid w:val="00BF2A71"/>
    <w:rsid w:val="00BF40DE"/>
    <w:rsid w:val="00BF5648"/>
    <w:rsid w:val="00BF57A8"/>
    <w:rsid w:val="00BF69D1"/>
    <w:rsid w:val="00BF749B"/>
    <w:rsid w:val="00BF7F4E"/>
    <w:rsid w:val="00BF7FAC"/>
    <w:rsid w:val="00C001A5"/>
    <w:rsid w:val="00C0097C"/>
    <w:rsid w:val="00C02B2D"/>
    <w:rsid w:val="00C036FB"/>
    <w:rsid w:val="00C04E54"/>
    <w:rsid w:val="00C04F5C"/>
    <w:rsid w:val="00C0520D"/>
    <w:rsid w:val="00C05B34"/>
    <w:rsid w:val="00C064DC"/>
    <w:rsid w:val="00C11E4A"/>
    <w:rsid w:val="00C135E9"/>
    <w:rsid w:val="00C160F5"/>
    <w:rsid w:val="00C166D8"/>
    <w:rsid w:val="00C16B02"/>
    <w:rsid w:val="00C17ECC"/>
    <w:rsid w:val="00C204FD"/>
    <w:rsid w:val="00C20FDC"/>
    <w:rsid w:val="00C214DB"/>
    <w:rsid w:val="00C21D7C"/>
    <w:rsid w:val="00C21E9D"/>
    <w:rsid w:val="00C22715"/>
    <w:rsid w:val="00C2481A"/>
    <w:rsid w:val="00C24FD2"/>
    <w:rsid w:val="00C25374"/>
    <w:rsid w:val="00C255CF"/>
    <w:rsid w:val="00C25EB7"/>
    <w:rsid w:val="00C27015"/>
    <w:rsid w:val="00C2776E"/>
    <w:rsid w:val="00C27B05"/>
    <w:rsid w:val="00C27E92"/>
    <w:rsid w:val="00C30461"/>
    <w:rsid w:val="00C3067E"/>
    <w:rsid w:val="00C31290"/>
    <w:rsid w:val="00C3177E"/>
    <w:rsid w:val="00C31CA5"/>
    <w:rsid w:val="00C321BB"/>
    <w:rsid w:val="00C32418"/>
    <w:rsid w:val="00C3351A"/>
    <w:rsid w:val="00C33E09"/>
    <w:rsid w:val="00C35A52"/>
    <w:rsid w:val="00C36CCA"/>
    <w:rsid w:val="00C375A9"/>
    <w:rsid w:val="00C40843"/>
    <w:rsid w:val="00C40CF4"/>
    <w:rsid w:val="00C41083"/>
    <w:rsid w:val="00C41CDC"/>
    <w:rsid w:val="00C42732"/>
    <w:rsid w:val="00C42AFE"/>
    <w:rsid w:val="00C43829"/>
    <w:rsid w:val="00C441C6"/>
    <w:rsid w:val="00C4434C"/>
    <w:rsid w:val="00C4608D"/>
    <w:rsid w:val="00C46496"/>
    <w:rsid w:val="00C46919"/>
    <w:rsid w:val="00C47569"/>
    <w:rsid w:val="00C47CAB"/>
    <w:rsid w:val="00C50CAC"/>
    <w:rsid w:val="00C5499D"/>
    <w:rsid w:val="00C556F1"/>
    <w:rsid w:val="00C57D9F"/>
    <w:rsid w:val="00C60306"/>
    <w:rsid w:val="00C60E26"/>
    <w:rsid w:val="00C60F52"/>
    <w:rsid w:val="00C61447"/>
    <w:rsid w:val="00C62034"/>
    <w:rsid w:val="00C6239D"/>
    <w:rsid w:val="00C63166"/>
    <w:rsid w:val="00C6369F"/>
    <w:rsid w:val="00C655E9"/>
    <w:rsid w:val="00C658B0"/>
    <w:rsid w:val="00C65AF4"/>
    <w:rsid w:val="00C65FBA"/>
    <w:rsid w:val="00C66655"/>
    <w:rsid w:val="00C67D26"/>
    <w:rsid w:val="00C705C0"/>
    <w:rsid w:val="00C70B11"/>
    <w:rsid w:val="00C7183E"/>
    <w:rsid w:val="00C71D7C"/>
    <w:rsid w:val="00C72682"/>
    <w:rsid w:val="00C72F5F"/>
    <w:rsid w:val="00C7310C"/>
    <w:rsid w:val="00C7408C"/>
    <w:rsid w:val="00C75FEB"/>
    <w:rsid w:val="00C76057"/>
    <w:rsid w:val="00C76EF1"/>
    <w:rsid w:val="00C772EB"/>
    <w:rsid w:val="00C8166F"/>
    <w:rsid w:val="00C818D1"/>
    <w:rsid w:val="00C82B8B"/>
    <w:rsid w:val="00C82BC1"/>
    <w:rsid w:val="00C82C39"/>
    <w:rsid w:val="00C82ED6"/>
    <w:rsid w:val="00C82FE2"/>
    <w:rsid w:val="00C8571E"/>
    <w:rsid w:val="00C8622D"/>
    <w:rsid w:val="00C865F6"/>
    <w:rsid w:val="00C872FE"/>
    <w:rsid w:val="00C87A32"/>
    <w:rsid w:val="00C90F93"/>
    <w:rsid w:val="00C90F99"/>
    <w:rsid w:val="00C91431"/>
    <w:rsid w:val="00C91553"/>
    <w:rsid w:val="00C922A4"/>
    <w:rsid w:val="00C92B4C"/>
    <w:rsid w:val="00C9390D"/>
    <w:rsid w:val="00C93D40"/>
    <w:rsid w:val="00C94224"/>
    <w:rsid w:val="00C94E39"/>
    <w:rsid w:val="00C956C0"/>
    <w:rsid w:val="00C96099"/>
    <w:rsid w:val="00C966B4"/>
    <w:rsid w:val="00C96C5E"/>
    <w:rsid w:val="00C97312"/>
    <w:rsid w:val="00C97944"/>
    <w:rsid w:val="00CA0BB4"/>
    <w:rsid w:val="00CA0C51"/>
    <w:rsid w:val="00CA18A8"/>
    <w:rsid w:val="00CA1AE7"/>
    <w:rsid w:val="00CA2818"/>
    <w:rsid w:val="00CA31F6"/>
    <w:rsid w:val="00CA4D5E"/>
    <w:rsid w:val="00CA5BA3"/>
    <w:rsid w:val="00CA61DE"/>
    <w:rsid w:val="00CA75C8"/>
    <w:rsid w:val="00CA7CC2"/>
    <w:rsid w:val="00CB0577"/>
    <w:rsid w:val="00CB1F44"/>
    <w:rsid w:val="00CB279D"/>
    <w:rsid w:val="00CB5DD1"/>
    <w:rsid w:val="00CB69FC"/>
    <w:rsid w:val="00CB7028"/>
    <w:rsid w:val="00CB74F0"/>
    <w:rsid w:val="00CB7636"/>
    <w:rsid w:val="00CB7DE8"/>
    <w:rsid w:val="00CC08D6"/>
    <w:rsid w:val="00CC16D5"/>
    <w:rsid w:val="00CC1E2B"/>
    <w:rsid w:val="00CC1FD6"/>
    <w:rsid w:val="00CC286C"/>
    <w:rsid w:val="00CC2C5C"/>
    <w:rsid w:val="00CC3304"/>
    <w:rsid w:val="00CC34F5"/>
    <w:rsid w:val="00CC3B20"/>
    <w:rsid w:val="00CC41AA"/>
    <w:rsid w:val="00CC4363"/>
    <w:rsid w:val="00CC4987"/>
    <w:rsid w:val="00CC51DB"/>
    <w:rsid w:val="00CC5216"/>
    <w:rsid w:val="00CC64C9"/>
    <w:rsid w:val="00CC6AA9"/>
    <w:rsid w:val="00CC74EF"/>
    <w:rsid w:val="00CC7654"/>
    <w:rsid w:val="00CD20DC"/>
    <w:rsid w:val="00CD30EA"/>
    <w:rsid w:val="00CD3C6C"/>
    <w:rsid w:val="00CD3EB4"/>
    <w:rsid w:val="00CD408F"/>
    <w:rsid w:val="00CD465E"/>
    <w:rsid w:val="00CD6E2A"/>
    <w:rsid w:val="00CD7893"/>
    <w:rsid w:val="00CD7BBB"/>
    <w:rsid w:val="00CE0227"/>
    <w:rsid w:val="00CE0C2C"/>
    <w:rsid w:val="00CE2C81"/>
    <w:rsid w:val="00CE40F0"/>
    <w:rsid w:val="00CE5165"/>
    <w:rsid w:val="00CE529F"/>
    <w:rsid w:val="00CE5A6C"/>
    <w:rsid w:val="00CE7A73"/>
    <w:rsid w:val="00CF0A5C"/>
    <w:rsid w:val="00CF0A64"/>
    <w:rsid w:val="00CF1A59"/>
    <w:rsid w:val="00CF2743"/>
    <w:rsid w:val="00CF5D65"/>
    <w:rsid w:val="00CF7F44"/>
    <w:rsid w:val="00D004AF"/>
    <w:rsid w:val="00D00771"/>
    <w:rsid w:val="00D00EC4"/>
    <w:rsid w:val="00D0282C"/>
    <w:rsid w:val="00D03621"/>
    <w:rsid w:val="00D03E59"/>
    <w:rsid w:val="00D05DBB"/>
    <w:rsid w:val="00D06BCB"/>
    <w:rsid w:val="00D0766C"/>
    <w:rsid w:val="00D079C4"/>
    <w:rsid w:val="00D100E4"/>
    <w:rsid w:val="00D109C4"/>
    <w:rsid w:val="00D10E80"/>
    <w:rsid w:val="00D11A0C"/>
    <w:rsid w:val="00D1229D"/>
    <w:rsid w:val="00D129F8"/>
    <w:rsid w:val="00D132F5"/>
    <w:rsid w:val="00D13803"/>
    <w:rsid w:val="00D13A32"/>
    <w:rsid w:val="00D13ED8"/>
    <w:rsid w:val="00D14C4C"/>
    <w:rsid w:val="00D15C1B"/>
    <w:rsid w:val="00D15E1C"/>
    <w:rsid w:val="00D16620"/>
    <w:rsid w:val="00D1679D"/>
    <w:rsid w:val="00D17279"/>
    <w:rsid w:val="00D2009C"/>
    <w:rsid w:val="00D20D3B"/>
    <w:rsid w:val="00D21E3C"/>
    <w:rsid w:val="00D21E5A"/>
    <w:rsid w:val="00D22057"/>
    <w:rsid w:val="00D225BA"/>
    <w:rsid w:val="00D23258"/>
    <w:rsid w:val="00D23804"/>
    <w:rsid w:val="00D23FA2"/>
    <w:rsid w:val="00D23FC3"/>
    <w:rsid w:val="00D270D3"/>
    <w:rsid w:val="00D27B2F"/>
    <w:rsid w:val="00D27F0B"/>
    <w:rsid w:val="00D310A0"/>
    <w:rsid w:val="00D31128"/>
    <w:rsid w:val="00D314B5"/>
    <w:rsid w:val="00D317D7"/>
    <w:rsid w:val="00D31A91"/>
    <w:rsid w:val="00D31D81"/>
    <w:rsid w:val="00D32317"/>
    <w:rsid w:val="00D32F71"/>
    <w:rsid w:val="00D33704"/>
    <w:rsid w:val="00D33754"/>
    <w:rsid w:val="00D3398F"/>
    <w:rsid w:val="00D34C99"/>
    <w:rsid w:val="00D355AD"/>
    <w:rsid w:val="00D35934"/>
    <w:rsid w:val="00D363BF"/>
    <w:rsid w:val="00D3705F"/>
    <w:rsid w:val="00D37917"/>
    <w:rsid w:val="00D40F99"/>
    <w:rsid w:val="00D41049"/>
    <w:rsid w:val="00D414CD"/>
    <w:rsid w:val="00D41F95"/>
    <w:rsid w:val="00D42D6F"/>
    <w:rsid w:val="00D43B26"/>
    <w:rsid w:val="00D44D20"/>
    <w:rsid w:val="00D44E4B"/>
    <w:rsid w:val="00D4580B"/>
    <w:rsid w:val="00D46606"/>
    <w:rsid w:val="00D477A5"/>
    <w:rsid w:val="00D47903"/>
    <w:rsid w:val="00D47EEE"/>
    <w:rsid w:val="00D5010B"/>
    <w:rsid w:val="00D50AAD"/>
    <w:rsid w:val="00D51144"/>
    <w:rsid w:val="00D52C33"/>
    <w:rsid w:val="00D52E17"/>
    <w:rsid w:val="00D53842"/>
    <w:rsid w:val="00D53E71"/>
    <w:rsid w:val="00D55A07"/>
    <w:rsid w:val="00D55CA7"/>
    <w:rsid w:val="00D601E1"/>
    <w:rsid w:val="00D613B8"/>
    <w:rsid w:val="00D613EA"/>
    <w:rsid w:val="00D621A3"/>
    <w:rsid w:val="00D62374"/>
    <w:rsid w:val="00D623F4"/>
    <w:rsid w:val="00D62C9E"/>
    <w:rsid w:val="00D63085"/>
    <w:rsid w:val="00D6326B"/>
    <w:rsid w:val="00D65DFF"/>
    <w:rsid w:val="00D65EBF"/>
    <w:rsid w:val="00D67BE3"/>
    <w:rsid w:val="00D67DDE"/>
    <w:rsid w:val="00D70117"/>
    <w:rsid w:val="00D70ACD"/>
    <w:rsid w:val="00D712D4"/>
    <w:rsid w:val="00D71A29"/>
    <w:rsid w:val="00D732E2"/>
    <w:rsid w:val="00D74DF5"/>
    <w:rsid w:val="00D74F0B"/>
    <w:rsid w:val="00D7760A"/>
    <w:rsid w:val="00D77A79"/>
    <w:rsid w:val="00D77EDB"/>
    <w:rsid w:val="00D8019E"/>
    <w:rsid w:val="00D80366"/>
    <w:rsid w:val="00D810C3"/>
    <w:rsid w:val="00D81782"/>
    <w:rsid w:val="00D82813"/>
    <w:rsid w:val="00D82BF0"/>
    <w:rsid w:val="00D82CFF"/>
    <w:rsid w:val="00D82FBA"/>
    <w:rsid w:val="00D84019"/>
    <w:rsid w:val="00D85293"/>
    <w:rsid w:val="00D852C2"/>
    <w:rsid w:val="00D856CD"/>
    <w:rsid w:val="00D860E1"/>
    <w:rsid w:val="00D871E5"/>
    <w:rsid w:val="00D91460"/>
    <w:rsid w:val="00D9305B"/>
    <w:rsid w:val="00D936F4"/>
    <w:rsid w:val="00D94615"/>
    <w:rsid w:val="00D95405"/>
    <w:rsid w:val="00D95523"/>
    <w:rsid w:val="00D959F3"/>
    <w:rsid w:val="00DA209E"/>
    <w:rsid w:val="00DA2D97"/>
    <w:rsid w:val="00DA3234"/>
    <w:rsid w:val="00DA381C"/>
    <w:rsid w:val="00DA402C"/>
    <w:rsid w:val="00DA4476"/>
    <w:rsid w:val="00DA551E"/>
    <w:rsid w:val="00DA5587"/>
    <w:rsid w:val="00DA5EE3"/>
    <w:rsid w:val="00DA7037"/>
    <w:rsid w:val="00DA71B2"/>
    <w:rsid w:val="00DA79A4"/>
    <w:rsid w:val="00DA7DE1"/>
    <w:rsid w:val="00DB0977"/>
    <w:rsid w:val="00DB1102"/>
    <w:rsid w:val="00DB112C"/>
    <w:rsid w:val="00DB644C"/>
    <w:rsid w:val="00DC02AA"/>
    <w:rsid w:val="00DC07D6"/>
    <w:rsid w:val="00DC2831"/>
    <w:rsid w:val="00DC3147"/>
    <w:rsid w:val="00DC3685"/>
    <w:rsid w:val="00DC4FB5"/>
    <w:rsid w:val="00DC5D7B"/>
    <w:rsid w:val="00DC66A5"/>
    <w:rsid w:val="00DC7D04"/>
    <w:rsid w:val="00DC7E3D"/>
    <w:rsid w:val="00DD0458"/>
    <w:rsid w:val="00DD0BF7"/>
    <w:rsid w:val="00DD1011"/>
    <w:rsid w:val="00DD181A"/>
    <w:rsid w:val="00DD1F69"/>
    <w:rsid w:val="00DD2682"/>
    <w:rsid w:val="00DD29B6"/>
    <w:rsid w:val="00DD3776"/>
    <w:rsid w:val="00DD403B"/>
    <w:rsid w:val="00DD4254"/>
    <w:rsid w:val="00DD4AB6"/>
    <w:rsid w:val="00DD4C75"/>
    <w:rsid w:val="00DD4E2B"/>
    <w:rsid w:val="00DD7418"/>
    <w:rsid w:val="00DE05B5"/>
    <w:rsid w:val="00DE3C55"/>
    <w:rsid w:val="00DE583F"/>
    <w:rsid w:val="00DE5C88"/>
    <w:rsid w:val="00DF029E"/>
    <w:rsid w:val="00DF0AAC"/>
    <w:rsid w:val="00DF146A"/>
    <w:rsid w:val="00DF2AEE"/>
    <w:rsid w:val="00DF33A6"/>
    <w:rsid w:val="00DF3899"/>
    <w:rsid w:val="00DF58E4"/>
    <w:rsid w:val="00DF5BD8"/>
    <w:rsid w:val="00DF5CB8"/>
    <w:rsid w:val="00DF77A0"/>
    <w:rsid w:val="00DF7BC4"/>
    <w:rsid w:val="00E00367"/>
    <w:rsid w:val="00E005F1"/>
    <w:rsid w:val="00E00BEC"/>
    <w:rsid w:val="00E0107A"/>
    <w:rsid w:val="00E01D9B"/>
    <w:rsid w:val="00E02DCA"/>
    <w:rsid w:val="00E03171"/>
    <w:rsid w:val="00E03634"/>
    <w:rsid w:val="00E03A6A"/>
    <w:rsid w:val="00E03EFB"/>
    <w:rsid w:val="00E040A6"/>
    <w:rsid w:val="00E052E2"/>
    <w:rsid w:val="00E05451"/>
    <w:rsid w:val="00E0562C"/>
    <w:rsid w:val="00E05A7F"/>
    <w:rsid w:val="00E062D2"/>
    <w:rsid w:val="00E067AF"/>
    <w:rsid w:val="00E06865"/>
    <w:rsid w:val="00E06C87"/>
    <w:rsid w:val="00E06D69"/>
    <w:rsid w:val="00E074F8"/>
    <w:rsid w:val="00E075FC"/>
    <w:rsid w:val="00E10AC7"/>
    <w:rsid w:val="00E11107"/>
    <w:rsid w:val="00E1238B"/>
    <w:rsid w:val="00E1292B"/>
    <w:rsid w:val="00E1296F"/>
    <w:rsid w:val="00E132D1"/>
    <w:rsid w:val="00E13375"/>
    <w:rsid w:val="00E138E3"/>
    <w:rsid w:val="00E154B6"/>
    <w:rsid w:val="00E156CF"/>
    <w:rsid w:val="00E2039D"/>
    <w:rsid w:val="00E203F6"/>
    <w:rsid w:val="00E21B18"/>
    <w:rsid w:val="00E223C7"/>
    <w:rsid w:val="00E22DE9"/>
    <w:rsid w:val="00E23CB1"/>
    <w:rsid w:val="00E25AC4"/>
    <w:rsid w:val="00E264EA"/>
    <w:rsid w:val="00E26753"/>
    <w:rsid w:val="00E26CB9"/>
    <w:rsid w:val="00E27006"/>
    <w:rsid w:val="00E270BF"/>
    <w:rsid w:val="00E27C2B"/>
    <w:rsid w:val="00E30772"/>
    <w:rsid w:val="00E30AB7"/>
    <w:rsid w:val="00E30CAB"/>
    <w:rsid w:val="00E31DD0"/>
    <w:rsid w:val="00E32305"/>
    <w:rsid w:val="00E32EB7"/>
    <w:rsid w:val="00E3379B"/>
    <w:rsid w:val="00E33C92"/>
    <w:rsid w:val="00E34119"/>
    <w:rsid w:val="00E3444D"/>
    <w:rsid w:val="00E35FB0"/>
    <w:rsid w:val="00E372F4"/>
    <w:rsid w:val="00E37E1A"/>
    <w:rsid w:val="00E40B28"/>
    <w:rsid w:val="00E40C4F"/>
    <w:rsid w:val="00E41144"/>
    <w:rsid w:val="00E42983"/>
    <w:rsid w:val="00E42BCD"/>
    <w:rsid w:val="00E432A6"/>
    <w:rsid w:val="00E43869"/>
    <w:rsid w:val="00E44C01"/>
    <w:rsid w:val="00E4685F"/>
    <w:rsid w:val="00E46E64"/>
    <w:rsid w:val="00E47093"/>
    <w:rsid w:val="00E475CC"/>
    <w:rsid w:val="00E50339"/>
    <w:rsid w:val="00E50B04"/>
    <w:rsid w:val="00E53A7E"/>
    <w:rsid w:val="00E53D8A"/>
    <w:rsid w:val="00E540AA"/>
    <w:rsid w:val="00E548CA"/>
    <w:rsid w:val="00E554EF"/>
    <w:rsid w:val="00E565AE"/>
    <w:rsid w:val="00E574D5"/>
    <w:rsid w:val="00E579A7"/>
    <w:rsid w:val="00E600E9"/>
    <w:rsid w:val="00E60329"/>
    <w:rsid w:val="00E6185F"/>
    <w:rsid w:val="00E62783"/>
    <w:rsid w:val="00E627BB"/>
    <w:rsid w:val="00E629DF"/>
    <w:rsid w:val="00E62BA7"/>
    <w:rsid w:val="00E65994"/>
    <w:rsid w:val="00E659FD"/>
    <w:rsid w:val="00E66138"/>
    <w:rsid w:val="00E661C9"/>
    <w:rsid w:val="00E6675A"/>
    <w:rsid w:val="00E67793"/>
    <w:rsid w:val="00E71469"/>
    <w:rsid w:val="00E725D8"/>
    <w:rsid w:val="00E73F60"/>
    <w:rsid w:val="00E74B84"/>
    <w:rsid w:val="00E7505D"/>
    <w:rsid w:val="00E7731F"/>
    <w:rsid w:val="00E804B0"/>
    <w:rsid w:val="00E80914"/>
    <w:rsid w:val="00E814E5"/>
    <w:rsid w:val="00E8283F"/>
    <w:rsid w:val="00E839E1"/>
    <w:rsid w:val="00E83C07"/>
    <w:rsid w:val="00E84CD0"/>
    <w:rsid w:val="00E84E87"/>
    <w:rsid w:val="00E867AF"/>
    <w:rsid w:val="00E86DB6"/>
    <w:rsid w:val="00E90FC3"/>
    <w:rsid w:val="00E91D06"/>
    <w:rsid w:val="00E9246B"/>
    <w:rsid w:val="00E93774"/>
    <w:rsid w:val="00E942F3"/>
    <w:rsid w:val="00E94DC4"/>
    <w:rsid w:val="00E967C6"/>
    <w:rsid w:val="00E96B03"/>
    <w:rsid w:val="00E96C6F"/>
    <w:rsid w:val="00EA11FF"/>
    <w:rsid w:val="00EA198E"/>
    <w:rsid w:val="00EA2FE8"/>
    <w:rsid w:val="00EA30CA"/>
    <w:rsid w:val="00EA48DC"/>
    <w:rsid w:val="00EA5507"/>
    <w:rsid w:val="00EA5714"/>
    <w:rsid w:val="00EA62C3"/>
    <w:rsid w:val="00EA6B29"/>
    <w:rsid w:val="00EA7699"/>
    <w:rsid w:val="00EA7F93"/>
    <w:rsid w:val="00EB04FC"/>
    <w:rsid w:val="00EB0B28"/>
    <w:rsid w:val="00EB0FAC"/>
    <w:rsid w:val="00EB17B3"/>
    <w:rsid w:val="00EB39E5"/>
    <w:rsid w:val="00EB585B"/>
    <w:rsid w:val="00EB6D74"/>
    <w:rsid w:val="00EB700F"/>
    <w:rsid w:val="00EB73DE"/>
    <w:rsid w:val="00EB7519"/>
    <w:rsid w:val="00EB795B"/>
    <w:rsid w:val="00EB7DCE"/>
    <w:rsid w:val="00EC1304"/>
    <w:rsid w:val="00EC1877"/>
    <w:rsid w:val="00EC2891"/>
    <w:rsid w:val="00EC31E1"/>
    <w:rsid w:val="00EC34E1"/>
    <w:rsid w:val="00EC3C8F"/>
    <w:rsid w:val="00EC4779"/>
    <w:rsid w:val="00EC50F7"/>
    <w:rsid w:val="00EC517A"/>
    <w:rsid w:val="00EC56DE"/>
    <w:rsid w:val="00EC63A9"/>
    <w:rsid w:val="00EC64C7"/>
    <w:rsid w:val="00EC667E"/>
    <w:rsid w:val="00EC6E7E"/>
    <w:rsid w:val="00EC6EA4"/>
    <w:rsid w:val="00EC7A76"/>
    <w:rsid w:val="00ED01D0"/>
    <w:rsid w:val="00ED04DA"/>
    <w:rsid w:val="00ED10A9"/>
    <w:rsid w:val="00ED22F8"/>
    <w:rsid w:val="00ED2521"/>
    <w:rsid w:val="00ED2BCC"/>
    <w:rsid w:val="00ED2BDB"/>
    <w:rsid w:val="00ED3E32"/>
    <w:rsid w:val="00ED3FD5"/>
    <w:rsid w:val="00ED48AD"/>
    <w:rsid w:val="00ED6A8E"/>
    <w:rsid w:val="00ED77D9"/>
    <w:rsid w:val="00ED7E94"/>
    <w:rsid w:val="00EE009E"/>
    <w:rsid w:val="00EE1120"/>
    <w:rsid w:val="00EE1EAA"/>
    <w:rsid w:val="00EE22DD"/>
    <w:rsid w:val="00EE2F01"/>
    <w:rsid w:val="00EE32B8"/>
    <w:rsid w:val="00EE4580"/>
    <w:rsid w:val="00EE53A0"/>
    <w:rsid w:val="00EE5FE3"/>
    <w:rsid w:val="00EE60CE"/>
    <w:rsid w:val="00EE7537"/>
    <w:rsid w:val="00EE7FE2"/>
    <w:rsid w:val="00EF0234"/>
    <w:rsid w:val="00EF1787"/>
    <w:rsid w:val="00EF20D5"/>
    <w:rsid w:val="00EF3320"/>
    <w:rsid w:val="00EF3627"/>
    <w:rsid w:val="00EF3916"/>
    <w:rsid w:val="00EF4754"/>
    <w:rsid w:val="00EF4FA4"/>
    <w:rsid w:val="00EF5827"/>
    <w:rsid w:val="00EF5FBA"/>
    <w:rsid w:val="00EF6FF4"/>
    <w:rsid w:val="00F01547"/>
    <w:rsid w:val="00F015FB"/>
    <w:rsid w:val="00F026B3"/>
    <w:rsid w:val="00F02D13"/>
    <w:rsid w:val="00F042F8"/>
    <w:rsid w:val="00F04D8A"/>
    <w:rsid w:val="00F04DD0"/>
    <w:rsid w:val="00F050B7"/>
    <w:rsid w:val="00F051C9"/>
    <w:rsid w:val="00F067F6"/>
    <w:rsid w:val="00F06DA4"/>
    <w:rsid w:val="00F07586"/>
    <w:rsid w:val="00F106E3"/>
    <w:rsid w:val="00F1081A"/>
    <w:rsid w:val="00F11787"/>
    <w:rsid w:val="00F1180B"/>
    <w:rsid w:val="00F11F0C"/>
    <w:rsid w:val="00F120A7"/>
    <w:rsid w:val="00F139E1"/>
    <w:rsid w:val="00F15DC7"/>
    <w:rsid w:val="00F15F2E"/>
    <w:rsid w:val="00F1675E"/>
    <w:rsid w:val="00F16A51"/>
    <w:rsid w:val="00F16F99"/>
    <w:rsid w:val="00F1766D"/>
    <w:rsid w:val="00F17E80"/>
    <w:rsid w:val="00F2059D"/>
    <w:rsid w:val="00F20CB8"/>
    <w:rsid w:val="00F20F35"/>
    <w:rsid w:val="00F23FA1"/>
    <w:rsid w:val="00F25E61"/>
    <w:rsid w:val="00F2628D"/>
    <w:rsid w:val="00F2640F"/>
    <w:rsid w:val="00F26D4F"/>
    <w:rsid w:val="00F271EB"/>
    <w:rsid w:val="00F2738E"/>
    <w:rsid w:val="00F27BF5"/>
    <w:rsid w:val="00F30396"/>
    <w:rsid w:val="00F3209B"/>
    <w:rsid w:val="00F32D30"/>
    <w:rsid w:val="00F33E39"/>
    <w:rsid w:val="00F35F1F"/>
    <w:rsid w:val="00F36082"/>
    <w:rsid w:val="00F36A56"/>
    <w:rsid w:val="00F36B1D"/>
    <w:rsid w:val="00F37BA7"/>
    <w:rsid w:val="00F40235"/>
    <w:rsid w:val="00F40408"/>
    <w:rsid w:val="00F40808"/>
    <w:rsid w:val="00F40A01"/>
    <w:rsid w:val="00F40A44"/>
    <w:rsid w:val="00F4181C"/>
    <w:rsid w:val="00F425E5"/>
    <w:rsid w:val="00F4340D"/>
    <w:rsid w:val="00F4417F"/>
    <w:rsid w:val="00F441C6"/>
    <w:rsid w:val="00F44B87"/>
    <w:rsid w:val="00F4514C"/>
    <w:rsid w:val="00F4757B"/>
    <w:rsid w:val="00F47BB2"/>
    <w:rsid w:val="00F50816"/>
    <w:rsid w:val="00F50C9F"/>
    <w:rsid w:val="00F51C04"/>
    <w:rsid w:val="00F52037"/>
    <w:rsid w:val="00F521BC"/>
    <w:rsid w:val="00F52674"/>
    <w:rsid w:val="00F52B75"/>
    <w:rsid w:val="00F558BF"/>
    <w:rsid w:val="00F5597A"/>
    <w:rsid w:val="00F56134"/>
    <w:rsid w:val="00F562C1"/>
    <w:rsid w:val="00F56D9B"/>
    <w:rsid w:val="00F6099C"/>
    <w:rsid w:val="00F60C4F"/>
    <w:rsid w:val="00F61B97"/>
    <w:rsid w:val="00F61F4C"/>
    <w:rsid w:val="00F62DE8"/>
    <w:rsid w:val="00F63C45"/>
    <w:rsid w:val="00F63D2D"/>
    <w:rsid w:val="00F64AE0"/>
    <w:rsid w:val="00F67BC9"/>
    <w:rsid w:val="00F67EDD"/>
    <w:rsid w:val="00F71D18"/>
    <w:rsid w:val="00F73A5C"/>
    <w:rsid w:val="00F73DF3"/>
    <w:rsid w:val="00F7443A"/>
    <w:rsid w:val="00F759D9"/>
    <w:rsid w:val="00F75E3F"/>
    <w:rsid w:val="00F7675C"/>
    <w:rsid w:val="00F7743B"/>
    <w:rsid w:val="00F8006D"/>
    <w:rsid w:val="00F8062B"/>
    <w:rsid w:val="00F8087B"/>
    <w:rsid w:val="00F8258A"/>
    <w:rsid w:val="00F82CB8"/>
    <w:rsid w:val="00F8310F"/>
    <w:rsid w:val="00F83805"/>
    <w:rsid w:val="00F840F3"/>
    <w:rsid w:val="00F844FE"/>
    <w:rsid w:val="00F84D7F"/>
    <w:rsid w:val="00F85940"/>
    <w:rsid w:val="00F85BF9"/>
    <w:rsid w:val="00F87154"/>
    <w:rsid w:val="00F87830"/>
    <w:rsid w:val="00F87BD6"/>
    <w:rsid w:val="00F87F22"/>
    <w:rsid w:val="00F90446"/>
    <w:rsid w:val="00F907C8"/>
    <w:rsid w:val="00F9109B"/>
    <w:rsid w:val="00F91900"/>
    <w:rsid w:val="00F92720"/>
    <w:rsid w:val="00F92B4B"/>
    <w:rsid w:val="00F92E8D"/>
    <w:rsid w:val="00F93AEE"/>
    <w:rsid w:val="00F93C5F"/>
    <w:rsid w:val="00F93E49"/>
    <w:rsid w:val="00F94115"/>
    <w:rsid w:val="00F94530"/>
    <w:rsid w:val="00F94E64"/>
    <w:rsid w:val="00F96F01"/>
    <w:rsid w:val="00F972F0"/>
    <w:rsid w:val="00F977D2"/>
    <w:rsid w:val="00FA1373"/>
    <w:rsid w:val="00FA1E19"/>
    <w:rsid w:val="00FA2DA8"/>
    <w:rsid w:val="00FA47CD"/>
    <w:rsid w:val="00FA4991"/>
    <w:rsid w:val="00FA61A7"/>
    <w:rsid w:val="00FA70BB"/>
    <w:rsid w:val="00FA729E"/>
    <w:rsid w:val="00FA7D90"/>
    <w:rsid w:val="00FB0233"/>
    <w:rsid w:val="00FB1825"/>
    <w:rsid w:val="00FB1D0C"/>
    <w:rsid w:val="00FB1E8C"/>
    <w:rsid w:val="00FB1F25"/>
    <w:rsid w:val="00FB240A"/>
    <w:rsid w:val="00FB27EB"/>
    <w:rsid w:val="00FB28B1"/>
    <w:rsid w:val="00FB33EA"/>
    <w:rsid w:val="00FB362D"/>
    <w:rsid w:val="00FB4C81"/>
    <w:rsid w:val="00FB6E83"/>
    <w:rsid w:val="00FB7875"/>
    <w:rsid w:val="00FB7D41"/>
    <w:rsid w:val="00FC0BC4"/>
    <w:rsid w:val="00FC0C43"/>
    <w:rsid w:val="00FC1512"/>
    <w:rsid w:val="00FC1CDC"/>
    <w:rsid w:val="00FC26C3"/>
    <w:rsid w:val="00FC2FC6"/>
    <w:rsid w:val="00FC39F0"/>
    <w:rsid w:val="00FC423E"/>
    <w:rsid w:val="00FC50EF"/>
    <w:rsid w:val="00FC577B"/>
    <w:rsid w:val="00FC7AD5"/>
    <w:rsid w:val="00FD06D9"/>
    <w:rsid w:val="00FD1546"/>
    <w:rsid w:val="00FD2804"/>
    <w:rsid w:val="00FD2814"/>
    <w:rsid w:val="00FD2C29"/>
    <w:rsid w:val="00FD537A"/>
    <w:rsid w:val="00FD6B25"/>
    <w:rsid w:val="00FD7A36"/>
    <w:rsid w:val="00FE004C"/>
    <w:rsid w:val="00FE12CB"/>
    <w:rsid w:val="00FE166F"/>
    <w:rsid w:val="00FE23B8"/>
    <w:rsid w:val="00FE347A"/>
    <w:rsid w:val="00FE5998"/>
    <w:rsid w:val="00FE63D6"/>
    <w:rsid w:val="00FE6A12"/>
    <w:rsid w:val="00FE7844"/>
    <w:rsid w:val="00FE7853"/>
    <w:rsid w:val="00FF074E"/>
    <w:rsid w:val="00FF0C32"/>
    <w:rsid w:val="00FF11A9"/>
    <w:rsid w:val="00FF12E1"/>
    <w:rsid w:val="00FF2901"/>
    <w:rsid w:val="00FF35FF"/>
    <w:rsid w:val="00FF432F"/>
    <w:rsid w:val="00FF718B"/>
    <w:rsid w:val="00FF727A"/>
    <w:rsid w:val="00FF7824"/>
    <w:rsid w:val="015B4CA3"/>
    <w:rsid w:val="016B6B19"/>
    <w:rsid w:val="01877B89"/>
    <w:rsid w:val="019E4ED3"/>
    <w:rsid w:val="01B91D0C"/>
    <w:rsid w:val="01F675F1"/>
    <w:rsid w:val="02025613"/>
    <w:rsid w:val="021A06B0"/>
    <w:rsid w:val="023B43AB"/>
    <w:rsid w:val="0248145E"/>
    <w:rsid w:val="026A47BC"/>
    <w:rsid w:val="0282156D"/>
    <w:rsid w:val="02B4251F"/>
    <w:rsid w:val="02FC6582"/>
    <w:rsid w:val="033E696D"/>
    <w:rsid w:val="039858F2"/>
    <w:rsid w:val="03A03184"/>
    <w:rsid w:val="040231B9"/>
    <w:rsid w:val="040A1C11"/>
    <w:rsid w:val="044367B0"/>
    <w:rsid w:val="048B4423"/>
    <w:rsid w:val="048F6BA5"/>
    <w:rsid w:val="04BD3D81"/>
    <w:rsid w:val="05537FF7"/>
    <w:rsid w:val="05CF4C44"/>
    <w:rsid w:val="05E5600D"/>
    <w:rsid w:val="06661F8B"/>
    <w:rsid w:val="06710E08"/>
    <w:rsid w:val="068612E7"/>
    <w:rsid w:val="06C75A8A"/>
    <w:rsid w:val="06CC10CD"/>
    <w:rsid w:val="06DC70B6"/>
    <w:rsid w:val="071023CF"/>
    <w:rsid w:val="07650056"/>
    <w:rsid w:val="07AF256F"/>
    <w:rsid w:val="07B319DE"/>
    <w:rsid w:val="07CF5DE6"/>
    <w:rsid w:val="09146E98"/>
    <w:rsid w:val="09210183"/>
    <w:rsid w:val="09540C99"/>
    <w:rsid w:val="09C9501C"/>
    <w:rsid w:val="09CF6AA4"/>
    <w:rsid w:val="09DA6CC4"/>
    <w:rsid w:val="09F9205B"/>
    <w:rsid w:val="0A407F4A"/>
    <w:rsid w:val="0A4648CF"/>
    <w:rsid w:val="0A7E3BC1"/>
    <w:rsid w:val="0AD16353"/>
    <w:rsid w:val="0AF20E23"/>
    <w:rsid w:val="0B0F0128"/>
    <w:rsid w:val="0B5D6924"/>
    <w:rsid w:val="0BB83A54"/>
    <w:rsid w:val="0BE001DA"/>
    <w:rsid w:val="0C0A3890"/>
    <w:rsid w:val="0C53176E"/>
    <w:rsid w:val="0C5E697A"/>
    <w:rsid w:val="0C853969"/>
    <w:rsid w:val="0C92670B"/>
    <w:rsid w:val="0CD9646D"/>
    <w:rsid w:val="0D422474"/>
    <w:rsid w:val="0E047CEB"/>
    <w:rsid w:val="0E130DFA"/>
    <w:rsid w:val="0E843802"/>
    <w:rsid w:val="0E8D65A6"/>
    <w:rsid w:val="0EC6513C"/>
    <w:rsid w:val="0EE7323B"/>
    <w:rsid w:val="0F3330FE"/>
    <w:rsid w:val="0F467E20"/>
    <w:rsid w:val="0F584859"/>
    <w:rsid w:val="0FA02DE0"/>
    <w:rsid w:val="0FB86BA3"/>
    <w:rsid w:val="0FD27814"/>
    <w:rsid w:val="0FE0115B"/>
    <w:rsid w:val="0FF65836"/>
    <w:rsid w:val="104B7BFF"/>
    <w:rsid w:val="105A3D15"/>
    <w:rsid w:val="108160EB"/>
    <w:rsid w:val="108C39E7"/>
    <w:rsid w:val="10B06788"/>
    <w:rsid w:val="10BD494B"/>
    <w:rsid w:val="116B5255"/>
    <w:rsid w:val="1174109F"/>
    <w:rsid w:val="11787836"/>
    <w:rsid w:val="118F6932"/>
    <w:rsid w:val="11973CAE"/>
    <w:rsid w:val="11C542F3"/>
    <w:rsid w:val="122E5DFF"/>
    <w:rsid w:val="129841CB"/>
    <w:rsid w:val="12BF13BC"/>
    <w:rsid w:val="13061C0C"/>
    <w:rsid w:val="13110BFF"/>
    <w:rsid w:val="13301502"/>
    <w:rsid w:val="133631BD"/>
    <w:rsid w:val="136A7EDD"/>
    <w:rsid w:val="13A92C40"/>
    <w:rsid w:val="13E66595"/>
    <w:rsid w:val="14752F62"/>
    <w:rsid w:val="148C1855"/>
    <w:rsid w:val="14AA2DBC"/>
    <w:rsid w:val="15155054"/>
    <w:rsid w:val="15451DDD"/>
    <w:rsid w:val="1553032B"/>
    <w:rsid w:val="155308F6"/>
    <w:rsid w:val="15945CB1"/>
    <w:rsid w:val="15C9656A"/>
    <w:rsid w:val="15CF7AC2"/>
    <w:rsid w:val="16172C53"/>
    <w:rsid w:val="16195FDE"/>
    <w:rsid w:val="16201F02"/>
    <w:rsid w:val="16583AD2"/>
    <w:rsid w:val="16854426"/>
    <w:rsid w:val="16D029A6"/>
    <w:rsid w:val="1714086C"/>
    <w:rsid w:val="1767428D"/>
    <w:rsid w:val="17D17FE1"/>
    <w:rsid w:val="17E864DD"/>
    <w:rsid w:val="18CD0120"/>
    <w:rsid w:val="19251057"/>
    <w:rsid w:val="196565AA"/>
    <w:rsid w:val="1989126B"/>
    <w:rsid w:val="19A608D2"/>
    <w:rsid w:val="19CB6AA7"/>
    <w:rsid w:val="19E82F2D"/>
    <w:rsid w:val="1A011416"/>
    <w:rsid w:val="1A237C7B"/>
    <w:rsid w:val="1A3A174F"/>
    <w:rsid w:val="1A741A14"/>
    <w:rsid w:val="1AB35309"/>
    <w:rsid w:val="1ACC53B0"/>
    <w:rsid w:val="1B9A401A"/>
    <w:rsid w:val="1BA605CB"/>
    <w:rsid w:val="1BF26197"/>
    <w:rsid w:val="1BF93AFC"/>
    <w:rsid w:val="1C3F1E54"/>
    <w:rsid w:val="1C412AAE"/>
    <w:rsid w:val="1CD22437"/>
    <w:rsid w:val="1D4E2AE9"/>
    <w:rsid w:val="1DBE7147"/>
    <w:rsid w:val="1DEF6368"/>
    <w:rsid w:val="1DFE6FCD"/>
    <w:rsid w:val="1E152CB3"/>
    <w:rsid w:val="1E1B0ADF"/>
    <w:rsid w:val="1E234FEF"/>
    <w:rsid w:val="1E2D487E"/>
    <w:rsid w:val="1E997153"/>
    <w:rsid w:val="1EEF0DDB"/>
    <w:rsid w:val="1F095F98"/>
    <w:rsid w:val="1F280323"/>
    <w:rsid w:val="1F3423B7"/>
    <w:rsid w:val="1FC42B64"/>
    <w:rsid w:val="1FCC62D3"/>
    <w:rsid w:val="20214B10"/>
    <w:rsid w:val="2035241D"/>
    <w:rsid w:val="205D447F"/>
    <w:rsid w:val="208244E5"/>
    <w:rsid w:val="20A0285A"/>
    <w:rsid w:val="20E65548"/>
    <w:rsid w:val="21060FD7"/>
    <w:rsid w:val="21815F4B"/>
    <w:rsid w:val="21A010F0"/>
    <w:rsid w:val="21CD1190"/>
    <w:rsid w:val="21DB22DE"/>
    <w:rsid w:val="22125E5D"/>
    <w:rsid w:val="22F94F21"/>
    <w:rsid w:val="22FB4006"/>
    <w:rsid w:val="23052BAC"/>
    <w:rsid w:val="234E65B1"/>
    <w:rsid w:val="23623B5A"/>
    <w:rsid w:val="23883918"/>
    <w:rsid w:val="2439627A"/>
    <w:rsid w:val="24575689"/>
    <w:rsid w:val="249F21F1"/>
    <w:rsid w:val="24C64E94"/>
    <w:rsid w:val="252B1339"/>
    <w:rsid w:val="25A20465"/>
    <w:rsid w:val="25DA6D7E"/>
    <w:rsid w:val="25E649EA"/>
    <w:rsid w:val="26081D01"/>
    <w:rsid w:val="260B782F"/>
    <w:rsid w:val="26340A86"/>
    <w:rsid w:val="263952BC"/>
    <w:rsid w:val="267D3601"/>
    <w:rsid w:val="267E05BA"/>
    <w:rsid w:val="26CB2917"/>
    <w:rsid w:val="270205A3"/>
    <w:rsid w:val="270E67C8"/>
    <w:rsid w:val="270F5FE3"/>
    <w:rsid w:val="27823EA2"/>
    <w:rsid w:val="27C45A95"/>
    <w:rsid w:val="28354E06"/>
    <w:rsid w:val="28584A86"/>
    <w:rsid w:val="28C055AB"/>
    <w:rsid w:val="28DB5C1A"/>
    <w:rsid w:val="29044EE7"/>
    <w:rsid w:val="29102574"/>
    <w:rsid w:val="292D2255"/>
    <w:rsid w:val="29401E9D"/>
    <w:rsid w:val="296C2A4F"/>
    <w:rsid w:val="296D02FE"/>
    <w:rsid w:val="29C1466A"/>
    <w:rsid w:val="2A040055"/>
    <w:rsid w:val="2A7A61A0"/>
    <w:rsid w:val="2A8451C8"/>
    <w:rsid w:val="2ABA708D"/>
    <w:rsid w:val="2ACD5C73"/>
    <w:rsid w:val="2B043E08"/>
    <w:rsid w:val="2B2C3635"/>
    <w:rsid w:val="2B363792"/>
    <w:rsid w:val="2B4B5A9E"/>
    <w:rsid w:val="2B822FB7"/>
    <w:rsid w:val="2B9D7E25"/>
    <w:rsid w:val="2BB47753"/>
    <w:rsid w:val="2BCF61F7"/>
    <w:rsid w:val="2BF734FF"/>
    <w:rsid w:val="2CA070EF"/>
    <w:rsid w:val="2CAD5165"/>
    <w:rsid w:val="2CB72DF0"/>
    <w:rsid w:val="2D0013C1"/>
    <w:rsid w:val="2D056147"/>
    <w:rsid w:val="2D422172"/>
    <w:rsid w:val="2D517119"/>
    <w:rsid w:val="2D917E1D"/>
    <w:rsid w:val="2D9D6FEC"/>
    <w:rsid w:val="2DD17405"/>
    <w:rsid w:val="2E063E89"/>
    <w:rsid w:val="2E11721B"/>
    <w:rsid w:val="2ED232DC"/>
    <w:rsid w:val="2EEF4EDA"/>
    <w:rsid w:val="2F6A6E98"/>
    <w:rsid w:val="2FB16CA4"/>
    <w:rsid w:val="30144EC2"/>
    <w:rsid w:val="303073CE"/>
    <w:rsid w:val="304D2ECC"/>
    <w:rsid w:val="30E119FE"/>
    <w:rsid w:val="30F24EA9"/>
    <w:rsid w:val="30F721F2"/>
    <w:rsid w:val="3156044E"/>
    <w:rsid w:val="31676BDA"/>
    <w:rsid w:val="31A8218F"/>
    <w:rsid w:val="31C14142"/>
    <w:rsid w:val="32065451"/>
    <w:rsid w:val="324E3C27"/>
    <w:rsid w:val="3334050A"/>
    <w:rsid w:val="33475512"/>
    <w:rsid w:val="33C80504"/>
    <w:rsid w:val="33DA6CFB"/>
    <w:rsid w:val="33E60EE4"/>
    <w:rsid w:val="33F10E1F"/>
    <w:rsid w:val="33F15628"/>
    <w:rsid w:val="348B0379"/>
    <w:rsid w:val="34E72BCD"/>
    <w:rsid w:val="353A18E4"/>
    <w:rsid w:val="35952AEC"/>
    <w:rsid w:val="35AA389E"/>
    <w:rsid w:val="35B704D6"/>
    <w:rsid w:val="35DB7CBD"/>
    <w:rsid w:val="365C0720"/>
    <w:rsid w:val="36E431AB"/>
    <w:rsid w:val="379D78BD"/>
    <w:rsid w:val="37D709C5"/>
    <w:rsid w:val="3801771C"/>
    <w:rsid w:val="380753BC"/>
    <w:rsid w:val="380D767A"/>
    <w:rsid w:val="38993E8F"/>
    <w:rsid w:val="38B0065D"/>
    <w:rsid w:val="38B60ECF"/>
    <w:rsid w:val="38C04622"/>
    <w:rsid w:val="38D330D8"/>
    <w:rsid w:val="38E5211B"/>
    <w:rsid w:val="39117A63"/>
    <w:rsid w:val="395922E0"/>
    <w:rsid w:val="396101CC"/>
    <w:rsid w:val="396B3311"/>
    <w:rsid w:val="39A2608B"/>
    <w:rsid w:val="39AB02EF"/>
    <w:rsid w:val="3A181899"/>
    <w:rsid w:val="3A760F82"/>
    <w:rsid w:val="3ABE1B66"/>
    <w:rsid w:val="3AD75BDB"/>
    <w:rsid w:val="3AD815D7"/>
    <w:rsid w:val="3BE0703A"/>
    <w:rsid w:val="3C0E1570"/>
    <w:rsid w:val="3C186B72"/>
    <w:rsid w:val="3C314001"/>
    <w:rsid w:val="3C3B59DA"/>
    <w:rsid w:val="3C53017F"/>
    <w:rsid w:val="3C8753CF"/>
    <w:rsid w:val="3CB43221"/>
    <w:rsid w:val="3D4906AC"/>
    <w:rsid w:val="3D6F7148"/>
    <w:rsid w:val="3DCD3561"/>
    <w:rsid w:val="3E242A60"/>
    <w:rsid w:val="3E26436F"/>
    <w:rsid w:val="3E3B2B85"/>
    <w:rsid w:val="3E47749A"/>
    <w:rsid w:val="3E605436"/>
    <w:rsid w:val="3EB5522B"/>
    <w:rsid w:val="3EE82A03"/>
    <w:rsid w:val="3F281CA4"/>
    <w:rsid w:val="3F8E61EF"/>
    <w:rsid w:val="3FC823B0"/>
    <w:rsid w:val="4004136D"/>
    <w:rsid w:val="4005144C"/>
    <w:rsid w:val="401F56CC"/>
    <w:rsid w:val="40351070"/>
    <w:rsid w:val="40CB4674"/>
    <w:rsid w:val="40EF3A24"/>
    <w:rsid w:val="41050FFA"/>
    <w:rsid w:val="41145433"/>
    <w:rsid w:val="41325446"/>
    <w:rsid w:val="41ED7B8B"/>
    <w:rsid w:val="41F82507"/>
    <w:rsid w:val="420C3D6E"/>
    <w:rsid w:val="420D6D5B"/>
    <w:rsid w:val="424109D0"/>
    <w:rsid w:val="425C3BBE"/>
    <w:rsid w:val="426551F3"/>
    <w:rsid w:val="42835EF4"/>
    <w:rsid w:val="42990C13"/>
    <w:rsid w:val="42A91C31"/>
    <w:rsid w:val="436A002C"/>
    <w:rsid w:val="43C502C9"/>
    <w:rsid w:val="4407612D"/>
    <w:rsid w:val="448970B3"/>
    <w:rsid w:val="44CA405D"/>
    <w:rsid w:val="44D5474C"/>
    <w:rsid w:val="44D73F50"/>
    <w:rsid w:val="44DA09F4"/>
    <w:rsid w:val="450D5D22"/>
    <w:rsid w:val="467313EF"/>
    <w:rsid w:val="467F5037"/>
    <w:rsid w:val="4690622E"/>
    <w:rsid w:val="46BC17F8"/>
    <w:rsid w:val="46EE732F"/>
    <w:rsid w:val="46F42577"/>
    <w:rsid w:val="47017063"/>
    <w:rsid w:val="470864C7"/>
    <w:rsid w:val="475876F0"/>
    <w:rsid w:val="47947446"/>
    <w:rsid w:val="47A00C06"/>
    <w:rsid w:val="481B56EC"/>
    <w:rsid w:val="482F4D73"/>
    <w:rsid w:val="48494406"/>
    <w:rsid w:val="48605DBF"/>
    <w:rsid w:val="48632718"/>
    <w:rsid w:val="489C2AAD"/>
    <w:rsid w:val="4907000F"/>
    <w:rsid w:val="491714BC"/>
    <w:rsid w:val="495F26F7"/>
    <w:rsid w:val="49725D2E"/>
    <w:rsid w:val="49E24538"/>
    <w:rsid w:val="49E56247"/>
    <w:rsid w:val="4A3B3251"/>
    <w:rsid w:val="4A8E7B4C"/>
    <w:rsid w:val="4A98308A"/>
    <w:rsid w:val="4AEA3692"/>
    <w:rsid w:val="4B176810"/>
    <w:rsid w:val="4B2A7DB1"/>
    <w:rsid w:val="4B6D54F7"/>
    <w:rsid w:val="4B711D52"/>
    <w:rsid w:val="4BA803F5"/>
    <w:rsid w:val="4BB84AAD"/>
    <w:rsid w:val="4BC86423"/>
    <w:rsid w:val="4BEE4292"/>
    <w:rsid w:val="4BEF52BA"/>
    <w:rsid w:val="4C5E55F6"/>
    <w:rsid w:val="4C7107E7"/>
    <w:rsid w:val="4C995F8F"/>
    <w:rsid w:val="4CC87487"/>
    <w:rsid w:val="4CD33427"/>
    <w:rsid w:val="4CE120C9"/>
    <w:rsid w:val="4CFF33B4"/>
    <w:rsid w:val="4D461C73"/>
    <w:rsid w:val="4D966A3D"/>
    <w:rsid w:val="4E1A6DB5"/>
    <w:rsid w:val="4E21623C"/>
    <w:rsid w:val="4E4667F5"/>
    <w:rsid w:val="4EB86BA1"/>
    <w:rsid w:val="4EF66C19"/>
    <w:rsid w:val="4F3D0E54"/>
    <w:rsid w:val="4FCB1C0C"/>
    <w:rsid w:val="4FF21C3E"/>
    <w:rsid w:val="502A587C"/>
    <w:rsid w:val="50366C19"/>
    <w:rsid w:val="50844865"/>
    <w:rsid w:val="50871D27"/>
    <w:rsid w:val="50941B63"/>
    <w:rsid w:val="51B87694"/>
    <w:rsid w:val="51BC4C86"/>
    <w:rsid w:val="51CB5293"/>
    <w:rsid w:val="51D51F41"/>
    <w:rsid w:val="51E1640E"/>
    <w:rsid w:val="51FB09CD"/>
    <w:rsid w:val="51FC0E44"/>
    <w:rsid w:val="520D74BE"/>
    <w:rsid w:val="522377D2"/>
    <w:rsid w:val="522E14A8"/>
    <w:rsid w:val="52421C4A"/>
    <w:rsid w:val="52927AA2"/>
    <w:rsid w:val="52CE11C4"/>
    <w:rsid w:val="52F81F7A"/>
    <w:rsid w:val="530E3233"/>
    <w:rsid w:val="531D61F2"/>
    <w:rsid w:val="533F163E"/>
    <w:rsid w:val="53532B6D"/>
    <w:rsid w:val="538B1E69"/>
    <w:rsid w:val="53A33D6A"/>
    <w:rsid w:val="541615DB"/>
    <w:rsid w:val="547A6F07"/>
    <w:rsid w:val="54EE0901"/>
    <w:rsid w:val="553354D0"/>
    <w:rsid w:val="553F29A4"/>
    <w:rsid w:val="55992AE1"/>
    <w:rsid w:val="55AA6CC4"/>
    <w:rsid w:val="55AD2D00"/>
    <w:rsid w:val="55B2224E"/>
    <w:rsid w:val="55BF7B5D"/>
    <w:rsid w:val="55E069DD"/>
    <w:rsid w:val="56266A73"/>
    <w:rsid w:val="562C7824"/>
    <w:rsid w:val="56A11062"/>
    <w:rsid w:val="56DE4DCD"/>
    <w:rsid w:val="56F2180E"/>
    <w:rsid w:val="570B4460"/>
    <w:rsid w:val="570B7614"/>
    <w:rsid w:val="57482A8C"/>
    <w:rsid w:val="5751384D"/>
    <w:rsid w:val="57B07009"/>
    <w:rsid w:val="57E6738D"/>
    <w:rsid w:val="581D1E3C"/>
    <w:rsid w:val="582E0416"/>
    <w:rsid w:val="588A5924"/>
    <w:rsid w:val="58B7301E"/>
    <w:rsid w:val="58CD607B"/>
    <w:rsid w:val="58FE6895"/>
    <w:rsid w:val="59091DA7"/>
    <w:rsid w:val="590F16C3"/>
    <w:rsid w:val="5918653E"/>
    <w:rsid w:val="59223A64"/>
    <w:rsid w:val="593C66F4"/>
    <w:rsid w:val="59AD3E0E"/>
    <w:rsid w:val="59C6630F"/>
    <w:rsid w:val="59F35F3A"/>
    <w:rsid w:val="5A4C5F01"/>
    <w:rsid w:val="5A710EBE"/>
    <w:rsid w:val="5A7A2220"/>
    <w:rsid w:val="5AB665E6"/>
    <w:rsid w:val="5B1F10EA"/>
    <w:rsid w:val="5B6523ED"/>
    <w:rsid w:val="5B7A63DB"/>
    <w:rsid w:val="5B9B6396"/>
    <w:rsid w:val="5BE676FB"/>
    <w:rsid w:val="5BF8682E"/>
    <w:rsid w:val="5C0977AC"/>
    <w:rsid w:val="5C38462F"/>
    <w:rsid w:val="5D544350"/>
    <w:rsid w:val="5D6319B2"/>
    <w:rsid w:val="5D74263F"/>
    <w:rsid w:val="5D91187F"/>
    <w:rsid w:val="5DF42546"/>
    <w:rsid w:val="5DF55A45"/>
    <w:rsid w:val="5E3302C0"/>
    <w:rsid w:val="5E525F9E"/>
    <w:rsid w:val="5E9706DB"/>
    <w:rsid w:val="5EF04098"/>
    <w:rsid w:val="5F7A7D2B"/>
    <w:rsid w:val="5F88756C"/>
    <w:rsid w:val="5F954394"/>
    <w:rsid w:val="5F99009B"/>
    <w:rsid w:val="5FCD3B2E"/>
    <w:rsid w:val="5FD37252"/>
    <w:rsid w:val="5FE64BF0"/>
    <w:rsid w:val="5FEF619A"/>
    <w:rsid w:val="600A7C53"/>
    <w:rsid w:val="6048114B"/>
    <w:rsid w:val="605A1055"/>
    <w:rsid w:val="605B54B8"/>
    <w:rsid w:val="608E35C3"/>
    <w:rsid w:val="60C213F0"/>
    <w:rsid w:val="60EB7DAD"/>
    <w:rsid w:val="611B477F"/>
    <w:rsid w:val="613C4878"/>
    <w:rsid w:val="615118C0"/>
    <w:rsid w:val="619066B6"/>
    <w:rsid w:val="619C02D4"/>
    <w:rsid w:val="61B96A60"/>
    <w:rsid w:val="61D513C0"/>
    <w:rsid w:val="61F361F9"/>
    <w:rsid w:val="61F54E8E"/>
    <w:rsid w:val="620745A3"/>
    <w:rsid w:val="620D389C"/>
    <w:rsid w:val="627E42C3"/>
    <w:rsid w:val="62841E4A"/>
    <w:rsid w:val="628644E2"/>
    <w:rsid w:val="62E967AF"/>
    <w:rsid w:val="636F0714"/>
    <w:rsid w:val="637468FE"/>
    <w:rsid w:val="63CD6237"/>
    <w:rsid w:val="63E04B73"/>
    <w:rsid w:val="63EC7A2E"/>
    <w:rsid w:val="63F7561D"/>
    <w:rsid w:val="647D77EC"/>
    <w:rsid w:val="649002A8"/>
    <w:rsid w:val="649C037C"/>
    <w:rsid w:val="64BC7486"/>
    <w:rsid w:val="64D85DCB"/>
    <w:rsid w:val="64E450B9"/>
    <w:rsid w:val="64E96674"/>
    <w:rsid w:val="653319F2"/>
    <w:rsid w:val="6544741A"/>
    <w:rsid w:val="656869CD"/>
    <w:rsid w:val="65AD7695"/>
    <w:rsid w:val="65B7493A"/>
    <w:rsid w:val="65BD1259"/>
    <w:rsid w:val="65CC69C8"/>
    <w:rsid w:val="65D1103F"/>
    <w:rsid w:val="661526EC"/>
    <w:rsid w:val="66477CF7"/>
    <w:rsid w:val="66741C04"/>
    <w:rsid w:val="66804CE0"/>
    <w:rsid w:val="66936A04"/>
    <w:rsid w:val="66A479F2"/>
    <w:rsid w:val="66B17B8A"/>
    <w:rsid w:val="66B4253F"/>
    <w:rsid w:val="670A28D3"/>
    <w:rsid w:val="671E4967"/>
    <w:rsid w:val="673D4E61"/>
    <w:rsid w:val="67854AA5"/>
    <w:rsid w:val="679B01F2"/>
    <w:rsid w:val="680F4B23"/>
    <w:rsid w:val="681177DB"/>
    <w:rsid w:val="688F2159"/>
    <w:rsid w:val="68C0684E"/>
    <w:rsid w:val="68F52313"/>
    <w:rsid w:val="690B2BC3"/>
    <w:rsid w:val="693634DB"/>
    <w:rsid w:val="69590A12"/>
    <w:rsid w:val="69605D0A"/>
    <w:rsid w:val="69C24462"/>
    <w:rsid w:val="69DB25A5"/>
    <w:rsid w:val="6A2A2BAD"/>
    <w:rsid w:val="6A483EC8"/>
    <w:rsid w:val="6ACA3056"/>
    <w:rsid w:val="6ACB55EB"/>
    <w:rsid w:val="6AE05BA5"/>
    <w:rsid w:val="6B13473A"/>
    <w:rsid w:val="6B1B6095"/>
    <w:rsid w:val="6B4C0418"/>
    <w:rsid w:val="6B571085"/>
    <w:rsid w:val="6BE61923"/>
    <w:rsid w:val="6BEA3CBA"/>
    <w:rsid w:val="6C091931"/>
    <w:rsid w:val="6C2E5844"/>
    <w:rsid w:val="6C4E3D3A"/>
    <w:rsid w:val="6C5A7A8C"/>
    <w:rsid w:val="6C853898"/>
    <w:rsid w:val="6CB917F8"/>
    <w:rsid w:val="6D125276"/>
    <w:rsid w:val="6D6462AF"/>
    <w:rsid w:val="6D91060A"/>
    <w:rsid w:val="6DA877B4"/>
    <w:rsid w:val="6DF62CED"/>
    <w:rsid w:val="6DF92A3D"/>
    <w:rsid w:val="6E2214E9"/>
    <w:rsid w:val="6E24245A"/>
    <w:rsid w:val="6E8E2821"/>
    <w:rsid w:val="6E9A5523"/>
    <w:rsid w:val="6EB365E5"/>
    <w:rsid w:val="6EE851AF"/>
    <w:rsid w:val="6FA64B95"/>
    <w:rsid w:val="6FB928E3"/>
    <w:rsid w:val="6FFF3DBF"/>
    <w:rsid w:val="705C5AA3"/>
    <w:rsid w:val="70696998"/>
    <w:rsid w:val="707E1D6A"/>
    <w:rsid w:val="70904E1F"/>
    <w:rsid w:val="70980188"/>
    <w:rsid w:val="70A441BE"/>
    <w:rsid w:val="70DB1624"/>
    <w:rsid w:val="70EB650A"/>
    <w:rsid w:val="71311313"/>
    <w:rsid w:val="714479C8"/>
    <w:rsid w:val="71754026"/>
    <w:rsid w:val="71860207"/>
    <w:rsid w:val="71C249C8"/>
    <w:rsid w:val="722E0C82"/>
    <w:rsid w:val="72A37F56"/>
    <w:rsid w:val="72AA634E"/>
    <w:rsid w:val="72D45938"/>
    <w:rsid w:val="72DA160D"/>
    <w:rsid w:val="72E85665"/>
    <w:rsid w:val="72F53670"/>
    <w:rsid w:val="73131704"/>
    <w:rsid w:val="73226B5C"/>
    <w:rsid w:val="734C56DF"/>
    <w:rsid w:val="73615290"/>
    <w:rsid w:val="73C3657C"/>
    <w:rsid w:val="740D6106"/>
    <w:rsid w:val="745C7889"/>
    <w:rsid w:val="757D7AEA"/>
    <w:rsid w:val="7581743D"/>
    <w:rsid w:val="76230C32"/>
    <w:rsid w:val="768E38C7"/>
    <w:rsid w:val="76BC1C52"/>
    <w:rsid w:val="76BD4B40"/>
    <w:rsid w:val="76F617D3"/>
    <w:rsid w:val="77AB7A17"/>
    <w:rsid w:val="788A6982"/>
    <w:rsid w:val="78B95140"/>
    <w:rsid w:val="794C6E87"/>
    <w:rsid w:val="797D1C3E"/>
    <w:rsid w:val="799C7DE8"/>
    <w:rsid w:val="79B42286"/>
    <w:rsid w:val="79DB0D33"/>
    <w:rsid w:val="7A5A101B"/>
    <w:rsid w:val="7A7F247F"/>
    <w:rsid w:val="7A915E47"/>
    <w:rsid w:val="7A950CD9"/>
    <w:rsid w:val="7AE555B6"/>
    <w:rsid w:val="7B0E3521"/>
    <w:rsid w:val="7B612B29"/>
    <w:rsid w:val="7B83427F"/>
    <w:rsid w:val="7B9B0B33"/>
    <w:rsid w:val="7BC71E36"/>
    <w:rsid w:val="7BCF7DD2"/>
    <w:rsid w:val="7C4C031C"/>
    <w:rsid w:val="7C5333B1"/>
    <w:rsid w:val="7CAD1877"/>
    <w:rsid w:val="7CD614CC"/>
    <w:rsid w:val="7D036358"/>
    <w:rsid w:val="7D6320BF"/>
    <w:rsid w:val="7D882BC9"/>
    <w:rsid w:val="7D8D0561"/>
    <w:rsid w:val="7D9E6C0D"/>
    <w:rsid w:val="7E085FEC"/>
    <w:rsid w:val="7E1D02EF"/>
    <w:rsid w:val="7E4B7D96"/>
    <w:rsid w:val="7E513A34"/>
    <w:rsid w:val="7E5C0A47"/>
    <w:rsid w:val="7ED40F43"/>
    <w:rsid w:val="7EFA2E85"/>
    <w:rsid w:val="7F981085"/>
    <w:rsid w:val="7FBC5902"/>
    <w:rsid w:val="7FF737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9" w:semiHidden="0" w:name="heading 2"/>
    <w:lsdException w:qFormat="1" w:uiPriority="99" w:semiHidden="0" w:name="heading 3"/>
    <w:lsdException w:qFormat="1" w:uiPriority="9" w:semiHidden="0" w:name="heading 4"/>
    <w:lsdException w:qFormat="1" w:uiPriority="9" w:semiHidden="0" w:name="heading 5"/>
    <w:lsdException w:qFormat="1" w:uiPriority="9"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qFormat="1" w:uiPriority="0" w:semiHidden="0" w:name="Body Text First Indent 2"/>
    <w:lsdException w:uiPriority="99" w:name="Note Heading"/>
    <w:lsdException w:qFormat="1"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54"/>
    <w:qFormat/>
    <w:uiPriority w:val="9"/>
    <w:pPr>
      <w:pageBreakBefore/>
      <w:numPr>
        <w:ilvl w:val="0"/>
        <w:numId w:val="1"/>
      </w:numPr>
      <w:tabs>
        <w:tab w:val="left" w:pos="0"/>
      </w:tabs>
      <w:spacing w:before="120" w:after="120"/>
      <w:ind w:left="432" w:hanging="432" w:firstLineChars="0"/>
      <w:jc w:val="center"/>
      <w:outlineLvl w:val="0"/>
    </w:pPr>
    <w:rPr>
      <w:rFonts w:ascii="宋体" w:hAnsi="宋体" w:cs="宋体"/>
      <w:b/>
      <w:color w:val="000000" w:themeColor="text1"/>
      <w:kern w:val="44"/>
      <w:sz w:val="44"/>
      <w:szCs w:val="22"/>
      <w14:textFill>
        <w14:solidFill>
          <w14:schemeClr w14:val="tx1"/>
        </w14:solidFill>
      </w14:textFill>
    </w:rPr>
  </w:style>
  <w:style w:type="paragraph" w:styleId="3">
    <w:name w:val="heading 2"/>
    <w:basedOn w:val="1"/>
    <w:next w:val="1"/>
    <w:link w:val="55"/>
    <w:autoRedefine/>
    <w:unhideWhenUsed/>
    <w:qFormat/>
    <w:uiPriority w:val="99"/>
    <w:pPr>
      <w:keepNext/>
      <w:keepLines/>
      <w:numPr>
        <w:ilvl w:val="1"/>
        <w:numId w:val="1"/>
      </w:numPr>
      <w:tabs>
        <w:tab w:val="left" w:pos="0"/>
      </w:tabs>
      <w:ind w:left="575" w:hanging="575" w:firstLineChars="0"/>
      <w:jc w:val="left"/>
      <w:outlineLvl w:val="1"/>
    </w:pPr>
    <w:rPr>
      <w:rFonts w:cstheme="majorBidi"/>
      <w:bCs/>
      <w:sz w:val="28"/>
      <w:szCs w:val="32"/>
    </w:rPr>
  </w:style>
  <w:style w:type="paragraph" w:styleId="4">
    <w:name w:val="heading 3"/>
    <w:basedOn w:val="3"/>
    <w:next w:val="1"/>
    <w:link w:val="56"/>
    <w:unhideWhenUsed/>
    <w:qFormat/>
    <w:uiPriority w:val="99"/>
    <w:pPr>
      <w:keepLines/>
      <w:numPr>
        <w:ilvl w:val="2"/>
        <w:numId w:val="1"/>
      </w:numPr>
      <w:ind w:left="720" w:hanging="720" w:firstLineChars="0"/>
      <w:jc w:val="left"/>
      <w:outlineLvl w:val="2"/>
    </w:pPr>
    <w:rPr>
      <w:rFonts w:ascii="Times New Roman" w:hAnsi="Times New Roman" w:eastAsia="宋体"/>
      <w:sz w:val="24"/>
      <w:szCs w:val="24"/>
    </w:rPr>
  </w:style>
  <w:style w:type="paragraph" w:styleId="5">
    <w:name w:val="heading 4"/>
    <w:basedOn w:val="6"/>
    <w:next w:val="1"/>
    <w:link w:val="57"/>
    <w:unhideWhenUsed/>
    <w:qFormat/>
    <w:uiPriority w:val="9"/>
    <w:pPr>
      <w:numPr>
        <w:ilvl w:val="3"/>
        <w:numId w:val="1"/>
      </w:numPr>
      <w:tabs>
        <w:tab w:val="left" w:pos="0"/>
      </w:tabs>
      <w:ind w:left="864" w:hanging="864" w:firstLineChars="0"/>
      <w:outlineLvl w:val="3"/>
    </w:pPr>
  </w:style>
  <w:style w:type="paragraph" w:styleId="7">
    <w:name w:val="heading 5"/>
    <w:basedOn w:val="1"/>
    <w:next w:val="1"/>
    <w:link w:val="53"/>
    <w:unhideWhenUsed/>
    <w:qFormat/>
    <w:uiPriority w:val="9"/>
    <w:pPr>
      <w:keepNext/>
      <w:keepLines/>
      <w:numPr>
        <w:ilvl w:val="4"/>
        <w:numId w:val="1"/>
      </w:numPr>
      <w:ind w:left="1008" w:hanging="1008" w:firstLineChars="0"/>
      <w:jc w:val="left"/>
      <w:outlineLvl w:val="4"/>
    </w:pPr>
    <w:rPr>
      <w:rFonts w:ascii="Times New Roman" w:hAnsi="Times New Roman" w:eastAsia="宋体"/>
      <w:bCs/>
      <w:szCs w:val="28"/>
    </w:rPr>
  </w:style>
  <w:style w:type="paragraph" w:styleId="8">
    <w:name w:val="heading 6"/>
    <w:basedOn w:val="1"/>
    <w:next w:val="1"/>
    <w:link w:val="122"/>
    <w:unhideWhenUsed/>
    <w:qFormat/>
    <w:uiPriority w:val="9"/>
    <w:pPr>
      <w:numPr>
        <w:ilvl w:val="5"/>
        <w:numId w:val="1"/>
      </w:numPr>
      <w:ind w:left="1151" w:hanging="1151" w:firstLineChars="0"/>
      <w:outlineLvl w:val="5"/>
    </w:pPr>
    <w:rPr>
      <w:b/>
    </w:rPr>
  </w:style>
  <w:style w:type="paragraph" w:styleId="9">
    <w:name w:val="heading 7"/>
    <w:basedOn w:val="1"/>
    <w:next w:val="1"/>
    <w:link w:val="58"/>
    <w:unhideWhenUsed/>
    <w:qFormat/>
    <w:uiPriority w:val="0"/>
    <w:pPr>
      <w:keepNext/>
      <w:keepLines/>
      <w:numPr>
        <w:ilvl w:val="6"/>
        <w:numId w:val="1"/>
      </w:numPr>
      <w:ind w:left="1296" w:hanging="1296" w:firstLineChars="0"/>
      <w:outlineLvl w:val="6"/>
    </w:pPr>
    <w:rPr>
      <w:b/>
      <w:bCs/>
      <w:szCs w:val="24"/>
    </w:rPr>
  </w:style>
  <w:style w:type="paragraph" w:styleId="10">
    <w:name w:val="heading 8"/>
    <w:basedOn w:val="1"/>
    <w:next w:val="1"/>
    <w:link w:val="59"/>
    <w:autoRedefine/>
    <w:unhideWhenUsed/>
    <w:qFormat/>
    <w:uiPriority w:val="0"/>
    <w:pPr>
      <w:keepNext/>
      <w:keepLines/>
      <w:numPr>
        <w:ilvl w:val="7"/>
        <w:numId w:val="1"/>
      </w:numPr>
      <w:spacing w:before="240" w:after="64" w:line="320" w:lineRule="auto"/>
      <w:ind w:left="1440" w:hanging="1440" w:firstLineChars="0"/>
      <w:outlineLvl w:val="7"/>
    </w:pPr>
    <w:rPr>
      <w:rFonts w:asciiTheme="majorHAnsi" w:hAnsiTheme="majorHAnsi" w:eastAsiaTheme="majorEastAsia" w:cstheme="majorBidi"/>
      <w:szCs w:val="24"/>
    </w:rPr>
  </w:style>
  <w:style w:type="paragraph" w:styleId="11">
    <w:name w:val="heading 9"/>
    <w:basedOn w:val="1"/>
    <w:next w:val="1"/>
    <w:link w:val="112"/>
    <w:unhideWhenUsed/>
    <w:qFormat/>
    <w:uiPriority w:val="0"/>
    <w:pPr>
      <w:keepNext/>
      <w:keepLines/>
      <w:numPr>
        <w:ilvl w:val="8"/>
        <w:numId w:val="1"/>
      </w:numPr>
      <w:spacing w:before="240" w:after="64" w:line="320" w:lineRule="auto"/>
      <w:ind w:left="1583" w:hanging="1583" w:firstLineChars="0"/>
      <w:outlineLvl w:val="8"/>
    </w:pPr>
    <w:rPr>
      <w:rFonts w:asciiTheme="majorHAnsi" w:hAnsiTheme="majorHAnsi" w:eastAsiaTheme="majorEastAsia" w:cstheme="majorBidi"/>
      <w:sz w:val="21"/>
    </w:rPr>
  </w:style>
  <w:style w:type="character" w:default="1" w:styleId="44">
    <w:name w:val="Default Paragraph Font"/>
    <w:autoRedefine/>
    <w:semiHidden/>
    <w:unhideWhenUsed/>
    <w:qFormat/>
    <w:uiPriority w:val="1"/>
  </w:style>
  <w:style w:type="table" w:default="1" w:styleId="42">
    <w:name w:val="Normal Table"/>
    <w:autoRedefine/>
    <w:semiHidden/>
    <w:unhideWhenUsed/>
    <w:qFormat/>
    <w:uiPriority w:val="99"/>
    <w:tblPr>
      <w:tblCellMar>
        <w:top w:w="0" w:type="dxa"/>
        <w:left w:w="108" w:type="dxa"/>
        <w:bottom w:w="0" w:type="dxa"/>
        <w:right w:w="108" w:type="dxa"/>
      </w:tblCellMar>
    </w:tblPr>
  </w:style>
  <w:style w:type="paragraph" w:customStyle="1" w:styleId="6">
    <w:name w:val="基准-无缩进"/>
    <w:basedOn w:val="4"/>
    <w:qFormat/>
    <w:uiPriority w:val="0"/>
    <w:pPr>
      <w:numPr>
        <w:ilvl w:val="0"/>
        <w:numId w:val="0"/>
      </w:numPr>
    </w:pPr>
  </w:style>
  <w:style w:type="paragraph" w:styleId="12">
    <w:name w:val="toc 7"/>
    <w:basedOn w:val="1"/>
    <w:next w:val="1"/>
    <w:autoRedefine/>
    <w:unhideWhenUsed/>
    <w:qFormat/>
    <w:uiPriority w:val="39"/>
    <w:pPr>
      <w:ind w:left="1440"/>
      <w:jc w:val="left"/>
    </w:pPr>
    <w:rPr>
      <w:rFonts w:asciiTheme="minorHAnsi" w:hAnsiTheme="minorHAnsi" w:cstheme="minorHAnsi"/>
      <w:sz w:val="18"/>
      <w:szCs w:val="18"/>
    </w:rPr>
  </w:style>
  <w:style w:type="paragraph" w:styleId="13">
    <w:name w:val="Normal Indent"/>
    <w:basedOn w:val="1"/>
    <w:next w:val="14"/>
    <w:link w:val="316"/>
    <w:qFormat/>
    <w:uiPriority w:val="0"/>
    <w:pPr>
      <w:ind w:firstLine="420"/>
    </w:pPr>
    <w:rPr>
      <w:rFonts w:ascii="Calibri" w:hAnsi="Calibri"/>
      <w:szCs w:val="22"/>
    </w:rPr>
  </w:style>
  <w:style w:type="paragraph" w:styleId="14">
    <w:name w:val="Body Text First Indent"/>
    <w:basedOn w:val="15"/>
    <w:next w:val="1"/>
    <w:link w:val="61"/>
    <w:unhideWhenUsed/>
    <w:qFormat/>
    <w:uiPriority w:val="0"/>
    <w:pPr>
      <w:spacing w:before="154"/>
      <w:ind w:left="121" w:firstLine="420" w:firstLineChars="100"/>
    </w:pPr>
    <w:rPr>
      <w:rFonts w:hint="eastAsia" w:ascii="仿宋" w:hAnsi="仿宋" w:eastAsia="仿宋"/>
      <w:szCs w:val="21"/>
    </w:rPr>
  </w:style>
  <w:style w:type="paragraph" w:styleId="15">
    <w:name w:val="Body Text"/>
    <w:basedOn w:val="1"/>
    <w:link w:val="60"/>
    <w:autoRedefine/>
    <w:unhideWhenUsed/>
    <w:qFormat/>
    <w:uiPriority w:val="0"/>
    <w:pPr>
      <w:ind w:firstLine="560"/>
    </w:pPr>
    <w:rPr>
      <w:szCs w:val="24"/>
    </w:rPr>
  </w:style>
  <w:style w:type="paragraph" w:styleId="16">
    <w:name w:val="caption"/>
    <w:basedOn w:val="1"/>
    <w:next w:val="1"/>
    <w:link w:val="62"/>
    <w:autoRedefine/>
    <w:unhideWhenUsed/>
    <w:qFormat/>
    <w:uiPriority w:val="35"/>
    <w:pPr>
      <w:spacing w:line="240" w:lineRule="auto"/>
      <w:ind w:firstLine="0" w:firstLineChars="0"/>
      <w:jc w:val="center"/>
    </w:pPr>
    <w:rPr>
      <w:rFonts w:cstheme="majorBidi"/>
      <w:b/>
      <w:sz w:val="21"/>
      <w:szCs w:val="20"/>
    </w:rPr>
  </w:style>
  <w:style w:type="paragraph" w:styleId="17">
    <w:name w:val="Document Map"/>
    <w:basedOn w:val="1"/>
    <w:link w:val="154"/>
    <w:unhideWhenUsed/>
    <w:qFormat/>
    <w:uiPriority w:val="99"/>
    <w:rPr>
      <w:rFonts w:ascii="Microsoft YaHei UI" w:eastAsia="Microsoft YaHei UI"/>
      <w:sz w:val="18"/>
      <w:szCs w:val="18"/>
    </w:rPr>
  </w:style>
  <w:style w:type="paragraph" w:styleId="18">
    <w:name w:val="annotation text"/>
    <w:basedOn w:val="1"/>
    <w:link w:val="63"/>
    <w:autoRedefine/>
    <w:unhideWhenUsed/>
    <w:qFormat/>
    <w:uiPriority w:val="0"/>
    <w:pPr>
      <w:jc w:val="left"/>
    </w:pPr>
  </w:style>
  <w:style w:type="paragraph" w:styleId="19">
    <w:name w:val="Body Text 3"/>
    <w:basedOn w:val="1"/>
    <w:link w:val="205"/>
    <w:autoRedefine/>
    <w:qFormat/>
    <w:uiPriority w:val="0"/>
    <w:pPr>
      <w:adjustRightInd w:val="0"/>
      <w:snapToGrid w:val="0"/>
      <w:ind w:firstLine="663" w:firstLineChars="150"/>
      <w:jc w:val="left"/>
    </w:pPr>
    <w:rPr>
      <w:szCs w:val="24"/>
    </w:rPr>
  </w:style>
  <w:style w:type="paragraph" w:styleId="20">
    <w:name w:val="Body Text Indent"/>
    <w:basedOn w:val="1"/>
    <w:link w:val="329"/>
    <w:autoRedefine/>
    <w:unhideWhenUsed/>
    <w:qFormat/>
    <w:uiPriority w:val="0"/>
    <w:pPr>
      <w:adjustRightInd w:val="0"/>
      <w:snapToGrid w:val="0"/>
      <w:ind w:firstLine="560"/>
    </w:pPr>
    <w:rPr>
      <w:color w:val="000000"/>
      <w:sz w:val="28"/>
      <w:szCs w:val="24"/>
    </w:rPr>
  </w:style>
  <w:style w:type="paragraph" w:styleId="21">
    <w:name w:val="toc 5"/>
    <w:basedOn w:val="1"/>
    <w:next w:val="1"/>
    <w:autoRedefine/>
    <w:unhideWhenUsed/>
    <w:qFormat/>
    <w:uiPriority w:val="39"/>
    <w:pPr>
      <w:ind w:left="960"/>
      <w:jc w:val="left"/>
    </w:pPr>
    <w:rPr>
      <w:rFonts w:asciiTheme="minorHAnsi" w:hAnsiTheme="minorHAnsi" w:cstheme="minorHAnsi"/>
      <w:sz w:val="18"/>
      <w:szCs w:val="18"/>
    </w:rPr>
  </w:style>
  <w:style w:type="paragraph" w:styleId="22">
    <w:name w:val="toc 3"/>
    <w:basedOn w:val="1"/>
    <w:next w:val="1"/>
    <w:autoRedefine/>
    <w:unhideWhenUsed/>
    <w:qFormat/>
    <w:uiPriority w:val="39"/>
    <w:pPr>
      <w:ind w:left="480"/>
      <w:jc w:val="left"/>
    </w:pPr>
    <w:rPr>
      <w:rFonts w:asciiTheme="minorHAnsi" w:hAnsiTheme="minorHAnsi" w:cstheme="minorHAnsi"/>
      <w:i/>
      <w:iCs/>
      <w:sz w:val="20"/>
      <w:szCs w:val="20"/>
    </w:rPr>
  </w:style>
  <w:style w:type="paragraph" w:styleId="23">
    <w:name w:val="Plain Text"/>
    <w:basedOn w:val="1"/>
    <w:link w:val="206"/>
    <w:autoRedefine/>
    <w:qFormat/>
    <w:uiPriority w:val="0"/>
    <w:pPr>
      <w:spacing w:after="50" w:afterLines="50" w:line="240" w:lineRule="auto"/>
      <w:ind w:firstLine="0" w:firstLineChars="0"/>
      <w:jc w:val="left"/>
    </w:pPr>
    <w:rPr>
      <w:rFonts w:ascii="宋体" w:hAnsi="宋体" w:eastAsia="仿宋" w:cstheme="minorBidi"/>
      <w:szCs w:val="24"/>
    </w:rPr>
  </w:style>
  <w:style w:type="paragraph" w:styleId="24">
    <w:name w:val="toc 8"/>
    <w:basedOn w:val="1"/>
    <w:next w:val="1"/>
    <w:unhideWhenUsed/>
    <w:qFormat/>
    <w:uiPriority w:val="39"/>
    <w:pPr>
      <w:ind w:left="1680"/>
      <w:jc w:val="left"/>
    </w:pPr>
    <w:rPr>
      <w:rFonts w:asciiTheme="minorHAnsi" w:hAnsiTheme="minorHAnsi" w:cstheme="minorHAnsi"/>
      <w:sz w:val="18"/>
      <w:szCs w:val="18"/>
    </w:rPr>
  </w:style>
  <w:style w:type="paragraph" w:styleId="25">
    <w:name w:val="Date"/>
    <w:basedOn w:val="1"/>
    <w:next w:val="1"/>
    <w:link w:val="155"/>
    <w:qFormat/>
    <w:uiPriority w:val="0"/>
    <w:pPr>
      <w:spacing w:line="240" w:lineRule="auto"/>
      <w:ind w:left="100" w:leftChars="2500" w:firstLine="0" w:firstLineChars="0"/>
    </w:pPr>
    <w:rPr>
      <w:rFonts w:asciiTheme="minorHAnsi" w:hAnsiTheme="minorHAnsi" w:eastAsiaTheme="minorEastAsia" w:cstheme="minorBidi"/>
      <w:sz w:val="21"/>
    </w:rPr>
  </w:style>
  <w:style w:type="paragraph" w:styleId="26">
    <w:name w:val="Body Text Indent 2"/>
    <w:basedOn w:val="1"/>
    <w:link w:val="207"/>
    <w:qFormat/>
    <w:uiPriority w:val="99"/>
    <w:pPr>
      <w:spacing w:after="50" w:afterLines="50" w:line="300" w:lineRule="auto"/>
      <w:ind w:firstLine="927" w:firstLineChars="331"/>
      <w:jc w:val="left"/>
    </w:pPr>
    <w:rPr>
      <w:rFonts w:ascii="仿宋_GB2312" w:hAnsi="宋体" w:eastAsia="仿宋_GB2312" w:cstheme="minorBidi"/>
      <w:sz w:val="28"/>
      <w:szCs w:val="24"/>
    </w:rPr>
  </w:style>
  <w:style w:type="paragraph" w:styleId="27">
    <w:name w:val="Balloon Text"/>
    <w:basedOn w:val="1"/>
    <w:link w:val="105"/>
    <w:unhideWhenUsed/>
    <w:qFormat/>
    <w:uiPriority w:val="0"/>
    <w:pPr>
      <w:spacing w:line="240" w:lineRule="auto"/>
    </w:pPr>
    <w:rPr>
      <w:sz w:val="18"/>
      <w:szCs w:val="18"/>
    </w:rPr>
  </w:style>
  <w:style w:type="paragraph" w:styleId="28">
    <w:name w:val="footer"/>
    <w:basedOn w:val="1"/>
    <w:link w:val="64"/>
    <w:autoRedefine/>
    <w:unhideWhenUsed/>
    <w:qFormat/>
    <w:uiPriority w:val="99"/>
    <w:pPr>
      <w:tabs>
        <w:tab w:val="center" w:pos="4153"/>
        <w:tab w:val="right" w:pos="8306"/>
      </w:tabs>
      <w:snapToGrid w:val="0"/>
      <w:jc w:val="left"/>
    </w:pPr>
    <w:rPr>
      <w:sz w:val="21"/>
      <w:szCs w:val="18"/>
    </w:rPr>
  </w:style>
  <w:style w:type="paragraph" w:styleId="29">
    <w:name w:val="header"/>
    <w:basedOn w:val="1"/>
    <w:link w:val="65"/>
    <w:autoRedefine/>
    <w:unhideWhenUsed/>
    <w:qFormat/>
    <w:uiPriority w:val="99"/>
    <w:pPr>
      <w:pBdr>
        <w:bottom w:val="single" w:color="auto" w:sz="6" w:space="1"/>
      </w:pBdr>
      <w:tabs>
        <w:tab w:val="center" w:pos="4153"/>
        <w:tab w:val="right" w:pos="8306"/>
      </w:tabs>
      <w:snapToGrid w:val="0"/>
      <w:spacing w:line="240" w:lineRule="auto"/>
      <w:ind w:firstLine="0" w:firstLineChars="0"/>
      <w:jc w:val="center"/>
    </w:pPr>
    <w:rPr>
      <w:sz w:val="21"/>
      <w:szCs w:val="18"/>
    </w:rPr>
  </w:style>
  <w:style w:type="paragraph" w:styleId="30">
    <w:name w:val="toc 1"/>
    <w:basedOn w:val="1"/>
    <w:next w:val="1"/>
    <w:link w:val="234"/>
    <w:autoRedefine/>
    <w:unhideWhenUsed/>
    <w:qFormat/>
    <w:uiPriority w:val="39"/>
    <w:pPr>
      <w:ind w:firstLine="0" w:firstLineChars="0"/>
      <w:jc w:val="center"/>
    </w:pPr>
    <w:rPr>
      <w:rFonts w:cstheme="minorHAnsi"/>
      <w:bCs/>
      <w:caps/>
      <w:szCs w:val="20"/>
    </w:rPr>
  </w:style>
  <w:style w:type="paragraph" w:styleId="31">
    <w:name w:val="toc 4"/>
    <w:basedOn w:val="1"/>
    <w:next w:val="1"/>
    <w:autoRedefine/>
    <w:unhideWhenUsed/>
    <w:qFormat/>
    <w:uiPriority w:val="39"/>
    <w:pPr>
      <w:ind w:left="720"/>
      <w:jc w:val="left"/>
    </w:pPr>
    <w:rPr>
      <w:rFonts w:asciiTheme="minorHAnsi" w:hAnsiTheme="minorHAnsi" w:cstheme="minorHAnsi"/>
      <w:sz w:val="18"/>
      <w:szCs w:val="18"/>
    </w:rPr>
  </w:style>
  <w:style w:type="paragraph" w:styleId="32">
    <w:name w:val="Subtitle"/>
    <w:basedOn w:val="1"/>
    <w:next w:val="1"/>
    <w:link w:val="119"/>
    <w:autoRedefine/>
    <w:qFormat/>
    <w:uiPriority w:val="11"/>
    <w:pPr>
      <w:widowControl/>
      <w:spacing w:before="240" w:after="60" w:line="312" w:lineRule="auto"/>
      <w:jc w:val="center"/>
      <w:outlineLvl w:val="1"/>
    </w:pPr>
    <w:rPr>
      <w:rFonts w:asciiTheme="majorHAnsi" w:hAnsiTheme="majorHAnsi" w:cstheme="majorBidi"/>
      <w:b/>
      <w:bCs/>
      <w:kern w:val="28"/>
      <w:sz w:val="32"/>
      <w:szCs w:val="32"/>
    </w:rPr>
  </w:style>
  <w:style w:type="paragraph" w:styleId="33">
    <w:name w:val="toc 6"/>
    <w:basedOn w:val="1"/>
    <w:next w:val="1"/>
    <w:autoRedefine/>
    <w:unhideWhenUsed/>
    <w:qFormat/>
    <w:uiPriority w:val="39"/>
    <w:pPr>
      <w:ind w:left="1200"/>
      <w:jc w:val="left"/>
    </w:pPr>
    <w:rPr>
      <w:rFonts w:asciiTheme="minorHAnsi" w:hAnsiTheme="minorHAnsi" w:cstheme="minorHAnsi"/>
      <w:sz w:val="18"/>
      <w:szCs w:val="18"/>
    </w:rPr>
  </w:style>
  <w:style w:type="paragraph" w:styleId="34">
    <w:name w:val="Body Text Indent 3"/>
    <w:basedOn w:val="1"/>
    <w:link w:val="208"/>
    <w:autoRedefine/>
    <w:qFormat/>
    <w:uiPriority w:val="0"/>
    <w:pPr>
      <w:adjustRightInd w:val="0"/>
      <w:snapToGrid w:val="0"/>
      <w:spacing w:after="120"/>
      <w:ind w:left="420" w:leftChars="200" w:firstLine="883"/>
    </w:pPr>
    <w:rPr>
      <w:sz w:val="16"/>
      <w:szCs w:val="16"/>
    </w:rPr>
  </w:style>
  <w:style w:type="paragraph" w:styleId="35">
    <w:name w:val="toc 2"/>
    <w:basedOn w:val="1"/>
    <w:next w:val="1"/>
    <w:unhideWhenUsed/>
    <w:qFormat/>
    <w:uiPriority w:val="39"/>
    <w:rPr>
      <w:rFonts w:cstheme="minorHAnsi"/>
      <w:smallCaps/>
      <w:szCs w:val="20"/>
    </w:rPr>
  </w:style>
  <w:style w:type="paragraph" w:styleId="36">
    <w:name w:val="toc 9"/>
    <w:basedOn w:val="1"/>
    <w:next w:val="1"/>
    <w:unhideWhenUsed/>
    <w:qFormat/>
    <w:uiPriority w:val="39"/>
    <w:pPr>
      <w:ind w:left="1920"/>
      <w:jc w:val="left"/>
    </w:pPr>
    <w:rPr>
      <w:rFonts w:asciiTheme="minorHAnsi" w:hAnsiTheme="minorHAnsi" w:cstheme="minorHAnsi"/>
      <w:sz w:val="18"/>
      <w:szCs w:val="18"/>
    </w:rPr>
  </w:style>
  <w:style w:type="paragraph" w:styleId="37">
    <w:name w:val="Body Text 2"/>
    <w:basedOn w:val="1"/>
    <w:link w:val="66"/>
    <w:unhideWhenUsed/>
    <w:qFormat/>
    <w:uiPriority w:val="0"/>
    <w:pPr>
      <w:jc w:val="center"/>
    </w:pPr>
  </w:style>
  <w:style w:type="paragraph" w:styleId="38">
    <w:name w:val="Normal (Web)"/>
    <w:basedOn w:val="1"/>
    <w:link w:val="136"/>
    <w:qFormat/>
    <w:uiPriority w:val="99"/>
    <w:pPr>
      <w:widowControl/>
      <w:spacing w:before="100" w:beforeAutospacing="1" w:after="100" w:afterAutospacing="1" w:line="320" w:lineRule="atLeast"/>
      <w:jc w:val="left"/>
    </w:pPr>
    <w:rPr>
      <w:color w:val="000000"/>
      <w:kern w:val="0"/>
      <w:sz w:val="14"/>
      <w:szCs w:val="20"/>
    </w:rPr>
  </w:style>
  <w:style w:type="paragraph" w:styleId="39">
    <w:name w:val="Title"/>
    <w:basedOn w:val="1"/>
    <w:next w:val="1"/>
    <w:link w:val="209"/>
    <w:qFormat/>
    <w:uiPriority w:val="10"/>
    <w:pPr>
      <w:spacing w:before="240" w:after="60"/>
      <w:ind w:firstLine="480"/>
      <w:jc w:val="center"/>
      <w:outlineLvl w:val="0"/>
    </w:pPr>
    <w:rPr>
      <w:rFonts w:asciiTheme="majorHAnsi" w:hAnsiTheme="majorHAnsi" w:eastAsiaTheme="majorEastAsia" w:cstheme="majorBidi"/>
      <w:b/>
      <w:bCs/>
      <w:color w:val="000000" w:themeColor="text1"/>
      <w:sz w:val="32"/>
      <w:szCs w:val="32"/>
      <w14:textFill>
        <w14:solidFill>
          <w14:schemeClr w14:val="tx1"/>
        </w14:solidFill>
      </w14:textFill>
    </w:rPr>
  </w:style>
  <w:style w:type="paragraph" w:styleId="40">
    <w:name w:val="annotation subject"/>
    <w:basedOn w:val="18"/>
    <w:next w:val="18"/>
    <w:link w:val="67"/>
    <w:unhideWhenUsed/>
    <w:qFormat/>
    <w:uiPriority w:val="0"/>
    <w:rPr>
      <w:b/>
      <w:bCs/>
    </w:rPr>
  </w:style>
  <w:style w:type="paragraph" w:styleId="41">
    <w:name w:val="Body Text First Indent 2"/>
    <w:basedOn w:val="20"/>
    <w:next w:val="15"/>
    <w:link w:val="330"/>
    <w:unhideWhenUsed/>
    <w:qFormat/>
    <w:uiPriority w:val="0"/>
    <w:pPr>
      <w:ind w:firstLine="420"/>
    </w:pPr>
    <w:rPr>
      <w:sz w:val="24"/>
    </w:rPr>
  </w:style>
  <w:style w:type="table" w:styleId="43">
    <w:name w:val="Table Grid"/>
    <w:basedOn w:val="4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0"/>
    <w:rPr>
      <w:b/>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Hyperlink"/>
    <w:basedOn w:val="44"/>
    <w:unhideWhenUsed/>
    <w:qFormat/>
    <w:uiPriority w:val="99"/>
    <w:rPr>
      <w:color w:val="0000FF" w:themeColor="hyperlink"/>
      <w:u w:val="single"/>
      <w14:textFill>
        <w14:solidFill>
          <w14:schemeClr w14:val="hlink"/>
        </w14:solidFill>
      </w14:textFill>
    </w:rPr>
  </w:style>
  <w:style w:type="character" w:styleId="49">
    <w:name w:val="annotation reference"/>
    <w:basedOn w:val="44"/>
    <w:unhideWhenUsed/>
    <w:qFormat/>
    <w:uiPriority w:val="0"/>
    <w:rPr>
      <w:sz w:val="21"/>
      <w:szCs w:val="21"/>
    </w:rPr>
  </w:style>
  <w:style w:type="paragraph" w:customStyle="1" w:styleId="50">
    <w:name w:val="表内文字"/>
    <w:basedOn w:val="51"/>
    <w:next w:val="1"/>
    <w:autoRedefine/>
    <w:qFormat/>
    <w:uiPriority w:val="0"/>
    <w:pPr>
      <w:spacing w:line="240" w:lineRule="auto"/>
      <w:ind w:firstLine="0" w:firstLineChars="0"/>
      <w:jc w:val="center"/>
    </w:pPr>
    <w:rPr>
      <w:sz w:val="21"/>
    </w:rPr>
  </w:style>
  <w:style w:type="paragraph" w:customStyle="1" w:styleId="51">
    <w:name w:val="图表名称"/>
    <w:basedOn w:val="1"/>
    <w:next w:val="1"/>
    <w:link w:val="183"/>
    <w:autoRedefine/>
    <w:qFormat/>
    <w:uiPriority w:val="0"/>
    <w:pPr>
      <w:ind w:firstLine="0" w:firstLineChars="0"/>
      <w:jc w:val="center"/>
    </w:pPr>
    <w:rPr>
      <w:b/>
      <w:bCs/>
      <w:color w:val="000000" w:themeColor="text1"/>
      <w:sz w:val="21"/>
      <w14:textFill>
        <w14:solidFill>
          <w14:schemeClr w14:val="tx1"/>
        </w14:solidFill>
      </w14:textFill>
    </w:rPr>
  </w:style>
  <w:style w:type="paragraph" w:customStyle="1" w:styleId="52">
    <w:name w:val="Default"/>
    <w:autoRedefine/>
    <w:qFormat/>
    <w:uiPriority w:val="0"/>
    <w:pPr>
      <w:widowControl w:val="0"/>
      <w:autoSpaceDE w:val="0"/>
      <w:autoSpaceDN w:val="0"/>
      <w:adjustRightInd w:val="0"/>
    </w:pPr>
    <w:rPr>
      <w:rFonts w:ascii="ST Kaiti" w:hAnsi="Times New Roman" w:eastAsia="ST Kaiti" w:cs="Times New Roman"/>
      <w:color w:val="000000"/>
      <w:sz w:val="24"/>
      <w:szCs w:val="24"/>
      <w:lang w:val="en-US" w:eastAsia="zh-CN" w:bidi="ar-SA"/>
    </w:rPr>
  </w:style>
  <w:style w:type="character" w:customStyle="1" w:styleId="53">
    <w:name w:val="标题 5 字符"/>
    <w:basedOn w:val="44"/>
    <w:link w:val="7"/>
    <w:qFormat/>
    <w:uiPriority w:val="0"/>
    <w:rPr>
      <w:rFonts w:ascii="Times New Roman" w:hAnsi="Times New Roman" w:eastAsia="宋体"/>
      <w:bCs/>
      <w:kern w:val="2"/>
      <w:sz w:val="24"/>
      <w:szCs w:val="28"/>
    </w:rPr>
  </w:style>
  <w:style w:type="character" w:customStyle="1" w:styleId="54">
    <w:name w:val="标题 1 字符"/>
    <w:basedOn w:val="44"/>
    <w:link w:val="2"/>
    <w:qFormat/>
    <w:uiPriority w:val="9"/>
    <w:rPr>
      <w:rFonts w:ascii="宋体" w:hAnsi="宋体" w:cs="宋体"/>
      <w:b/>
      <w:color w:val="000000" w:themeColor="text1"/>
      <w:kern w:val="44"/>
      <w:sz w:val="44"/>
      <w:szCs w:val="22"/>
      <w14:textFill>
        <w14:solidFill>
          <w14:schemeClr w14:val="tx1"/>
        </w14:solidFill>
      </w14:textFill>
    </w:rPr>
  </w:style>
  <w:style w:type="character" w:customStyle="1" w:styleId="55">
    <w:name w:val="标题 2 字符"/>
    <w:link w:val="3"/>
    <w:qFormat/>
    <w:uiPriority w:val="9"/>
    <w:rPr>
      <w:rFonts w:ascii="Times New Roman" w:hAnsi="Times New Roman" w:eastAsia="宋体" w:cstheme="majorBidi"/>
      <w:bCs/>
      <w:kern w:val="2"/>
      <w:sz w:val="28"/>
      <w:szCs w:val="32"/>
      <w:lang w:val="en-US" w:eastAsia="zh-CN" w:bidi="ar-SA"/>
    </w:rPr>
  </w:style>
  <w:style w:type="character" w:customStyle="1" w:styleId="56">
    <w:name w:val="标题 3 字符"/>
    <w:basedOn w:val="44"/>
    <w:link w:val="4"/>
    <w:qFormat/>
    <w:uiPriority w:val="9"/>
    <w:rPr>
      <w:rFonts w:ascii="Times New Roman" w:hAnsi="Times New Roman" w:eastAsia="宋体"/>
      <w:bCs/>
      <w:kern w:val="2"/>
      <w:sz w:val="24"/>
      <w:szCs w:val="24"/>
    </w:rPr>
  </w:style>
  <w:style w:type="character" w:customStyle="1" w:styleId="57">
    <w:name w:val="标题 4 字符"/>
    <w:basedOn w:val="44"/>
    <w:link w:val="5"/>
    <w:qFormat/>
    <w:uiPriority w:val="9"/>
    <w:rPr>
      <w:b/>
      <w:bCs/>
      <w:kern w:val="2"/>
      <w:sz w:val="24"/>
      <w:szCs w:val="24"/>
    </w:rPr>
  </w:style>
  <w:style w:type="character" w:customStyle="1" w:styleId="58">
    <w:name w:val="标题 7 字符"/>
    <w:basedOn w:val="44"/>
    <w:link w:val="9"/>
    <w:qFormat/>
    <w:uiPriority w:val="0"/>
    <w:rPr>
      <w:b/>
      <w:bCs/>
      <w:kern w:val="2"/>
      <w:sz w:val="24"/>
      <w:szCs w:val="24"/>
    </w:rPr>
  </w:style>
  <w:style w:type="character" w:customStyle="1" w:styleId="59">
    <w:name w:val="标题 8 字符"/>
    <w:basedOn w:val="44"/>
    <w:link w:val="10"/>
    <w:qFormat/>
    <w:uiPriority w:val="0"/>
    <w:rPr>
      <w:rFonts w:asciiTheme="majorHAnsi" w:hAnsiTheme="majorHAnsi" w:eastAsiaTheme="majorEastAsia" w:cstheme="majorBidi"/>
      <w:kern w:val="2"/>
      <w:sz w:val="24"/>
      <w:szCs w:val="24"/>
    </w:rPr>
  </w:style>
  <w:style w:type="character" w:customStyle="1" w:styleId="60">
    <w:name w:val="正文文本 字符"/>
    <w:basedOn w:val="44"/>
    <w:link w:val="15"/>
    <w:qFormat/>
    <w:uiPriority w:val="0"/>
    <w:rPr>
      <w:kern w:val="2"/>
      <w:sz w:val="24"/>
      <w:szCs w:val="24"/>
    </w:rPr>
  </w:style>
  <w:style w:type="character" w:customStyle="1" w:styleId="61">
    <w:name w:val="正文文本首行缩进 字符"/>
    <w:basedOn w:val="60"/>
    <w:link w:val="14"/>
    <w:autoRedefine/>
    <w:qFormat/>
    <w:uiPriority w:val="0"/>
    <w:rPr>
      <w:rFonts w:ascii="仿宋" w:hAnsi="仿宋" w:eastAsia="仿宋"/>
      <w:kern w:val="2"/>
      <w:sz w:val="24"/>
      <w:szCs w:val="21"/>
    </w:rPr>
  </w:style>
  <w:style w:type="character" w:customStyle="1" w:styleId="62">
    <w:name w:val="题注 字符"/>
    <w:basedOn w:val="44"/>
    <w:link w:val="16"/>
    <w:autoRedefine/>
    <w:qFormat/>
    <w:uiPriority w:val="35"/>
    <w:rPr>
      <w:rFonts w:ascii="Times New Roman" w:hAnsi="Times New Roman" w:eastAsia="宋体" w:cstheme="majorBidi"/>
      <w:b/>
      <w:kern w:val="2"/>
      <w:sz w:val="21"/>
    </w:rPr>
  </w:style>
  <w:style w:type="character" w:customStyle="1" w:styleId="63">
    <w:name w:val="批注文字 字符"/>
    <w:basedOn w:val="44"/>
    <w:link w:val="18"/>
    <w:autoRedefine/>
    <w:qFormat/>
    <w:uiPriority w:val="0"/>
    <w:rPr>
      <w:rFonts w:ascii="Times New Roman" w:hAnsi="Times New Roman" w:eastAsia="宋体" w:cs="Times New Roman"/>
      <w:kern w:val="2"/>
      <w:sz w:val="24"/>
      <w:szCs w:val="21"/>
    </w:rPr>
  </w:style>
  <w:style w:type="character" w:customStyle="1" w:styleId="64">
    <w:name w:val="页脚 字符"/>
    <w:basedOn w:val="44"/>
    <w:link w:val="28"/>
    <w:autoRedefine/>
    <w:qFormat/>
    <w:uiPriority w:val="99"/>
    <w:rPr>
      <w:kern w:val="2"/>
      <w:sz w:val="21"/>
      <w:szCs w:val="18"/>
    </w:rPr>
  </w:style>
  <w:style w:type="character" w:customStyle="1" w:styleId="65">
    <w:name w:val="页眉 字符"/>
    <w:basedOn w:val="44"/>
    <w:link w:val="29"/>
    <w:qFormat/>
    <w:uiPriority w:val="99"/>
    <w:rPr>
      <w:kern w:val="2"/>
      <w:sz w:val="21"/>
      <w:szCs w:val="18"/>
    </w:rPr>
  </w:style>
  <w:style w:type="character" w:customStyle="1" w:styleId="66">
    <w:name w:val="正文文本 2 字符"/>
    <w:basedOn w:val="44"/>
    <w:link w:val="37"/>
    <w:autoRedefine/>
    <w:qFormat/>
    <w:uiPriority w:val="0"/>
    <w:rPr>
      <w:kern w:val="2"/>
      <w:sz w:val="24"/>
      <w:szCs w:val="21"/>
    </w:rPr>
  </w:style>
  <w:style w:type="character" w:customStyle="1" w:styleId="67">
    <w:name w:val="批注主题 字符"/>
    <w:basedOn w:val="63"/>
    <w:link w:val="40"/>
    <w:autoRedefine/>
    <w:qFormat/>
    <w:uiPriority w:val="0"/>
    <w:rPr>
      <w:rFonts w:ascii="Times New Roman" w:hAnsi="Times New Roman" w:eastAsia="宋体" w:cs="Times New Roman"/>
      <w:b/>
      <w:bCs/>
      <w:kern w:val="2"/>
      <w:sz w:val="24"/>
      <w:szCs w:val="21"/>
    </w:rPr>
  </w:style>
  <w:style w:type="paragraph" w:customStyle="1" w:styleId="68">
    <w:name w:val="封面标题"/>
    <w:basedOn w:val="1"/>
    <w:next w:val="1"/>
    <w:link w:val="229"/>
    <w:autoRedefine/>
    <w:qFormat/>
    <w:uiPriority w:val="0"/>
    <w:pPr>
      <w:ind w:firstLine="0" w:firstLineChars="0"/>
      <w:jc w:val="center"/>
    </w:pPr>
    <w:rPr>
      <w:rFonts w:eastAsia="黑体"/>
      <w:b/>
      <w:sz w:val="52"/>
    </w:rPr>
  </w:style>
  <w:style w:type="paragraph" w:styleId="69">
    <w:name w:val="No Spacing"/>
    <w:basedOn w:val="1"/>
    <w:link w:val="96"/>
    <w:autoRedefine/>
    <w:qFormat/>
    <w:uiPriority w:val="0"/>
    <w:pPr>
      <w:spacing w:line="240" w:lineRule="auto"/>
      <w:ind w:firstLine="0" w:firstLineChars="0"/>
      <w:jc w:val="center"/>
      <w:textAlignment w:val="center"/>
    </w:pPr>
    <w:rPr>
      <w:rFonts w:ascii="Arial" w:hAnsi="Arial" w:cs="Arial"/>
      <w:sz w:val="18"/>
      <w:szCs w:val="18"/>
      <w:shd w:val="clear" w:color="auto" w:fill="FFFFFF"/>
    </w:rPr>
  </w:style>
  <w:style w:type="paragraph" w:styleId="70">
    <w:name w:val="List Paragraph"/>
    <w:basedOn w:val="1"/>
    <w:link w:val="71"/>
    <w:autoRedefine/>
    <w:qFormat/>
    <w:uiPriority w:val="34"/>
    <w:pPr>
      <w:numPr>
        <w:ilvl w:val="0"/>
        <w:numId w:val="2"/>
      </w:numPr>
      <w:ind w:left="0" w:firstLine="0" w:firstLineChars="0"/>
      <w:jc w:val="left"/>
    </w:pPr>
  </w:style>
  <w:style w:type="character" w:customStyle="1" w:styleId="71">
    <w:name w:val="列表段落 字符"/>
    <w:basedOn w:val="44"/>
    <w:link w:val="70"/>
    <w:autoRedefine/>
    <w:qFormat/>
    <w:uiPriority w:val="34"/>
    <w:rPr>
      <w:kern w:val="2"/>
      <w:sz w:val="24"/>
      <w:szCs w:val="21"/>
    </w:rPr>
  </w:style>
  <w:style w:type="table" w:customStyle="1" w:styleId="72">
    <w:name w:val="XX表格"/>
    <w:basedOn w:val="42"/>
    <w:autoRedefine/>
    <w:qFormat/>
    <w:uiPriority w:val="99"/>
    <w:rPr>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C6D9F0" w:themeFill="text2" w:themeFillTint="33"/>
      </w:tcPr>
    </w:tblStylePr>
    <w:tblStylePr w:type="firstCol">
      <w:rPr>
        <w:rFonts w:ascii="Times New Roman" w:hAnsi="Times New Roman" w:eastAsia="宋体"/>
        <w:b w:val="0"/>
        <w:i w:val="0"/>
        <w:sz w:val="21"/>
      </w:rPr>
    </w:tblStylePr>
  </w:style>
  <w:style w:type="paragraph" w:customStyle="1" w:styleId="73">
    <w:name w:val="表中字"/>
    <w:basedOn w:val="1"/>
    <w:link w:val="74"/>
    <w:autoRedefine/>
    <w:qFormat/>
    <w:uiPriority w:val="0"/>
    <w:pPr>
      <w:spacing w:line="240" w:lineRule="auto"/>
      <w:ind w:firstLine="0" w:firstLineChars="0"/>
      <w:jc w:val="center"/>
    </w:pPr>
    <w:rPr>
      <w:rFonts w:cs="宋体"/>
      <w:sz w:val="21"/>
      <w:szCs w:val="24"/>
    </w:rPr>
  </w:style>
  <w:style w:type="character" w:customStyle="1" w:styleId="74">
    <w:name w:val="表中字 字符"/>
    <w:link w:val="73"/>
    <w:autoRedefine/>
    <w:qFormat/>
    <w:uiPriority w:val="0"/>
    <w:rPr>
      <w:rFonts w:ascii="Times New Roman" w:hAnsi="Times New Roman" w:eastAsia="宋体" w:cs="宋体"/>
      <w:kern w:val="2"/>
      <w:sz w:val="21"/>
      <w:szCs w:val="24"/>
    </w:rPr>
  </w:style>
  <w:style w:type="table" w:customStyle="1" w:styleId="75">
    <w:name w:val="XX表格11"/>
    <w:basedOn w:val="42"/>
    <w:autoRedefine/>
    <w:qFormat/>
    <w:uiPriority w:val="99"/>
    <w:rPr>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ascii="Times New Roman" w:hAnsi="Times New Roman" w:eastAsia="宋体"/>
        <w:b/>
        <w:i w:val="0"/>
        <w:sz w:val="21"/>
      </w:rPr>
      <w:tblPr/>
      <w:trPr>
        <w:tblHeader/>
      </w:trPr>
      <w:tcPr>
        <w:shd w:val="clear" w:color="auto" w:fill="C6D9F1"/>
      </w:tcPr>
    </w:tblStylePr>
    <w:tblStylePr w:type="firstCol">
      <w:rPr>
        <w:rFonts w:ascii="Times New Roman" w:hAnsi="Times New Roman" w:eastAsia="宋体"/>
        <w:b w:val="0"/>
        <w:i w:val="0"/>
        <w:sz w:val="21"/>
      </w:rPr>
    </w:tblStylePr>
  </w:style>
  <w:style w:type="character" w:styleId="76">
    <w:name w:val="Placeholder Text"/>
    <w:basedOn w:val="44"/>
    <w:autoRedefine/>
    <w:semiHidden/>
    <w:qFormat/>
    <w:uiPriority w:val="99"/>
    <w:rPr>
      <w:color w:val="808080"/>
    </w:rPr>
  </w:style>
  <w:style w:type="table" w:customStyle="1" w:styleId="77">
    <w:name w:val="两色网格表1"/>
    <w:basedOn w:val="42"/>
    <w:autoRedefine/>
    <w:qFormat/>
    <w:uiPriority w:val="0"/>
    <w:pPr>
      <w:jc w:val="center"/>
    </w:pPr>
    <w:rPr>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blPr/>
      <w:trPr>
        <w:tblHeader/>
      </w:trPr>
      <w:tcPr>
        <w:shd w:val="clear" w:color="auto" w:fill="DBE5F1"/>
      </w:tcPr>
    </w:tblStylePr>
  </w:style>
  <w:style w:type="table" w:customStyle="1" w:styleId="78">
    <w:name w:val="标准样式"/>
    <w:basedOn w:val="42"/>
    <w:autoRedefine/>
    <w:qFormat/>
    <w:uiPriority w:val="99"/>
    <w:pPr>
      <w:jc w:val="center"/>
    </w:p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9D9D9"/>
      <w:vAlign w:val="center"/>
    </w:tcPr>
    <w:tblStylePr w:type="firstRow">
      <w:rPr>
        <w:rFonts w:eastAsia="宋体"/>
        <w:b/>
        <w:bCs/>
        <w:sz w:val="21"/>
      </w:rPr>
      <w:tcPr>
        <w:shd w:val="clear" w:color="auto" w:fill="B4C6E7"/>
      </w:tcPr>
    </w:tblStylePr>
    <w:tblStylePr w:type="firstCol">
      <w:rPr>
        <w:rFonts w:eastAsia="宋体"/>
        <w:b/>
        <w:bCs/>
        <w:sz w:val="21"/>
      </w:rPr>
      <w:tcPr>
        <w:shd w:val="clear" w:color="auto" w:fill="FBD4B4"/>
      </w:tcPr>
    </w:tblStylePr>
  </w:style>
  <w:style w:type="paragraph" w:customStyle="1" w:styleId="79">
    <w:name w:val="表左字1"/>
    <w:basedOn w:val="73"/>
    <w:autoRedefine/>
    <w:qFormat/>
    <w:uiPriority w:val="0"/>
    <w:pPr>
      <w:numPr>
        <w:ilvl w:val="0"/>
        <w:numId w:val="3"/>
      </w:numPr>
      <w:jc w:val="both"/>
    </w:pPr>
  </w:style>
  <w:style w:type="table" w:customStyle="1" w:styleId="80">
    <w:name w:val="Table Normal"/>
    <w:unhideWhenUsed/>
    <w:qFormat/>
    <w:uiPriority w:val="0"/>
    <w:tblPr>
      <w:tblCellMar>
        <w:top w:w="0" w:type="dxa"/>
        <w:left w:w="0" w:type="dxa"/>
        <w:bottom w:w="0" w:type="dxa"/>
        <w:right w:w="0" w:type="dxa"/>
      </w:tblCellMar>
    </w:tblPr>
  </w:style>
  <w:style w:type="character" w:customStyle="1" w:styleId="81">
    <w:name w:val="未处理的提及1"/>
    <w:basedOn w:val="44"/>
    <w:autoRedefine/>
    <w:semiHidden/>
    <w:unhideWhenUsed/>
    <w:qFormat/>
    <w:uiPriority w:val="99"/>
    <w:rPr>
      <w:color w:val="605E5C"/>
      <w:shd w:val="clear" w:color="auto" w:fill="E1DFDD"/>
    </w:rPr>
  </w:style>
  <w:style w:type="paragraph" w:customStyle="1" w:styleId="82">
    <w:name w:val="表左字"/>
    <w:basedOn w:val="73"/>
    <w:link w:val="83"/>
    <w:autoRedefine/>
    <w:qFormat/>
    <w:uiPriority w:val="0"/>
    <w:pPr>
      <w:adjustRightInd w:val="0"/>
      <w:snapToGrid w:val="0"/>
      <w:jc w:val="left"/>
    </w:pPr>
    <w:rPr>
      <w:rFonts w:cstheme="minorBidi"/>
      <w:szCs w:val="21"/>
    </w:rPr>
  </w:style>
  <w:style w:type="character" w:customStyle="1" w:styleId="83">
    <w:name w:val="表左字 Char"/>
    <w:basedOn w:val="44"/>
    <w:link w:val="82"/>
    <w:qFormat/>
    <w:uiPriority w:val="0"/>
    <w:rPr>
      <w:rFonts w:cstheme="minorBidi"/>
      <w:kern w:val="2"/>
      <w:sz w:val="21"/>
      <w:szCs w:val="21"/>
    </w:rPr>
  </w:style>
  <w:style w:type="table" w:customStyle="1" w:styleId="84">
    <w:name w:val="标准样式2"/>
    <w:basedOn w:val="42"/>
    <w:autoRedefine/>
    <w:qFormat/>
    <w:uiPriority w:val="99"/>
    <w:pPr>
      <w:jc w:val="both"/>
    </w:pPr>
    <w:rPr>
      <w:rFonts w:cstheme="minorBidi"/>
      <w:kern w:val="2"/>
    </w:r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E5DFEC" w:themeFill="accent4" w:themeFillTint="33"/>
      <w:vAlign w:val="center"/>
    </w:tcPr>
    <w:tblStylePr w:type="firstRow">
      <w:rPr>
        <w:b/>
      </w:rPr>
      <w:tcPr>
        <w:shd w:val="clear" w:color="auto" w:fill="B6DDE8" w:themeFill="accent5" w:themeFillTint="66"/>
      </w:tcPr>
    </w:tblStylePr>
    <w:tblStylePr w:type="firstCol">
      <w:tcPr>
        <w:shd w:val="clear" w:color="auto" w:fill="FBD4B4" w:themeFill="accent6" w:themeFillTint="66"/>
      </w:tcPr>
    </w:tblStylePr>
  </w:style>
  <w:style w:type="table" w:customStyle="1" w:styleId="85">
    <w:name w:val="57"/>
    <w:autoRedefine/>
    <w:qFormat/>
    <w:uiPriority w:val="0"/>
    <w:pPr>
      <w:widowControl w:val="0"/>
      <w:autoSpaceDE w:val="0"/>
      <w:autoSpaceDN w:val="0"/>
      <w:adjustRightInd w:val="0"/>
    </w:pPr>
    <w:rPr>
      <w:sz w:val="24"/>
      <w:szCs w:val="24"/>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rPr>
      <w:jc w:val="center"/>
    </w:trPr>
  </w:style>
  <w:style w:type="table" w:customStyle="1" w:styleId="86">
    <w:name w:val="标准样式311"/>
    <w:basedOn w:val="42"/>
    <w:qFormat/>
    <w:uiPriority w:val="99"/>
    <w:pPr>
      <w:jc w:val="center"/>
    </w:p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9D9D9"/>
      <w:vAlign w:val="center"/>
    </w:tcPr>
    <w:tblStylePr w:type="firstRow">
      <w:rPr>
        <w:rFonts w:eastAsia="宋体"/>
        <w:b/>
        <w:sz w:val="21"/>
      </w:rPr>
      <w:tcPr>
        <w:shd w:val="clear" w:color="auto" w:fill="B4C6E7"/>
      </w:tcPr>
    </w:tblStylePr>
    <w:tblStylePr w:type="firstCol">
      <w:rPr>
        <w:rFonts w:eastAsia="宋体"/>
        <w:b/>
        <w:sz w:val="21"/>
      </w:rPr>
      <w:tcPr>
        <w:shd w:val="clear" w:color="auto" w:fill="FBD4B4"/>
      </w:tcPr>
    </w:tblStylePr>
  </w:style>
  <w:style w:type="table" w:customStyle="1" w:styleId="87">
    <w:name w:val="000"/>
    <w:basedOn w:val="42"/>
    <w:autoRedefine/>
    <w:qFormat/>
    <w:uiPriority w:val="99"/>
    <w:pPr>
      <w:jc w:val="center"/>
    </w:pPr>
    <w:rPr>
      <w:rFonts w:cstheme="minorBidi"/>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shd w:val="clear" w:color="auto" w:fill="FFFFFF" w:themeFill="background1"/>
      <w:vAlign w:val="center"/>
    </w:tcPr>
    <w:tblStylePr w:type="firstRow">
      <w:rPr>
        <w:rFonts w:eastAsia="宋体"/>
        <w:b/>
        <w:sz w:val="21"/>
      </w:rPr>
      <w:tcPr>
        <w:shd w:val="clear" w:color="auto" w:fill="C6D9F0" w:themeFill="text2" w:themeFillTint="33"/>
      </w:tcPr>
    </w:tblStylePr>
  </w:style>
  <w:style w:type="paragraph" w:customStyle="1" w:styleId="88">
    <w:name w:val="表左字△"/>
    <w:basedOn w:val="1"/>
    <w:autoRedefine/>
    <w:qFormat/>
    <w:uiPriority w:val="0"/>
    <w:pPr>
      <w:numPr>
        <w:ilvl w:val="0"/>
        <w:numId w:val="4"/>
      </w:numPr>
      <w:adjustRightInd w:val="0"/>
      <w:snapToGrid w:val="0"/>
      <w:spacing w:line="300" w:lineRule="auto"/>
      <w:ind w:firstLineChars="0"/>
      <w:jc w:val="left"/>
    </w:pPr>
    <w:rPr>
      <w:rFonts w:cstheme="minorBidi"/>
      <w:kern w:val="0"/>
      <w:sz w:val="21"/>
      <w:szCs w:val="20"/>
    </w:rPr>
  </w:style>
  <w:style w:type="table" w:customStyle="1" w:styleId="89">
    <w:name w:val="方案编制"/>
    <w:basedOn w:val="42"/>
    <w:autoRedefine/>
    <w:qFormat/>
    <w:uiPriority w:val="0"/>
    <w:pPr>
      <w:jc w:val="center"/>
    </w:pPr>
    <w:rPr>
      <w:rFonts w:ascii="Calibri" w:hAnsi="Calibri" w:cstheme="minorBidi"/>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eastAsia="宋体"/>
        <w:b/>
        <w:sz w:val="21"/>
      </w:rPr>
      <w:tcPr>
        <w:shd w:val="clear" w:color="auto" w:fill="FFFFFF" w:themeFill="background1"/>
      </w:tcPr>
    </w:tblStylePr>
  </w:style>
  <w:style w:type="paragraph" w:customStyle="1" w:styleId="90">
    <w:name w:val="表中字使用"/>
    <w:basedOn w:val="1"/>
    <w:autoRedefine/>
    <w:qFormat/>
    <w:uiPriority w:val="0"/>
    <w:pPr>
      <w:spacing w:line="240" w:lineRule="auto"/>
      <w:ind w:firstLine="0" w:firstLineChars="0"/>
      <w:jc w:val="center"/>
    </w:pPr>
    <w:rPr>
      <w:rFonts w:cs="宋体"/>
      <w:sz w:val="21"/>
      <w:szCs w:val="24"/>
    </w:rPr>
  </w:style>
  <w:style w:type="paragraph" w:customStyle="1" w:styleId="91">
    <w:name w:val="ZG-ZW"/>
    <w:basedOn w:val="1"/>
    <w:link w:val="92"/>
    <w:autoRedefine/>
    <w:qFormat/>
    <w:uiPriority w:val="0"/>
    <w:pPr>
      <w:ind w:firstLine="420"/>
    </w:pPr>
  </w:style>
  <w:style w:type="character" w:customStyle="1" w:styleId="92">
    <w:name w:val="ZG-ZW Char"/>
    <w:link w:val="91"/>
    <w:qFormat/>
    <w:uiPriority w:val="0"/>
    <w:rPr>
      <w:kern w:val="2"/>
      <w:sz w:val="24"/>
      <w:szCs w:val="21"/>
    </w:rPr>
  </w:style>
  <w:style w:type="paragraph" w:customStyle="1" w:styleId="93">
    <w:name w:val="图表名"/>
    <w:basedOn w:val="1"/>
    <w:link w:val="94"/>
    <w:autoRedefine/>
    <w:qFormat/>
    <w:uiPriority w:val="0"/>
    <w:pPr>
      <w:spacing w:line="240" w:lineRule="auto"/>
      <w:ind w:firstLine="0" w:firstLineChars="0"/>
      <w:jc w:val="center"/>
    </w:pPr>
    <w:rPr>
      <w:rFonts w:cstheme="minorBidi"/>
      <w:b/>
      <w:szCs w:val="24"/>
    </w:rPr>
  </w:style>
  <w:style w:type="character" w:customStyle="1" w:styleId="94">
    <w:name w:val="图表名 Char"/>
    <w:link w:val="93"/>
    <w:autoRedefine/>
    <w:qFormat/>
    <w:uiPriority w:val="0"/>
    <w:rPr>
      <w:rFonts w:cstheme="minorBidi"/>
      <w:b/>
      <w:kern w:val="2"/>
      <w:sz w:val="24"/>
      <w:szCs w:val="24"/>
    </w:rPr>
  </w:style>
  <w:style w:type="paragraph" w:customStyle="1" w:styleId="95">
    <w:name w:val="图表字-居中"/>
    <w:basedOn w:val="1"/>
    <w:autoRedefine/>
    <w:qFormat/>
    <w:uiPriority w:val="0"/>
    <w:pPr>
      <w:spacing w:line="240" w:lineRule="auto"/>
      <w:ind w:firstLine="0" w:firstLineChars="0"/>
      <w:jc w:val="center"/>
    </w:pPr>
    <w:rPr>
      <w:rFonts w:cs="宋体"/>
      <w:sz w:val="21"/>
      <w:szCs w:val="24"/>
    </w:rPr>
  </w:style>
  <w:style w:type="character" w:customStyle="1" w:styleId="96">
    <w:name w:val="无间隔 字符"/>
    <w:link w:val="69"/>
    <w:autoRedefine/>
    <w:qFormat/>
    <w:uiPriority w:val="0"/>
    <w:rPr>
      <w:rFonts w:ascii="Arial" w:hAnsi="Arial" w:cs="Arial"/>
      <w:kern w:val="2"/>
      <w:sz w:val="18"/>
      <w:szCs w:val="18"/>
    </w:rPr>
  </w:style>
  <w:style w:type="paragraph" w:customStyle="1" w:styleId="97">
    <w:name w:val="图表题注"/>
    <w:basedOn w:val="1"/>
    <w:next w:val="1"/>
    <w:link w:val="98"/>
    <w:autoRedefine/>
    <w:qFormat/>
    <w:uiPriority w:val="0"/>
    <w:pPr>
      <w:spacing w:line="240" w:lineRule="auto"/>
      <w:ind w:firstLine="0" w:firstLineChars="0"/>
      <w:jc w:val="center"/>
    </w:pPr>
    <w:rPr>
      <w:rFonts w:cstheme="minorBidi"/>
      <w:b/>
      <w:szCs w:val="24"/>
    </w:rPr>
  </w:style>
  <w:style w:type="character" w:customStyle="1" w:styleId="98">
    <w:name w:val="图表题注 Char"/>
    <w:link w:val="97"/>
    <w:autoRedefine/>
    <w:qFormat/>
    <w:uiPriority w:val="0"/>
    <w:rPr>
      <w:rFonts w:cstheme="minorBidi"/>
      <w:b/>
      <w:kern w:val="2"/>
      <w:sz w:val="24"/>
      <w:szCs w:val="24"/>
    </w:rPr>
  </w:style>
  <w:style w:type="paragraph" w:customStyle="1" w:styleId="99">
    <w:name w:val="k4级"/>
    <w:basedOn w:val="1"/>
    <w:next w:val="1"/>
    <w:autoRedefine/>
    <w:qFormat/>
    <w:uiPriority w:val="0"/>
    <w:pPr>
      <w:outlineLvl w:val="3"/>
    </w:pPr>
  </w:style>
  <w:style w:type="paragraph" w:customStyle="1" w:styleId="100">
    <w:name w:val="表格文字"/>
    <w:basedOn w:val="1"/>
    <w:qFormat/>
    <w:uiPriority w:val="0"/>
    <w:pPr>
      <w:spacing w:line="240" w:lineRule="auto"/>
      <w:ind w:firstLine="0" w:firstLineChars="0"/>
      <w:jc w:val="center"/>
    </w:pPr>
    <w:rPr>
      <w:rFonts w:hint="eastAsia"/>
      <w:sz w:val="21"/>
      <w:szCs w:val="18"/>
    </w:rPr>
  </w:style>
  <w:style w:type="paragraph" w:customStyle="1" w:styleId="101">
    <w:name w:val="图表标题1"/>
    <w:basedOn w:val="1"/>
    <w:autoRedefine/>
    <w:qFormat/>
    <w:uiPriority w:val="0"/>
    <w:pPr>
      <w:ind w:firstLine="0" w:firstLineChars="0"/>
      <w:jc w:val="center"/>
    </w:pPr>
    <w:rPr>
      <w:b/>
      <w:bCs/>
      <w:sz w:val="21"/>
    </w:rPr>
  </w:style>
  <w:style w:type="table" w:customStyle="1" w:styleId="102">
    <w:name w:val="样式3"/>
    <w:basedOn w:val="42"/>
    <w:autoRedefine/>
    <w:qFormat/>
    <w:uiPriority w:val="99"/>
    <w:rPr>
      <w:rFonts w:ascii="Calibri" w:hAnsi="Calibri" w:cs="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hemeFill="background1" w:themeFillShade="D9"/>
      </w:tcPr>
    </w:tblStylePr>
  </w:style>
  <w:style w:type="character" w:customStyle="1" w:styleId="103">
    <w:name w:val="表内文字 Char"/>
    <w:autoRedefine/>
    <w:qFormat/>
    <w:uiPriority w:val="0"/>
    <w:rPr>
      <w:rFonts w:ascii="Times New Roman" w:hAnsi="Times New Roman" w:eastAsia="宋体" w:cs="Times New Roman"/>
      <w:color w:val="000000" w:themeColor="text1"/>
      <w:kern w:val="2"/>
      <w:sz w:val="21"/>
      <w:szCs w:val="21"/>
      <w14:textFill>
        <w14:solidFill>
          <w14:schemeClr w14:val="tx1"/>
        </w14:solidFill>
      </w14:textFill>
    </w:rPr>
  </w:style>
  <w:style w:type="character" w:customStyle="1" w:styleId="104">
    <w:name w:val="表中字 Char"/>
    <w:basedOn w:val="44"/>
    <w:autoRedefine/>
    <w:qFormat/>
    <w:uiPriority w:val="0"/>
    <w:rPr>
      <w:rFonts w:ascii="Times New Roman" w:hAnsi="Times New Roman" w:eastAsia="宋体"/>
    </w:rPr>
  </w:style>
  <w:style w:type="character" w:customStyle="1" w:styleId="105">
    <w:name w:val="批注框文本 字符"/>
    <w:basedOn w:val="44"/>
    <w:link w:val="27"/>
    <w:autoRedefine/>
    <w:qFormat/>
    <w:uiPriority w:val="0"/>
    <w:rPr>
      <w:kern w:val="2"/>
      <w:sz w:val="18"/>
      <w:szCs w:val="18"/>
    </w:rPr>
  </w:style>
  <w:style w:type="paragraph" w:customStyle="1" w:styleId="106">
    <w:name w:val="k 表中字"/>
    <w:basedOn w:val="1"/>
    <w:link w:val="107"/>
    <w:autoRedefine/>
    <w:qFormat/>
    <w:uiPriority w:val="0"/>
    <w:pPr>
      <w:widowControl/>
      <w:adjustRightInd w:val="0"/>
      <w:ind w:hanging="420" w:hangingChars="189"/>
      <w:jc w:val="center"/>
      <w:textAlignment w:val="baseline"/>
    </w:pPr>
    <w:rPr>
      <w:sz w:val="21"/>
      <w:szCs w:val="22"/>
    </w:rPr>
  </w:style>
  <w:style w:type="character" w:customStyle="1" w:styleId="107">
    <w:name w:val="k 表中字 Char Char"/>
    <w:basedOn w:val="44"/>
    <w:link w:val="106"/>
    <w:autoRedefine/>
    <w:qFormat/>
    <w:uiPriority w:val="0"/>
    <w:rPr>
      <w:kern w:val="2"/>
      <w:sz w:val="21"/>
      <w:szCs w:val="22"/>
    </w:rPr>
  </w:style>
  <w:style w:type="paragraph" w:customStyle="1" w:styleId="108">
    <w:name w:val="表格"/>
    <w:next w:val="1"/>
    <w:link w:val="109"/>
    <w:autoRedefine/>
    <w:qFormat/>
    <w:uiPriority w:val="0"/>
    <w:pPr>
      <w:jc w:val="center"/>
    </w:pPr>
    <w:rPr>
      <w:rFonts w:ascii="Times New Roman" w:hAnsi="Times New Roman" w:eastAsia="宋体" w:cs="Times New Roman"/>
      <w:kern w:val="2"/>
      <w:sz w:val="21"/>
      <w:szCs w:val="22"/>
      <w:lang w:val="en-US" w:eastAsia="zh-CN" w:bidi="ar-SA"/>
    </w:rPr>
  </w:style>
  <w:style w:type="character" w:customStyle="1" w:styleId="109">
    <w:name w:val="表格 Char"/>
    <w:link w:val="108"/>
    <w:autoRedefine/>
    <w:qFormat/>
    <w:uiPriority w:val="0"/>
    <w:rPr>
      <w:kern w:val="2"/>
      <w:sz w:val="21"/>
      <w:szCs w:val="22"/>
    </w:rPr>
  </w:style>
  <w:style w:type="paragraph" w:customStyle="1" w:styleId="110">
    <w:name w:val="官新图名"/>
    <w:basedOn w:val="1"/>
    <w:next w:val="1"/>
    <w:autoRedefine/>
    <w:qFormat/>
    <w:uiPriority w:val="0"/>
    <w:pPr>
      <w:spacing w:line="240" w:lineRule="auto"/>
      <w:ind w:firstLine="0" w:firstLineChars="0"/>
      <w:jc w:val="center"/>
    </w:pPr>
    <w:rPr>
      <w:rFonts w:hint="eastAsia"/>
      <w:b/>
      <w:bCs/>
      <w:sz w:val="21"/>
    </w:rPr>
  </w:style>
  <w:style w:type="paragraph" w:customStyle="1" w:styleId="111">
    <w:name w:val="官新表格"/>
    <w:next w:val="1"/>
    <w:autoRedefine/>
    <w:qFormat/>
    <w:uiPriority w:val="0"/>
    <w:pPr>
      <w:jc w:val="center"/>
    </w:pPr>
    <w:rPr>
      <w:rFonts w:ascii="Times New Roman" w:hAnsi="Times New Roman" w:eastAsia="宋体" w:cs="Times New Roman"/>
      <w:kern w:val="2"/>
      <w:sz w:val="21"/>
      <w:szCs w:val="22"/>
      <w:lang w:val="en-US" w:eastAsia="zh-CN" w:bidi="ar-SA"/>
    </w:rPr>
  </w:style>
  <w:style w:type="character" w:customStyle="1" w:styleId="112">
    <w:name w:val="标题 9 字符"/>
    <w:basedOn w:val="44"/>
    <w:link w:val="11"/>
    <w:autoRedefine/>
    <w:qFormat/>
    <w:uiPriority w:val="0"/>
    <w:rPr>
      <w:rFonts w:asciiTheme="majorHAnsi" w:hAnsiTheme="majorHAnsi" w:eastAsiaTheme="majorEastAsia" w:cstheme="majorBidi"/>
      <w:kern w:val="2"/>
      <w:sz w:val="21"/>
      <w:szCs w:val="21"/>
    </w:rPr>
  </w:style>
  <w:style w:type="paragraph" w:customStyle="1" w:styleId="113">
    <w:name w:val="列表段落1）"/>
    <w:basedOn w:val="70"/>
    <w:autoRedefine/>
    <w:qFormat/>
    <w:uiPriority w:val="0"/>
    <w:pPr>
      <w:widowControl/>
      <w:numPr>
        <w:ilvl w:val="0"/>
        <w:numId w:val="5"/>
      </w:numPr>
      <w:adjustRightInd w:val="0"/>
      <w:snapToGrid w:val="0"/>
      <w:ind w:left="0" w:firstLine="300" w:firstLineChars="300"/>
    </w:pPr>
    <w:rPr>
      <w:rFonts w:cs="宋体"/>
      <w:kern w:val="0"/>
      <w:szCs w:val="24"/>
    </w:rPr>
  </w:style>
  <w:style w:type="table" w:customStyle="1" w:styleId="114">
    <w:name w:val="网格表 7 彩色 - 着色 61"/>
    <w:basedOn w:val="42"/>
    <w:autoRedefine/>
    <w:qFormat/>
    <w:uiPriority w:val="52"/>
    <w:rPr>
      <w:rFonts w:asciiTheme="minorHAnsi" w:hAnsiTheme="minorHAnsi" w:eastAsiaTheme="minorEastAsia" w:cstheme="minorBidi"/>
      <w:color w:val="E46C0A" w:themeColor="accent6" w:themeShade="BF"/>
    </w:rPr>
    <w:tblPr>
      <w:tblBorders>
        <w:top w:val="single" w:color="FABF8F" w:themeColor="accent6" w:themeTint="99" w:sz="4" w:space="0"/>
        <w:left w:val="single" w:color="FABF8F" w:themeColor="accent6" w:themeTint="99" w:sz="4" w:space="0"/>
        <w:bottom w:val="single" w:color="FABF8F" w:themeColor="accent6" w:themeTint="99" w:sz="4" w:space="0"/>
        <w:right w:val="single" w:color="FABF8F" w:themeColor="accent6" w:themeTint="99" w:sz="4" w:space="0"/>
        <w:insideH w:val="single" w:color="FABF8F" w:themeColor="accent6" w:themeTint="99" w:sz="4" w:space="0"/>
        <w:insideV w:val="single" w:color="FABF8F" w:themeColor="accent6"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FDE9D9" w:themeFill="accent6" w:themeFillTint="33"/>
      </w:tcPr>
    </w:tblStylePr>
    <w:tblStylePr w:type="band1Horz">
      <w:tcPr>
        <w:shd w:val="clear" w:color="auto" w:fill="FDE9D9" w:themeFill="accent6" w:themeFillTint="33"/>
      </w:tcPr>
    </w:tblStylePr>
    <w:tblStylePr w:type="neCell">
      <w:tcPr>
        <w:tcBorders>
          <w:bottom w:val="single" w:color="FABF8F" w:themeColor="accent6" w:themeTint="99" w:sz="4" w:space="0"/>
        </w:tcBorders>
      </w:tcPr>
    </w:tblStylePr>
    <w:tblStylePr w:type="nwCell">
      <w:tcPr>
        <w:tcBorders>
          <w:bottom w:val="single" w:color="FABF8F" w:themeColor="accent6" w:themeTint="99" w:sz="4" w:space="0"/>
        </w:tcBorders>
      </w:tcPr>
    </w:tblStylePr>
    <w:tblStylePr w:type="seCell">
      <w:tcPr>
        <w:tcBorders>
          <w:top w:val="single" w:color="FABF8F" w:themeColor="accent6" w:themeTint="99" w:sz="4" w:space="0"/>
        </w:tcBorders>
      </w:tcPr>
    </w:tblStylePr>
    <w:tblStylePr w:type="swCell">
      <w:tcPr>
        <w:tcBorders>
          <w:top w:val="single" w:color="FABF8F" w:themeColor="accent6" w:themeTint="99" w:sz="4" w:space="0"/>
        </w:tcBorders>
      </w:tcPr>
    </w:tblStylePr>
  </w:style>
  <w:style w:type="paragraph" w:customStyle="1" w:styleId="115">
    <w:name w:val="表左字段落标识"/>
    <w:basedOn w:val="1"/>
    <w:link w:val="116"/>
    <w:autoRedefine/>
    <w:qFormat/>
    <w:uiPriority w:val="0"/>
    <w:pPr>
      <w:numPr>
        <w:ilvl w:val="0"/>
        <w:numId w:val="6"/>
      </w:numPr>
      <w:spacing w:line="240" w:lineRule="auto"/>
      <w:ind w:left="0" w:firstLine="200"/>
      <w:jc w:val="left"/>
    </w:pPr>
    <w:rPr>
      <w:rFonts w:cstheme="minorBidi"/>
      <w:sz w:val="21"/>
    </w:rPr>
  </w:style>
  <w:style w:type="character" w:customStyle="1" w:styleId="116">
    <w:name w:val="表左字段落标识 字符"/>
    <w:basedOn w:val="71"/>
    <w:link w:val="115"/>
    <w:autoRedefine/>
    <w:qFormat/>
    <w:uiPriority w:val="0"/>
    <w:rPr>
      <w:rFonts w:cstheme="minorBidi"/>
      <w:kern w:val="2"/>
      <w:sz w:val="21"/>
      <w:szCs w:val="21"/>
    </w:rPr>
  </w:style>
  <w:style w:type="paragraph" w:customStyle="1" w:styleId="117">
    <w:name w:val="表左字缩进"/>
    <w:basedOn w:val="1"/>
    <w:link w:val="118"/>
    <w:autoRedefine/>
    <w:qFormat/>
    <w:uiPriority w:val="0"/>
    <w:pPr>
      <w:widowControl/>
      <w:adjustRightInd w:val="0"/>
      <w:snapToGrid w:val="0"/>
      <w:spacing w:line="240" w:lineRule="auto"/>
      <w:ind w:firstLine="0" w:firstLineChars="0"/>
    </w:pPr>
    <w:rPr>
      <w:rFonts w:cs="宋体"/>
      <w:kern w:val="0"/>
      <w:sz w:val="21"/>
      <w:szCs w:val="24"/>
    </w:rPr>
  </w:style>
  <w:style w:type="character" w:customStyle="1" w:styleId="118">
    <w:name w:val="表左字缩进 字符"/>
    <w:basedOn w:val="44"/>
    <w:link w:val="117"/>
    <w:autoRedefine/>
    <w:qFormat/>
    <w:uiPriority w:val="0"/>
    <w:rPr>
      <w:rFonts w:cs="宋体"/>
      <w:sz w:val="21"/>
      <w:szCs w:val="24"/>
    </w:rPr>
  </w:style>
  <w:style w:type="character" w:customStyle="1" w:styleId="119">
    <w:name w:val="副标题 字符"/>
    <w:basedOn w:val="44"/>
    <w:link w:val="32"/>
    <w:autoRedefine/>
    <w:qFormat/>
    <w:uiPriority w:val="11"/>
    <w:rPr>
      <w:rFonts w:asciiTheme="majorHAnsi" w:hAnsiTheme="majorHAnsi" w:cstheme="majorBidi"/>
      <w:b/>
      <w:bCs/>
      <w:kern w:val="28"/>
      <w:sz w:val="32"/>
      <w:szCs w:val="32"/>
    </w:rPr>
  </w:style>
  <w:style w:type="paragraph" w:customStyle="1" w:styleId="120">
    <w:name w:val="XX正文"/>
    <w:basedOn w:val="1"/>
    <w:link w:val="121"/>
    <w:autoRedefine/>
    <w:qFormat/>
    <w:uiPriority w:val="0"/>
    <w:pPr>
      <w:widowControl/>
    </w:pPr>
    <w:rPr>
      <w:rFonts w:cs="宋体"/>
      <w:kern w:val="0"/>
      <w:szCs w:val="24"/>
    </w:rPr>
  </w:style>
  <w:style w:type="character" w:customStyle="1" w:styleId="121">
    <w:name w:val="XX正文 字符"/>
    <w:link w:val="120"/>
    <w:autoRedefine/>
    <w:qFormat/>
    <w:uiPriority w:val="0"/>
    <w:rPr>
      <w:rFonts w:cs="宋体"/>
      <w:sz w:val="24"/>
      <w:szCs w:val="24"/>
    </w:rPr>
  </w:style>
  <w:style w:type="character" w:customStyle="1" w:styleId="122">
    <w:name w:val="标题 6 字符"/>
    <w:basedOn w:val="44"/>
    <w:link w:val="8"/>
    <w:autoRedefine/>
    <w:qFormat/>
    <w:uiPriority w:val="0"/>
    <w:rPr>
      <w:b/>
      <w:kern w:val="2"/>
      <w:sz w:val="24"/>
      <w:szCs w:val="21"/>
    </w:rPr>
  </w:style>
  <w:style w:type="table" w:customStyle="1" w:styleId="123">
    <w:name w:val="W"/>
    <w:basedOn w:val="42"/>
    <w:autoRedefine/>
    <w:qFormat/>
    <w:uiPriority w:val="99"/>
    <w:pPr>
      <w:adjustRightInd w:val="0"/>
      <w:snapToGrid w:val="0"/>
      <w:jc w:val="center"/>
    </w:pPr>
    <w:rPr>
      <w:rFonts w:cstheme="minorBidi"/>
      <w:sz w:val="21"/>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tblStylePr w:type="firstRow">
      <w:rPr>
        <w:rFonts w:ascii="Times New Roman" w:hAnsi="Times New Roman" w:eastAsia="宋体"/>
        <w:b/>
        <w:i w:val="0"/>
        <w:sz w:val="21"/>
      </w:rPr>
      <w:tcPr>
        <w:shd w:val="clear" w:color="auto" w:fill="C6D9F0" w:themeFill="text2" w:themeFillTint="33"/>
      </w:tcPr>
    </w:tblStylePr>
  </w:style>
  <w:style w:type="paragraph" w:customStyle="1" w:styleId="124">
    <w:name w:val="修订1"/>
    <w:autoRedefine/>
    <w:hidden/>
    <w:qFormat/>
    <w:uiPriority w:val="99"/>
    <w:rPr>
      <w:rFonts w:ascii="Times New Roman" w:hAnsi="Times New Roman" w:eastAsia="宋体" w:cs="宋体"/>
      <w:sz w:val="24"/>
      <w:szCs w:val="24"/>
      <w:lang w:val="en-US" w:eastAsia="zh-CN" w:bidi="ar-SA"/>
    </w:rPr>
  </w:style>
  <w:style w:type="table" w:customStyle="1" w:styleId="125">
    <w:name w:val="网格表 1 浅色1"/>
    <w:basedOn w:val="42"/>
    <w:autoRedefine/>
    <w:qFormat/>
    <w:uiPriority w:val="46"/>
    <w:rPr>
      <w:rFonts w:asciiTheme="minorHAnsi" w:hAnsiTheme="minorHAnsi" w:eastAsiaTheme="minorEastAsia" w:cstheme="minorBidi"/>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table" w:customStyle="1" w:styleId="126">
    <w:name w:val="两色网格表"/>
    <w:basedOn w:val="42"/>
    <w:autoRedefine/>
    <w:qFormat/>
    <w:uiPriority w:val="0"/>
    <w:pPr>
      <w:jc w:val="center"/>
    </w:pPr>
    <w:rPr>
      <w:rFonts w:cstheme="minorBidi"/>
      <w:kern w:val="2"/>
      <w:sz w:val="21"/>
      <w:szCs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b/>
      </w:rPr>
      <w:tcPr>
        <w:shd w:val="clear" w:color="auto" w:fill="C6D9F0" w:themeFill="text2" w:themeFillTint="33"/>
      </w:tcPr>
    </w:tblStylePr>
  </w:style>
  <w:style w:type="table" w:customStyle="1" w:styleId="127">
    <w:name w:val="方案编制标准"/>
    <w:basedOn w:val="42"/>
    <w:autoRedefine/>
    <w:qFormat/>
    <w:uiPriority w:val="99"/>
    <w:rPr>
      <w:rFonts w:cstheme="minorBidi"/>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shd w:val="clear" w:color="auto" w:fill="auto"/>
      <w:vAlign w:val="center"/>
    </w:tcPr>
    <w:tblStylePr w:type="firstRow">
      <w:pPr>
        <w:jc w:val="center"/>
      </w:pPr>
      <w:rPr>
        <w:rFonts w:ascii="Times New Roman" w:hAnsi="Times New Roman" w:eastAsia="宋体"/>
        <w:b/>
        <w:i w:val="0"/>
        <w:sz w:val="18"/>
      </w:rPr>
      <w:tcPr>
        <w:shd w:val="clear" w:color="auto" w:fill="FFFFFF" w:themeFill="background1"/>
      </w:tcPr>
    </w:tblStylePr>
  </w:style>
  <w:style w:type="table" w:customStyle="1" w:styleId="128">
    <w:name w:val="样式1"/>
    <w:basedOn w:val="42"/>
    <w:autoRedefine/>
    <w:qFormat/>
    <w:uiPriority w:val="99"/>
    <w:rPr>
      <w:rFonts w:asciiTheme="minorHAnsi" w:hAnsiTheme="minorHAnsi"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shd w:val="clear" w:color="auto" w:fill="auto"/>
    </w:tcPr>
  </w:style>
  <w:style w:type="paragraph" w:customStyle="1" w:styleId="129">
    <w:name w:val="图名称"/>
    <w:basedOn w:val="1"/>
    <w:link w:val="130"/>
    <w:autoRedefine/>
    <w:qFormat/>
    <w:uiPriority w:val="0"/>
    <w:pPr>
      <w:spacing w:line="240" w:lineRule="auto"/>
      <w:ind w:firstLine="0" w:firstLineChars="0"/>
      <w:jc w:val="center"/>
    </w:pPr>
    <w:rPr>
      <w:b/>
      <w:sz w:val="21"/>
    </w:rPr>
  </w:style>
  <w:style w:type="character" w:customStyle="1" w:styleId="130">
    <w:name w:val="图名称 字符"/>
    <w:basedOn w:val="44"/>
    <w:link w:val="129"/>
    <w:autoRedefine/>
    <w:qFormat/>
    <w:uiPriority w:val="0"/>
    <w:rPr>
      <w:b/>
      <w:kern w:val="2"/>
      <w:sz w:val="21"/>
      <w:szCs w:val="21"/>
    </w:rPr>
  </w:style>
  <w:style w:type="paragraph" w:customStyle="1" w:styleId="131">
    <w:name w:val="缩进2"/>
    <w:basedOn w:val="1"/>
    <w:link w:val="132"/>
    <w:autoRedefine/>
    <w:qFormat/>
    <w:uiPriority w:val="0"/>
    <w:rPr>
      <w:rFonts w:cstheme="minorBidi"/>
      <w:szCs w:val="22"/>
    </w:rPr>
  </w:style>
  <w:style w:type="character" w:customStyle="1" w:styleId="132">
    <w:name w:val="缩进2 字符"/>
    <w:basedOn w:val="44"/>
    <w:link w:val="131"/>
    <w:autoRedefine/>
    <w:qFormat/>
    <w:uiPriority w:val="0"/>
    <w:rPr>
      <w:rFonts w:cstheme="minorBidi"/>
      <w:kern w:val="2"/>
      <w:sz w:val="24"/>
      <w:szCs w:val="22"/>
    </w:rPr>
  </w:style>
  <w:style w:type="paragraph" w:customStyle="1" w:styleId="133">
    <w:name w:val="缩进1.5"/>
    <w:basedOn w:val="1"/>
    <w:next w:val="1"/>
    <w:link w:val="134"/>
    <w:autoRedefine/>
    <w:qFormat/>
    <w:uiPriority w:val="0"/>
    <w:pPr>
      <w:ind w:firstLine="150" w:firstLineChars="150"/>
    </w:pPr>
    <w:rPr>
      <w:rFonts w:cstheme="minorBidi"/>
      <w:szCs w:val="22"/>
    </w:rPr>
  </w:style>
  <w:style w:type="character" w:customStyle="1" w:styleId="134">
    <w:name w:val="缩进1.5 字符"/>
    <w:basedOn w:val="44"/>
    <w:link w:val="133"/>
    <w:autoRedefine/>
    <w:qFormat/>
    <w:uiPriority w:val="0"/>
    <w:rPr>
      <w:rFonts w:cstheme="minorBidi"/>
      <w:kern w:val="2"/>
      <w:sz w:val="24"/>
      <w:szCs w:val="22"/>
    </w:rPr>
  </w:style>
  <w:style w:type="paragraph" w:customStyle="1" w:styleId="135">
    <w:name w:val="XX图表字-居中"/>
    <w:basedOn w:val="1"/>
    <w:autoRedefine/>
    <w:qFormat/>
    <w:uiPriority w:val="0"/>
    <w:pPr>
      <w:spacing w:line="240" w:lineRule="auto"/>
      <w:ind w:firstLine="0" w:firstLineChars="0"/>
      <w:jc w:val="center"/>
    </w:pPr>
    <w:rPr>
      <w:rFonts w:cs="宋体"/>
      <w:sz w:val="21"/>
      <w:szCs w:val="24"/>
    </w:rPr>
  </w:style>
  <w:style w:type="character" w:customStyle="1" w:styleId="136">
    <w:name w:val="普通(网站) 字符"/>
    <w:link w:val="38"/>
    <w:autoRedefine/>
    <w:qFormat/>
    <w:locked/>
    <w:uiPriority w:val="99"/>
    <w:rPr>
      <w:color w:val="000000"/>
      <w:sz w:val="14"/>
    </w:rPr>
  </w:style>
  <w:style w:type="paragraph" w:customStyle="1" w:styleId="137">
    <w:name w:val="表头"/>
    <w:next w:val="108"/>
    <w:link w:val="138"/>
    <w:autoRedefine/>
    <w:qFormat/>
    <w:uiPriority w:val="1"/>
    <w:pPr>
      <w:keepNext/>
      <w:spacing w:line="360" w:lineRule="auto"/>
      <w:jc w:val="center"/>
    </w:pPr>
    <w:rPr>
      <w:rFonts w:ascii="Times New Roman" w:hAnsi="Times New Roman" w:eastAsia="宋体" w:cstheme="minorBidi"/>
      <w:b/>
      <w:kern w:val="2"/>
      <w:sz w:val="21"/>
      <w:szCs w:val="22"/>
      <w:lang w:val="en-US" w:eastAsia="zh-CN" w:bidi="ar-SA"/>
    </w:rPr>
  </w:style>
  <w:style w:type="character" w:customStyle="1" w:styleId="138">
    <w:name w:val="表头 Char"/>
    <w:basedOn w:val="44"/>
    <w:link w:val="137"/>
    <w:autoRedefine/>
    <w:qFormat/>
    <w:uiPriority w:val="1"/>
    <w:rPr>
      <w:rFonts w:cstheme="minorBidi"/>
      <w:b/>
      <w:kern w:val="2"/>
      <w:sz w:val="21"/>
      <w:szCs w:val="22"/>
    </w:rPr>
  </w:style>
  <w:style w:type="table" w:customStyle="1" w:styleId="139">
    <w:name w:val="两色网格表2"/>
    <w:basedOn w:val="42"/>
    <w:autoRedefine/>
    <w:qFormat/>
    <w:uiPriority w:val="99"/>
    <w:pPr>
      <w:jc w:val="center"/>
    </w:pPr>
    <w:rPr>
      <w:kern w:val="2"/>
      <w:sz w:val="21"/>
      <w:szCs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b/>
      </w:rPr>
      <w:tcPr>
        <w:shd w:val="clear" w:color="auto" w:fill="FFFFFF"/>
      </w:tcPr>
    </w:tblStylePr>
  </w:style>
  <w:style w:type="paragraph" w:customStyle="1" w:styleId="140">
    <w:name w:val="列表段落）"/>
    <w:basedOn w:val="1"/>
    <w:autoRedefine/>
    <w:qFormat/>
    <w:uiPriority w:val="0"/>
    <w:pPr>
      <w:numPr>
        <w:ilvl w:val="0"/>
        <w:numId w:val="7"/>
      </w:numPr>
      <w:ind w:left="0" w:firstLine="200"/>
    </w:pPr>
  </w:style>
  <w:style w:type="paragraph" w:customStyle="1" w:styleId="141">
    <w:name w:val="说明"/>
    <w:basedOn w:val="1"/>
    <w:autoRedefine/>
    <w:semiHidden/>
    <w:qFormat/>
    <w:uiPriority w:val="1"/>
    <w:pPr>
      <w:jc w:val="left"/>
      <w:textAlignment w:val="center"/>
    </w:pPr>
    <w:rPr>
      <w:rFonts w:ascii="楷体_GB2312" w:hAnsi="Calibri" w:eastAsia="楷体_GB2312" w:cstheme="minorBidi"/>
      <w:kern w:val="0"/>
      <w:szCs w:val="24"/>
    </w:rPr>
  </w:style>
  <w:style w:type="paragraph" w:customStyle="1" w:styleId="142">
    <w:name w:val="K正文"/>
    <w:basedOn w:val="1"/>
    <w:link w:val="143"/>
    <w:autoRedefine/>
    <w:qFormat/>
    <w:uiPriority w:val="0"/>
    <w:pPr>
      <w:ind w:firstLine="480"/>
    </w:pPr>
    <w:rPr>
      <w:rFonts w:cs="宋体"/>
      <w:szCs w:val="24"/>
    </w:rPr>
  </w:style>
  <w:style w:type="character" w:customStyle="1" w:styleId="143">
    <w:name w:val="K正文 Char"/>
    <w:link w:val="142"/>
    <w:autoRedefine/>
    <w:qFormat/>
    <w:uiPriority w:val="0"/>
    <w:rPr>
      <w:rFonts w:cs="宋体"/>
      <w:kern w:val="2"/>
      <w:sz w:val="24"/>
      <w:szCs w:val="24"/>
    </w:rPr>
  </w:style>
  <w:style w:type="paragraph" w:customStyle="1" w:styleId="144">
    <w:name w:val="表不缩进"/>
    <w:basedOn w:val="1"/>
    <w:autoRedefine/>
    <w:qFormat/>
    <w:uiPriority w:val="0"/>
    <w:pPr>
      <w:widowControl/>
      <w:spacing w:line="240" w:lineRule="auto"/>
      <w:ind w:firstLine="0" w:firstLineChars="0"/>
      <w:jc w:val="left"/>
    </w:pPr>
    <w:rPr>
      <w:rFonts w:cs="宋体"/>
      <w:sz w:val="21"/>
      <w:szCs w:val="24"/>
    </w:rPr>
  </w:style>
  <w:style w:type="paragraph" w:customStyle="1" w:styleId="145">
    <w:name w:val="表格居中"/>
    <w:basedOn w:val="51"/>
    <w:link w:val="146"/>
    <w:autoRedefine/>
    <w:qFormat/>
    <w:uiPriority w:val="0"/>
    <w:pPr>
      <w:spacing w:line="240" w:lineRule="auto"/>
    </w:pPr>
    <w:rPr>
      <w:b w:val="0"/>
      <w:bCs w:val="0"/>
    </w:rPr>
  </w:style>
  <w:style w:type="character" w:customStyle="1" w:styleId="146">
    <w:name w:val="表格居中 Char"/>
    <w:link w:val="145"/>
    <w:autoRedefine/>
    <w:qFormat/>
    <w:uiPriority w:val="0"/>
    <w:rPr>
      <w:color w:val="000000" w:themeColor="text1"/>
      <w:kern w:val="2"/>
      <w:sz w:val="21"/>
      <w:szCs w:val="21"/>
      <w14:textFill>
        <w14:solidFill>
          <w14:schemeClr w14:val="tx1"/>
        </w14:solidFill>
      </w14:textFill>
    </w:rPr>
  </w:style>
  <w:style w:type="paragraph" w:customStyle="1" w:styleId="147">
    <w:name w:val="缩进-左表字"/>
    <w:basedOn w:val="117"/>
    <w:autoRedefine/>
    <w:qFormat/>
    <w:uiPriority w:val="0"/>
    <w:pPr>
      <w:ind w:firstLine="200" w:firstLineChars="200"/>
      <w:jc w:val="left"/>
    </w:pPr>
  </w:style>
  <w:style w:type="character" w:customStyle="1" w:styleId="148">
    <w:name w:val="表格正文 Char"/>
    <w:link w:val="149"/>
    <w:autoRedefine/>
    <w:qFormat/>
    <w:uiPriority w:val="0"/>
    <w:rPr>
      <w:rFonts w:ascii="宋体" w:hAnsi="宋体" w:eastAsia="仿宋_GB2312"/>
      <w:color w:val="0000FF"/>
      <w:sz w:val="24"/>
      <w:szCs w:val="24"/>
    </w:rPr>
  </w:style>
  <w:style w:type="paragraph" w:customStyle="1" w:styleId="149">
    <w:name w:val="表格正文"/>
    <w:basedOn w:val="1"/>
    <w:link w:val="148"/>
    <w:autoRedefine/>
    <w:qFormat/>
    <w:uiPriority w:val="0"/>
    <w:pPr>
      <w:ind w:firstLine="0" w:firstLineChars="0"/>
      <w:jc w:val="center"/>
    </w:pPr>
    <w:rPr>
      <w:rFonts w:ascii="宋体" w:hAnsi="宋体" w:eastAsia="仿宋_GB2312"/>
      <w:color w:val="0000FF"/>
      <w:kern w:val="0"/>
      <w:szCs w:val="24"/>
    </w:rPr>
  </w:style>
  <w:style w:type="character" w:customStyle="1" w:styleId="150">
    <w:name w:val="Char Char5"/>
    <w:autoRedefine/>
    <w:semiHidden/>
    <w:qFormat/>
    <w:uiPriority w:val="0"/>
    <w:rPr>
      <w:rFonts w:eastAsia="Verdana"/>
      <w:kern w:val="2"/>
      <w:sz w:val="18"/>
      <w:szCs w:val="18"/>
      <w:lang w:val="en-US" w:eastAsia="zh-CN" w:bidi="ar-SA"/>
    </w:rPr>
  </w:style>
  <w:style w:type="paragraph" w:customStyle="1" w:styleId="151">
    <w:name w:val="K图表字-居中"/>
    <w:basedOn w:val="142"/>
    <w:link w:val="152"/>
    <w:autoRedefine/>
    <w:qFormat/>
    <w:uiPriority w:val="0"/>
    <w:pPr>
      <w:spacing w:line="240" w:lineRule="auto"/>
      <w:ind w:firstLine="0" w:firstLineChars="0"/>
      <w:jc w:val="center"/>
    </w:pPr>
    <w:rPr>
      <w:rFonts w:ascii="宋体" w:hAnsi="宋体"/>
      <w:sz w:val="21"/>
    </w:rPr>
  </w:style>
  <w:style w:type="character" w:customStyle="1" w:styleId="152">
    <w:name w:val="K图表字-居中 Char"/>
    <w:link w:val="151"/>
    <w:autoRedefine/>
    <w:qFormat/>
    <w:uiPriority w:val="0"/>
    <w:rPr>
      <w:rFonts w:ascii="宋体" w:hAnsi="宋体" w:cs="宋体"/>
      <w:kern w:val="2"/>
      <w:sz w:val="21"/>
      <w:szCs w:val="24"/>
    </w:rPr>
  </w:style>
  <w:style w:type="paragraph" w:customStyle="1" w:styleId="153">
    <w:name w:val="表左缩进"/>
    <w:basedOn w:val="88"/>
    <w:autoRedefine/>
    <w:qFormat/>
    <w:uiPriority w:val="0"/>
    <w:pPr>
      <w:numPr>
        <w:ilvl w:val="0"/>
        <w:numId w:val="8"/>
      </w:numPr>
      <w:ind w:left="0" w:firstLine="0"/>
    </w:pPr>
  </w:style>
  <w:style w:type="character" w:customStyle="1" w:styleId="154">
    <w:name w:val="文档结构图 字符"/>
    <w:basedOn w:val="44"/>
    <w:link w:val="17"/>
    <w:autoRedefine/>
    <w:qFormat/>
    <w:uiPriority w:val="99"/>
    <w:rPr>
      <w:rFonts w:ascii="Microsoft YaHei UI" w:eastAsia="Microsoft YaHei UI"/>
      <w:kern w:val="2"/>
      <w:sz w:val="18"/>
      <w:szCs w:val="18"/>
    </w:rPr>
  </w:style>
  <w:style w:type="character" w:customStyle="1" w:styleId="155">
    <w:name w:val="日期 字符"/>
    <w:basedOn w:val="44"/>
    <w:link w:val="25"/>
    <w:autoRedefine/>
    <w:qFormat/>
    <w:uiPriority w:val="0"/>
    <w:rPr>
      <w:rFonts w:asciiTheme="minorHAnsi" w:hAnsiTheme="minorHAnsi" w:eastAsiaTheme="minorEastAsia" w:cstheme="minorBidi"/>
      <w:kern w:val="2"/>
      <w:sz w:val="21"/>
      <w:szCs w:val="21"/>
    </w:rPr>
  </w:style>
  <w:style w:type="table" w:customStyle="1" w:styleId="156">
    <w:name w:val="XX表格1"/>
    <w:basedOn w:val="42"/>
    <w:autoRedefine/>
    <w:qFormat/>
    <w:uiPriority w:val="99"/>
    <w:rPr>
      <w:rFonts w:cstheme="minorBid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ascii="Times New Roman" w:hAnsi="Times New Roman" w:eastAsia="宋体"/>
        <w:b/>
        <w:i w:val="0"/>
        <w:sz w:val="21"/>
      </w:rPr>
      <w:tcPr>
        <w:shd w:val="clear" w:color="auto" w:fill="C6D9F0" w:themeFill="text2" w:themeFillTint="33"/>
      </w:tcPr>
    </w:tblStylePr>
    <w:tblStylePr w:type="firstCol">
      <w:rPr>
        <w:rFonts w:ascii="Times New Roman" w:hAnsi="Times New Roman" w:eastAsia="宋体"/>
        <w:b w:val="0"/>
        <w:i w:val="0"/>
        <w:sz w:val="21"/>
      </w:rPr>
    </w:tblStylePr>
  </w:style>
  <w:style w:type="table" w:customStyle="1" w:styleId="157">
    <w:name w:val="11111"/>
    <w:basedOn w:val="42"/>
    <w:autoRedefine/>
    <w:qFormat/>
    <w:uiPriority w:val="99"/>
    <w:pPr>
      <w:jc w:val="center"/>
    </w:pPr>
    <w:rPr>
      <w:sz w:val="24"/>
      <w:szCs w:val="24"/>
    </w:rPr>
    <w:tblPr>
      <w:jc w:val="center"/>
      <w:tblBorders>
        <w:top w:val="double" w:color="auto" w:sz="6" w:space="0"/>
        <w:left w:val="double" w:color="auto" w:sz="6" w:space="0"/>
        <w:bottom w:val="double" w:color="auto" w:sz="6" w:space="0"/>
        <w:right w:val="double" w:color="auto" w:sz="6" w:space="0"/>
        <w:insideH w:val="single" w:color="auto" w:sz="4" w:space="0"/>
        <w:insideV w:val="single" w:color="auto" w:sz="4" w:space="0"/>
      </w:tblBorders>
    </w:tblPr>
    <w:trPr>
      <w:jc w:val="center"/>
    </w:trPr>
    <w:tcPr>
      <w:shd w:val="clear" w:color="auto" w:fill="auto"/>
      <w:vAlign w:val="center"/>
    </w:tcPr>
    <w:tblStylePr w:type="firstRow">
      <w:rPr>
        <w:rFonts w:eastAsia="宋体"/>
        <w:b/>
        <w:sz w:val="21"/>
      </w:rPr>
      <w:tcPr>
        <w:tcBorders>
          <w:top w:val="double" w:color="auto" w:sz="4" w:space="0"/>
          <w:left w:val="double" w:color="auto" w:sz="4" w:space="0"/>
          <w:bottom w:val="single" w:color="auto" w:sz="4" w:space="0"/>
          <w:right w:val="double" w:color="auto" w:sz="4" w:space="0"/>
          <w:insideH w:val="nil"/>
          <w:insideV w:val="single" w:sz="4" w:space="0"/>
          <w:tl2br w:val="nil"/>
          <w:tr2bl w:val="nil"/>
        </w:tcBorders>
      </w:tcPr>
    </w:tblStylePr>
    <w:tblStylePr w:type="firstCol">
      <w:rPr>
        <w:rFonts w:eastAsia="宋体"/>
        <w:b/>
        <w:sz w:val="21"/>
      </w:rPr>
      <w:tcPr>
        <w:tcBorders>
          <w:top w:val="double" w:color="auto" w:sz="4" w:space="0"/>
          <w:left w:val="double" w:color="auto" w:sz="4" w:space="0"/>
          <w:bottom w:val="double" w:color="auto" w:sz="4" w:space="0"/>
          <w:right w:val="single" w:color="auto" w:sz="4" w:space="0"/>
          <w:insideH w:val="nil"/>
          <w:insideV w:val="nil"/>
          <w:tl2br w:val="nil"/>
          <w:tr2bl w:val="nil"/>
        </w:tcBorders>
      </w:tcPr>
    </w:tblStylePr>
  </w:style>
  <w:style w:type="table" w:customStyle="1" w:styleId="158">
    <w:name w:val="无格式表格 11"/>
    <w:basedOn w:val="42"/>
    <w:autoRedefine/>
    <w:qFormat/>
    <w:uiPriority w:val="41"/>
    <w:rPr>
      <w:rFonts w:cstheme="minorBidi"/>
      <w:sz w:val="24"/>
      <w:szCs w:val="24"/>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59">
    <w:name w:val="图片"/>
    <w:basedOn w:val="16"/>
    <w:next w:val="160"/>
    <w:autoRedefine/>
    <w:qFormat/>
    <w:uiPriority w:val="0"/>
    <w:pPr>
      <w:keepNext/>
      <w:framePr w:wrap="around" w:vAnchor="margin" w:hAnchor="text" w:xAlign="center" w:yAlign="center"/>
      <w:ind w:firstLine="0" w:firstLineChars="0"/>
      <w:jc w:val="center"/>
    </w:pPr>
    <w:rPr>
      <w:rFonts w:cstheme="minorBidi"/>
      <w:kern w:val="0"/>
      <w:szCs w:val="24"/>
    </w:rPr>
  </w:style>
  <w:style w:type="paragraph" w:customStyle="1" w:styleId="160">
    <w:name w:val="题注—图片"/>
    <w:basedOn w:val="16"/>
    <w:next w:val="1"/>
    <w:autoRedefine/>
    <w:qFormat/>
    <w:uiPriority w:val="0"/>
    <w:pPr>
      <w:keepNext w:val="0"/>
    </w:pPr>
  </w:style>
  <w:style w:type="table" w:customStyle="1" w:styleId="161">
    <w:name w:val="网格型浅色1"/>
    <w:basedOn w:val="42"/>
    <w:autoRedefine/>
    <w:qFormat/>
    <w:uiPriority w:val="40"/>
    <w:rPr>
      <w:rFonts w:cstheme="minorBidi"/>
      <w:sz w:val="24"/>
      <w:szCs w:val="24"/>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62">
    <w:name w:val="表2"/>
    <w:basedOn w:val="42"/>
    <w:autoRedefine/>
    <w:qFormat/>
    <w:uiPriority w:val="99"/>
    <w:rPr>
      <w:rFonts w:cstheme="minorBidi"/>
      <w:sz w:val="24"/>
      <w:szCs w:val="24"/>
    </w:rPr>
    <w:tblPr>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
    <w:trPr>
      <w:jc w:val="center"/>
    </w:trPr>
    <w:tcPr>
      <w:vAlign w:val="center"/>
    </w:tcPr>
    <w:tblStylePr w:type="firstRow">
      <w:rPr>
        <w:b/>
      </w:rPr>
      <w:tblPr>
        <w:jc w:val="center"/>
      </w:tblPr>
      <w:trPr>
        <w:jc w:val="center"/>
      </w:trPr>
      <w:tcPr>
        <w:vAlign w:val="center"/>
      </w:tcPr>
    </w:tblStylePr>
  </w:style>
  <w:style w:type="table" w:customStyle="1" w:styleId="163">
    <w:name w:val="k 表格1"/>
    <w:basedOn w:val="42"/>
    <w:autoRedefine/>
    <w:qFormat/>
    <w:uiPriority w:val="99"/>
    <w:rPr>
      <w:rFonts w:ascii="宋体" w:hAnsi="宋体" w:cs="Calibri"/>
      <w:sz w:val="21"/>
      <w:szCs w:val="24"/>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left w:w="57" w:type="dxa"/>
        <w:right w:w="57" w:type="dxa"/>
      </w:tblCellMar>
    </w:tblPr>
    <w:tcPr>
      <w:vAlign w:val="center"/>
    </w:tcPr>
    <w:tblStylePr w:type="firstRow">
      <w:rPr>
        <w:rFonts w:hint="default" w:ascii="Times New Roman" w:hAnsi="Times New Roman" w:eastAsia="宋体" w:cs="Times New Roman"/>
        <w:b/>
        <w:sz w:val="21"/>
        <w:szCs w:val="21"/>
      </w:rPr>
    </w:tblStylePr>
  </w:style>
  <w:style w:type="table" w:customStyle="1" w:styleId="164">
    <w:name w:val="K表格"/>
    <w:basedOn w:val="42"/>
    <w:autoRedefine/>
    <w:qFormat/>
    <w:uiPriority w:val="99"/>
    <w:pPr>
      <w:jc w:val="center"/>
    </w:pPr>
    <w:rPr>
      <w:sz w:val="21"/>
      <w:szCs w:val="24"/>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tblHeader/>
      <w:jc w:val="center"/>
    </w:trPr>
    <w:tcPr>
      <w:tcMar>
        <w:top w:w="28" w:type="dxa"/>
        <w:left w:w="28" w:type="dxa"/>
        <w:bottom w:w="28" w:type="dxa"/>
        <w:right w:w="28" w:type="dxa"/>
      </w:tcMar>
      <w:vAlign w:val="center"/>
    </w:tcPr>
    <w:tblStylePr w:type="firstRow">
      <w:rPr>
        <w:rFonts w:ascii="Times New Roman" w:hAnsi="Times New Roman" w:eastAsia="宋体"/>
        <w:b w:val="0"/>
        <w:i w:val="0"/>
        <w:sz w:val="21"/>
      </w:rPr>
    </w:tblStylePr>
  </w:style>
  <w:style w:type="character" w:customStyle="1" w:styleId="165">
    <w:name w:val="日期 字符1"/>
    <w:basedOn w:val="44"/>
    <w:autoRedefine/>
    <w:semiHidden/>
    <w:qFormat/>
    <w:uiPriority w:val="99"/>
    <w:rPr>
      <w:rFonts w:ascii="Times New Roman" w:hAnsi="Times New Roman" w:eastAsia="宋体" w:cs="Times New Roman"/>
      <w:kern w:val="2"/>
      <w:sz w:val="24"/>
      <w:szCs w:val="21"/>
    </w:rPr>
  </w:style>
  <w:style w:type="paragraph" w:customStyle="1" w:styleId="166">
    <w:name w:val="段落正文"/>
    <w:autoRedefine/>
    <w:qFormat/>
    <w:uiPriority w:val="0"/>
    <w:pPr>
      <w:spacing w:before="50" w:beforeLines="50" w:after="50" w:afterLines="50" w:line="320" w:lineRule="exact"/>
      <w:jc w:val="both"/>
    </w:pPr>
    <w:rPr>
      <w:rFonts w:ascii="Arial" w:hAnsi="Arial" w:eastAsia="Arial" w:cs="Times New Roman"/>
      <w:bCs/>
      <w:kern w:val="2"/>
      <w:sz w:val="24"/>
      <w:szCs w:val="24"/>
      <w:lang w:val="en-US" w:eastAsia="zh-CN" w:bidi="ar-SA"/>
    </w:rPr>
  </w:style>
  <w:style w:type="character" w:customStyle="1" w:styleId="167">
    <w:name w:val="批注文字 字符1"/>
    <w:basedOn w:val="44"/>
    <w:autoRedefine/>
    <w:semiHidden/>
    <w:qFormat/>
    <w:uiPriority w:val="99"/>
    <w:rPr>
      <w:rFonts w:ascii="Times New Roman" w:hAnsi="Times New Roman" w:eastAsia="宋体"/>
      <w:sz w:val="24"/>
      <w:szCs w:val="24"/>
    </w:rPr>
  </w:style>
  <w:style w:type="character" w:customStyle="1" w:styleId="168">
    <w:name w:val="批注主题 字符1"/>
    <w:basedOn w:val="167"/>
    <w:autoRedefine/>
    <w:semiHidden/>
    <w:qFormat/>
    <w:uiPriority w:val="99"/>
    <w:rPr>
      <w:rFonts w:ascii="Times New Roman" w:hAnsi="Times New Roman" w:eastAsia="宋体"/>
      <w:b/>
      <w:bCs/>
      <w:sz w:val="24"/>
      <w:szCs w:val="24"/>
    </w:rPr>
  </w:style>
  <w:style w:type="paragraph" w:customStyle="1" w:styleId="169">
    <w:name w:val="文字"/>
    <w:basedOn w:val="1"/>
    <w:autoRedefine/>
    <w:qFormat/>
    <w:uiPriority w:val="0"/>
    <w:pPr>
      <w:spacing w:after="50" w:afterLines="50" w:line="300" w:lineRule="auto"/>
    </w:pPr>
    <w:rPr>
      <w:rFonts w:ascii="仿宋_GB2312" w:eastAsia="仿宋_GB2312" w:cstheme="minorBidi"/>
      <w:kern w:val="0"/>
      <w:szCs w:val="24"/>
    </w:rPr>
  </w:style>
  <w:style w:type="paragraph" w:customStyle="1" w:styleId="170">
    <w:name w:val="图表"/>
    <w:basedOn w:val="1"/>
    <w:autoRedefine/>
    <w:qFormat/>
    <w:uiPriority w:val="1"/>
    <w:pPr>
      <w:spacing w:line="240" w:lineRule="auto"/>
      <w:ind w:firstLine="0" w:firstLineChars="0"/>
      <w:jc w:val="center"/>
      <w:textAlignment w:val="center"/>
    </w:pPr>
    <w:rPr>
      <w:rFonts w:ascii="仿宋_GB2312" w:hAnsi="Calibri" w:eastAsia="仿宋_GB2312" w:cstheme="minorBidi"/>
      <w:kern w:val="0"/>
      <w:sz w:val="21"/>
      <w:szCs w:val="24"/>
    </w:rPr>
  </w:style>
  <w:style w:type="table" w:customStyle="1" w:styleId="171">
    <w:name w:val="网格型3"/>
    <w:basedOn w:val="42"/>
    <w:autoRedefine/>
    <w:qFormat/>
    <w:uiPriority w:val="39"/>
    <w:rPr>
      <w:sz w:val="24"/>
      <w:szCs w:val="24"/>
    </w:rPr>
    <w:tblPr>
      <w:tblBorders>
        <w:top w:val="single" w:color="000000" w:sz="4" w:space="0"/>
        <w:bottom w:val="single" w:color="000000" w:sz="4" w:space="0"/>
        <w:insideH w:val="single" w:color="000000" w:sz="4" w:space="0"/>
        <w:insideV w:val="single" w:color="000000" w:sz="4" w:space="0"/>
      </w:tblBorders>
    </w:tblPr>
    <w:tcPr>
      <w:vAlign w:val="center"/>
    </w:tcPr>
  </w:style>
  <w:style w:type="table" w:customStyle="1" w:styleId="172">
    <w:name w:val="LBY样式"/>
    <w:basedOn w:val="42"/>
    <w:autoRedefine/>
    <w:qFormat/>
    <w:uiPriority w:val="99"/>
    <w:pPr>
      <w:jc w:val="center"/>
    </w:pPr>
    <w:rPr>
      <w:sz w:val="24"/>
      <w:szCs w:val="24"/>
    </w:rPr>
    <w:tblPr>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rPr>
      <w:jc w:val="center"/>
    </w:trPr>
    <w:tcPr>
      <w:shd w:val="clear" w:color="auto" w:fill="FFFFFF"/>
      <w:vAlign w:val="center"/>
    </w:tcPr>
    <w:tblStylePr w:type="firstRow">
      <w:rPr>
        <w:rFonts w:ascii="Times New Roman" w:hAnsi="Times New Roman" w:eastAsia="Courier New"/>
        <w:b/>
        <w:i w:val="0"/>
        <w:sz w:val="21"/>
      </w:rPr>
      <w:tcPr>
        <w:shd w:val="clear" w:color="auto" w:fill="8DB3E2"/>
      </w:tcPr>
    </w:tblStylePr>
    <w:tblStylePr w:type="firstCol">
      <w:tcPr>
        <w:shd w:val="clear" w:color="auto" w:fill="FFFFFF"/>
      </w:tcPr>
    </w:tblStylePr>
  </w:style>
  <w:style w:type="table" w:customStyle="1" w:styleId="173">
    <w:name w:val="标准样式1"/>
    <w:basedOn w:val="42"/>
    <w:autoRedefine/>
    <w:qFormat/>
    <w:uiPriority w:val="99"/>
    <w:rPr>
      <w:rFonts w:ascii="Calibri" w:hAnsi="Calibri"/>
      <w:sz w:val="24"/>
      <w:szCs w:val="24"/>
    </w:rPr>
    <w:tblPr>
      <w:jc w:val="center"/>
      <w:tblBorders>
        <w:top w:val="double" w:color="0000C8" w:sz="6" w:space="0"/>
        <w:left w:val="double" w:color="0000C8" w:sz="6" w:space="0"/>
        <w:bottom w:val="double" w:color="0000C8" w:sz="6" w:space="0"/>
        <w:right w:val="double" w:color="0000C8" w:sz="6" w:space="0"/>
        <w:insideH w:val="single" w:color="0000C8" w:sz="4" w:space="0"/>
        <w:insideV w:val="single" w:color="0000C8" w:sz="4" w:space="0"/>
      </w:tblBorders>
    </w:tblPr>
    <w:trPr>
      <w:jc w:val="center"/>
    </w:trPr>
    <w:tcPr>
      <w:shd w:val="clear" w:color="auto" w:fill="DBE5F1"/>
      <w:vAlign w:val="center"/>
    </w:tcPr>
    <w:tblStylePr w:type="firstRow">
      <w:rPr>
        <w:b/>
        <w:color w:val="auto"/>
      </w:rPr>
      <w:tcPr>
        <w:shd w:val="clear" w:color="auto" w:fill="B6DDE8"/>
      </w:tcPr>
    </w:tblStylePr>
    <w:tblStylePr w:type="firstCol">
      <w:tcPr>
        <w:shd w:val="clear" w:color="auto" w:fill="FDE9D9"/>
      </w:tcPr>
    </w:tblStylePr>
  </w:style>
  <w:style w:type="table" w:customStyle="1" w:styleId="174">
    <w:name w:val="1111"/>
    <w:basedOn w:val="42"/>
    <w:autoRedefine/>
    <w:qFormat/>
    <w:uiPriority w:val="99"/>
    <w:pPr>
      <w:jc w:val="center"/>
    </w:pPr>
    <w:rPr>
      <w:rFonts w:cstheme="minorBidi"/>
      <w:sz w:val="21"/>
      <w:szCs w:val="24"/>
    </w:rPr>
    <w:tcPr>
      <w:shd w:val="clear" w:color="auto" w:fill="auto"/>
    </w:tcPr>
  </w:style>
  <w:style w:type="table" w:customStyle="1" w:styleId="175">
    <w:name w:val="LB样式"/>
    <w:basedOn w:val="42"/>
    <w:autoRedefine/>
    <w:qFormat/>
    <w:uiPriority w:val="99"/>
    <w:rPr>
      <w:rFonts w:cstheme="minorBidi"/>
      <w:sz w:val="21"/>
      <w:szCs w:val="24"/>
    </w:rPr>
  </w:style>
  <w:style w:type="character" w:customStyle="1" w:styleId="176">
    <w:name w:val="font11"/>
    <w:basedOn w:val="44"/>
    <w:autoRedefine/>
    <w:qFormat/>
    <w:uiPriority w:val="0"/>
    <w:rPr>
      <w:rFonts w:hint="eastAsia" w:ascii="宋体" w:hAnsi="宋体" w:eastAsia="宋体"/>
      <w:color w:val="000000"/>
      <w:sz w:val="18"/>
      <w:szCs w:val="18"/>
      <w:u w:val="none"/>
    </w:rPr>
  </w:style>
  <w:style w:type="character" w:customStyle="1" w:styleId="177">
    <w:name w:val="font51"/>
    <w:basedOn w:val="44"/>
    <w:autoRedefine/>
    <w:qFormat/>
    <w:uiPriority w:val="0"/>
    <w:rPr>
      <w:rFonts w:hint="eastAsia" w:ascii="宋体" w:hAnsi="宋体" w:eastAsia="宋体"/>
      <w:color w:val="000000"/>
      <w:sz w:val="9"/>
      <w:szCs w:val="9"/>
      <w:u w:val="none"/>
      <w:vertAlign w:val="subscript"/>
    </w:rPr>
  </w:style>
  <w:style w:type="character" w:customStyle="1" w:styleId="178">
    <w:name w:val="font41"/>
    <w:basedOn w:val="44"/>
    <w:autoRedefine/>
    <w:qFormat/>
    <w:uiPriority w:val="0"/>
    <w:rPr>
      <w:rFonts w:hint="eastAsia" w:ascii="宋体" w:hAnsi="宋体" w:eastAsia="宋体"/>
      <w:color w:val="000000"/>
      <w:sz w:val="9"/>
      <w:szCs w:val="9"/>
      <w:u w:val="none"/>
    </w:rPr>
  </w:style>
  <w:style w:type="character" w:customStyle="1" w:styleId="179">
    <w:name w:val="font31"/>
    <w:basedOn w:val="44"/>
    <w:autoRedefine/>
    <w:qFormat/>
    <w:uiPriority w:val="0"/>
    <w:rPr>
      <w:rFonts w:hint="eastAsia" w:ascii="宋体" w:hAnsi="宋体" w:eastAsia="宋体"/>
      <w:color w:val="000000"/>
      <w:sz w:val="18"/>
      <w:szCs w:val="18"/>
      <w:u w:val="none"/>
      <w:vertAlign w:val="subscript"/>
    </w:rPr>
  </w:style>
  <w:style w:type="paragraph" w:customStyle="1" w:styleId="180">
    <w:name w:val="Char Char Char Char Char Char Char"/>
    <w:basedOn w:val="17"/>
    <w:autoRedefine/>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character" w:customStyle="1" w:styleId="181">
    <w:name w:val="k 正文 Char"/>
    <w:link w:val="182"/>
    <w:autoRedefine/>
    <w:qFormat/>
    <w:uiPriority w:val="0"/>
    <w:rPr>
      <w:kern w:val="2"/>
      <w:sz w:val="24"/>
      <w:szCs w:val="24"/>
    </w:rPr>
  </w:style>
  <w:style w:type="paragraph" w:customStyle="1" w:styleId="182">
    <w:name w:val="k 正文"/>
    <w:basedOn w:val="1"/>
    <w:link w:val="181"/>
    <w:autoRedefine/>
    <w:qFormat/>
    <w:uiPriority w:val="0"/>
    <w:rPr>
      <w:szCs w:val="24"/>
    </w:rPr>
  </w:style>
  <w:style w:type="character" w:customStyle="1" w:styleId="183">
    <w:name w:val="图表名称 Char"/>
    <w:link w:val="51"/>
    <w:autoRedefine/>
    <w:qFormat/>
    <w:uiPriority w:val="0"/>
    <w:rPr>
      <w:b/>
      <w:bCs/>
      <w:color w:val="000000" w:themeColor="text1"/>
      <w:kern w:val="2"/>
      <w:sz w:val="21"/>
      <w:szCs w:val="21"/>
      <w14:textFill>
        <w14:solidFill>
          <w14:schemeClr w14:val="tx1"/>
        </w14:solidFill>
      </w14:textFill>
    </w:rPr>
  </w:style>
  <w:style w:type="paragraph" w:customStyle="1" w:styleId="184">
    <w:name w:val="图居中、图表标题"/>
    <w:basedOn w:val="1"/>
    <w:next w:val="1"/>
    <w:link w:val="185"/>
    <w:autoRedefine/>
    <w:qFormat/>
    <w:uiPriority w:val="0"/>
    <w:pPr>
      <w:adjustRightInd w:val="0"/>
      <w:snapToGrid w:val="0"/>
      <w:ind w:firstLine="0" w:firstLineChars="0"/>
      <w:jc w:val="center"/>
    </w:pPr>
    <w:rPr>
      <w:rFonts w:cs="宋体" w:asciiTheme="minorHAnsi" w:hAnsiTheme="minorHAnsi"/>
      <w:b/>
      <w:color w:val="0000C8"/>
      <w:kern w:val="0"/>
      <w:sz w:val="20"/>
      <w:szCs w:val="20"/>
    </w:rPr>
  </w:style>
  <w:style w:type="character" w:customStyle="1" w:styleId="185">
    <w:name w:val="图居中、图表标题 Char"/>
    <w:basedOn w:val="44"/>
    <w:link w:val="184"/>
    <w:autoRedefine/>
    <w:qFormat/>
    <w:uiPriority w:val="0"/>
    <w:rPr>
      <w:rFonts w:cs="宋体" w:asciiTheme="minorHAnsi" w:hAnsiTheme="minorHAnsi"/>
      <w:b/>
      <w:color w:val="0000C8"/>
    </w:rPr>
  </w:style>
  <w:style w:type="paragraph" w:customStyle="1" w:styleId="186">
    <w:name w:val="WFS正文"/>
    <w:basedOn w:val="1"/>
    <w:link w:val="187"/>
    <w:autoRedefine/>
    <w:qFormat/>
    <w:uiPriority w:val="0"/>
    <w:pPr>
      <w:adjustRightInd w:val="0"/>
      <w:ind w:firstLine="480"/>
    </w:pPr>
    <w:rPr>
      <w:rFonts w:cs="宋体"/>
      <w:szCs w:val="24"/>
    </w:rPr>
  </w:style>
  <w:style w:type="character" w:customStyle="1" w:styleId="187">
    <w:name w:val="WFS正文 Char"/>
    <w:link w:val="186"/>
    <w:autoRedefine/>
    <w:qFormat/>
    <w:uiPriority w:val="0"/>
    <w:rPr>
      <w:rFonts w:cs="宋体"/>
      <w:kern w:val="2"/>
      <w:sz w:val="24"/>
      <w:szCs w:val="24"/>
    </w:rPr>
  </w:style>
  <w:style w:type="character" w:customStyle="1" w:styleId="188">
    <w:name w:val="k 正文 Char Char"/>
    <w:autoRedefine/>
    <w:qFormat/>
    <w:uiPriority w:val="0"/>
    <w:rPr>
      <w:kern w:val="2"/>
      <w:sz w:val="24"/>
      <w:szCs w:val="22"/>
    </w:rPr>
  </w:style>
  <w:style w:type="paragraph" w:customStyle="1" w:styleId="189">
    <w:name w:val="k 图表标题"/>
    <w:basedOn w:val="1"/>
    <w:next w:val="1"/>
    <w:link w:val="190"/>
    <w:autoRedefine/>
    <w:qFormat/>
    <w:uiPriority w:val="0"/>
    <w:pPr>
      <w:adjustRightInd w:val="0"/>
      <w:snapToGrid w:val="0"/>
      <w:spacing w:before="120" w:beforeLines="50" w:after="120" w:afterLines="50" w:line="240" w:lineRule="auto"/>
      <w:ind w:firstLine="0" w:firstLineChars="0"/>
      <w:jc w:val="center"/>
    </w:pPr>
    <w:rPr>
      <w:b/>
      <w:color w:val="0000FF"/>
      <w:sz w:val="28"/>
      <w:szCs w:val="22"/>
      <w:lang w:val="zh-CN"/>
    </w:rPr>
  </w:style>
  <w:style w:type="character" w:customStyle="1" w:styleId="190">
    <w:name w:val="k 图表标题 Char"/>
    <w:link w:val="189"/>
    <w:autoRedefine/>
    <w:qFormat/>
    <w:uiPriority w:val="0"/>
    <w:rPr>
      <w:b/>
      <w:color w:val="0000FF"/>
      <w:kern w:val="2"/>
      <w:sz w:val="28"/>
      <w:szCs w:val="22"/>
      <w:lang w:val="zh-CN" w:eastAsia="zh-CN"/>
    </w:rPr>
  </w:style>
  <w:style w:type="paragraph" w:customStyle="1" w:styleId="191">
    <w:name w:val="WFS图表字-居中"/>
    <w:basedOn w:val="1"/>
    <w:link w:val="192"/>
    <w:autoRedefine/>
    <w:qFormat/>
    <w:uiPriority w:val="0"/>
    <w:pPr>
      <w:adjustRightInd w:val="0"/>
      <w:spacing w:line="240" w:lineRule="auto"/>
      <w:ind w:firstLine="0" w:firstLineChars="0"/>
      <w:jc w:val="center"/>
    </w:pPr>
    <w:rPr>
      <w:sz w:val="21"/>
      <w:szCs w:val="24"/>
    </w:rPr>
  </w:style>
  <w:style w:type="character" w:customStyle="1" w:styleId="192">
    <w:name w:val="WFS图表字-居中 Char"/>
    <w:link w:val="191"/>
    <w:autoRedefine/>
    <w:qFormat/>
    <w:uiPriority w:val="0"/>
    <w:rPr>
      <w:kern w:val="2"/>
      <w:sz w:val="21"/>
      <w:szCs w:val="24"/>
    </w:rPr>
  </w:style>
  <w:style w:type="table" w:customStyle="1" w:styleId="193">
    <w:name w:val="网格型2"/>
    <w:basedOn w:val="42"/>
    <w:autoRedefine/>
    <w:qFormat/>
    <w:uiPriority w:val="59"/>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4">
    <w:name w:val="图表标题"/>
    <w:link w:val="195"/>
    <w:autoRedefine/>
    <w:qFormat/>
    <w:uiPriority w:val="0"/>
    <w:pPr>
      <w:widowControl w:val="0"/>
      <w:snapToGrid w:val="0"/>
      <w:spacing w:line="360" w:lineRule="auto"/>
      <w:ind w:firstLine="723" w:firstLineChars="200"/>
      <w:jc w:val="center"/>
    </w:pPr>
    <w:rPr>
      <w:rFonts w:ascii="仿宋" w:hAnsi="仿宋" w:eastAsia="仿宋" w:cs="仿宋"/>
      <w:b/>
      <w:kern w:val="3"/>
      <w:sz w:val="24"/>
      <w:szCs w:val="24"/>
      <w:lang w:val="en-US" w:eastAsia="zh-CN" w:bidi="ar-SA"/>
    </w:rPr>
  </w:style>
  <w:style w:type="character" w:customStyle="1" w:styleId="195">
    <w:name w:val="图表标题 Char"/>
    <w:link w:val="194"/>
    <w:autoRedefine/>
    <w:qFormat/>
    <w:uiPriority w:val="0"/>
    <w:rPr>
      <w:rFonts w:ascii="仿宋" w:hAnsi="仿宋" w:eastAsia="仿宋" w:cs="仿宋"/>
      <w:b/>
      <w:kern w:val="3"/>
      <w:sz w:val="24"/>
      <w:szCs w:val="24"/>
    </w:rPr>
  </w:style>
  <w:style w:type="paragraph" w:customStyle="1" w:styleId="196">
    <w:name w:val="40正文(1)"/>
    <w:basedOn w:val="1"/>
    <w:link w:val="202"/>
    <w:autoRedefine/>
    <w:qFormat/>
    <w:uiPriority w:val="0"/>
    <w:pPr>
      <w:tabs>
        <w:tab w:val="left" w:pos="0"/>
        <w:tab w:val="left" w:pos="420"/>
        <w:tab w:val="left" w:pos="478"/>
        <w:tab w:val="left" w:pos="510"/>
      </w:tabs>
      <w:adjustRightInd w:val="0"/>
      <w:ind w:left="58" w:firstLine="0" w:firstLineChars="0"/>
      <w:jc w:val="left"/>
    </w:pPr>
    <w:rPr>
      <w:rFonts w:ascii="宋体" w:hAnsi="宋体" w:cs="宋体"/>
      <w:snapToGrid w:val="0"/>
      <w:kern w:val="0"/>
      <w:szCs w:val="24"/>
    </w:rPr>
  </w:style>
  <w:style w:type="paragraph" w:customStyle="1" w:styleId="197">
    <w:name w:val="正文 1）"/>
    <w:basedOn w:val="1"/>
    <w:next w:val="1"/>
    <w:autoRedefine/>
    <w:qFormat/>
    <w:uiPriority w:val="0"/>
    <w:pPr>
      <w:tabs>
        <w:tab w:val="left" w:pos="-204"/>
        <w:tab w:val="left" w:pos="0"/>
      </w:tabs>
      <w:adjustRightInd w:val="0"/>
      <w:ind w:left="-624" w:firstLine="0" w:firstLineChars="0"/>
      <w:jc w:val="left"/>
    </w:pPr>
    <w:rPr>
      <w:rFonts w:ascii="宋体" w:hAnsi="宋体" w:cs="宋体"/>
      <w:snapToGrid w:val="0"/>
      <w:kern w:val="0"/>
      <w:szCs w:val="24"/>
    </w:rPr>
  </w:style>
  <w:style w:type="paragraph" w:customStyle="1" w:styleId="198">
    <w:name w:val="正文 a"/>
    <w:basedOn w:val="1"/>
    <w:next w:val="1"/>
    <w:autoRedefine/>
    <w:qFormat/>
    <w:uiPriority w:val="0"/>
    <w:pPr>
      <w:tabs>
        <w:tab w:val="left" w:pos="420"/>
        <w:tab w:val="left" w:pos="568"/>
      </w:tabs>
      <w:adjustRightInd w:val="0"/>
      <w:ind w:left="-56" w:firstLine="0" w:firstLineChars="0"/>
      <w:jc w:val="left"/>
    </w:pPr>
    <w:rPr>
      <w:rFonts w:ascii="宋体" w:hAnsi="宋体" w:cs="宋体"/>
      <w:snapToGrid w:val="0"/>
      <w:kern w:val="0"/>
      <w:szCs w:val="24"/>
    </w:rPr>
  </w:style>
  <w:style w:type="paragraph" w:customStyle="1" w:styleId="199">
    <w:name w:val="70标题表格"/>
    <w:basedOn w:val="1"/>
    <w:next w:val="1"/>
    <w:link w:val="204"/>
    <w:autoRedefine/>
    <w:qFormat/>
    <w:uiPriority w:val="0"/>
    <w:pPr>
      <w:tabs>
        <w:tab w:val="left" w:pos="420"/>
      </w:tabs>
      <w:adjustRightInd w:val="0"/>
      <w:ind w:firstLine="0" w:firstLineChars="0"/>
      <w:jc w:val="center"/>
    </w:pPr>
    <w:rPr>
      <w:rFonts w:ascii="宋体" w:hAnsi="宋体" w:cs="宋体"/>
      <w:b/>
      <w:bCs/>
      <w:snapToGrid w:val="0"/>
      <w:color w:val="0766D4"/>
      <w:kern w:val="0"/>
      <w:sz w:val="21"/>
    </w:rPr>
  </w:style>
  <w:style w:type="paragraph" w:customStyle="1" w:styleId="200">
    <w:name w:val="80标题图片"/>
    <w:basedOn w:val="1"/>
    <w:next w:val="1"/>
    <w:autoRedefine/>
    <w:qFormat/>
    <w:uiPriority w:val="0"/>
    <w:pPr>
      <w:tabs>
        <w:tab w:val="left" w:pos="0"/>
        <w:tab w:val="left" w:pos="2973"/>
        <w:tab w:val="left" w:pos="3540"/>
        <w:tab w:val="left" w:pos="3681"/>
        <w:tab w:val="left" w:pos="4107"/>
      </w:tabs>
      <w:adjustRightInd w:val="0"/>
      <w:ind w:firstLine="0" w:firstLineChars="0"/>
      <w:jc w:val="center"/>
    </w:pPr>
    <w:rPr>
      <w:rFonts w:ascii="宋体" w:hAnsi="宋体" w:cs="宋体"/>
      <w:b/>
      <w:snapToGrid w:val="0"/>
      <w:color w:val="0766D4"/>
      <w:kern w:val="0"/>
      <w:sz w:val="21"/>
    </w:rPr>
  </w:style>
  <w:style w:type="paragraph" w:customStyle="1" w:styleId="201">
    <w:name w:val="90表格序号"/>
    <w:basedOn w:val="1"/>
    <w:next w:val="1"/>
    <w:autoRedefine/>
    <w:qFormat/>
    <w:uiPriority w:val="0"/>
    <w:pPr>
      <w:tabs>
        <w:tab w:val="left" w:pos="0"/>
      </w:tabs>
      <w:adjustRightInd w:val="0"/>
      <w:spacing w:line="240" w:lineRule="auto"/>
      <w:ind w:firstLine="0" w:firstLineChars="0"/>
      <w:jc w:val="center"/>
    </w:pPr>
    <w:rPr>
      <w:rFonts w:ascii="宋体" w:hAnsi="宋体" w:cs="宋体"/>
      <w:snapToGrid w:val="0"/>
      <w:kern w:val="0"/>
      <w:sz w:val="21"/>
    </w:rPr>
  </w:style>
  <w:style w:type="character" w:customStyle="1" w:styleId="202">
    <w:name w:val="正文（1） Char"/>
    <w:link w:val="196"/>
    <w:autoRedefine/>
    <w:qFormat/>
    <w:uiPriority w:val="0"/>
    <w:rPr>
      <w:rFonts w:ascii="宋体" w:hAnsi="宋体" w:cs="宋体"/>
      <w:snapToGrid w:val="0"/>
      <w:sz w:val="24"/>
      <w:szCs w:val="24"/>
    </w:rPr>
  </w:style>
  <w:style w:type="paragraph" w:customStyle="1" w:styleId="203">
    <w:name w:val="72表格小五"/>
    <w:basedOn w:val="1"/>
    <w:autoRedefine/>
    <w:qFormat/>
    <w:uiPriority w:val="0"/>
    <w:pPr>
      <w:adjustRightInd w:val="0"/>
      <w:spacing w:line="240" w:lineRule="auto"/>
      <w:ind w:firstLine="0" w:firstLineChars="0"/>
      <w:jc w:val="center"/>
    </w:pPr>
    <w:rPr>
      <w:rFonts w:ascii="宋体" w:hAnsi="宋体" w:cs="宋体"/>
      <w:snapToGrid w:val="0"/>
      <w:kern w:val="0"/>
      <w:sz w:val="18"/>
      <w:szCs w:val="18"/>
    </w:rPr>
  </w:style>
  <w:style w:type="character" w:customStyle="1" w:styleId="204">
    <w:name w:val="70标题表格 Char"/>
    <w:link w:val="199"/>
    <w:autoRedefine/>
    <w:qFormat/>
    <w:uiPriority w:val="0"/>
    <w:rPr>
      <w:rFonts w:ascii="宋体" w:hAnsi="宋体" w:cs="宋体"/>
      <w:b/>
      <w:bCs/>
      <w:snapToGrid w:val="0"/>
      <w:color w:val="0766D4"/>
      <w:sz w:val="21"/>
      <w:szCs w:val="21"/>
    </w:rPr>
  </w:style>
  <w:style w:type="character" w:customStyle="1" w:styleId="205">
    <w:name w:val="正文文本 3 字符"/>
    <w:basedOn w:val="44"/>
    <w:link w:val="19"/>
    <w:autoRedefine/>
    <w:qFormat/>
    <w:uiPriority w:val="0"/>
    <w:rPr>
      <w:kern w:val="2"/>
      <w:sz w:val="24"/>
      <w:szCs w:val="24"/>
    </w:rPr>
  </w:style>
  <w:style w:type="character" w:customStyle="1" w:styleId="206">
    <w:name w:val="纯文本 字符"/>
    <w:basedOn w:val="44"/>
    <w:link w:val="23"/>
    <w:autoRedefine/>
    <w:qFormat/>
    <w:uiPriority w:val="0"/>
    <w:rPr>
      <w:rFonts w:ascii="宋体" w:hAnsi="宋体" w:eastAsia="仿宋" w:cstheme="minorBidi"/>
      <w:kern w:val="2"/>
      <w:sz w:val="24"/>
      <w:szCs w:val="24"/>
    </w:rPr>
  </w:style>
  <w:style w:type="character" w:customStyle="1" w:styleId="207">
    <w:name w:val="正文文本缩进 2 字符"/>
    <w:basedOn w:val="44"/>
    <w:link w:val="26"/>
    <w:autoRedefine/>
    <w:qFormat/>
    <w:uiPriority w:val="99"/>
    <w:rPr>
      <w:rFonts w:ascii="仿宋_GB2312" w:hAnsi="宋体" w:eastAsia="仿宋_GB2312" w:cstheme="minorBidi"/>
      <w:kern w:val="2"/>
      <w:sz w:val="28"/>
      <w:szCs w:val="24"/>
    </w:rPr>
  </w:style>
  <w:style w:type="character" w:customStyle="1" w:styleId="208">
    <w:name w:val="正文文本缩进 3 字符"/>
    <w:basedOn w:val="44"/>
    <w:link w:val="34"/>
    <w:autoRedefine/>
    <w:qFormat/>
    <w:uiPriority w:val="0"/>
    <w:rPr>
      <w:kern w:val="2"/>
      <w:sz w:val="16"/>
      <w:szCs w:val="16"/>
    </w:rPr>
  </w:style>
  <w:style w:type="character" w:customStyle="1" w:styleId="209">
    <w:name w:val="标题 字符"/>
    <w:basedOn w:val="44"/>
    <w:link w:val="39"/>
    <w:autoRedefine/>
    <w:qFormat/>
    <w:uiPriority w:val="10"/>
    <w:rPr>
      <w:rFonts w:asciiTheme="majorHAnsi" w:hAnsiTheme="majorHAnsi" w:eastAsiaTheme="majorEastAsia" w:cstheme="majorBidi"/>
      <w:b/>
      <w:bCs/>
      <w:color w:val="000000" w:themeColor="text1"/>
      <w:kern w:val="2"/>
      <w:sz w:val="32"/>
      <w:szCs w:val="32"/>
      <w14:textFill>
        <w14:solidFill>
          <w14:schemeClr w14:val="tx1"/>
        </w14:solidFill>
      </w14:textFill>
    </w:rPr>
  </w:style>
  <w:style w:type="paragraph" w:customStyle="1" w:styleId="210">
    <w:name w:val="表格内容"/>
    <w:link w:val="375"/>
    <w:autoRedefine/>
    <w:qFormat/>
    <w:uiPriority w:val="0"/>
    <w:pPr>
      <w:jc w:val="center"/>
    </w:pPr>
    <w:rPr>
      <w:rFonts w:ascii="楷体_GB2312" w:hAnsi="Times New Roman" w:eastAsia="楷体_GB2312" w:cs="Times New Roman"/>
      <w:sz w:val="24"/>
      <w:lang w:val="en-US" w:eastAsia="zh-CN" w:bidi="ar-SA"/>
    </w:rPr>
  </w:style>
  <w:style w:type="character" w:customStyle="1" w:styleId="211">
    <w:name w:val="font01"/>
    <w:basedOn w:val="44"/>
    <w:autoRedefine/>
    <w:qFormat/>
    <w:uiPriority w:val="0"/>
    <w:rPr>
      <w:rFonts w:hint="eastAsia" w:ascii="宋体" w:hAnsi="宋体" w:eastAsia="宋体" w:cs="宋体"/>
      <w:b/>
      <w:color w:val="000000"/>
      <w:sz w:val="20"/>
      <w:szCs w:val="20"/>
      <w:u w:val="none"/>
    </w:rPr>
  </w:style>
  <w:style w:type="paragraph" w:customStyle="1" w:styleId="212">
    <w:name w:val="方案正文"/>
    <w:basedOn w:val="1"/>
    <w:autoRedefine/>
    <w:qFormat/>
    <w:uiPriority w:val="0"/>
    <w:pPr>
      <w:spacing w:after="50" w:afterLines="50" w:line="300" w:lineRule="auto"/>
      <w:ind w:firstLine="420"/>
      <w:jc w:val="left"/>
    </w:pPr>
    <w:rPr>
      <w:rFonts w:ascii="宋体" w:hAnsi="宋体" w:eastAsia="仿宋"/>
      <w:sz w:val="28"/>
      <w:szCs w:val="20"/>
    </w:rPr>
  </w:style>
  <w:style w:type="table" w:customStyle="1" w:styleId="213">
    <w:name w:val="网格型1"/>
    <w:basedOn w:val="42"/>
    <w:autoRedefine/>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4">
    <w:name w:val="fontstyle01"/>
    <w:autoRedefine/>
    <w:qFormat/>
    <w:uiPriority w:val="0"/>
    <w:rPr>
      <w:rFonts w:hint="eastAsia" w:ascii="仿宋_GB2312" w:eastAsia="仿宋_GB2312"/>
      <w:color w:val="000000"/>
      <w:sz w:val="24"/>
      <w:szCs w:val="24"/>
    </w:rPr>
  </w:style>
  <w:style w:type="paragraph" w:customStyle="1" w:styleId="215">
    <w:name w:val="余杭图表"/>
    <w:next w:val="1"/>
    <w:autoRedefine/>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216">
    <w:name w:val="表格内文字"/>
    <w:autoRedefine/>
    <w:qFormat/>
    <w:uiPriority w:val="0"/>
    <w:rPr>
      <w:rFonts w:ascii="Times New Roman" w:hAnsi="Times New Roman" w:eastAsia="宋体"/>
      <w:color w:val="auto"/>
      <w:sz w:val="21"/>
    </w:rPr>
  </w:style>
  <w:style w:type="paragraph" w:customStyle="1" w:styleId="217">
    <w:name w:val="列出段落"/>
    <w:autoRedefine/>
    <w:qFormat/>
    <w:uiPriority w:val="0"/>
    <w:pPr>
      <w:widowControl w:val="0"/>
      <w:spacing w:line="360" w:lineRule="auto"/>
      <w:ind w:firstLine="420" w:firstLineChars="200"/>
      <w:jc w:val="both"/>
    </w:pPr>
    <w:rPr>
      <w:rFonts w:ascii="Calibri" w:hAnsi="Calibri" w:eastAsia="宋体" w:cs="Times New Roman"/>
      <w:kern w:val="2"/>
      <w:sz w:val="24"/>
      <w:lang w:val="zh-CN" w:eastAsia="zh-CN" w:bidi="ar-SA"/>
    </w:rPr>
  </w:style>
  <w:style w:type="paragraph" w:customStyle="1" w:styleId="218">
    <w:name w:val="标准正文"/>
    <w:autoRedefine/>
    <w:qFormat/>
    <w:uiPriority w:val="0"/>
    <w:pPr>
      <w:widowControl w:val="0"/>
      <w:spacing w:line="360" w:lineRule="auto"/>
      <w:ind w:firstLine="200" w:firstLineChars="200"/>
      <w:jc w:val="both"/>
    </w:pPr>
    <w:rPr>
      <w:rFonts w:ascii="宋体" w:hAnsi="宋体" w:eastAsia="宋体" w:cs="Times New Roman"/>
      <w:kern w:val="2"/>
      <w:sz w:val="24"/>
      <w:lang w:val="en-US" w:eastAsia="zh-CN" w:bidi="ar-SA"/>
    </w:rPr>
  </w:style>
  <w:style w:type="table" w:customStyle="1" w:styleId="219">
    <w:name w:val="自建11"/>
    <w:autoRedefine/>
    <w:qFormat/>
    <w:uiPriority w:val="99"/>
    <w:pPr>
      <w:adjustRightInd w:val="0"/>
      <w:snapToGrid w:val="0"/>
      <w:jc w:val="center"/>
    </w:pPr>
    <w:tblP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CellMar>
        <w:top w:w="0" w:type="dxa"/>
        <w:left w:w="0" w:type="dxa"/>
        <w:bottom w:w="0" w:type="dxa"/>
        <w:right w:w="0" w:type="dxa"/>
      </w:tblCellMar>
    </w:tblPr>
    <w:tcPr>
      <w:shd w:val="clear" w:color="auto" w:fill="DAEEF3"/>
      <w:vAlign w:val="center"/>
    </w:tcPr>
    <w:tblStylePr w:type="firstRow">
      <w:tcPr>
        <w:shd w:val="clear" w:color="auto" w:fill="92CDDC"/>
      </w:tcPr>
    </w:tblStylePr>
  </w:style>
  <w:style w:type="paragraph" w:customStyle="1" w:styleId="220">
    <w:name w:val="图表文字"/>
    <w:next w:val="1"/>
    <w:link w:val="335"/>
    <w:autoRedefine/>
    <w:qFormat/>
    <w:uiPriority w:val="0"/>
    <w:pPr>
      <w:widowControl w:val="0"/>
      <w:adjustRightInd w:val="0"/>
      <w:snapToGrid w:val="0"/>
      <w:ind w:firstLine="200" w:firstLineChars="200"/>
      <w:jc w:val="center"/>
    </w:pPr>
    <w:rPr>
      <w:rFonts w:ascii="宋体" w:hAnsi="宋体" w:eastAsia="宋体" w:cs="Times New Roman"/>
      <w:kern w:val="2"/>
      <w:sz w:val="22"/>
      <w:szCs w:val="21"/>
      <w:lang w:val="zh-CN" w:eastAsia="zh-CN" w:bidi="ar-SA"/>
    </w:rPr>
  </w:style>
  <w:style w:type="table" w:customStyle="1" w:styleId="221">
    <w:name w:val="方案编制常用表格样式1"/>
    <w:autoRedefine/>
    <w:qFormat/>
    <w:uiPriority w:val="99"/>
    <w:pPr>
      <w:adjustRightInd w:val="0"/>
      <w:snapToGrid w:val="0"/>
      <w:jc w:val="center"/>
    </w:pPr>
    <w:rPr>
      <w:szCs w:val="21"/>
    </w:rPr>
    <w:tblPr>
      <w:jc w:val="center"/>
      <w:tblBorders>
        <w:top w:val="double" w:color="0070C0" w:sz="6" w:space="0"/>
        <w:left w:val="double" w:color="0070C0" w:sz="6" w:space="0"/>
        <w:bottom w:val="double" w:color="0070C0" w:sz="6" w:space="0"/>
        <w:right w:val="double" w:color="0070C0" w:sz="6" w:space="0"/>
        <w:insideH w:val="single" w:color="0070C0" w:sz="6" w:space="0"/>
        <w:insideV w:val="single" w:color="0070C0" w:sz="6" w:space="0"/>
      </w:tblBorders>
      <w:tblCellMar>
        <w:top w:w="0" w:type="dxa"/>
        <w:left w:w="0" w:type="dxa"/>
        <w:bottom w:w="0" w:type="dxa"/>
        <w:right w:w="0" w:type="dxa"/>
      </w:tblCellMar>
    </w:tblPr>
    <w:trPr>
      <w:jc w:val="center"/>
    </w:trPr>
    <w:tcPr>
      <w:shd w:val="clear" w:color="auto" w:fill="DAEEF3"/>
      <w:vAlign w:val="center"/>
    </w:tcPr>
    <w:tblStylePr w:type="firstRow">
      <w:tcPr>
        <w:shd w:val="clear" w:color="auto" w:fill="92CDDC"/>
      </w:tcPr>
    </w:tblStylePr>
  </w:style>
  <w:style w:type="paragraph" w:customStyle="1" w:styleId="222">
    <w:name w:val="普通文字"/>
    <w:autoRedefine/>
    <w:qFormat/>
    <w:uiPriority w:val="0"/>
    <w:pPr>
      <w:widowControl w:val="0"/>
      <w:spacing w:line="360" w:lineRule="auto"/>
      <w:ind w:firstLine="200" w:firstLineChars="200"/>
      <w:jc w:val="both"/>
    </w:pPr>
    <w:rPr>
      <w:rFonts w:ascii="宋体" w:hAnsi="宋体" w:eastAsia="宋体" w:cs="Times New Roman"/>
      <w:kern w:val="2"/>
      <w:sz w:val="24"/>
      <w:szCs w:val="24"/>
      <w:lang w:val="en-US" w:eastAsia="zh-CN" w:bidi="ar-SA"/>
    </w:rPr>
  </w:style>
  <w:style w:type="paragraph" w:customStyle="1" w:styleId="223">
    <w:name w:val="图名"/>
    <w:next w:val="1"/>
    <w:link w:val="294"/>
    <w:autoRedefine/>
    <w:qFormat/>
    <w:uiPriority w:val="0"/>
    <w:pPr>
      <w:widowControl w:val="0"/>
      <w:numPr>
        <w:ilvl w:val="5"/>
        <w:numId w:val="9"/>
      </w:numPr>
      <w:tabs>
        <w:tab w:val="left" w:pos="0"/>
      </w:tabs>
      <w:spacing w:line="360" w:lineRule="auto"/>
      <w:jc w:val="center"/>
    </w:pPr>
    <w:rPr>
      <w:rFonts w:ascii="宋体" w:hAnsi="宋体" w:eastAsia="宋体" w:cs="Times New Roman"/>
      <w:b/>
      <w:kern w:val="2"/>
      <w:sz w:val="21"/>
      <w:szCs w:val="24"/>
      <w:lang w:val="en-US" w:eastAsia="zh-CN" w:bidi="ar-SA"/>
    </w:rPr>
  </w:style>
  <w:style w:type="paragraph" w:customStyle="1" w:styleId="224">
    <w:name w:val="正文X"/>
    <w:autoRedefine/>
    <w:qFormat/>
    <w:uiPriority w:val="0"/>
    <w:pPr>
      <w:snapToGrid w:val="0"/>
      <w:spacing w:line="360" w:lineRule="auto"/>
      <w:ind w:firstLine="482"/>
      <w:jc w:val="both"/>
    </w:pPr>
    <w:rPr>
      <w:rFonts w:ascii="宋体" w:hAnsi="宋体" w:eastAsia="宋体" w:cs="Times New Roman"/>
      <w:color w:val="000000"/>
      <w:kern w:val="2"/>
      <w:sz w:val="24"/>
      <w:szCs w:val="21"/>
      <w:lang w:val="zh-CN" w:eastAsia="zh-CN" w:bidi="ar-SA"/>
    </w:rPr>
  </w:style>
  <w:style w:type="paragraph" w:customStyle="1" w:styleId="225">
    <w:name w:val="表格字体"/>
    <w:next w:val="218"/>
    <w:autoRedefine/>
    <w:qFormat/>
    <w:uiPriority w:val="0"/>
    <w:pPr>
      <w:jc w:val="center"/>
    </w:pPr>
    <w:rPr>
      <w:rFonts w:ascii="Times New Roman" w:hAnsi="Times New Roman" w:eastAsia="宋体" w:cs="Times New Roman"/>
      <w:sz w:val="21"/>
      <w:szCs w:val="21"/>
      <w:lang w:val="en-US" w:eastAsia="zh-CN" w:bidi="ar-SA"/>
    </w:rPr>
  </w:style>
  <w:style w:type="paragraph" w:customStyle="1" w:styleId="226">
    <w:name w:val="图表文字-合安"/>
    <w:next w:val="1"/>
    <w:autoRedefine/>
    <w:qFormat/>
    <w:uiPriority w:val="0"/>
    <w:pPr>
      <w:widowControl w:val="0"/>
      <w:jc w:val="center"/>
    </w:pPr>
    <w:rPr>
      <w:rFonts w:ascii="宋体" w:hAnsi="Times New Roman" w:eastAsia="Times New Roman" w:cs="Times New Roman"/>
      <w:lang w:val="zh-CN" w:eastAsia="zh-CN" w:bidi="ar-SA"/>
    </w:rPr>
  </w:style>
  <w:style w:type="paragraph" w:customStyle="1" w:styleId="227">
    <w:name w:val="Body text|1"/>
    <w:autoRedefine/>
    <w:qFormat/>
    <w:uiPriority w:val="0"/>
    <w:pPr>
      <w:widowControl w:val="0"/>
      <w:spacing w:after="160" w:afterLines="50" w:line="384" w:lineRule="auto"/>
      <w:ind w:firstLine="400" w:firstLineChars="200"/>
    </w:pPr>
    <w:rPr>
      <w:rFonts w:ascii="宋体" w:hAnsi="宋体" w:eastAsia="宋体" w:cs="宋体"/>
      <w:kern w:val="2"/>
      <w:sz w:val="28"/>
      <w:szCs w:val="28"/>
      <w:lang w:val="zh-TW" w:eastAsia="zh-TW" w:bidi="zh-TW"/>
    </w:rPr>
  </w:style>
  <w:style w:type="character" w:customStyle="1" w:styleId="228">
    <w:name w:val="font21"/>
    <w:basedOn w:val="44"/>
    <w:autoRedefine/>
    <w:qFormat/>
    <w:uiPriority w:val="0"/>
    <w:rPr>
      <w:rFonts w:hint="eastAsia" w:ascii="宋体" w:hAnsi="宋体" w:eastAsia="宋体" w:cs="宋体"/>
      <w:color w:val="000000"/>
      <w:sz w:val="20"/>
      <w:szCs w:val="20"/>
      <w:u w:val="none"/>
    </w:rPr>
  </w:style>
  <w:style w:type="character" w:customStyle="1" w:styleId="229">
    <w:name w:val="封面标题 Char"/>
    <w:basedOn w:val="44"/>
    <w:link w:val="68"/>
    <w:autoRedefine/>
    <w:qFormat/>
    <w:uiPriority w:val="0"/>
    <w:rPr>
      <w:rFonts w:eastAsia="黑体"/>
      <w:b/>
      <w:kern w:val="2"/>
      <w:sz w:val="52"/>
      <w:szCs w:val="21"/>
    </w:rPr>
  </w:style>
  <w:style w:type="paragraph" w:customStyle="1" w:styleId="230">
    <w:name w:val="单位及日期"/>
    <w:basedOn w:val="68"/>
    <w:link w:val="231"/>
    <w:autoRedefine/>
    <w:qFormat/>
    <w:uiPriority w:val="0"/>
    <w:rPr>
      <w:sz w:val="28"/>
    </w:rPr>
  </w:style>
  <w:style w:type="character" w:customStyle="1" w:styleId="231">
    <w:name w:val="单位及日期 Char"/>
    <w:basedOn w:val="229"/>
    <w:link w:val="230"/>
    <w:autoRedefine/>
    <w:qFormat/>
    <w:uiPriority w:val="0"/>
    <w:rPr>
      <w:rFonts w:eastAsia="黑体"/>
      <w:kern w:val="2"/>
      <w:sz w:val="28"/>
      <w:szCs w:val="21"/>
    </w:rPr>
  </w:style>
  <w:style w:type="paragraph" w:customStyle="1" w:styleId="232">
    <w:name w:val="校审"/>
    <w:basedOn w:val="1"/>
    <w:link w:val="233"/>
    <w:autoRedefine/>
    <w:qFormat/>
    <w:uiPriority w:val="0"/>
    <w:pPr>
      <w:ind w:firstLine="0" w:firstLineChars="0"/>
      <w:jc w:val="left"/>
    </w:pPr>
    <w:rPr>
      <w:bCs/>
      <w:color w:val="000000" w:themeColor="text1"/>
      <w:sz w:val="28"/>
      <w:szCs w:val="28"/>
      <w14:textFill>
        <w14:solidFill>
          <w14:schemeClr w14:val="tx1"/>
        </w14:solidFill>
      </w14:textFill>
    </w:rPr>
  </w:style>
  <w:style w:type="character" w:customStyle="1" w:styleId="233">
    <w:name w:val="校审 Char"/>
    <w:basedOn w:val="44"/>
    <w:link w:val="232"/>
    <w:autoRedefine/>
    <w:qFormat/>
    <w:uiPriority w:val="0"/>
    <w:rPr>
      <w:bCs/>
      <w:color w:val="000000" w:themeColor="text1"/>
      <w:kern w:val="2"/>
      <w:sz w:val="28"/>
      <w:szCs w:val="28"/>
      <w14:textFill>
        <w14:solidFill>
          <w14:schemeClr w14:val="tx1"/>
        </w14:solidFill>
      </w14:textFill>
    </w:rPr>
  </w:style>
  <w:style w:type="character" w:customStyle="1" w:styleId="234">
    <w:name w:val="TOC 1 字符"/>
    <w:link w:val="30"/>
    <w:autoRedefine/>
    <w:qFormat/>
    <w:uiPriority w:val="39"/>
    <w:rPr>
      <w:rFonts w:cstheme="minorHAnsi"/>
      <w:bCs/>
      <w:caps/>
      <w:kern w:val="2"/>
      <w:sz w:val="24"/>
    </w:rPr>
  </w:style>
  <w:style w:type="paragraph" w:customStyle="1" w:styleId="235">
    <w:name w:val="燕矶图片样式"/>
    <w:basedOn w:val="1"/>
    <w:link w:val="236"/>
    <w:autoRedefine/>
    <w:qFormat/>
    <w:uiPriority w:val="0"/>
    <w:pPr>
      <w:adjustRightInd w:val="0"/>
      <w:snapToGrid w:val="0"/>
      <w:spacing w:line="240" w:lineRule="auto"/>
      <w:ind w:firstLine="0" w:firstLineChars="0"/>
      <w:jc w:val="center"/>
    </w:pPr>
    <w:rPr>
      <w:sz w:val="21"/>
    </w:rPr>
  </w:style>
  <w:style w:type="character" w:customStyle="1" w:styleId="236">
    <w:name w:val="燕矶图片样式 字符"/>
    <w:basedOn w:val="44"/>
    <w:link w:val="235"/>
    <w:autoRedefine/>
    <w:qFormat/>
    <w:uiPriority w:val="0"/>
    <w:rPr>
      <w:kern w:val="2"/>
      <w:sz w:val="21"/>
      <w:szCs w:val="21"/>
    </w:rPr>
  </w:style>
  <w:style w:type="paragraph" w:customStyle="1" w:styleId="237">
    <w:name w:val="燕矶图名"/>
    <w:basedOn w:val="1"/>
    <w:next w:val="1"/>
    <w:qFormat/>
    <w:uiPriority w:val="0"/>
    <w:pPr>
      <w:spacing w:line="240" w:lineRule="auto"/>
      <w:ind w:firstLine="0" w:firstLineChars="0"/>
      <w:jc w:val="center"/>
    </w:pPr>
    <w:rPr>
      <w:rFonts w:hint="eastAsia"/>
      <w:b/>
      <w:bCs/>
      <w:sz w:val="21"/>
    </w:rPr>
  </w:style>
  <w:style w:type="paragraph" w:customStyle="1" w:styleId="238">
    <w:name w:val="插图"/>
    <w:basedOn w:val="16"/>
    <w:next w:val="223"/>
    <w:autoRedefine/>
    <w:qFormat/>
    <w:uiPriority w:val="0"/>
    <w:pPr>
      <w:spacing w:line="360" w:lineRule="auto"/>
    </w:pPr>
  </w:style>
  <w:style w:type="paragraph" w:customStyle="1" w:styleId="239">
    <w:name w:val="表名"/>
    <w:basedOn w:val="1"/>
    <w:link w:val="291"/>
    <w:autoRedefine/>
    <w:qFormat/>
    <w:uiPriority w:val="0"/>
    <w:pPr>
      <w:tabs>
        <w:tab w:val="left" w:pos="0"/>
      </w:tabs>
      <w:spacing w:before="50" w:beforeLines="50" w:line="240" w:lineRule="auto"/>
      <w:ind w:firstLine="0" w:firstLineChars="0"/>
      <w:jc w:val="center"/>
    </w:pPr>
    <w:rPr>
      <w:b/>
      <w:sz w:val="21"/>
    </w:rPr>
  </w:style>
  <w:style w:type="character" w:customStyle="1" w:styleId="240">
    <w:name w:val="图表标题 字符"/>
    <w:autoRedefine/>
    <w:qFormat/>
    <w:uiPriority w:val="0"/>
    <w:rPr>
      <w:rFonts w:ascii="Times New Roman" w:hAnsi="Times New Roman" w:cstheme="minorBidi"/>
      <w:b/>
      <w:sz w:val="24"/>
      <w:szCs w:val="21"/>
    </w:rPr>
  </w:style>
  <w:style w:type="table" w:customStyle="1" w:styleId="241">
    <w:name w:val="网格表 4 - 着色 11"/>
    <w:basedOn w:val="42"/>
    <w:autoRedefine/>
    <w:qFormat/>
    <w:uiPriority w:val="49"/>
    <w:rPr>
      <w:rFonts w:ascii="Calibri" w:hAnsi="Calibri"/>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paragraph" w:customStyle="1" w:styleId="242">
    <w:name w:val="msonormal"/>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243">
    <w:name w:val="font5"/>
    <w:basedOn w:val="1"/>
    <w:autoRedefine/>
    <w:qFormat/>
    <w:uiPriority w:val="0"/>
    <w:pPr>
      <w:widowControl/>
      <w:spacing w:before="100" w:beforeAutospacing="1" w:after="100" w:afterAutospacing="1" w:line="240" w:lineRule="auto"/>
      <w:ind w:firstLine="0" w:firstLineChars="0"/>
      <w:jc w:val="left"/>
    </w:pPr>
    <w:rPr>
      <w:rFonts w:ascii="宋体" w:hAnsi="宋体" w:cs="宋体"/>
      <w:b/>
      <w:bCs/>
      <w:color w:val="000000"/>
      <w:kern w:val="0"/>
      <w:sz w:val="21"/>
    </w:rPr>
  </w:style>
  <w:style w:type="paragraph" w:customStyle="1" w:styleId="244">
    <w:name w:val="font6"/>
    <w:basedOn w:val="1"/>
    <w:autoRedefine/>
    <w:qFormat/>
    <w:uiPriority w:val="0"/>
    <w:pPr>
      <w:widowControl/>
      <w:spacing w:before="100" w:beforeAutospacing="1" w:after="100" w:afterAutospacing="1" w:line="240" w:lineRule="auto"/>
      <w:ind w:firstLine="0" w:firstLineChars="0"/>
      <w:jc w:val="left"/>
    </w:pPr>
    <w:rPr>
      <w:b/>
      <w:bCs/>
      <w:color w:val="000000"/>
      <w:kern w:val="0"/>
      <w:sz w:val="21"/>
    </w:rPr>
  </w:style>
  <w:style w:type="paragraph" w:customStyle="1" w:styleId="245">
    <w:name w:val="font7"/>
    <w:basedOn w:val="1"/>
    <w:qFormat/>
    <w:uiPriority w:val="0"/>
    <w:pPr>
      <w:widowControl/>
      <w:spacing w:before="100" w:beforeAutospacing="1" w:after="100" w:afterAutospacing="1" w:line="240" w:lineRule="auto"/>
      <w:ind w:firstLine="0" w:firstLineChars="0"/>
      <w:jc w:val="left"/>
    </w:pPr>
    <w:rPr>
      <w:color w:val="000000"/>
      <w:kern w:val="0"/>
      <w:sz w:val="21"/>
    </w:rPr>
  </w:style>
  <w:style w:type="paragraph" w:customStyle="1" w:styleId="246">
    <w:name w:val="font8"/>
    <w:basedOn w:val="1"/>
    <w:qFormat/>
    <w:uiPriority w:val="0"/>
    <w:pPr>
      <w:widowControl/>
      <w:spacing w:before="100" w:beforeAutospacing="1" w:after="100" w:afterAutospacing="1" w:line="240" w:lineRule="auto"/>
      <w:ind w:firstLine="0" w:firstLineChars="0"/>
      <w:jc w:val="left"/>
    </w:pPr>
    <w:rPr>
      <w:color w:val="000000"/>
      <w:kern w:val="0"/>
      <w:sz w:val="21"/>
    </w:rPr>
  </w:style>
  <w:style w:type="paragraph" w:customStyle="1" w:styleId="247">
    <w:name w:val="font9"/>
    <w:basedOn w:val="1"/>
    <w:qFormat/>
    <w:uiPriority w:val="0"/>
    <w:pPr>
      <w:widowControl/>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48">
    <w:name w:val="font10"/>
    <w:basedOn w:val="1"/>
    <w:autoRedefine/>
    <w:qFormat/>
    <w:uiPriority w:val="0"/>
    <w:pPr>
      <w:widowControl/>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49">
    <w:name w:val="font12"/>
    <w:basedOn w:val="1"/>
    <w:autoRedefine/>
    <w:qFormat/>
    <w:uiPriority w:val="0"/>
    <w:pPr>
      <w:widowControl/>
      <w:spacing w:before="100" w:beforeAutospacing="1" w:after="100" w:afterAutospacing="1" w:line="240" w:lineRule="auto"/>
      <w:ind w:firstLine="0" w:firstLineChars="0"/>
      <w:jc w:val="left"/>
    </w:pPr>
    <w:rPr>
      <w:rFonts w:ascii="宋体" w:hAnsi="宋体" w:cs="宋体"/>
      <w:b/>
      <w:bCs/>
      <w:color w:val="000000"/>
      <w:kern w:val="0"/>
      <w:sz w:val="21"/>
    </w:rPr>
  </w:style>
  <w:style w:type="paragraph" w:customStyle="1" w:styleId="250">
    <w:name w:val="font13"/>
    <w:basedOn w:val="1"/>
    <w:autoRedefine/>
    <w:qFormat/>
    <w:uiPriority w:val="0"/>
    <w:pPr>
      <w:widowControl/>
      <w:spacing w:before="100" w:beforeAutospacing="1" w:after="100" w:afterAutospacing="1" w:line="240" w:lineRule="auto"/>
      <w:ind w:firstLine="0" w:firstLineChars="0"/>
      <w:jc w:val="left"/>
    </w:pPr>
    <w:rPr>
      <w:b/>
      <w:bCs/>
      <w:color w:val="000000"/>
      <w:kern w:val="0"/>
      <w:sz w:val="21"/>
    </w:rPr>
  </w:style>
  <w:style w:type="paragraph" w:customStyle="1" w:styleId="251">
    <w:name w:val="xl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52">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color w:val="000000"/>
      <w:kern w:val="0"/>
      <w:sz w:val="21"/>
    </w:rPr>
  </w:style>
  <w:style w:type="paragraph" w:customStyle="1" w:styleId="253">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54">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55">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56">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257">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58">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Cs w:val="24"/>
    </w:rPr>
  </w:style>
  <w:style w:type="paragraph" w:customStyle="1" w:styleId="259">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60">
    <w:name w:val="xl7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261">
    <w:name w:val="xl7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262">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21"/>
    </w:rPr>
  </w:style>
  <w:style w:type="paragraph" w:customStyle="1" w:styleId="263">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64">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265">
    <w:name w:val="xl77"/>
    <w:basedOn w:val="1"/>
    <w:autoRedefine/>
    <w:qFormat/>
    <w:uiPriority w:val="0"/>
    <w:pPr>
      <w:widowControl/>
      <w:pBdr>
        <w:top w:val="single" w:color="auto" w:sz="8"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6">
    <w:name w:val="xl78"/>
    <w:basedOn w:val="1"/>
    <w:qFormat/>
    <w:uiPriority w:val="0"/>
    <w:pPr>
      <w:widowControl/>
      <w:pBdr>
        <w:top w:val="single" w:color="auto" w:sz="8"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7">
    <w:name w:val="xl79"/>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68">
    <w:name w:val="xl8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69">
    <w:name w:val="xl81"/>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70">
    <w:name w:val="xl82"/>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color w:val="000000"/>
      <w:kern w:val="0"/>
      <w:sz w:val="21"/>
    </w:rPr>
  </w:style>
  <w:style w:type="paragraph" w:customStyle="1" w:styleId="271">
    <w:name w:val="xl8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2">
    <w:name w:val="xl84"/>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3">
    <w:name w:val="xl85"/>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cs="宋体"/>
      <w:color w:val="000000"/>
      <w:kern w:val="0"/>
      <w:sz w:val="21"/>
    </w:rPr>
  </w:style>
  <w:style w:type="paragraph" w:customStyle="1" w:styleId="274">
    <w:name w:val="xl86"/>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275">
    <w:name w:val="xl87"/>
    <w:basedOn w:val="1"/>
    <w:autoRedefine/>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left"/>
    </w:pPr>
    <w:rPr>
      <w:kern w:val="0"/>
      <w:sz w:val="20"/>
      <w:szCs w:val="20"/>
    </w:rPr>
  </w:style>
  <w:style w:type="paragraph" w:customStyle="1" w:styleId="276">
    <w:name w:val="xl8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40" w:lineRule="auto"/>
      <w:ind w:firstLine="0" w:firstLineChars="0"/>
      <w:jc w:val="center"/>
    </w:pPr>
    <w:rPr>
      <w:kern w:val="0"/>
      <w:sz w:val="18"/>
      <w:szCs w:val="18"/>
    </w:rPr>
  </w:style>
  <w:style w:type="paragraph" w:customStyle="1" w:styleId="277">
    <w:name w:val="xl89"/>
    <w:basedOn w:val="1"/>
    <w:autoRedefine/>
    <w:qFormat/>
    <w:uiPriority w:val="0"/>
    <w:pPr>
      <w:widowControl/>
      <w:pBdr>
        <w:top w:val="single" w:color="auto" w:sz="4" w:space="0"/>
        <w:left w:val="single" w:color="auto" w:sz="4"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Cs w:val="24"/>
    </w:rPr>
  </w:style>
  <w:style w:type="paragraph" w:customStyle="1" w:styleId="27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color w:val="000000"/>
      <w:kern w:val="0"/>
      <w:sz w:val="21"/>
    </w:rPr>
  </w:style>
  <w:style w:type="paragraph" w:customStyle="1" w:styleId="279">
    <w:name w:val="xl91"/>
    <w:basedOn w:val="1"/>
    <w:qFormat/>
    <w:uiPriority w:val="0"/>
    <w:pPr>
      <w:widowControl/>
      <w:pBdr>
        <w:top w:val="single" w:color="auto" w:sz="8"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80">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kern w:val="0"/>
      <w:sz w:val="21"/>
    </w:rPr>
  </w:style>
  <w:style w:type="paragraph" w:customStyle="1" w:styleId="281">
    <w:name w:val="xl93"/>
    <w:basedOn w:val="1"/>
    <w:autoRedefine/>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82">
    <w:name w:val="xl94"/>
    <w:basedOn w:val="1"/>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240" w:lineRule="auto"/>
      <w:ind w:firstLine="0" w:firstLineChars="0"/>
      <w:jc w:val="center"/>
    </w:pPr>
    <w:rPr>
      <w:color w:val="000000"/>
      <w:kern w:val="0"/>
      <w:sz w:val="21"/>
    </w:rPr>
  </w:style>
  <w:style w:type="paragraph" w:customStyle="1" w:styleId="283">
    <w:name w:val="xl9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color w:val="000000"/>
      <w:kern w:val="0"/>
      <w:sz w:val="21"/>
    </w:rPr>
  </w:style>
  <w:style w:type="paragraph" w:customStyle="1" w:styleId="284">
    <w:name w:val="xl9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1"/>
    </w:rPr>
  </w:style>
  <w:style w:type="paragraph" w:customStyle="1" w:styleId="285">
    <w:name w:val="xl9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仿宋" w:hAnsi="仿宋" w:eastAsia="仿宋" w:cs="宋体"/>
      <w:b/>
      <w:bCs/>
      <w:kern w:val="0"/>
      <w:sz w:val="21"/>
    </w:rPr>
  </w:style>
  <w:style w:type="paragraph" w:customStyle="1" w:styleId="286">
    <w:name w:val="xl9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rPr>
  </w:style>
  <w:style w:type="paragraph" w:customStyle="1" w:styleId="287">
    <w:name w:val="xl9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Cs w:val="24"/>
    </w:rPr>
  </w:style>
  <w:style w:type="paragraph" w:customStyle="1" w:styleId="288">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b/>
      <w:bCs/>
      <w:kern w:val="0"/>
      <w:sz w:val="21"/>
    </w:rPr>
  </w:style>
  <w:style w:type="paragraph" w:customStyle="1" w:styleId="289">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left"/>
    </w:pPr>
    <w:rPr>
      <w:rFonts w:ascii="宋体" w:hAnsi="宋体" w:cs="宋体"/>
      <w:b/>
      <w:bCs/>
      <w:kern w:val="0"/>
      <w:szCs w:val="24"/>
    </w:rPr>
  </w:style>
  <w:style w:type="table" w:customStyle="1" w:styleId="290">
    <w:name w:val="网格型4"/>
    <w:basedOn w:val="4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1">
    <w:name w:val="表名 Char"/>
    <w:link w:val="239"/>
    <w:autoRedefine/>
    <w:qFormat/>
    <w:uiPriority w:val="0"/>
    <w:rPr>
      <w:b/>
      <w:kern w:val="2"/>
      <w:sz w:val="21"/>
      <w:szCs w:val="21"/>
    </w:rPr>
  </w:style>
  <w:style w:type="paragraph" w:customStyle="1" w:styleId="292">
    <w:name w:val="正文文本1"/>
    <w:basedOn w:val="1"/>
    <w:autoRedefine/>
    <w:qFormat/>
    <w:uiPriority w:val="0"/>
    <w:rPr>
      <w:rFonts w:ascii="宋体" w:hAnsi="Calibri"/>
      <w:kern w:val="0"/>
      <w:szCs w:val="32"/>
    </w:rPr>
  </w:style>
  <w:style w:type="table" w:customStyle="1" w:styleId="293">
    <w:name w:val="样式31"/>
    <w:basedOn w:val="42"/>
    <w:autoRedefine/>
    <w:qFormat/>
    <w:uiPriority w:val="99"/>
    <w:rPr>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tcPr>
        <w:shd w:val="clear" w:color="auto" w:fill="D8D8D8" w:themeFill="background1" w:themeFillShade="D9"/>
      </w:tcPr>
    </w:tblStylePr>
  </w:style>
  <w:style w:type="character" w:customStyle="1" w:styleId="294">
    <w:name w:val="图名 Char"/>
    <w:link w:val="223"/>
    <w:qFormat/>
    <w:uiPriority w:val="0"/>
    <w:rPr>
      <w:rFonts w:ascii="宋体" w:hAnsi="宋体"/>
      <w:b/>
      <w:kern w:val="2"/>
      <w:sz w:val="21"/>
      <w:szCs w:val="24"/>
    </w:rPr>
  </w:style>
  <w:style w:type="paragraph" w:customStyle="1" w:styleId="295">
    <w:name w:val="表格后首段正文"/>
    <w:basedOn w:val="1"/>
    <w:link w:val="296"/>
    <w:qFormat/>
    <w:uiPriority w:val="0"/>
    <w:pPr>
      <w:adjustRightInd w:val="0"/>
      <w:snapToGrid w:val="0"/>
      <w:spacing w:before="70" w:beforeLines="70"/>
    </w:pPr>
    <w:rPr>
      <w:rFonts w:cstheme="minorBidi"/>
    </w:rPr>
  </w:style>
  <w:style w:type="character" w:customStyle="1" w:styleId="296">
    <w:name w:val="表格后首段正文 字符"/>
    <w:basedOn w:val="44"/>
    <w:link w:val="295"/>
    <w:autoRedefine/>
    <w:qFormat/>
    <w:uiPriority w:val="0"/>
    <w:rPr>
      <w:rFonts w:cstheme="minorBidi"/>
      <w:kern w:val="2"/>
      <w:sz w:val="24"/>
      <w:szCs w:val="21"/>
    </w:rPr>
  </w:style>
  <w:style w:type="table" w:customStyle="1" w:styleId="297">
    <w:name w:val="方案模板样式"/>
    <w:basedOn w:val="42"/>
    <w:qFormat/>
    <w:uiPriority w:val="99"/>
    <w:pPr>
      <w:jc w:val="center"/>
    </w:pPr>
    <w:rPr>
      <w:rFonts w:ascii="Calibri" w:hAnsi="Calibri"/>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rPr>
      <w:jc w:val="center"/>
    </w:trPr>
    <w:tcPr>
      <w:vAlign w:val="center"/>
    </w:tcPr>
    <w:tblStylePr w:type="firstRow">
      <w:rPr>
        <w:rFonts w:ascii="Times New Roman" w:hAnsi="Times New Roman" w:eastAsia="宋体"/>
        <w:b/>
        <w:sz w:val="21"/>
      </w:rPr>
      <w:tcPr>
        <w:shd w:val="clear" w:color="auto" w:fill="D8D8D8" w:themeFill="background1" w:themeFillShade="D9"/>
      </w:tcPr>
    </w:tblStylePr>
  </w:style>
  <w:style w:type="paragraph" w:customStyle="1" w:styleId="298">
    <w:name w:val="仙新图表"/>
    <w:basedOn w:val="1"/>
    <w:next w:val="1"/>
    <w:autoRedefine/>
    <w:qFormat/>
    <w:uiPriority w:val="0"/>
    <w:pPr>
      <w:adjustRightInd w:val="0"/>
      <w:snapToGrid w:val="0"/>
      <w:ind w:firstLine="0" w:firstLineChars="0"/>
      <w:jc w:val="center"/>
    </w:pPr>
    <w:rPr>
      <w:rFonts w:cstheme="minorBidi"/>
      <w:b/>
    </w:rPr>
  </w:style>
  <w:style w:type="paragraph" w:customStyle="1" w:styleId="299">
    <w:name w:val="xl102"/>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 w:val="21"/>
    </w:rPr>
  </w:style>
  <w:style w:type="paragraph" w:customStyle="1" w:styleId="300">
    <w:name w:val="xl103"/>
    <w:basedOn w:val="1"/>
    <w:autoRedefine/>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1">
    <w:name w:val="xl104"/>
    <w:basedOn w:val="1"/>
    <w:autoRedefine/>
    <w:qFormat/>
    <w:uiPriority w:val="0"/>
    <w:pPr>
      <w:widowControl/>
      <w:pBdr>
        <w:left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2">
    <w:name w:val="xl105"/>
    <w:basedOn w:val="1"/>
    <w:autoRedefine/>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303">
    <w:name w:val="xl106"/>
    <w:basedOn w:val="1"/>
    <w:autoRedefine/>
    <w:qFormat/>
    <w:uiPriority w:val="0"/>
    <w:pPr>
      <w:widowControl/>
      <w:pBdr>
        <w:top w:val="single" w:color="auto" w:sz="8" w:space="0"/>
        <w:left w:val="single" w:color="auto" w:sz="8"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4">
    <w:name w:val="xl107"/>
    <w:basedOn w:val="1"/>
    <w:autoRedefine/>
    <w:qFormat/>
    <w:uiPriority w:val="0"/>
    <w:pPr>
      <w:widowControl/>
      <w:pBdr>
        <w:left w:val="single" w:color="auto" w:sz="8"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5">
    <w:name w:val="xl108"/>
    <w:basedOn w:val="1"/>
    <w:qFormat/>
    <w:uiPriority w:val="0"/>
    <w:pPr>
      <w:widowControl/>
      <w:pBdr>
        <w:left w:val="single" w:color="auto" w:sz="8" w:space="0"/>
        <w:bottom w:val="single" w:color="auto" w:sz="12" w:space="0"/>
        <w:right w:val="single" w:color="auto" w:sz="12" w:space="0"/>
      </w:pBdr>
      <w:spacing w:before="100" w:beforeAutospacing="1" w:after="100" w:afterAutospacing="1" w:line="240" w:lineRule="auto"/>
      <w:ind w:firstLine="0" w:firstLineChars="0"/>
      <w:jc w:val="center"/>
    </w:pPr>
    <w:rPr>
      <w:kern w:val="0"/>
      <w:sz w:val="21"/>
    </w:rPr>
  </w:style>
  <w:style w:type="paragraph" w:customStyle="1" w:styleId="306">
    <w:name w:val="xl109"/>
    <w:basedOn w:val="1"/>
    <w:qFormat/>
    <w:uiPriority w:val="0"/>
    <w:pPr>
      <w:widowControl/>
      <w:pBdr>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07">
    <w:name w:val="xl110"/>
    <w:basedOn w:val="1"/>
    <w:qFormat/>
    <w:uiPriority w:val="0"/>
    <w:pPr>
      <w:widowControl/>
      <w:pBdr>
        <w:top w:val="single" w:color="auto" w:sz="8" w:space="0"/>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08">
    <w:name w:val="xl111"/>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kern w:val="0"/>
      <w:sz w:val="21"/>
    </w:rPr>
  </w:style>
  <w:style w:type="paragraph" w:customStyle="1" w:styleId="309">
    <w:name w:val="xl112"/>
    <w:basedOn w:val="1"/>
    <w:qFormat/>
    <w:uiPriority w:val="0"/>
    <w:pPr>
      <w:widowControl/>
      <w:pBdr>
        <w:top w:val="single" w:color="auto" w:sz="12" w:space="0"/>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10">
    <w:name w:val="xl113"/>
    <w:basedOn w:val="1"/>
    <w:qFormat/>
    <w:uiPriority w:val="0"/>
    <w:pPr>
      <w:widowControl/>
      <w:pBdr>
        <w:left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11">
    <w:name w:val="xl114"/>
    <w:basedOn w:val="1"/>
    <w:qFormat/>
    <w:uiPriority w:val="0"/>
    <w:pPr>
      <w:widowControl/>
      <w:pBdr>
        <w:left w:val="single" w:color="auto" w:sz="8" w:space="0"/>
        <w:bottom w:val="single" w:color="auto" w:sz="8" w:space="0"/>
        <w:right w:val="single" w:color="auto" w:sz="8" w:space="0"/>
      </w:pBdr>
      <w:spacing w:before="100" w:beforeAutospacing="1" w:after="100" w:afterAutospacing="1" w:line="240" w:lineRule="auto"/>
      <w:ind w:firstLine="0" w:firstLineChars="0"/>
      <w:jc w:val="left"/>
    </w:pPr>
    <w:rPr>
      <w:rFonts w:ascii="宋体" w:hAnsi="宋体" w:cs="宋体"/>
      <w:b/>
      <w:bCs/>
      <w:kern w:val="0"/>
      <w:sz w:val="21"/>
    </w:rPr>
  </w:style>
  <w:style w:type="paragraph" w:customStyle="1" w:styleId="312">
    <w:name w:val="列出段落1"/>
    <w:basedOn w:val="1"/>
    <w:qFormat/>
    <w:uiPriority w:val="0"/>
    <w:pPr>
      <w:widowControl/>
      <w:spacing w:after="200" w:line="276" w:lineRule="auto"/>
      <w:ind w:firstLine="420"/>
      <w:jc w:val="left"/>
    </w:pPr>
    <w:rPr>
      <w:rFonts w:ascii="Arial Unicode MS" w:hAnsi="Arial Unicode MS"/>
      <w:kern w:val="0"/>
      <w:sz w:val="22"/>
      <w:szCs w:val="22"/>
      <w:lang w:eastAsia="en-US" w:bidi="en-US"/>
    </w:rPr>
  </w:style>
  <w:style w:type="paragraph" w:customStyle="1" w:styleId="313">
    <w:name w:val="仙新表格"/>
    <w:basedOn w:val="1"/>
    <w:next w:val="1"/>
    <w:link w:val="314"/>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 w:type="character" w:customStyle="1" w:styleId="314">
    <w:name w:val="仙新表格 字符"/>
    <w:basedOn w:val="44"/>
    <w:link w:val="313"/>
    <w:qFormat/>
    <w:uiPriority w:val="0"/>
    <w:rPr>
      <w:rFonts w:cstheme="minorBidi"/>
      <w:color w:val="000000" w:themeColor="text1"/>
      <w:kern w:val="2"/>
      <w:sz w:val="21"/>
      <w:szCs w:val="21"/>
      <w14:textFill>
        <w14:solidFill>
          <w14:schemeClr w14:val="tx1"/>
        </w14:solidFill>
      </w14:textFill>
    </w:rPr>
  </w:style>
  <w:style w:type="table" w:customStyle="1" w:styleId="315">
    <w:name w:val="网格表 1 浅色 - 着色 11"/>
    <w:basedOn w:val="42"/>
    <w:qFormat/>
    <w:uiPriority w:val="46"/>
    <w:rPr>
      <w:rFonts w:asciiTheme="minorHAnsi" w:hAnsiTheme="minorHAnsi" w:eastAsiaTheme="minorEastAsia" w:cstheme="minorBidi"/>
      <w:kern w:val="2"/>
      <w:sz w:val="21"/>
      <w:szCs w:val="22"/>
    </w:rPr>
    <w:tblPr>
      <w:tblBorders>
        <w:top w:val="single" w:color="B8CCE4" w:themeColor="accent1" w:themeTint="66" w:sz="4" w:space="0"/>
        <w:left w:val="single" w:color="B8CCE4" w:themeColor="accent1" w:themeTint="66" w:sz="4" w:space="0"/>
        <w:bottom w:val="single" w:color="B8CCE4" w:themeColor="accent1" w:themeTint="66" w:sz="4" w:space="0"/>
        <w:right w:val="single" w:color="B8CCE4" w:themeColor="accent1" w:themeTint="66" w:sz="4" w:space="0"/>
        <w:insideH w:val="single" w:color="B8CCE4" w:themeColor="accent1" w:themeTint="66" w:sz="4" w:space="0"/>
        <w:insideV w:val="single" w:color="B8CCE4" w:themeColor="accent1" w:themeTint="66" w:sz="4" w:space="0"/>
      </w:tblBorders>
    </w:tblPr>
    <w:tblStylePr w:type="firstRow">
      <w:rPr>
        <w:b/>
        <w:bCs/>
      </w:rPr>
      <w:tcPr>
        <w:tcBorders>
          <w:bottom w:val="single" w:color="95B3D7" w:themeColor="accent1" w:themeTint="99" w:sz="12" w:space="0"/>
        </w:tcBorders>
      </w:tcPr>
    </w:tblStylePr>
    <w:tblStylePr w:type="lastRow">
      <w:rPr>
        <w:b/>
        <w:bCs/>
      </w:rPr>
      <w:tcPr>
        <w:tcBorders>
          <w:top w:val="double" w:color="95B3D7" w:themeColor="accent1" w:themeTint="99" w:sz="2" w:space="0"/>
        </w:tcBorders>
      </w:tcPr>
    </w:tblStylePr>
    <w:tblStylePr w:type="firstCol">
      <w:rPr>
        <w:b/>
        <w:bCs/>
      </w:rPr>
    </w:tblStylePr>
    <w:tblStylePr w:type="lastCol">
      <w:rPr>
        <w:b/>
        <w:bCs/>
      </w:rPr>
    </w:tblStylePr>
  </w:style>
  <w:style w:type="character" w:customStyle="1" w:styleId="316">
    <w:name w:val="正文缩进 字符"/>
    <w:link w:val="13"/>
    <w:qFormat/>
    <w:uiPriority w:val="0"/>
    <w:rPr>
      <w:rFonts w:ascii="Calibri" w:hAnsi="Calibri"/>
      <w:kern w:val="2"/>
      <w:sz w:val="24"/>
      <w:szCs w:val="22"/>
    </w:rPr>
  </w:style>
  <w:style w:type="paragraph" w:customStyle="1" w:styleId="317">
    <w:name w:val="Char Char Char Char Char Char Char1"/>
    <w:basedOn w:val="17"/>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table" w:customStyle="1" w:styleId="318">
    <w:name w:val="k网格型1"/>
    <w:basedOn w:val="42"/>
    <w:qFormat/>
    <w:uiPriority w:val="59"/>
    <w:pPr>
      <w:jc w:val="center"/>
    </w:pPr>
    <w:rPr>
      <w:kern w:val="2"/>
      <w:sz w:val="21"/>
      <w:szCs w:val="22"/>
    </w:r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
    <w:tcPr>
      <w:vAlign w:val="center"/>
    </w:tcPr>
    <w:tblStylePr w:type="firstRow">
      <w:rPr>
        <w:b/>
      </w:rPr>
    </w:tblStylePr>
  </w:style>
  <w:style w:type="paragraph" w:customStyle="1" w:styleId="319">
    <w:name w:val="列出段落2"/>
    <w:basedOn w:val="1"/>
    <w:qFormat/>
    <w:uiPriority w:val="34"/>
    <w:pPr>
      <w:ind w:firstLine="420"/>
    </w:pPr>
    <w:rPr>
      <w:rFonts w:ascii="宋体" w:hAnsi="Calibri"/>
      <w:szCs w:val="22"/>
    </w:rPr>
  </w:style>
  <w:style w:type="paragraph" w:customStyle="1" w:styleId="320">
    <w:name w:val="Char Char Char Char Char Char Char2"/>
    <w:basedOn w:val="17"/>
    <w:qFormat/>
    <w:uiPriority w:val="0"/>
    <w:pPr>
      <w:shd w:val="clear" w:color="auto" w:fill="000080"/>
      <w:adjustRightInd w:val="0"/>
      <w:spacing w:line="436" w:lineRule="exact"/>
      <w:ind w:left="357" w:firstLine="0" w:firstLineChars="0"/>
      <w:jc w:val="left"/>
      <w:outlineLvl w:val="3"/>
    </w:pPr>
    <w:rPr>
      <w:rFonts w:ascii="Tahoma" w:hAnsi="Tahoma" w:eastAsia="宋体"/>
      <w:b/>
      <w:sz w:val="24"/>
      <w:szCs w:val="24"/>
    </w:rPr>
  </w:style>
  <w:style w:type="table" w:customStyle="1" w:styleId="321">
    <w:name w:val="网格表 4 - 着色 111"/>
    <w:basedOn w:val="42"/>
    <w:qFormat/>
    <w:uiPriority w:val="49"/>
    <w:rPr>
      <w:rFonts w:ascii="Calibri" w:hAnsi="Calibri"/>
    </w:rPr>
    <w:tblPr>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14:textFill>
          <w14:solidFill>
            <w14:schemeClr w14:val="bg1"/>
          </w14:solidFill>
        </w14:textFill>
      </w:r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cPr>
        <w:tcBorders>
          <w:top w:val="double" w:color="4F81BD" w:themeColor="accent1" w:sz="4" w:space="0"/>
        </w:tcBorders>
      </w:tcPr>
    </w:tblStylePr>
    <w:tblStylePr w:type="firstCol">
      <w:rPr>
        <w:b/>
        <w:bCs/>
      </w:rPr>
    </w:tblStylePr>
    <w:tblStylePr w:type="lastCol">
      <w:rPr>
        <w:b/>
        <w:bCs/>
      </w:rPr>
    </w:tblStylePr>
    <w:tblStylePr w:type="band1Vert">
      <w:tcPr>
        <w:shd w:val="clear" w:color="auto" w:fill="DBE5F1" w:themeFill="accent1" w:themeFillTint="33"/>
      </w:tcPr>
    </w:tblStylePr>
    <w:tblStylePr w:type="band1Horz">
      <w:tcPr>
        <w:shd w:val="clear" w:color="auto" w:fill="DBE5F1" w:themeFill="accent1" w:themeFillTint="33"/>
      </w:tcPr>
    </w:tblStylePr>
  </w:style>
  <w:style w:type="table" w:customStyle="1" w:styleId="322">
    <w:name w:val="方案模板样式1"/>
    <w:basedOn w:val="42"/>
    <w:qFormat/>
    <w:uiPriority w:val="99"/>
    <w:pPr>
      <w:jc w:val="center"/>
    </w:pPr>
    <w:rPr>
      <w:rFonts w:ascii="Calibri" w:hAnsi="Calibri"/>
      <w:sz w:val="21"/>
    </w:rPr>
    <w:tblP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Pr>
    <w:tcPr>
      <w:vAlign w:val="center"/>
    </w:tcPr>
    <w:tblStylePr w:type="firstRow">
      <w:rPr>
        <w:rFonts w:hint="default" w:ascii="Times New Roman" w:hAnsi="Times New Roman" w:eastAsia="宋体" w:cs="Times New Roman"/>
        <w:b/>
        <w:sz w:val="21"/>
        <w:szCs w:val="21"/>
      </w:rPr>
      <w:tcPr>
        <w:shd w:val="clear" w:color="auto" w:fill="D8D8D8" w:themeFill="background1" w:themeFillShade="D9"/>
      </w:tcPr>
    </w:tblStylePr>
  </w:style>
  <w:style w:type="table" w:customStyle="1" w:styleId="323">
    <w:name w:val="571"/>
    <w:qFormat/>
    <w:uiPriority w:val="0"/>
    <w:pPr>
      <w:widowControl w:val="0"/>
      <w:autoSpaceDE w:val="0"/>
      <w:autoSpaceDN w:val="0"/>
      <w:adjustRightInd w:val="0"/>
    </w:pPr>
    <w:rPr>
      <w:sz w:val="24"/>
      <w:szCs w:val="24"/>
    </w:rPr>
    <w:tblP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top w:w="0" w:type="dxa"/>
        <w:left w:w="57" w:type="dxa"/>
        <w:bottom w:w="0" w:type="dxa"/>
        <w:right w:w="57" w:type="dxa"/>
      </w:tblCellMar>
    </w:tblPr>
    <w:tcPr>
      <w:vAlign w:val="center"/>
    </w:tcPr>
    <w:tblStylePr w:type="firstRow">
      <w:rPr>
        <w:b/>
      </w:rPr>
    </w:tblStylePr>
  </w:style>
  <w:style w:type="paragraph" w:customStyle="1" w:styleId="324">
    <w:name w:val="新生正文"/>
    <w:basedOn w:val="1"/>
    <w:link w:val="325"/>
    <w:qFormat/>
    <w:uiPriority w:val="0"/>
    <w:pPr>
      <w:adjustRightInd w:val="0"/>
      <w:jc w:val="left"/>
    </w:pPr>
    <w:rPr>
      <w:szCs w:val="28"/>
      <w:lang w:bidi="en-US"/>
    </w:rPr>
  </w:style>
  <w:style w:type="character" w:customStyle="1" w:styleId="325">
    <w:name w:val="新生正文 Char"/>
    <w:link w:val="324"/>
    <w:qFormat/>
    <w:locked/>
    <w:uiPriority w:val="0"/>
    <w:rPr>
      <w:kern w:val="2"/>
      <w:sz w:val="24"/>
      <w:szCs w:val="28"/>
      <w:lang w:bidi="en-US"/>
    </w:rPr>
  </w:style>
  <w:style w:type="paragraph" w:customStyle="1" w:styleId="326">
    <w:name w:val="Table Paragraph"/>
    <w:basedOn w:val="1"/>
    <w:qFormat/>
    <w:uiPriority w:val="1"/>
    <w:pPr>
      <w:jc w:val="center"/>
    </w:pPr>
    <w:rPr>
      <w:rFonts w:ascii="宋体" w:hAnsi="宋体" w:cs="宋体"/>
    </w:rPr>
  </w:style>
  <w:style w:type="paragraph" w:customStyle="1" w:styleId="327">
    <w:name w:val="燕矶表格文字"/>
    <w:basedOn w:val="1"/>
    <w:link w:val="328"/>
    <w:qFormat/>
    <w:uiPriority w:val="0"/>
    <w:pPr>
      <w:adjustRightInd w:val="0"/>
      <w:snapToGrid w:val="0"/>
      <w:spacing w:line="240" w:lineRule="auto"/>
      <w:ind w:firstLine="0" w:firstLineChars="0"/>
      <w:jc w:val="center"/>
    </w:pPr>
    <w:rPr>
      <w:rFonts w:cstheme="minorBidi"/>
      <w:color w:val="000000" w:themeColor="text1"/>
      <w:sz w:val="21"/>
      <w14:textFill>
        <w14:solidFill>
          <w14:schemeClr w14:val="tx1"/>
        </w14:solidFill>
      </w14:textFill>
    </w:rPr>
  </w:style>
  <w:style w:type="character" w:customStyle="1" w:styleId="328">
    <w:name w:val="燕矶表格文字 字符"/>
    <w:basedOn w:val="44"/>
    <w:link w:val="327"/>
    <w:qFormat/>
    <w:uiPriority w:val="0"/>
    <w:rPr>
      <w:rFonts w:cstheme="minorBidi"/>
      <w:color w:val="000000" w:themeColor="text1"/>
      <w:kern w:val="2"/>
      <w:sz w:val="21"/>
      <w:szCs w:val="21"/>
      <w14:textFill>
        <w14:solidFill>
          <w14:schemeClr w14:val="tx1"/>
        </w14:solidFill>
      </w14:textFill>
    </w:rPr>
  </w:style>
  <w:style w:type="character" w:customStyle="1" w:styleId="329">
    <w:name w:val="正文文本缩进 字符"/>
    <w:basedOn w:val="44"/>
    <w:link w:val="20"/>
    <w:qFormat/>
    <w:uiPriority w:val="0"/>
    <w:rPr>
      <w:color w:val="000000"/>
      <w:kern w:val="2"/>
      <w:sz w:val="28"/>
      <w:szCs w:val="24"/>
    </w:rPr>
  </w:style>
  <w:style w:type="character" w:customStyle="1" w:styleId="330">
    <w:name w:val="正文文本首行缩进 2 字符"/>
    <w:basedOn w:val="329"/>
    <w:link w:val="41"/>
    <w:qFormat/>
    <w:uiPriority w:val="0"/>
    <w:rPr>
      <w:color w:val="000000"/>
      <w:kern w:val="2"/>
      <w:sz w:val="24"/>
      <w:szCs w:val="24"/>
    </w:rPr>
  </w:style>
  <w:style w:type="paragraph" w:customStyle="1" w:styleId="331">
    <w:name w:val="燕矶图表名"/>
    <w:basedOn w:val="1"/>
    <w:next w:val="1"/>
    <w:qFormat/>
    <w:uiPriority w:val="0"/>
    <w:pPr>
      <w:spacing w:line="240" w:lineRule="auto"/>
      <w:ind w:firstLine="0" w:firstLineChars="0"/>
      <w:jc w:val="center"/>
    </w:pPr>
    <w:rPr>
      <w:rFonts w:hint="eastAsia"/>
      <w:b/>
      <w:bCs/>
      <w:color w:val="000000" w:themeColor="text1"/>
      <w:sz w:val="21"/>
      <w14:textFill>
        <w14:solidFill>
          <w14:schemeClr w14:val="tx1"/>
        </w14:solidFill>
      </w14:textFill>
    </w:rPr>
  </w:style>
  <w:style w:type="paragraph" w:customStyle="1" w:styleId="332">
    <w:name w:val="正文文本缩进3"/>
    <w:basedOn w:val="1"/>
    <w:qFormat/>
    <w:uiPriority w:val="99"/>
    <w:pPr>
      <w:adjustRightInd w:val="0"/>
      <w:snapToGrid w:val="0"/>
      <w:spacing w:after="120"/>
      <w:ind w:left="420" w:leftChars="200"/>
      <w:jc w:val="left"/>
    </w:pPr>
    <w:rPr>
      <w:rFonts w:ascii="Calibri" w:hAnsi="Calibri"/>
      <w:sz w:val="21"/>
      <w:szCs w:val="24"/>
    </w:rPr>
  </w:style>
  <w:style w:type="paragraph" w:customStyle="1" w:styleId="333">
    <w:name w:val="Char Char Char Char Char Char Char4"/>
    <w:basedOn w:val="17"/>
    <w:qFormat/>
    <w:uiPriority w:val="0"/>
    <w:pPr>
      <w:shd w:val="clear" w:color="auto" w:fill="000080"/>
      <w:adjustRightInd w:val="0"/>
      <w:snapToGrid w:val="0"/>
      <w:spacing w:line="436" w:lineRule="exact"/>
      <w:ind w:left="357" w:firstLine="883"/>
      <w:jc w:val="left"/>
      <w:outlineLvl w:val="3"/>
    </w:pPr>
    <w:rPr>
      <w:rFonts w:ascii="Tahoma" w:hAnsi="Tahoma" w:eastAsia="宋体"/>
      <w:b/>
      <w:sz w:val="24"/>
      <w:szCs w:val="24"/>
    </w:rPr>
  </w:style>
  <w:style w:type="paragraph" w:customStyle="1" w:styleId="334">
    <w:name w:val="Char Char Char Char Char Char Char3"/>
    <w:basedOn w:val="17"/>
    <w:qFormat/>
    <w:uiPriority w:val="0"/>
    <w:pPr>
      <w:shd w:val="clear" w:color="auto" w:fill="000080"/>
      <w:adjustRightInd w:val="0"/>
      <w:snapToGrid w:val="0"/>
      <w:spacing w:line="436" w:lineRule="exact"/>
      <w:ind w:left="357" w:firstLine="883"/>
      <w:jc w:val="left"/>
      <w:outlineLvl w:val="3"/>
    </w:pPr>
    <w:rPr>
      <w:rFonts w:ascii="Tahoma" w:hAnsi="Tahoma" w:eastAsia="宋体"/>
      <w:b/>
      <w:sz w:val="24"/>
      <w:szCs w:val="24"/>
    </w:rPr>
  </w:style>
  <w:style w:type="character" w:customStyle="1" w:styleId="335">
    <w:name w:val="图表文字 字符"/>
    <w:link w:val="220"/>
    <w:qFormat/>
    <w:uiPriority w:val="0"/>
    <w:rPr>
      <w:rFonts w:ascii="宋体" w:hAnsi="宋体"/>
      <w:kern w:val="2"/>
      <w:sz w:val="22"/>
      <w:szCs w:val="21"/>
      <w:lang w:val="zh-CN"/>
    </w:rPr>
  </w:style>
  <w:style w:type="paragraph" w:customStyle="1" w:styleId="336">
    <w:name w:val="标正文"/>
    <w:basedOn w:val="1"/>
    <w:link w:val="337"/>
    <w:qFormat/>
    <w:uiPriority w:val="0"/>
    <w:rPr>
      <w:rFonts w:cstheme="minorBidi"/>
      <w:szCs w:val="22"/>
    </w:rPr>
  </w:style>
  <w:style w:type="character" w:customStyle="1" w:styleId="337">
    <w:name w:val="标正文 Char"/>
    <w:basedOn w:val="44"/>
    <w:link w:val="336"/>
    <w:qFormat/>
    <w:uiPriority w:val="0"/>
    <w:rPr>
      <w:rFonts w:cstheme="minorBidi"/>
      <w:kern w:val="2"/>
      <w:sz w:val="24"/>
      <w:szCs w:val="22"/>
    </w:rPr>
  </w:style>
  <w:style w:type="paragraph" w:customStyle="1" w:styleId="338">
    <w:name w:val="正文文本C"/>
    <w:basedOn w:val="1"/>
    <w:qFormat/>
    <w:uiPriority w:val="0"/>
    <w:pPr>
      <w:widowControl/>
      <w:adjustRightInd w:val="0"/>
      <w:snapToGrid w:val="0"/>
      <w:jc w:val="left"/>
    </w:pPr>
    <w:rPr>
      <w:rFonts w:ascii="宋体" w:hAnsi="宋体" w:cs="宋体"/>
      <w:kern w:val="0"/>
      <w:szCs w:val="24"/>
    </w:rPr>
  </w:style>
  <w:style w:type="paragraph" w:customStyle="1" w:styleId="339">
    <w:name w:val="msolistparagraph"/>
    <w:basedOn w:val="1"/>
    <w:qFormat/>
    <w:uiPriority w:val="0"/>
    <w:pPr>
      <w:adjustRightInd w:val="0"/>
      <w:snapToGrid w:val="0"/>
      <w:ind w:firstLine="420"/>
    </w:pPr>
    <w:rPr>
      <w:rFonts w:hint="eastAsia" w:ascii="等线" w:hAnsi="等线" w:eastAsia="仿宋"/>
      <w:sz w:val="21"/>
      <w:szCs w:val="22"/>
    </w:rPr>
  </w:style>
  <w:style w:type="character" w:customStyle="1" w:styleId="340">
    <w:name w:val="Char Char1"/>
    <w:qFormat/>
    <w:uiPriority w:val="0"/>
    <w:rPr>
      <w:rFonts w:eastAsia="宋体"/>
      <w:kern w:val="2"/>
      <w:sz w:val="18"/>
      <w:szCs w:val="18"/>
      <w:lang w:val="en-US" w:eastAsia="zh-CN" w:bidi="ar-SA"/>
    </w:rPr>
  </w:style>
  <w:style w:type="character" w:customStyle="1" w:styleId="341">
    <w:name w:val="fontstyle21"/>
    <w:basedOn w:val="44"/>
    <w:qFormat/>
    <w:uiPriority w:val="0"/>
    <w:rPr>
      <w:rFonts w:hint="eastAsia" w:ascii="宋体" w:hAnsi="宋体" w:eastAsia="宋体"/>
      <w:color w:val="000000"/>
      <w:sz w:val="24"/>
      <w:szCs w:val="24"/>
    </w:rPr>
  </w:style>
  <w:style w:type="character" w:customStyle="1" w:styleId="342">
    <w:name w:val="Char Char2"/>
    <w:qFormat/>
    <w:uiPriority w:val="0"/>
    <w:rPr>
      <w:rFonts w:ascii="仿宋_GB2312" w:eastAsia="仿宋_GB2312"/>
      <w:kern w:val="2"/>
      <w:sz w:val="21"/>
      <w:szCs w:val="21"/>
    </w:rPr>
  </w:style>
  <w:style w:type="paragraph" w:customStyle="1" w:styleId="343">
    <w:name w:val="表格、图名"/>
    <w:basedOn w:val="1"/>
    <w:link w:val="344"/>
    <w:qFormat/>
    <w:uiPriority w:val="0"/>
    <w:pPr>
      <w:adjustRightInd w:val="0"/>
      <w:snapToGrid w:val="0"/>
      <w:ind w:firstLine="883"/>
      <w:jc w:val="center"/>
    </w:pPr>
    <w:rPr>
      <w:rFonts w:ascii="宋体" w:hAnsi="宋体" w:eastAsia="仿宋_GB2312" w:cs="宋体"/>
      <w:b/>
      <w:color w:val="0000FF"/>
      <w:kern w:val="0"/>
      <w:szCs w:val="24"/>
    </w:rPr>
  </w:style>
  <w:style w:type="character" w:customStyle="1" w:styleId="344">
    <w:name w:val="表格、图名 Char"/>
    <w:link w:val="343"/>
    <w:qFormat/>
    <w:uiPriority w:val="0"/>
    <w:rPr>
      <w:rFonts w:ascii="宋体" w:hAnsi="宋体" w:eastAsia="仿宋_GB2312" w:cs="宋体"/>
      <w:b/>
      <w:color w:val="0000FF"/>
      <w:sz w:val="24"/>
      <w:szCs w:val="24"/>
    </w:rPr>
  </w:style>
  <w:style w:type="character" w:customStyle="1" w:styleId="345">
    <w:name w:val="正文 Char"/>
    <w:qFormat/>
    <w:uiPriority w:val="0"/>
    <w:rPr>
      <w:rFonts w:cs="Times New Roman"/>
      <w:sz w:val="24"/>
      <w:lang w:val="en-US" w:eastAsia="zh-CN" w:bidi="ar-SA"/>
    </w:rPr>
  </w:style>
  <w:style w:type="character" w:customStyle="1" w:styleId="346">
    <w:name w:val="HT正文 Char"/>
    <w:link w:val="347"/>
    <w:qFormat/>
    <w:uiPriority w:val="99"/>
    <w:rPr>
      <w:rFonts w:ascii="仿宋_GB2312" w:hAnsi="仿宋_GB2312" w:eastAsia="仿宋_GB2312"/>
      <w:kern w:val="28"/>
      <w:sz w:val="28"/>
      <w:szCs w:val="28"/>
    </w:rPr>
  </w:style>
  <w:style w:type="paragraph" w:customStyle="1" w:styleId="347">
    <w:name w:val="HT正文"/>
    <w:basedOn w:val="1"/>
    <w:link w:val="346"/>
    <w:qFormat/>
    <w:uiPriority w:val="99"/>
    <w:pPr>
      <w:adjustRightInd w:val="0"/>
      <w:snapToGrid w:val="0"/>
      <w:spacing w:line="460" w:lineRule="exact"/>
      <w:jc w:val="left"/>
    </w:pPr>
    <w:rPr>
      <w:rFonts w:ascii="仿宋_GB2312" w:hAnsi="仿宋_GB2312" w:eastAsia="仿宋_GB2312"/>
      <w:kern w:val="28"/>
      <w:sz w:val="28"/>
      <w:szCs w:val="28"/>
    </w:rPr>
  </w:style>
  <w:style w:type="paragraph" w:customStyle="1" w:styleId="348">
    <w:name w:val="！正文"/>
    <w:qFormat/>
    <w:uiPriority w:val="0"/>
    <w:pPr>
      <w:widowControl w:val="0"/>
      <w:spacing w:line="360" w:lineRule="auto"/>
      <w:ind w:firstLine="200" w:firstLineChars="200"/>
      <w:jc w:val="both"/>
      <w:textAlignment w:val="baseline"/>
    </w:pPr>
    <w:rPr>
      <w:rFonts w:ascii="Times New Roman" w:hAnsi="Times New Roman" w:eastAsia="仿宋_GB2312" w:cs="Times New Roman"/>
      <w:bCs/>
      <w:color w:val="000000"/>
      <w:sz w:val="24"/>
      <w:szCs w:val="28"/>
      <w:lang w:val="en-US" w:eastAsia="zh-CN" w:bidi="ar-SA"/>
    </w:rPr>
  </w:style>
  <w:style w:type="paragraph" w:customStyle="1" w:styleId="349">
    <w:name w:val="71表格五号"/>
    <w:basedOn w:val="1"/>
    <w:qFormat/>
    <w:uiPriority w:val="0"/>
    <w:pPr>
      <w:adjustRightInd w:val="0"/>
      <w:snapToGrid w:val="0"/>
      <w:ind w:firstLine="883"/>
      <w:jc w:val="center"/>
    </w:pPr>
    <w:rPr>
      <w:rFonts w:ascii="宋体" w:hAnsi="宋体" w:cs="宋体"/>
      <w:snapToGrid w:val="0"/>
      <w:kern w:val="0"/>
    </w:rPr>
  </w:style>
  <w:style w:type="paragraph" w:customStyle="1" w:styleId="350">
    <w:name w:val="正文缩进0.88"/>
    <w:basedOn w:val="1"/>
    <w:qFormat/>
    <w:uiPriority w:val="0"/>
    <w:pPr>
      <w:widowControl/>
      <w:adjustRightInd w:val="0"/>
      <w:snapToGrid w:val="0"/>
      <w:spacing w:line="440" w:lineRule="exact"/>
      <w:ind w:firstLine="499"/>
      <w:jc w:val="left"/>
    </w:pPr>
    <w:rPr>
      <w:rFonts w:ascii="宋体" w:hAnsi="宋体"/>
      <w:bCs/>
      <w:szCs w:val="22"/>
    </w:rPr>
  </w:style>
  <w:style w:type="paragraph" w:customStyle="1" w:styleId="351">
    <w:name w:val="样式 目录 1 + 行距: 固定值 20 磅"/>
    <w:basedOn w:val="30"/>
    <w:qFormat/>
    <w:uiPriority w:val="0"/>
    <w:pPr>
      <w:tabs>
        <w:tab w:val="right" w:leader="dot" w:pos="8778"/>
      </w:tabs>
      <w:adjustRightInd w:val="0"/>
      <w:snapToGrid w:val="0"/>
      <w:spacing w:before="100" w:after="100"/>
      <w:jc w:val="both"/>
    </w:pPr>
    <w:rPr>
      <w:rFonts w:cs="宋体"/>
      <w:b/>
      <w:caps w:val="0"/>
      <w:sz w:val="21"/>
    </w:rPr>
  </w:style>
  <w:style w:type="paragraph" w:customStyle="1" w:styleId="352">
    <w:name w:val="正文C"/>
    <w:basedOn w:val="1"/>
    <w:link w:val="378"/>
    <w:qFormat/>
    <w:uiPriority w:val="0"/>
    <w:pPr>
      <w:widowControl/>
      <w:adjustRightInd w:val="0"/>
      <w:snapToGrid w:val="0"/>
      <w:jc w:val="left"/>
    </w:pPr>
    <w:rPr>
      <w:rFonts w:ascii="宋体" w:hAnsi="宋体" w:cs="宋体"/>
      <w:color w:val="4F6228"/>
      <w:kern w:val="0"/>
      <w:szCs w:val="24"/>
    </w:rPr>
  </w:style>
  <w:style w:type="paragraph" w:customStyle="1" w:styleId="353">
    <w:name w:val="图表名1"/>
    <w:qFormat/>
    <w:uiPriority w:val="1"/>
    <w:pPr>
      <w:widowControl w:val="0"/>
      <w:jc w:val="center"/>
    </w:pPr>
    <w:rPr>
      <w:rFonts w:ascii="Times New Roman" w:hAnsi="Times New Roman" w:eastAsia="仿宋" w:cs="Times New Roman"/>
      <w:kern w:val="2"/>
      <w:sz w:val="21"/>
      <w:szCs w:val="24"/>
      <w:lang w:val="en-US" w:eastAsia="zh-CN" w:bidi="ar-SA"/>
    </w:rPr>
  </w:style>
  <w:style w:type="paragraph" w:customStyle="1" w:styleId="354">
    <w:name w:val="k 表格文字"/>
    <w:basedOn w:val="1"/>
    <w:next w:val="1"/>
    <w:qFormat/>
    <w:uiPriority w:val="0"/>
    <w:pPr>
      <w:adjustRightInd w:val="0"/>
      <w:snapToGrid w:val="0"/>
      <w:ind w:firstLine="883"/>
      <w:jc w:val="center"/>
    </w:pPr>
    <w:rPr>
      <w:rFonts w:ascii="仿宋_GB2312" w:eastAsia="仿宋_GB2312"/>
      <w:szCs w:val="22"/>
    </w:rPr>
  </w:style>
  <w:style w:type="paragraph" w:customStyle="1" w:styleId="355">
    <w:name w:val="表格小五"/>
    <w:basedOn w:val="1"/>
    <w:qFormat/>
    <w:uiPriority w:val="0"/>
    <w:pPr>
      <w:adjustRightInd w:val="0"/>
      <w:snapToGrid w:val="0"/>
      <w:ind w:firstLine="883"/>
      <w:jc w:val="center"/>
    </w:pPr>
    <w:rPr>
      <w:rFonts w:ascii="宋体" w:hAnsi="宋体" w:cs="宋体"/>
      <w:snapToGrid w:val="0"/>
      <w:kern w:val="0"/>
      <w:sz w:val="18"/>
      <w:szCs w:val="18"/>
    </w:rPr>
  </w:style>
  <w:style w:type="paragraph" w:customStyle="1" w:styleId="356">
    <w:name w:val="样式 标题 3 + 加粗"/>
    <w:basedOn w:val="4"/>
    <w:next w:val="1"/>
    <w:qFormat/>
    <w:uiPriority w:val="0"/>
    <w:pPr>
      <w:keepNext/>
      <w:numPr>
        <w:ilvl w:val="0"/>
        <w:numId w:val="0"/>
      </w:numPr>
      <w:adjustRightInd w:val="0"/>
      <w:snapToGrid w:val="0"/>
      <w:spacing w:before="60" w:after="60" w:line="240" w:lineRule="auto"/>
    </w:pPr>
    <w:rPr>
      <w:color w:val="000000"/>
    </w:rPr>
  </w:style>
  <w:style w:type="paragraph" w:customStyle="1" w:styleId="357">
    <w:name w:val="!表内仿宋"/>
    <w:qFormat/>
    <w:uiPriority w:val="0"/>
    <w:pPr>
      <w:widowControl w:val="0"/>
      <w:adjustRightInd w:val="0"/>
      <w:jc w:val="center"/>
      <w:textAlignment w:val="baseline"/>
    </w:pPr>
    <w:rPr>
      <w:rFonts w:ascii="Times New Roman" w:hAnsi="Times New Roman" w:eastAsia="仿宋_GB2312" w:cs="Times New Roman"/>
      <w:bCs/>
      <w:color w:val="000000"/>
      <w:sz w:val="21"/>
      <w:szCs w:val="28"/>
      <w:lang w:val="en-US" w:eastAsia="zh-CN" w:bidi="ar-SA"/>
    </w:rPr>
  </w:style>
  <w:style w:type="paragraph" w:customStyle="1" w:styleId="358">
    <w:name w:val="aa"/>
    <w:basedOn w:val="1"/>
    <w:qFormat/>
    <w:uiPriority w:val="0"/>
    <w:pPr>
      <w:adjustRightInd w:val="0"/>
      <w:snapToGrid w:val="0"/>
      <w:ind w:firstLine="883"/>
    </w:pPr>
    <w:rPr>
      <w:szCs w:val="24"/>
    </w:rPr>
  </w:style>
  <w:style w:type="paragraph" w:customStyle="1" w:styleId="359">
    <w:name w:val="三级标题"/>
    <w:qFormat/>
    <w:uiPriority w:val="0"/>
    <w:pPr>
      <w:tabs>
        <w:tab w:val="left" w:pos="709"/>
      </w:tabs>
      <w:spacing w:before="160" w:after="160" w:line="460" w:lineRule="exact"/>
      <w:outlineLvl w:val="2"/>
    </w:pPr>
    <w:rPr>
      <w:rFonts w:ascii="黑体" w:hAnsi="宋体" w:eastAsia="黑体" w:cs="Times New Roman"/>
      <w:kern w:val="2"/>
      <w:sz w:val="28"/>
      <w:szCs w:val="22"/>
      <w:lang w:val="en-US" w:eastAsia="zh-CN" w:bidi="ar-SA"/>
    </w:rPr>
  </w:style>
  <w:style w:type="paragraph" w:customStyle="1" w:styleId="360">
    <w:name w:val="澳氹图及题注"/>
    <w:basedOn w:val="1"/>
    <w:next w:val="1"/>
    <w:qFormat/>
    <w:uiPriority w:val="0"/>
    <w:pPr>
      <w:adjustRightInd w:val="0"/>
      <w:snapToGrid w:val="0"/>
      <w:spacing w:line="300" w:lineRule="auto"/>
      <w:ind w:firstLine="883"/>
      <w:jc w:val="center"/>
    </w:pPr>
    <w:rPr>
      <w:b/>
      <w:szCs w:val="22"/>
    </w:rPr>
  </w:style>
  <w:style w:type="paragraph" w:customStyle="1" w:styleId="361">
    <w:name w:val="!正文仿小四"/>
    <w:basedOn w:val="1"/>
    <w:qFormat/>
    <w:uiPriority w:val="0"/>
    <w:pPr>
      <w:adjustRightInd w:val="0"/>
      <w:snapToGrid w:val="0"/>
      <w:jc w:val="left"/>
    </w:pPr>
    <w:rPr>
      <w:rFonts w:ascii="Courier New" w:hAnsi="Courier New" w:eastAsia="Tahoma" w:cs="Courier New"/>
      <w:szCs w:val="24"/>
    </w:rPr>
  </w:style>
  <w:style w:type="paragraph" w:customStyle="1" w:styleId="362">
    <w:name w:val="i正文"/>
    <w:qFormat/>
    <w:uiPriority w:val="0"/>
    <w:pPr>
      <w:topLinePunct/>
      <w:spacing w:line="500" w:lineRule="exact"/>
      <w:ind w:firstLine="200" w:firstLineChars="200"/>
      <w:textAlignment w:val="top"/>
    </w:pPr>
    <w:rPr>
      <w:rFonts w:ascii="仿宋_GB2312" w:hAnsi="宋体" w:eastAsia="仿宋_GB2312" w:cs="Times New Roman"/>
      <w:color w:val="000000"/>
      <w:sz w:val="24"/>
      <w:szCs w:val="24"/>
      <w:lang w:val="en-US" w:eastAsia="zh-CN" w:bidi="ar-SA"/>
    </w:rPr>
  </w:style>
  <w:style w:type="paragraph" w:customStyle="1" w:styleId="363">
    <w:name w:val="正文部分"/>
    <w:basedOn w:val="1"/>
    <w:qFormat/>
    <w:uiPriority w:val="0"/>
    <w:pPr>
      <w:adjustRightInd w:val="0"/>
      <w:snapToGrid w:val="0"/>
    </w:pPr>
    <w:rPr>
      <w:rFonts w:eastAsia="仿宋_GB2312"/>
      <w:szCs w:val="24"/>
    </w:rPr>
  </w:style>
  <w:style w:type="paragraph" w:customStyle="1" w:styleId="364">
    <w:name w:val="样式 目录 1 + 行距: 固定值 20 磅1"/>
    <w:basedOn w:val="30"/>
    <w:qFormat/>
    <w:uiPriority w:val="0"/>
    <w:pPr>
      <w:tabs>
        <w:tab w:val="right" w:leader="dot" w:pos="8778"/>
      </w:tabs>
      <w:adjustRightInd w:val="0"/>
      <w:snapToGrid w:val="0"/>
      <w:spacing w:before="100" w:after="100"/>
      <w:jc w:val="both"/>
    </w:pPr>
    <w:rPr>
      <w:rFonts w:cs="宋体"/>
      <w:b/>
      <w:caps w:val="0"/>
      <w:sz w:val="21"/>
    </w:rPr>
  </w:style>
  <w:style w:type="paragraph" w:customStyle="1" w:styleId="365">
    <w:name w:val="正文样式"/>
    <w:basedOn w:val="1"/>
    <w:qFormat/>
    <w:uiPriority w:val="0"/>
    <w:pPr>
      <w:widowControl/>
      <w:adjustRightInd w:val="0"/>
      <w:snapToGrid w:val="0"/>
      <w:ind w:firstLine="883"/>
    </w:pPr>
    <w:rPr>
      <w:rFonts w:cs="宋体"/>
      <w:szCs w:val="24"/>
    </w:rPr>
  </w:style>
  <w:style w:type="paragraph" w:customStyle="1" w:styleId="366">
    <w:name w:val="正文首行缩进1"/>
    <w:qFormat/>
    <w:uiPriority w:val="0"/>
    <w:pPr>
      <w:widowControl w:val="0"/>
      <w:autoSpaceDE w:val="0"/>
      <w:autoSpaceDN w:val="0"/>
      <w:adjustRightInd w:val="0"/>
      <w:spacing w:line="360" w:lineRule="auto"/>
      <w:ind w:firstLine="420" w:firstLineChars="100"/>
      <w:jc w:val="both"/>
    </w:pPr>
    <w:rPr>
      <w:rFonts w:ascii="Times New Roman" w:hAnsi="Times New Roman" w:eastAsia="宋体" w:cs="宋体"/>
      <w:sz w:val="18"/>
      <w:szCs w:val="28"/>
      <w:lang w:val="en-US" w:eastAsia="zh-CN" w:bidi="ar-SA"/>
    </w:rPr>
  </w:style>
  <w:style w:type="paragraph" w:customStyle="1" w:styleId="367">
    <w:name w:val="k正文"/>
    <w:basedOn w:val="1"/>
    <w:qFormat/>
    <w:uiPriority w:val="0"/>
    <w:pPr>
      <w:adjustRightInd w:val="0"/>
      <w:snapToGrid w:val="0"/>
    </w:pPr>
    <w:rPr>
      <w:szCs w:val="24"/>
    </w:rPr>
  </w:style>
  <w:style w:type="table" w:customStyle="1" w:styleId="368">
    <w:name w:val="标准样式27"/>
    <w:basedOn w:val="42"/>
    <w:qFormat/>
    <w:uiPriority w:val="99"/>
    <w:pPr>
      <w:jc w:val="center"/>
    </w:pPr>
    <w:tblPr>
      <w:jc w:val="center"/>
      <w:tblBorders>
        <w:top w:val="double" w:color="auto" w:sz="6" w:space="0"/>
        <w:left w:val="double" w:color="auto" w:sz="6" w:space="0"/>
        <w:bottom w:val="double" w:color="auto" w:sz="6" w:space="0"/>
        <w:right w:val="double" w:color="auto" w:sz="6" w:space="0"/>
        <w:insideH w:val="single" w:color="auto" w:sz="6" w:space="0"/>
        <w:insideV w:val="single" w:color="auto" w:sz="6" w:space="0"/>
      </w:tblBorders>
    </w:tblPr>
    <w:trPr>
      <w:jc w:val="center"/>
    </w:trPr>
    <w:tcPr>
      <w:shd w:val="clear" w:color="auto" w:fill="FFFFFF"/>
      <w:vAlign w:val="center"/>
    </w:tcPr>
    <w:tblStylePr w:type="firstRow">
      <w:rPr>
        <w:rFonts w:ascii="Courier New" w:hAnsi="Courier New" w:eastAsia="Symbol"/>
        <w:b/>
        <w:i w:val="0"/>
        <w:sz w:val="21"/>
      </w:rPr>
      <w:tcPr>
        <w:shd w:val="clear" w:color="auto" w:fill="8DB3E2"/>
      </w:tcPr>
    </w:tblStylePr>
    <w:tblStylePr w:type="firstCol">
      <w:tcPr>
        <w:shd w:val="clear" w:color="auto" w:fill="FFFFFF"/>
      </w:tcPr>
    </w:tblStylePr>
  </w:style>
  <w:style w:type="paragraph" w:customStyle="1" w:styleId="369">
    <w:name w:val="6正文"/>
    <w:basedOn w:val="1"/>
    <w:qFormat/>
    <w:uiPriority w:val="0"/>
    <w:pPr>
      <w:widowControl/>
      <w:adjustRightInd w:val="0"/>
      <w:snapToGrid w:val="0"/>
      <w:ind w:firstLine="480"/>
    </w:pPr>
    <w:rPr>
      <w:rFonts w:ascii="宋体" w:hAnsi="宋体" w:cs="宋体"/>
      <w:kern w:val="0"/>
      <w:szCs w:val="24"/>
    </w:rPr>
  </w:style>
  <w:style w:type="character" w:customStyle="1" w:styleId="370">
    <w:name w:val="图表文字 Char"/>
    <w:qFormat/>
    <w:uiPriority w:val="0"/>
    <w:rPr>
      <w:rFonts w:ascii="Times New Roman" w:hAnsi="Times New Roman" w:cs="宋体"/>
      <w:color w:val="000000"/>
      <w:sz w:val="21"/>
      <w:szCs w:val="24"/>
    </w:rPr>
  </w:style>
  <w:style w:type="character" w:customStyle="1" w:styleId="371">
    <w:name w:val="图名 字符"/>
    <w:basedOn w:val="44"/>
    <w:qFormat/>
    <w:uiPriority w:val="0"/>
    <w:rPr>
      <w:rFonts w:ascii="Times New Roman" w:hAnsi="Times New Roman"/>
      <w:b/>
      <w:kern w:val="2"/>
      <w:sz w:val="21"/>
      <w:szCs w:val="22"/>
    </w:rPr>
  </w:style>
  <w:style w:type="paragraph" w:customStyle="1" w:styleId="372">
    <w:name w:val="列表段落1"/>
    <w:basedOn w:val="1"/>
    <w:qFormat/>
    <w:uiPriority w:val="34"/>
    <w:pPr>
      <w:spacing w:line="320" w:lineRule="atLeast"/>
      <w:ind w:firstLine="420"/>
    </w:pPr>
    <w:rPr>
      <w:sz w:val="28"/>
    </w:rPr>
  </w:style>
  <w:style w:type="paragraph" w:customStyle="1" w:styleId="373">
    <w:name w:val="正文①"/>
    <w:basedOn w:val="11"/>
    <w:next w:val="1"/>
    <w:link w:val="374"/>
    <w:qFormat/>
    <w:uiPriority w:val="0"/>
    <w:pPr>
      <w:keepNext w:val="0"/>
      <w:keepLines w:val="0"/>
      <w:adjustRightInd w:val="0"/>
      <w:snapToGrid w:val="0"/>
      <w:spacing w:before="0" w:after="0" w:line="360" w:lineRule="auto"/>
      <w:ind w:left="1583" w:firstLine="200" w:firstLineChars="200"/>
      <w:jc w:val="left"/>
      <w:outlineLvl w:val="9"/>
    </w:pPr>
    <w:rPr>
      <w:rFonts w:ascii="Times New Roman" w:hAnsi="Times New Roman" w:eastAsia="宋体" w:cs="Times New Roman"/>
      <w:sz w:val="24"/>
    </w:rPr>
  </w:style>
  <w:style w:type="character" w:customStyle="1" w:styleId="374">
    <w:name w:val="正文① 字符"/>
    <w:link w:val="373"/>
    <w:qFormat/>
    <w:uiPriority w:val="0"/>
    <w:rPr>
      <w:kern w:val="2"/>
      <w:sz w:val="24"/>
      <w:szCs w:val="21"/>
    </w:rPr>
  </w:style>
  <w:style w:type="character" w:customStyle="1" w:styleId="375">
    <w:name w:val="表格内容 字符"/>
    <w:link w:val="210"/>
    <w:qFormat/>
    <w:uiPriority w:val="0"/>
    <w:rPr>
      <w:rFonts w:ascii="楷体_GB2312" w:eastAsia="楷体_GB2312"/>
      <w:sz w:val="24"/>
    </w:rPr>
  </w:style>
  <w:style w:type="character" w:customStyle="1" w:styleId="376">
    <w:name w:val="列表段落 字符1"/>
    <w:qFormat/>
    <w:uiPriority w:val="0"/>
    <w:rPr>
      <w:rFonts w:ascii="Times New Roman" w:hAnsi="Times New Roman"/>
      <w:kern w:val="2"/>
      <w:sz w:val="24"/>
      <w:szCs w:val="21"/>
    </w:rPr>
  </w:style>
  <w:style w:type="character" w:customStyle="1" w:styleId="377">
    <w:name w:val="明显引用 字符3"/>
    <w:semiHidden/>
    <w:qFormat/>
    <w:uiPriority w:val="0"/>
    <w:rPr>
      <w:rFonts w:ascii="Tahoma" w:eastAsia="Tahoma"/>
      <w:b/>
      <w:bCs/>
      <w:i/>
      <w:iCs/>
      <w:color w:val="4F81BD"/>
      <w:kern w:val="2"/>
      <w:sz w:val="21"/>
      <w:szCs w:val="24"/>
    </w:rPr>
  </w:style>
  <w:style w:type="character" w:customStyle="1" w:styleId="378">
    <w:name w:val="正文C Char"/>
    <w:link w:val="352"/>
    <w:qFormat/>
    <w:uiPriority w:val="0"/>
    <w:rPr>
      <w:rFonts w:ascii="宋体" w:hAnsi="宋体" w:cs="宋体"/>
      <w:color w:val="4F6228"/>
      <w:sz w:val="24"/>
      <w:szCs w:val="24"/>
    </w:rPr>
  </w:style>
  <w:style w:type="paragraph" w:customStyle="1" w:styleId="379">
    <w:name w:val="方案样式：图片、表格居中"/>
    <w:next w:val="1"/>
    <w:qFormat/>
    <w:uiPriority w:val="0"/>
    <w:pPr>
      <w:widowControl w:val="0"/>
      <w:spacing w:line="288" w:lineRule="auto"/>
      <w:jc w:val="center"/>
    </w:pPr>
    <w:rPr>
      <w:rFonts w:asciiTheme="minorHAnsi" w:hAnsiTheme="minorHAnsi" w:eastAsiaTheme="minorEastAsia" w:cstheme="minorBidi"/>
      <w:szCs w:val="24"/>
      <w:lang w:val="en-US" w:eastAsia="zh-CN" w:bidi="ar-SA"/>
    </w:rPr>
  </w:style>
  <w:style w:type="paragraph" w:customStyle="1" w:styleId="380">
    <w:name w:val="双柳图名"/>
    <w:next w:val="1"/>
    <w:qFormat/>
    <w:uiPriority w:val="0"/>
    <w:pPr>
      <w:widowControl w:val="0"/>
      <w:spacing w:line="240" w:lineRule="auto"/>
      <w:jc w:val="center"/>
    </w:pPr>
    <w:rPr>
      <w:rFonts w:hint="eastAsia" w:ascii="Times New Roman" w:hAnsi="Times New Roman" w:eastAsia="宋体" w:cs="Times New Roman"/>
      <w:b/>
      <w:bCs/>
      <w:kern w:val="2"/>
      <w:sz w:val="21"/>
      <w:szCs w:val="21"/>
      <w:lang w:val="en-US" w:eastAsia="zh-CN" w:bidi="ar-SA"/>
    </w:rPr>
  </w:style>
  <w:style w:type="paragraph" w:customStyle="1" w:styleId="381">
    <w:name w:val="方案样式：图片名称"/>
    <w:next w:val="1"/>
    <w:qFormat/>
    <w:uiPriority w:val="0"/>
    <w:pPr>
      <w:tabs>
        <w:tab w:val="left" w:pos="420"/>
      </w:tabs>
      <w:jc w:val="center"/>
    </w:pPr>
    <w:rPr>
      <w:rFonts w:asciiTheme="minorHAnsi" w:hAnsiTheme="minorHAnsi" w:eastAsiaTheme="minorEastAsia" w:cstheme="minorBidi"/>
      <w:b/>
      <w:sz w:val="21"/>
      <w:lang w:val="en-US" w:eastAsia="zh-CN" w:bidi="ar-SA"/>
    </w:rPr>
  </w:style>
  <w:style w:type="paragraph" w:customStyle="1" w:styleId="382">
    <w:name w:val="双柳正文文本"/>
    <w:qFormat/>
    <w:uiPriority w:val="0"/>
    <w:pPr>
      <w:widowControl w:val="0"/>
      <w:wordWrap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customStyle="1" w:styleId="383">
    <w:name w:val="双柳表格"/>
    <w:next w:val="1"/>
    <w:qFormat/>
    <w:uiPriority w:val="0"/>
    <w:pPr>
      <w:jc w:val="center"/>
    </w:pPr>
    <w:rPr>
      <w:rFonts w:ascii="Times New Roman" w:hAnsi="Times New Roman" w:eastAsia="宋体" w:cs="Times New Roman"/>
      <w:kern w:val="2"/>
      <w:sz w:val="21"/>
      <w:szCs w:val="22"/>
      <w:lang w:val="en-US" w:eastAsia="zh-CN" w:bidi="ar-SA"/>
    </w:rPr>
  </w:style>
  <w:style w:type="paragraph" w:customStyle="1" w:styleId="384">
    <w:name w:val="方案样式：表格名称（ALT+E）"/>
    <w:next w:val="1"/>
    <w:qFormat/>
    <w:uiPriority w:val="0"/>
    <w:pPr>
      <w:keepNext/>
      <w:tabs>
        <w:tab w:val="left" w:pos="420"/>
      </w:tabs>
      <w:jc w:val="center"/>
    </w:pPr>
    <w:rPr>
      <w:rFonts w:ascii="Times New Roman" w:hAnsi="Times New Roman" w:eastAsia="宋体" w:cs="Times New Roman"/>
      <w:b/>
      <w:kern w:val="2"/>
      <w:sz w:val="21"/>
      <w:szCs w:val="24"/>
      <w:lang w:val="en-US" w:eastAsia="zh-CN" w:bidi="ar-SA"/>
    </w:rPr>
  </w:style>
  <w:style w:type="table" w:customStyle="1" w:styleId="385">
    <w:name w:val="网格型5"/>
    <w:unhideWhenUsed/>
    <w:qFormat/>
    <w:uiPriority w:val="59"/>
    <w:rPr>
      <w:rFonts w:ascii="Calibri" w:hAnsi="Calibri" w:eastAsia="Times New Roman"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386">
    <w:name w:val="方案表格"/>
    <w:autoRedefine/>
    <w:qFormat/>
    <w:uiPriority w:val="99"/>
    <w:rPr>
      <w:rFonts w:ascii="Times New Roman" w:hAnsi="Times New Roman" w:eastAsia="宋体"/>
      <w:color w:val="000000"/>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rPr>
      <w:tblPr/>
      <w:trPr>
        <w:tblHeader/>
      </w:trPr>
      <w:tcPr>
        <w:shd w:val="clear" w:color="auto" w:fill="4472C4"/>
      </w:tcPr>
    </w:tblStylePr>
    <w:tblStylePr w:type="lastRow">
      <w:rPr>
        <w:b/>
        <w:color w:val="000000"/>
      </w:rPr>
    </w:tblStylePr>
    <w:tblStylePr w:type="firstCol">
      <w:rPr>
        <w:color w:val="000000"/>
      </w:rPr>
    </w:tblStylePr>
  </w:style>
  <w:style w:type="paragraph" w:customStyle="1" w:styleId="387">
    <w:name w:val="Table Text"/>
    <w:basedOn w:val="1"/>
    <w:semiHidden/>
    <w:qFormat/>
    <w:uiPriority w:val="0"/>
    <w:rPr>
      <w:rFonts w:ascii="Times New Roman" w:hAnsi="Times New Roman" w:eastAsia="Times New Roman" w:cs="Times New Roman"/>
      <w:sz w:val="24"/>
      <w:szCs w:val="24"/>
      <w:lang w:val="en-US" w:eastAsia="en-US" w:bidi="ar-SA"/>
    </w:rPr>
  </w:style>
  <w:style w:type="table" w:customStyle="1" w:styleId="388">
    <w:name w:val="表格标准13"/>
    <w:basedOn w:val="42"/>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389">
    <w:name w:val="A图片居中"/>
    <w:basedOn w:val="1"/>
    <w:qFormat/>
    <w:uiPriority w:val="0"/>
    <w:pPr>
      <w:spacing w:line="240" w:lineRule="auto"/>
      <w:ind w:firstLine="0" w:firstLineChars="0"/>
      <w:jc w:val="center"/>
    </w:pPr>
  </w:style>
  <w:style w:type="paragraph" w:customStyle="1" w:styleId="390">
    <w:name w:val="A图表标题"/>
    <w:basedOn w:val="1"/>
    <w:link w:val="392"/>
    <w:qFormat/>
    <w:uiPriority w:val="0"/>
    <w:pPr>
      <w:ind w:firstLine="0" w:firstLineChars="0"/>
      <w:jc w:val="center"/>
    </w:pPr>
    <w:rPr>
      <w:b/>
      <w:sz w:val="21"/>
      <w:szCs w:val="22"/>
    </w:rPr>
  </w:style>
  <w:style w:type="table" w:customStyle="1" w:styleId="391">
    <w:name w:val="网格型15"/>
    <w:basedOn w:val="42"/>
    <w:qFormat/>
    <w:uiPriority w:val="59"/>
    <w:pPr>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92">
    <w:name w:val="A图表标题 字符"/>
    <w:link w:val="390"/>
    <w:qFormat/>
    <w:uiPriority w:val="0"/>
    <w:rPr>
      <w:b/>
      <w:sz w:val="21"/>
      <w:szCs w:val="22"/>
    </w:rPr>
  </w:style>
  <w:style w:type="paragraph" w:customStyle="1" w:styleId="393">
    <w:name w:val="A表内加粗"/>
    <w:basedOn w:val="1"/>
    <w:qFormat/>
    <w:uiPriority w:val="0"/>
    <w:pPr>
      <w:spacing w:line="240" w:lineRule="auto"/>
      <w:ind w:firstLine="0" w:firstLineChars="0"/>
      <w:jc w:val="center"/>
    </w:pPr>
    <w:rPr>
      <w:rFonts w:cs="宋体"/>
      <w:b/>
      <w:bCs/>
      <w:kern w:val="0"/>
      <w:sz w:val="21"/>
    </w:rPr>
  </w:style>
  <w:style w:type="table" w:customStyle="1" w:styleId="394">
    <w:name w:val="表格标准"/>
    <w:basedOn w:val="42"/>
    <w:qFormat/>
    <w:uiPriority w:val="99"/>
    <w:pPr>
      <w:jc w:val="center"/>
    </w:pPr>
    <w:rPr>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395">
    <w:name w:val="A表内不加粗"/>
    <w:basedOn w:val="1"/>
    <w:qFormat/>
    <w:uiPriority w:val="0"/>
    <w:pPr>
      <w:spacing w:line="240" w:lineRule="auto"/>
      <w:ind w:firstLine="0" w:firstLineChars="0"/>
      <w:jc w:val="center"/>
    </w:pPr>
    <w:rPr>
      <w:sz w:val="21"/>
      <w:szCs w:val="36"/>
    </w:rPr>
  </w:style>
  <w:style w:type="table" w:customStyle="1" w:styleId="396">
    <w:name w:val="样式15"/>
    <w:basedOn w:val="42"/>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397">
    <w:name w:val="样式151"/>
    <w:basedOn w:val="42"/>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398">
    <w:name w:val="表格标准1"/>
    <w:basedOn w:val="42"/>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7" Type="http://schemas.openxmlformats.org/officeDocument/2006/relationships/fontTable" Target="fontTable.xml"/><Relationship Id="rId86" Type="http://schemas.openxmlformats.org/officeDocument/2006/relationships/customXml" Target="../customXml/item2.xml"/><Relationship Id="rId85" Type="http://schemas.openxmlformats.org/officeDocument/2006/relationships/numbering" Target="numbering.xml"/><Relationship Id="rId84" Type="http://schemas.openxmlformats.org/officeDocument/2006/relationships/customXml" Target="../customXml/item1.xml"/><Relationship Id="rId83" Type="http://schemas.openxmlformats.org/officeDocument/2006/relationships/image" Target="media/image66.emf"/><Relationship Id="rId82" Type="http://schemas.openxmlformats.org/officeDocument/2006/relationships/oleObject" Target="embeddings/Microsoft_Visio_2003-2010___1.vsd"/><Relationship Id="rId81" Type="http://schemas.openxmlformats.org/officeDocument/2006/relationships/image" Target="media/image65.png"/><Relationship Id="rId80" Type="http://schemas.openxmlformats.org/officeDocument/2006/relationships/image" Target="media/image64.png"/><Relationship Id="rId8" Type="http://schemas.openxmlformats.org/officeDocument/2006/relationships/footer" Target="footer2.xml"/><Relationship Id="rId79" Type="http://schemas.openxmlformats.org/officeDocument/2006/relationships/image" Target="media/image63.emf"/><Relationship Id="rId78" Type="http://schemas.openxmlformats.org/officeDocument/2006/relationships/image" Target="media/image62.emf"/><Relationship Id="rId77" Type="http://schemas.openxmlformats.org/officeDocument/2006/relationships/oleObject" Target="embeddings/oleObject1.bin"/><Relationship Id="rId76" Type="http://schemas.openxmlformats.org/officeDocument/2006/relationships/image" Target="media/image61.png"/><Relationship Id="rId75" Type="http://schemas.openxmlformats.org/officeDocument/2006/relationships/image" Target="media/image60.png"/><Relationship Id="rId74" Type="http://schemas.openxmlformats.org/officeDocument/2006/relationships/image" Target="media/image59.png"/><Relationship Id="rId73" Type="http://schemas.openxmlformats.org/officeDocument/2006/relationships/image" Target="media/image58.png"/><Relationship Id="rId72" Type="http://schemas.openxmlformats.org/officeDocument/2006/relationships/image" Target="media/image57.png"/><Relationship Id="rId71" Type="http://schemas.openxmlformats.org/officeDocument/2006/relationships/image" Target="media/image56.png"/><Relationship Id="rId70" Type="http://schemas.openxmlformats.org/officeDocument/2006/relationships/image" Target="media/image55.png"/><Relationship Id="rId7" Type="http://schemas.openxmlformats.org/officeDocument/2006/relationships/header" Target="header2.xml"/><Relationship Id="rId69" Type="http://schemas.openxmlformats.org/officeDocument/2006/relationships/image" Target="media/image54.png"/><Relationship Id="rId68" Type="http://schemas.openxmlformats.org/officeDocument/2006/relationships/image" Target="media/image53.png"/><Relationship Id="rId67" Type="http://schemas.openxmlformats.org/officeDocument/2006/relationships/image" Target="media/image52.png"/><Relationship Id="rId66" Type="http://schemas.openxmlformats.org/officeDocument/2006/relationships/image" Target="media/image51.png"/><Relationship Id="rId65" Type="http://schemas.openxmlformats.org/officeDocument/2006/relationships/image" Target="media/image50.png"/><Relationship Id="rId64" Type="http://schemas.openxmlformats.org/officeDocument/2006/relationships/image" Target="media/image49.png"/><Relationship Id="rId63" Type="http://schemas.openxmlformats.org/officeDocument/2006/relationships/image" Target="media/image48.png"/><Relationship Id="rId62" Type="http://schemas.openxmlformats.org/officeDocument/2006/relationships/image" Target="media/image47.png"/><Relationship Id="rId61" Type="http://schemas.openxmlformats.org/officeDocument/2006/relationships/image" Target="media/image46.png"/><Relationship Id="rId60" Type="http://schemas.openxmlformats.org/officeDocument/2006/relationships/image" Target="media/image45.png"/><Relationship Id="rId6" Type="http://schemas.openxmlformats.org/officeDocument/2006/relationships/footer" Target="footer1.xml"/><Relationship Id="rId59" Type="http://schemas.openxmlformats.org/officeDocument/2006/relationships/image" Target="media/image44.png"/><Relationship Id="rId58" Type="http://schemas.openxmlformats.org/officeDocument/2006/relationships/image" Target="media/image43.png"/><Relationship Id="rId57" Type="http://schemas.openxmlformats.org/officeDocument/2006/relationships/image" Target="media/image42.png"/><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png"/><Relationship Id="rId53" Type="http://schemas.openxmlformats.org/officeDocument/2006/relationships/image" Target="media/image38.png"/><Relationship Id="rId52" Type="http://schemas.openxmlformats.org/officeDocument/2006/relationships/image" Target="media/image37.png"/><Relationship Id="rId51" Type="http://schemas.openxmlformats.org/officeDocument/2006/relationships/image" Target="media/image36.png"/><Relationship Id="rId50" Type="http://schemas.openxmlformats.org/officeDocument/2006/relationships/image" Target="media/image35.png"/><Relationship Id="rId5" Type="http://schemas.openxmlformats.org/officeDocument/2006/relationships/header" Target="header1.xml"/><Relationship Id="rId49" Type="http://schemas.openxmlformats.org/officeDocument/2006/relationships/image" Target="media/image34.png"/><Relationship Id="rId48" Type="http://schemas.openxmlformats.org/officeDocument/2006/relationships/image" Target="media/image33.png"/><Relationship Id="rId47" Type="http://schemas.openxmlformats.org/officeDocument/2006/relationships/image" Target="media/image32.pn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endnotes" Target="endnotes.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notes" Target="footnotes.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jpe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EC4BF0-6190-4B8A-B6FB-291946CAFBCE}">
  <ds:schemaRefs/>
</ds:datastoreItem>
</file>

<file path=docProps/app.xml><?xml version="1.0" encoding="utf-8"?>
<Properties xmlns="http://schemas.openxmlformats.org/officeDocument/2006/extended-properties" xmlns:vt="http://schemas.openxmlformats.org/officeDocument/2006/docPropsVTypes">
  <Template>Normal</Template>
  <Pages>122</Pages>
  <Words>48938</Words>
  <Characters>53175</Characters>
  <Lines>594</Lines>
  <Paragraphs>167</Paragraphs>
  <TotalTime>98</TotalTime>
  <ScaleCrop>false</ScaleCrop>
  <LinksUpToDate>false</LinksUpToDate>
  <CharactersWithSpaces>53875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2022-12-28T10:24:00Z</dcterms:created>
  <dc:creator>刘丹</dc:creator>
  <cp:lastModifiedBy>杭州渝港机械施工有限公司</cp:lastModifiedBy>
  <cp:lastPrinted>2024-10-30T00:28:00Z</cp:lastPrinted>
  <dcterms:modified xsi:type="dcterms:W3CDTF">2025-04-02T09:54:59Z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B722AFD8163F47D49FA2141D7B975E20_13</vt:lpwstr>
  </property>
  <property fmtid="{D5CDD505-2E9C-101B-9397-08002B2CF9AE}" pid="4" name="KSOTemplateDocerSaveRecord">
    <vt:lpwstr>eyJoZGlkIjoiYjNhNmFhNjMwYzJiZmY0YzA5ZjEwOTY2YWYzYjdmYTAiLCJ1c2VySWQiOiIyMDEyMTQ5OSJ9</vt:lpwstr>
  </property>
</Properties>
</file>