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C79228C">
      <w:pPr>
        <w:ind w:firstLine="0" w:firstLineChars="0"/>
        <w:jc w:val="center"/>
        <w:rPr>
          <w:rFonts w:hint="eastAsia" w:ascii="黑体" w:hAnsi="黑体" w:eastAsia="黑体" w:cs="黑体"/>
          <w:bCs/>
          <w:sz w:val="40"/>
          <w:szCs w:val="40"/>
        </w:rPr>
      </w:pPr>
      <w:r>
        <w:rPr>
          <w:rFonts w:hint="eastAsia" w:ascii="黑体" w:hAnsi="黑体" w:eastAsia="黑体" w:cs="黑体"/>
          <w:bCs/>
          <w:sz w:val="40"/>
          <w:szCs w:val="40"/>
        </w:rPr>
        <w:t>新建合肥至武汉高速铁路（湖北段）站前工程HWZQ-4标段</w:t>
      </w:r>
    </w:p>
    <w:p w14:paraId="63D7E318">
      <w:pPr>
        <w:pStyle w:val="20"/>
        <w:spacing w:line="240" w:lineRule="auto"/>
        <w:ind w:left="0" w:firstLine="0" w:firstLineChars="0"/>
        <w:jc w:val="center"/>
        <w:rPr>
          <w:rFonts w:ascii="黑体" w:hAnsi="黑体" w:eastAsia="黑体" w:cs="黑体"/>
          <w:bCs/>
          <w:sz w:val="44"/>
          <w:szCs w:val="44"/>
          <w:lang w:val="zh-CN"/>
        </w:rPr>
      </w:pPr>
    </w:p>
    <w:p w14:paraId="7165E3C4">
      <w:pPr>
        <w:pStyle w:val="20"/>
        <w:spacing w:line="240" w:lineRule="auto"/>
        <w:ind w:left="0" w:firstLine="0" w:firstLineChars="0"/>
        <w:jc w:val="center"/>
        <w:rPr>
          <w:rFonts w:hint="eastAsia" w:ascii="黑体" w:hAnsi="黑体" w:eastAsia="黑体" w:cs="黑体"/>
          <w:bCs/>
          <w:sz w:val="44"/>
          <w:szCs w:val="44"/>
          <w:lang w:val="zh-CN"/>
        </w:rPr>
      </w:pPr>
      <w:r>
        <w:rPr>
          <w:rFonts w:hint="eastAsia" w:ascii="黑体" w:hAnsi="黑体" w:eastAsia="黑体" w:cs="黑体"/>
          <w:bCs/>
          <w:sz w:val="44"/>
          <w:szCs w:val="44"/>
          <w:lang w:val="en-US" w:eastAsia="zh-CN"/>
        </w:rPr>
        <w:t>9#、676#、11#、13#墩</w:t>
      </w:r>
      <w:r>
        <w:rPr>
          <w:rFonts w:hint="eastAsia" w:ascii="黑体" w:hAnsi="黑体" w:eastAsia="黑体" w:cs="黑体"/>
          <w:bCs/>
          <w:sz w:val="44"/>
          <w:szCs w:val="44"/>
          <w:lang w:val="zh-CN"/>
        </w:rPr>
        <w:t>塔式起重机</w:t>
      </w:r>
    </w:p>
    <w:p w14:paraId="192DCF34">
      <w:pPr>
        <w:pStyle w:val="20"/>
        <w:spacing w:line="240" w:lineRule="auto"/>
        <w:ind w:left="0" w:firstLine="0" w:firstLineChars="0"/>
        <w:jc w:val="center"/>
        <w:rPr>
          <w:rFonts w:ascii="黑体" w:hAnsi="黑体" w:eastAsia="黑体" w:cs="黑体"/>
          <w:bCs/>
          <w:sz w:val="44"/>
          <w:szCs w:val="44"/>
          <w:lang w:val="zh-CN"/>
        </w:rPr>
      </w:pPr>
      <w:r>
        <w:rPr>
          <w:rFonts w:hint="eastAsia" w:ascii="黑体" w:hAnsi="黑体" w:eastAsia="黑体" w:cs="黑体"/>
          <w:bCs/>
          <w:sz w:val="44"/>
          <w:szCs w:val="44"/>
          <w:lang w:val="zh-CN"/>
        </w:rPr>
        <w:t>安装及拆除</w:t>
      </w:r>
      <w:r>
        <w:rPr>
          <w:rFonts w:hint="eastAsia" w:ascii="黑体" w:hAnsi="黑体" w:eastAsia="黑体" w:cs="黑体"/>
          <w:bCs/>
          <w:sz w:val="44"/>
          <w:szCs w:val="44"/>
        </w:rPr>
        <w:t>专项</w:t>
      </w:r>
      <w:r>
        <w:rPr>
          <w:rFonts w:hint="eastAsia" w:ascii="黑体" w:hAnsi="黑体" w:eastAsia="黑体" w:cs="黑体"/>
          <w:bCs/>
          <w:sz w:val="44"/>
          <w:szCs w:val="44"/>
          <w:lang w:val="zh-CN"/>
        </w:rPr>
        <w:t>施工方案</w:t>
      </w:r>
    </w:p>
    <w:p w14:paraId="46D7B90C">
      <w:pPr>
        <w:pStyle w:val="20"/>
        <w:spacing w:line="240" w:lineRule="auto"/>
        <w:ind w:left="0" w:firstLine="0" w:firstLineChars="0"/>
        <w:jc w:val="center"/>
        <w:rPr>
          <w:rFonts w:ascii="黑体" w:hAnsi="黑体" w:eastAsia="黑体" w:cs="黑体"/>
          <w:bCs/>
          <w:sz w:val="44"/>
          <w:szCs w:val="44"/>
          <w:lang w:val="zh-CN"/>
        </w:rPr>
      </w:pPr>
    </w:p>
    <w:p w14:paraId="5FF2754B">
      <w:pPr>
        <w:spacing w:line="240" w:lineRule="auto"/>
        <w:ind w:firstLine="0" w:firstLineChars="0"/>
        <w:jc w:val="center"/>
        <w:rPr>
          <w:rFonts w:ascii="仿宋_GB2312"/>
        </w:rPr>
      </w:pPr>
    </w:p>
    <w:p w14:paraId="389B5DDA">
      <w:pPr>
        <w:spacing w:line="360" w:lineRule="auto"/>
        <w:ind w:firstLine="3360" w:firstLineChars="1200"/>
        <w:jc w:val="both"/>
        <w:rPr>
          <w:rFonts w:hint="eastAsia" w:ascii="宋体" w:hAnsi="宋体" w:eastAsia="宋体" w:cs="宋体"/>
          <w:lang w:val="en-US" w:eastAsia="zh-CN"/>
        </w:rPr>
      </w:pPr>
    </w:p>
    <w:p w14:paraId="5E6FD516">
      <w:pPr>
        <w:spacing w:line="360" w:lineRule="auto"/>
        <w:ind w:firstLine="3360" w:firstLineChars="1200"/>
        <w:jc w:val="both"/>
        <w:rPr>
          <w:rFonts w:hint="eastAsia" w:ascii="宋体" w:hAnsi="宋体" w:eastAsia="宋体" w:cs="宋体"/>
          <w:lang w:val="en-US" w:eastAsia="zh-CN"/>
        </w:rPr>
      </w:pPr>
    </w:p>
    <w:p w14:paraId="7A159186">
      <w:pPr>
        <w:spacing w:line="360" w:lineRule="auto"/>
        <w:ind w:firstLine="3360" w:firstLineChars="1200"/>
        <w:jc w:val="both"/>
        <w:rPr>
          <w:rFonts w:hint="eastAsia" w:ascii="宋体" w:hAnsi="宋体" w:eastAsia="宋体" w:cs="宋体"/>
          <w:lang w:val="en-US" w:eastAsia="zh-CN"/>
        </w:rPr>
      </w:pPr>
    </w:p>
    <w:p w14:paraId="3E6FF2F0">
      <w:pPr>
        <w:spacing w:line="360" w:lineRule="auto"/>
        <w:ind w:firstLine="3200" w:firstLineChars="1000"/>
        <w:jc w:val="both"/>
        <w:rPr>
          <w:rFonts w:hint="eastAsia" w:ascii="宋体" w:hAnsi="宋体" w:eastAsia="宋体" w:cs="宋体"/>
          <w:sz w:val="32"/>
          <w:szCs w:val="32"/>
          <w:u w:val="single"/>
          <w:lang w:val="en-US" w:eastAsia="zh-CN"/>
        </w:rPr>
      </w:pPr>
      <w:r>
        <w:rPr>
          <w:rFonts w:hint="eastAsia" w:ascii="宋体" w:hAnsi="宋体" w:eastAsia="宋体" w:cs="宋体"/>
          <w:sz w:val="32"/>
          <w:szCs w:val="32"/>
          <w:lang w:val="en-US" w:eastAsia="zh-CN"/>
        </w:rPr>
        <w:t>编制人：</w:t>
      </w:r>
      <w:r>
        <w:rPr>
          <w:rFonts w:hint="eastAsia" w:ascii="宋体" w:hAnsi="宋体" w:eastAsia="宋体" w:cs="宋体"/>
          <w:sz w:val="32"/>
          <w:szCs w:val="32"/>
          <w:u w:val="single"/>
          <w:lang w:val="en-US" w:eastAsia="zh-CN"/>
        </w:rPr>
        <w:t xml:space="preserve">              </w:t>
      </w:r>
    </w:p>
    <w:p w14:paraId="75DEE5F0">
      <w:pPr>
        <w:spacing w:line="360" w:lineRule="auto"/>
        <w:ind w:firstLine="3200" w:firstLineChars="1000"/>
        <w:jc w:val="both"/>
        <w:rPr>
          <w:rFonts w:hint="eastAsia" w:ascii="宋体" w:hAnsi="宋体" w:eastAsia="宋体" w:cs="宋体"/>
          <w:sz w:val="32"/>
          <w:szCs w:val="32"/>
          <w:u w:val="single"/>
          <w:lang w:val="en-US" w:eastAsia="zh-CN"/>
        </w:rPr>
      </w:pPr>
      <w:r>
        <w:rPr>
          <w:rFonts w:hint="eastAsia" w:ascii="宋体" w:hAnsi="宋体" w:eastAsia="宋体" w:cs="宋体"/>
          <w:sz w:val="32"/>
          <w:szCs w:val="32"/>
          <w:lang w:val="en-US" w:eastAsia="zh-CN"/>
        </w:rPr>
        <w:t>审核人：</w:t>
      </w:r>
      <w:r>
        <w:rPr>
          <w:rFonts w:hint="eastAsia" w:ascii="宋体" w:hAnsi="宋体" w:eastAsia="宋体" w:cs="宋体"/>
          <w:sz w:val="32"/>
          <w:szCs w:val="32"/>
          <w:u w:val="single"/>
          <w:lang w:val="en-US" w:eastAsia="zh-CN"/>
        </w:rPr>
        <w:t xml:space="preserve">              </w:t>
      </w:r>
    </w:p>
    <w:p w14:paraId="3FA020EB">
      <w:pPr>
        <w:spacing w:line="360" w:lineRule="auto"/>
        <w:ind w:firstLine="3200" w:firstLineChars="1000"/>
        <w:jc w:val="both"/>
        <w:rPr>
          <w:rFonts w:hint="default" w:ascii="仿宋_GB2312" w:hAnsi="宋体"/>
          <w:lang w:val="en-US" w:eastAsia="zh-CN"/>
        </w:rPr>
      </w:pPr>
      <w:r>
        <w:rPr>
          <w:rFonts w:hint="eastAsia" w:ascii="宋体" w:hAnsi="宋体" w:eastAsia="宋体" w:cs="宋体"/>
          <w:sz w:val="32"/>
          <w:szCs w:val="32"/>
          <w:lang w:val="en-US" w:eastAsia="zh-CN"/>
        </w:rPr>
        <w:t>审批人：</w:t>
      </w:r>
      <w:r>
        <w:rPr>
          <w:rFonts w:hint="eastAsia" w:ascii="宋体" w:hAnsi="宋体" w:eastAsia="宋体" w:cs="宋体"/>
          <w:sz w:val="32"/>
          <w:szCs w:val="32"/>
          <w:u w:val="single"/>
          <w:lang w:val="en-US" w:eastAsia="zh-CN"/>
        </w:rPr>
        <w:t xml:space="preserve">              </w:t>
      </w:r>
      <w:r>
        <w:rPr>
          <w:rFonts w:hint="eastAsia" w:ascii="仿宋_GB2312" w:hAnsi="宋体"/>
          <w:sz w:val="32"/>
          <w:szCs w:val="32"/>
          <w:lang w:val="en-US" w:eastAsia="zh-CN"/>
        </w:rPr>
        <w:t xml:space="preserve"> </w:t>
      </w:r>
      <w:r>
        <w:rPr>
          <w:rFonts w:hint="eastAsia" w:ascii="仿宋_GB2312" w:hAnsi="宋体"/>
          <w:lang w:val="en-US" w:eastAsia="zh-CN"/>
        </w:rPr>
        <w:t xml:space="preserve">  </w:t>
      </w:r>
    </w:p>
    <w:p w14:paraId="777596D8">
      <w:pPr>
        <w:pStyle w:val="15"/>
        <w:rPr>
          <w:rFonts w:ascii="仿宋_GB2312" w:hAnsi="宋体"/>
        </w:rPr>
      </w:pPr>
    </w:p>
    <w:p w14:paraId="45EA48C6">
      <w:pPr>
        <w:rPr>
          <w:rFonts w:ascii="仿宋_GB2312" w:hAnsi="宋体"/>
        </w:rPr>
      </w:pPr>
    </w:p>
    <w:p w14:paraId="4248AB5E">
      <w:pPr>
        <w:pStyle w:val="15"/>
        <w:rPr>
          <w:rFonts w:ascii="仿宋_GB2312" w:hAnsi="宋体"/>
        </w:rPr>
      </w:pPr>
    </w:p>
    <w:p w14:paraId="09C58FE3">
      <w:pPr>
        <w:pStyle w:val="15"/>
        <w:rPr>
          <w:rFonts w:ascii="仿宋_GB2312" w:hAnsi="宋体"/>
        </w:rPr>
      </w:pPr>
    </w:p>
    <w:p w14:paraId="58F9215F">
      <w:pPr>
        <w:pStyle w:val="20"/>
        <w:ind w:left="0" w:firstLine="0" w:firstLineChars="0"/>
        <w:jc w:val="both"/>
      </w:pPr>
    </w:p>
    <w:p w14:paraId="0DA8F8F8">
      <w:pPr>
        <w:spacing w:line="600" w:lineRule="exact"/>
        <w:ind w:firstLine="0" w:firstLineChars="0"/>
        <w:jc w:val="center"/>
        <w:rPr>
          <w:rFonts w:hint="default" w:ascii="仿宋_GB2312"/>
          <w:b/>
          <w:szCs w:val="28"/>
          <w:lang w:val="en-US" w:eastAsia="zh-CN"/>
        </w:rPr>
      </w:pPr>
      <w:r>
        <w:rPr>
          <w:rFonts w:hint="eastAsia" w:ascii="仿宋_GB2312"/>
          <w:b/>
          <w:szCs w:val="28"/>
          <w:lang w:val="en-US" w:eastAsia="zh-CN"/>
        </w:rPr>
        <w:t>中铁大桥局集团有限公司机械化施工分公司</w:t>
      </w:r>
    </w:p>
    <w:p w14:paraId="4B6B8A0C">
      <w:pPr>
        <w:spacing w:line="600" w:lineRule="exact"/>
        <w:ind w:firstLine="0" w:firstLineChars="0"/>
        <w:jc w:val="center"/>
        <w:rPr>
          <w:b/>
          <w:bCs/>
        </w:rPr>
      </w:pPr>
      <w:r>
        <w:rPr>
          <w:rFonts w:hint="eastAsia"/>
          <w:b/>
          <w:bCs/>
          <w:sz w:val="32"/>
          <w:szCs w:val="32"/>
        </w:rPr>
        <w:t>202</w:t>
      </w:r>
      <w:r>
        <w:rPr>
          <w:rFonts w:hint="eastAsia"/>
          <w:b/>
          <w:bCs/>
          <w:sz w:val="32"/>
          <w:szCs w:val="32"/>
          <w:lang w:val="en-US" w:eastAsia="zh-CN"/>
        </w:rPr>
        <w:t>5</w:t>
      </w:r>
      <w:r>
        <w:rPr>
          <w:rFonts w:hint="eastAsia"/>
          <w:b/>
          <w:bCs/>
          <w:sz w:val="32"/>
          <w:szCs w:val="32"/>
        </w:rPr>
        <w:t>年</w:t>
      </w:r>
      <w:r>
        <w:rPr>
          <w:rFonts w:hint="eastAsia"/>
          <w:b/>
          <w:bCs/>
          <w:sz w:val="32"/>
          <w:szCs w:val="32"/>
          <w:lang w:val="en-US" w:eastAsia="zh-CN"/>
        </w:rPr>
        <w:t>6</w:t>
      </w:r>
      <w:r>
        <w:rPr>
          <w:rFonts w:hint="eastAsia"/>
          <w:b/>
          <w:bCs/>
          <w:sz w:val="32"/>
          <w:szCs w:val="32"/>
        </w:rPr>
        <w:t>月</w:t>
      </w:r>
    </w:p>
    <w:p w14:paraId="16E52164">
      <w:pPr>
        <w:widowControl/>
        <w:spacing w:line="240" w:lineRule="auto"/>
        <w:ind w:firstLine="0" w:firstLineChars="0"/>
        <w:jc w:val="left"/>
        <w:rPr>
          <w:rFonts w:hint="eastAsia"/>
        </w:rPr>
      </w:pPr>
      <w:r>
        <w:rPr>
          <w:rFonts w:hint="eastAsia"/>
        </w:rPr>
        <w:br w:type="page"/>
      </w:r>
    </w:p>
    <w:p w14:paraId="004CB6B7">
      <w:pPr>
        <w:widowControl/>
        <w:spacing w:line="240" w:lineRule="auto"/>
        <w:ind w:firstLine="0" w:firstLineChars="0"/>
        <w:jc w:val="left"/>
        <w:rPr>
          <w:rFonts w:hint="eastAsia"/>
        </w:rPr>
      </w:pPr>
    </w:p>
    <w:p w14:paraId="750C7F48">
      <w:pPr>
        <w:widowControl/>
        <w:spacing w:line="240" w:lineRule="auto"/>
        <w:ind w:firstLine="0" w:firstLineChars="0"/>
        <w:jc w:val="left"/>
        <w:rPr>
          <w:rFonts w:hint="eastAsia"/>
        </w:rPr>
      </w:pPr>
    </w:p>
    <w:p w14:paraId="72D2E49F">
      <w:pPr>
        <w:widowControl/>
        <w:spacing w:line="240" w:lineRule="auto"/>
        <w:ind w:firstLine="0" w:firstLineChars="0"/>
        <w:jc w:val="left"/>
        <w:rPr>
          <w:rFonts w:hint="eastAsia"/>
        </w:rPr>
      </w:pPr>
    </w:p>
    <w:p w14:paraId="2090E6E5">
      <w:pPr>
        <w:widowControl/>
        <w:spacing w:line="240" w:lineRule="auto"/>
        <w:ind w:firstLine="0" w:firstLineChars="0"/>
        <w:jc w:val="left"/>
        <w:rPr>
          <w:rFonts w:hint="eastAsia"/>
        </w:rPr>
      </w:pPr>
    </w:p>
    <w:p w14:paraId="3E703985">
      <w:pPr>
        <w:widowControl/>
        <w:spacing w:line="240" w:lineRule="auto"/>
        <w:ind w:firstLine="0" w:firstLineChars="0"/>
        <w:jc w:val="left"/>
        <w:rPr>
          <w:rFonts w:hint="eastAsia"/>
        </w:rPr>
      </w:pPr>
    </w:p>
    <w:p w14:paraId="614AE1FA">
      <w:pPr>
        <w:widowControl/>
        <w:spacing w:line="240" w:lineRule="auto"/>
        <w:ind w:firstLine="0" w:firstLineChars="0"/>
        <w:jc w:val="left"/>
        <w:rPr>
          <w:rFonts w:hint="eastAsia"/>
        </w:rPr>
      </w:pPr>
    </w:p>
    <w:p w14:paraId="1C702D6E">
      <w:pPr>
        <w:widowControl/>
        <w:spacing w:line="240" w:lineRule="auto"/>
        <w:ind w:firstLine="0" w:firstLineChars="0"/>
        <w:jc w:val="left"/>
        <w:rPr>
          <w:rFonts w:hint="eastAsia"/>
        </w:rPr>
      </w:pPr>
    </w:p>
    <w:p w14:paraId="24411353">
      <w:pPr>
        <w:widowControl/>
        <w:spacing w:line="240" w:lineRule="auto"/>
        <w:ind w:firstLine="0" w:firstLineChars="0"/>
        <w:jc w:val="left"/>
        <w:rPr>
          <w:rFonts w:hint="eastAsia"/>
        </w:rPr>
      </w:pPr>
    </w:p>
    <w:p w14:paraId="43B16958">
      <w:pPr>
        <w:widowControl/>
        <w:spacing w:line="240" w:lineRule="auto"/>
        <w:ind w:firstLine="0" w:firstLineChars="0"/>
        <w:jc w:val="left"/>
        <w:rPr>
          <w:rFonts w:hint="eastAsia"/>
        </w:rPr>
      </w:pPr>
    </w:p>
    <w:p w14:paraId="79C814C3">
      <w:pPr>
        <w:widowControl/>
        <w:spacing w:line="240" w:lineRule="auto"/>
        <w:ind w:firstLine="0" w:firstLineChars="0"/>
        <w:jc w:val="left"/>
        <w:rPr>
          <w:rFonts w:hint="eastAsia"/>
        </w:rPr>
      </w:pPr>
    </w:p>
    <w:p w14:paraId="3FA38BFD">
      <w:pPr>
        <w:widowControl/>
        <w:spacing w:line="240" w:lineRule="auto"/>
        <w:ind w:firstLine="0" w:firstLineChars="0"/>
        <w:jc w:val="left"/>
        <w:rPr>
          <w:rFonts w:hint="eastAsia"/>
        </w:rPr>
      </w:pPr>
    </w:p>
    <w:p w14:paraId="34D587DD">
      <w:pPr>
        <w:widowControl/>
        <w:spacing w:line="240" w:lineRule="auto"/>
        <w:ind w:firstLine="0" w:firstLineChars="0"/>
        <w:jc w:val="left"/>
        <w:rPr>
          <w:rFonts w:hint="eastAsia"/>
        </w:rPr>
      </w:pPr>
    </w:p>
    <w:p w14:paraId="4CA816B8">
      <w:pPr>
        <w:widowControl/>
        <w:spacing w:line="240" w:lineRule="auto"/>
        <w:ind w:firstLine="0" w:firstLineChars="0"/>
        <w:jc w:val="left"/>
        <w:rPr>
          <w:rFonts w:hint="eastAsia"/>
        </w:rPr>
      </w:pPr>
    </w:p>
    <w:p w14:paraId="40BDC1CD">
      <w:pPr>
        <w:widowControl/>
        <w:spacing w:line="240" w:lineRule="auto"/>
        <w:ind w:firstLine="0" w:firstLineChars="0"/>
        <w:jc w:val="left"/>
        <w:rPr>
          <w:rFonts w:hint="eastAsia"/>
        </w:rPr>
      </w:pPr>
    </w:p>
    <w:p w14:paraId="4B31ED71">
      <w:pPr>
        <w:widowControl/>
        <w:spacing w:line="240" w:lineRule="auto"/>
        <w:ind w:firstLine="0" w:firstLineChars="0"/>
        <w:jc w:val="left"/>
        <w:rPr>
          <w:rFonts w:hint="eastAsia"/>
        </w:rPr>
      </w:pPr>
    </w:p>
    <w:p w14:paraId="23F116A4">
      <w:pPr>
        <w:widowControl/>
        <w:spacing w:line="240" w:lineRule="auto"/>
        <w:ind w:firstLine="0" w:firstLineChars="0"/>
        <w:jc w:val="left"/>
        <w:rPr>
          <w:rFonts w:hint="eastAsia"/>
        </w:rPr>
      </w:pPr>
    </w:p>
    <w:p w14:paraId="515E1CE6">
      <w:pPr>
        <w:widowControl/>
        <w:spacing w:line="240" w:lineRule="auto"/>
        <w:ind w:firstLine="0" w:firstLineChars="0"/>
        <w:jc w:val="left"/>
        <w:rPr>
          <w:rFonts w:hint="eastAsia"/>
        </w:rPr>
      </w:pPr>
    </w:p>
    <w:p w14:paraId="38F3E4C8">
      <w:pPr>
        <w:widowControl/>
        <w:spacing w:line="240" w:lineRule="auto"/>
        <w:ind w:firstLine="0" w:firstLineChars="0"/>
        <w:jc w:val="left"/>
        <w:rPr>
          <w:rFonts w:hint="eastAsia"/>
        </w:rPr>
      </w:pPr>
    </w:p>
    <w:p w14:paraId="6AFBBB07">
      <w:pPr>
        <w:widowControl/>
        <w:spacing w:line="240" w:lineRule="auto"/>
        <w:ind w:firstLine="0" w:firstLineChars="0"/>
        <w:jc w:val="left"/>
        <w:rPr>
          <w:rFonts w:hint="eastAsia"/>
        </w:rPr>
      </w:pPr>
    </w:p>
    <w:p w14:paraId="37832483">
      <w:pPr>
        <w:widowControl/>
        <w:spacing w:line="240" w:lineRule="auto"/>
        <w:ind w:firstLine="0" w:firstLineChars="0"/>
        <w:jc w:val="left"/>
        <w:rPr>
          <w:rFonts w:hint="eastAsia"/>
        </w:rPr>
      </w:pPr>
    </w:p>
    <w:p w14:paraId="3175179C">
      <w:pPr>
        <w:widowControl/>
        <w:spacing w:line="240" w:lineRule="auto"/>
        <w:ind w:firstLine="0" w:firstLineChars="0"/>
        <w:jc w:val="left"/>
        <w:rPr>
          <w:rFonts w:hint="eastAsia"/>
        </w:rPr>
      </w:pPr>
    </w:p>
    <w:p w14:paraId="185A208B">
      <w:pPr>
        <w:widowControl/>
        <w:spacing w:line="240" w:lineRule="auto"/>
        <w:ind w:firstLine="0" w:firstLineChars="0"/>
        <w:jc w:val="left"/>
        <w:rPr>
          <w:rFonts w:hint="eastAsia"/>
        </w:rPr>
      </w:pPr>
    </w:p>
    <w:p w14:paraId="10F3545E">
      <w:pPr>
        <w:spacing w:line="240" w:lineRule="auto"/>
        <w:ind w:firstLine="0" w:firstLineChars="0"/>
        <w:jc w:val="center"/>
        <w:rPr>
          <w:color w:val="000000"/>
          <w:sz w:val="32"/>
          <w:szCs w:val="32"/>
        </w:rPr>
      </w:pPr>
      <w:bookmarkStart w:id="0" w:name="_Toc4691"/>
      <w:bookmarkStart w:id="1" w:name="_Toc28390"/>
      <w:bookmarkStart w:id="2" w:name="_Toc23028"/>
      <w:bookmarkStart w:id="3" w:name="_Toc19165"/>
      <w:bookmarkStart w:id="4" w:name="_Toc20191"/>
      <w:bookmarkStart w:id="5" w:name="_Toc2628"/>
      <w:bookmarkStart w:id="6" w:name="_Toc1815"/>
      <w:bookmarkStart w:id="7" w:name="_Toc29686"/>
      <w:bookmarkStart w:id="8" w:name="_Toc21598"/>
      <w:bookmarkStart w:id="9" w:name="_Toc21301"/>
      <w:bookmarkStart w:id="10" w:name="_Toc13551"/>
      <w:bookmarkStart w:id="11" w:name="_Toc18989"/>
      <w:bookmarkStart w:id="12" w:name="_Toc21072"/>
      <w:bookmarkStart w:id="13" w:name="_Toc16713"/>
      <w:bookmarkStart w:id="14" w:name="_Toc14401"/>
      <w:r>
        <w:rPr>
          <w:rFonts w:hint="eastAsia"/>
          <w:color w:val="000000"/>
          <w:sz w:val="32"/>
          <w:szCs w:val="32"/>
        </w:rPr>
        <w:t>目录</w:t>
      </w:r>
    </w:p>
    <w:p w14:paraId="7CC62145">
      <w:pPr>
        <w:pStyle w:val="31"/>
        <w:tabs>
          <w:tab w:val="right" w:leader="dot" w:pos="9015"/>
        </w:tabs>
      </w:pPr>
      <w:r>
        <w:rPr>
          <w:rFonts w:hint="eastAsia"/>
          <w:color w:val="000000"/>
        </w:rPr>
        <w:fldChar w:fldCharType="begin"/>
      </w:r>
      <w:r>
        <w:rPr>
          <w:rFonts w:hint="eastAsia"/>
          <w:color w:val="000000"/>
        </w:rPr>
        <w:instrText xml:space="preserve">TOC \o "1-2" \h \u </w:instrText>
      </w:r>
      <w:r>
        <w:rPr>
          <w:rFonts w:hint="eastAsia"/>
          <w:color w:val="000000"/>
        </w:rPr>
        <w:fldChar w:fldCharType="separate"/>
      </w:r>
      <w:r>
        <w:rPr>
          <w:rFonts w:hint="eastAsia"/>
          <w:color w:val="000000"/>
        </w:rPr>
        <w:fldChar w:fldCharType="begin"/>
      </w:r>
      <w:r>
        <w:rPr>
          <w:rFonts w:hint="eastAsia"/>
        </w:rPr>
        <w:instrText xml:space="preserve"> HYPERLINK \l _Toc4001 </w:instrText>
      </w:r>
      <w:r>
        <w:rPr>
          <w:rFonts w:hint="eastAsia"/>
        </w:rPr>
        <w:fldChar w:fldCharType="separate"/>
      </w:r>
      <w:r>
        <w:rPr>
          <w:rFonts w:hint="eastAsia"/>
        </w:rPr>
        <w:t>第一章 编制说明</w:t>
      </w:r>
      <w:r>
        <w:tab/>
      </w:r>
      <w:r>
        <w:fldChar w:fldCharType="begin"/>
      </w:r>
      <w:r>
        <w:instrText xml:space="preserve"> PAGEREF _Toc4001 \h </w:instrText>
      </w:r>
      <w:r>
        <w:fldChar w:fldCharType="separate"/>
      </w:r>
      <w:r>
        <w:t>5</w:t>
      </w:r>
      <w:r>
        <w:fldChar w:fldCharType="end"/>
      </w:r>
      <w:r>
        <w:rPr>
          <w:rFonts w:hint="eastAsia"/>
          <w:color w:val="000000"/>
        </w:rPr>
        <w:fldChar w:fldCharType="end"/>
      </w:r>
    </w:p>
    <w:p w14:paraId="43F4900E">
      <w:pPr>
        <w:pStyle w:val="36"/>
        <w:tabs>
          <w:tab w:val="right" w:leader="dot" w:pos="9015"/>
        </w:tabs>
      </w:pPr>
      <w:r>
        <w:rPr>
          <w:rFonts w:hint="eastAsia"/>
        </w:rPr>
        <w:fldChar w:fldCharType="begin"/>
      </w:r>
      <w:r>
        <w:rPr>
          <w:rFonts w:hint="eastAsia"/>
        </w:rPr>
        <w:instrText xml:space="preserve"> HYPERLINK \l _Toc364 </w:instrText>
      </w:r>
      <w:r>
        <w:rPr>
          <w:rFonts w:hint="eastAsia"/>
        </w:rPr>
        <w:fldChar w:fldCharType="separate"/>
      </w:r>
      <w:r>
        <w:rPr>
          <w:rFonts w:hint="eastAsia"/>
        </w:rPr>
        <w:t xml:space="preserve">1.1. </w:t>
      </w:r>
      <w:r>
        <w:t>编制依据</w:t>
      </w:r>
      <w:r>
        <w:tab/>
      </w:r>
      <w:r>
        <w:fldChar w:fldCharType="begin"/>
      </w:r>
      <w:r>
        <w:instrText xml:space="preserve"> PAGEREF _Toc364 \h </w:instrText>
      </w:r>
      <w:r>
        <w:fldChar w:fldCharType="separate"/>
      </w:r>
      <w:r>
        <w:t>5</w:t>
      </w:r>
      <w:r>
        <w:fldChar w:fldCharType="end"/>
      </w:r>
      <w:r>
        <w:rPr>
          <w:rFonts w:hint="eastAsia"/>
        </w:rPr>
        <w:fldChar w:fldCharType="end"/>
      </w:r>
    </w:p>
    <w:p w14:paraId="3F234AD7">
      <w:pPr>
        <w:pStyle w:val="36"/>
        <w:tabs>
          <w:tab w:val="right" w:leader="dot" w:pos="9015"/>
        </w:tabs>
      </w:pPr>
      <w:r>
        <w:rPr>
          <w:rFonts w:hint="eastAsia"/>
        </w:rPr>
        <w:fldChar w:fldCharType="begin"/>
      </w:r>
      <w:r>
        <w:rPr>
          <w:rFonts w:hint="eastAsia"/>
        </w:rPr>
        <w:instrText xml:space="preserve"> HYPERLINK \l _Toc20791 </w:instrText>
      </w:r>
      <w:r>
        <w:rPr>
          <w:rFonts w:hint="eastAsia"/>
        </w:rPr>
        <w:fldChar w:fldCharType="separate"/>
      </w:r>
      <w:r>
        <w:rPr>
          <w:rFonts w:hint="eastAsia"/>
        </w:rPr>
        <w:t>1.2. 编制原则</w:t>
      </w:r>
      <w:r>
        <w:tab/>
      </w:r>
      <w:r>
        <w:fldChar w:fldCharType="begin"/>
      </w:r>
      <w:r>
        <w:instrText xml:space="preserve"> PAGEREF _Toc20791 \h </w:instrText>
      </w:r>
      <w:r>
        <w:fldChar w:fldCharType="separate"/>
      </w:r>
      <w:r>
        <w:t>5</w:t>
      </w:r>
      <w:r>
        <w:fldChar w:fldCharType="end"/>
      </w:r>
      <w:r>
        <w:rPr>
          <w:rFonts w:hint="eastAsia"/>
        </w:rPr>
        <w:fldChar w:fldCharType="end"/>
      </w:r>
    </w:p>
    <w:p w14:paraId="6DE1326F">
      <w:pPr>
        <w:pStyle w:val="36"/>
        <w:tabs>
          <w:tab w:val="right" w:leader="dot" w:pos="9015"/>
        </w:tabs>
      </w:pPr>
      <w:r>
        <w:rPr>
          <w:rFonts w:hint="eastAsia"/>
        </w:rPr>
        <w:fldChar w:fldCharType="begin"/>
      </w:r>
      <w:r>
        <w:rPr>
          <w:rFonts w:hint="eastAsia"/>
        </w:rPr>
        <w:instrText xml:space="preserve"> HYPERLINK \l _Toc16130 </w:instrText>
      </w:r>
      <w:r>
        <w:rPr>
          <w:rFonts w:hint="eastAsia"/>
        </w:rPr>
        <w:fldChar w:fldCharType="separate"/>
      </w:r>
      <w:r>
        <w:rPr>
          <w:rFonts w:hint="eastAsia"/>
        </w:rPr>
        <w:t>1.3. 编制范围</w:t>
      </w:r>
      <w:r>
        <w:tab/>
      </w:r>
      <w:r>
        <w:fldChar w:fldCharType="begin"/>
      </w:r>
      <w:r>
        <w:instrText xml:space="preserve"> PAGEREF _Toc16130 \h </w:instrText>
      </w:r>
      <w:r>
        <w:fldChar w:fldCharType="separate"/>
      </w:r>
      <w:r>
        <w:t>6</w:t>
      </w:r>
      <w:r>
        <w:fldChar w:fldCharType="end"/>
      </w:r>
      <w:r>
        <w:rPr>
          <w:rFonts w:hint="eastAsia"/>
        </w:rPr>
        <w:fldChar w:fldCharType="end"/>
      </w:r>
    </w:p>
    <w:p w14:paraId="61441D50">
      <w:pPr>
        <w:pStyle w:val="31"/>
        <w:tabs>
          <w:tab w:val="right" w:leader="dot" w:pos="9015"/>
        </w:tabs>
      </w:pPr>
      <w:r>
        <w:rPr>
          <w:rFonts w:hint="eastAsia"/>
        </w:rPr>
        <w:fldChar w:fldCharType="begin"/>
      </w:r>
      <w:r>
        <w:rPr>
          <w:rFonts w:hint="eastAsia"/>
        </w:rPr>
        <w:instrText xml:space="preserve"> HYPERLINK \l _Toc14344 </w:instrText>
      </w:r>
      <w:r>
        <w:rPr>
          <w:rFonts w:hint="eastAsia"/>
        </w:rPr>
        <w:fldChar w:fldCharType="separate"/>
      </w:r>
      <w:r>
        <w:rPr>
          <w:rFonts w:hint="eastAsia"/>
        </w:rPr>
        <w:t>第二章 工程概况</w:t>
      </w:r>
      <w:r>
        <w:tab/>
      </w:r>
      <w:r>
        <w:fldChar w:fldCharType="begin"/>
      </w:r>
      <w:r>
        <w:instrText xml:space="preserve"> PAGEREF _Toc14344 \h </w:instrText>
      </w:r>
      <w:r>
        <w:fldChar w:fldCharType="separate"/>
      </w:r>
      <w:r>
        <w:t>7</w:t>
      </w:r>
      <w:r>
        <w:fldChar w:fldCharType="end"/>
      </w:r>
      <w:r>
        <w:rPr>
          <w:rFonts w:hint="eastAsia"/>
        </w:rPr>
        <w:fldChar w:fldCharType="end"/>
      </w:r>
    </w:p>
    <w:p w14:paraId="5A625818">
      <w:pPr>
        <w:pStyle w:val="36"/>
        <w:tabs>
          <w:tab w:val="right" w:leader="dot" w:pos="9015"/>
        </w:tabs>
      </w:pPr>
      <w:r>
        <w:rPr>
          <w:rFonts w:hint="eastAsia"/>
        </w:rPr>
        <w:fldChar w:fldCharType="begin"/>
      </w:r>
      <w:r>
        <w:rPr>
          <w:rFonts w:hint="eastAsia"/>
        </w:rPr>
        <w:instrText xml:space="preserve"> HYPERLINK \l _Toc14322 </w:instrText>
      </w:r>
      <w:r>
        <w:rPr>
          <w:rFonts w:hint="eastAsia"/>
        </w:rPr>
        <w:fldChar w:fldCharType="separate"/>
      </w:r>
      <w:r>
        <w:rPr>
          <w:rFonts w:hint="eastAsia"/>
        </w:rPr>
        <w:t>2.1. 工程概况</w:t>
      </w:r>
      <w:r>
        <w:tab/>
      </w:r>
      <w:r>
        <w:fldChar w:fldCharType="begin"/>
      </w:r>
      <w:r>
        <w:instrText xml:space="preserve"> PAGEREF _Toc14322 \h </w:instrText>
      </w:r>
      <w:r>
        <w:fldChar w:fldCharType="separate"/>
      </w:r>
      <w:r>
        <w:t>7</w:t>
      </w:r>
      <w:r>
        <w:fldChar w:fldCharType="end"/>
      </w:r>
      <w:r>
        <w:rPr>
          <w:rFonts w:hint="eastAsia"/>
        </w:rPr>
        <w:fldChar w:fldCharType="end"/>
      </w:r>
    </w:p>
    <w:p w14:paraId="07DF6976">
      <w:pPr>
        <w:pStyle w:val="36"/>
        <w:tabs>
          <w:tab w:val="right" w:leader="dot" w:pos="9015"/>
        </w:tabs>
      </w:pPr>
      <w:r>
        <w:rPr>
          <w:rFonts w:hint="eastAsia"/>
        </w:rPr>
        <w:fldChar w:fldCharType="begin"/>
      </w:r>
      <w:r>
        <w:rPr>
          <w:rFonts w:hint="eastAsia"/>
        </w:rPr>
        <w:instrText xml:space="preserve"> HYPERLINK \l _Toc8370 </w:instrText>
      </w:r>
      <w:r>
        <w:rPr>
          <w:rFonts w:hint="eastAsia"/>
        </w:rPr>
        <w:fldChar w:fldCharType="separate"/>
      </w:r>
      <w:r>
        <w:rPr>
          <w:rFonts w:hint="eastAsia"/>
        </w:rPr>
        <w:t>2.2. 塔机布置</w:t>
      </w:r>
      <w:r>
        <w:tab/>
      </w:r>
      <w:r>
        <w:fldChar w:fldCharType="begin"/>
      </w:r>
      <w:r>
        <w:instrText xml:space="preserve"> PAGEREF _Toc8370 \h </w:instrText>
      </w:r>
      <w:r>
        <w:fldChar w:fldCharType="separate"/>
      </w:r>
      <w:r>
        <w:t>9</w:t>
      </w:r>
      <w:r>
        <w:fldChar w:fldCharType="end"/>
      </w:r>
      <w:r>
        <w:rPr>
          <w:rFonts w:hint="eastAsia"/>
        </w:rPr>
        <w:fldChar w:fldCharType="end"/>
      </w:r>
    </w:p>
    <w:p w14:paraId="3039FDC7">
      <w:pPr>
        <w:pStyle w:val="31"/>
        <w:tabs>
          <w:tab w:val="right" w:leader="dot" w:pos="9015"/>
        </w:tabs>
      </w:pPr>
      <w:r>
        <w:rPr>
          <w:rFonts w:hint="eastAsia"/>
        </w:rPr>
        <w:fldChar w:fldCharType="begin"/>
      </w:r>
      <w:r>
        <w:rPr>
          <w:rFonts w:hint="eastAsia"/>
        </w:rPr>
        <w:instrText xml:space="preserve"> HYPERLINK \l _Toc28843 </w:instrText>
      </w:r>
      <w:r>
        <w:rPr>
          <w:rFonts w:hint="eastAsia"/>
        </w:rPr>
        <w:fldChar w:fldCharType="separate"/>
      </w:r>
      <w:r>
        <w:rPr>
          <w:rFonts w:hint="eastAsia"/>
        </w:rPr>
        <w:t>第三章 所选用塔式起重机型号与性能</w:t>
      </w:r>
      <w:r>
        <w:tab/>
      </w:r>
      <w:r>
        <w:fldChar w:fldCharType="begin"/>
      </w:r>
      <w:r>
        <w:instrText xml:space="preserve"> PAGEREF _Toc28843 \h </w:instrText>
      </w:r>
      <w:r>
        <w:fldChar w:fldCharType="separate"/>
      </w:r>
      <w:r>
        <w:t>11</w:t>
      </w:r>
      <w:r>
        <w:fldChar w:fldCharType="end"/>
      </w:r>
      <w:r>
        <w:rPr>
          <w:rFonts w:hint="eastAsia"/>
        </w:rPr>
        <w:fldChar w:fldCharType="end"/>
      </w:r>
    </w:p>
    <w:p w14:paraId="11562220">
      <w:pPr>
        <w:pStyle w:val="36"/>
        <w:tabs>
          <w:tab w:val="right" w:leader="dot" w:pos="9015"/>
        </w:tabs>
      </w:pPr>
      <w:r>
        <w:rPr>
          <w:rFonts w:hint="eastAsia"/>
        </w:rPr>
        <w:fldChar w:fldCharType="begin"/>
      </w:r>
      <w:r>
        <w:rPr>
          <w:rFonts w:hint="eastAsia"/>
        </w:rPr>
        <w:instrText xml:space="preserve"> HYPERLINK \l _Toc22279 </w:instrText>
      </w:r>
      <w:r>
        <w:rPr>
          <w:rFonts w:hint="eastAsia"/>
        </w:rPr>
        <w:fldChar w:fldCharType="separate"/>
      </w:r>
      <w:r>
        <w:rPr>
          <w:rFonts w:hint="eastAsia"/>
          <w:lang w:val="en-US" w:eastAsia="zh-CN"/>
        </w:rPr>
        <w:t>3.1. 塔机型号</w:t>
      </w:r>
      <w:r>
        <w:tab/>
      </w:r>
      <w:r>
        <w:fldChar w:fldCharType="begin"/>
      </w:r>
      <w:r>
        <w:instrText xml:space="preserve"> PAGEREF _Toc22279 \h </w:instrText>
      </w:r>
      <w:r>
        <w:fldChar w:fldCharType="separate"/>
      </w:r>
      <w:r>
        <w:t>11</w:t>
      </w:r>
      <w:r>
        <w:fldChar w:fldCharType="end"/>
      </w:r>
      <w:r>
        <w:rPr>
          <w:rFonts w:hint="eastAsia"/>
        </w:rPr>
        <w:fldChar w:fldCharType="end"/>
      </w:r>
    </w:p>
    <w:p w14:paraId="2DF6472F">
      <w:pPr>
        <w:pStyle w:val="36"/>
        <w:tabs>
          <w:tab w:val="right" w:leader="dot" w:pos="9015"/>
        </w:tabs>
      </w:pPr>
      <w:r>
        <w:rPr>
          <w:rFonts w:hint="eastAsia"/>
        </w:rPr>
        <w:fldChar w:fldCharType="begin"/>
      </w:r>
      <w:r>
        <w:rPr>
          <w:rFonts w:hint="eastAsia"/>
        </w:rPr>
        <w:instrText xml:space="preserve"> HYPERLINK \l _Toc591 </w:instrText>
      </w:r>
      <w:r>
        <w:rPr>
          <w:rFonts w:hint="eastAsia"/>
        </w:rPr>
        <w:fldChar w:fldCharType="separate"/>
      </w:r>
      <w:r>
        <w:rPr>
          <w:rFonts w:hint="eastAsia"/>
        </w:rPr>
        <w:t>3.2. 塔机性能与参数</w:t>
      </w:r>
      <w:r>
        <w:tab/>
      </w:r>
      <w:r>
        <w:fldChar w:fldCharType="begin"/>
      </w:r>
      <w:r>
        <w:instrText xml:space="preserve"> PAGEREF _Toc591 \h </w:instrText>
      </w:r>
      <w:r>
        <w:fldChar w:fldCharType="separate"/>
      </w:r>
      <w:r>
        <w:t>11</w:t>
      </w:r>
      <w:r>
        <w:fldChar w:fldCharType="end"/>
      </w:r>
      <w:r>
        <w:rPr>
          <w:rFonts w:hint="eastAsia"/>
        </w:rPr>
        <w:fldChar w:fldCharType="end"/>
      </w:r>
    </w:p>
    <w:p w14:paraId="0ACF5A99">
      <w:pPr>
        <w:pStyle w:val="36"/>
        <w:tabs>
          <w:tab w:val="right" w:leader="dot" w:pos="9015"/>
        </w:tabs>
      </w:pPr>
      <w:r>
        <w:rPr>
          <w:rFonts w:hint="eastAsia"/>
        </w:rPr>
        <w:fldChar w:fldCharType="begin"/>
      </w:r>
      <w:r>
        <w:rPr>
          <w:rFonts w:hint="eastAsia"/>
        </w:rPr>
        <w:instrText xml:space="preserve"> HYPERLINK \l _Toc464 </w:instrText>
      </w:r>
      <w:r>
        <w:rPr>
          <w:rFonts w:hint="eastAsia"/>
        </w:rPr>
        <w:fldChar w:fldCharType="separate"/>
      </w:r>
      <w:r>
        <w:rPr>
          <w:rFonts w:hint="eastAsia"/>
        </w:rPr>
        <w:t>3.3. 防雷接地</w:t>
      </w:r>
      <w:r>
        <w:tab/>
      </w:r>
      <w:r>
        <w:fldChar w:fldCharType="begin"/>
      </w:r>
      <w:r>
        <w:instrText xml:space="preserve"> PAGEREF _Toc464 \h </w:instrText>
      </w:r>
      <w:r>
        <w:fldChar w:fldCharType="separate"/>
      </w:r>
      <w:r>
        <w:t>16</w:t>
      </w:r>
      <w:r>
        <w:fldChar w:fldCharType="end"/>
      </w:r>
      <w:r>
        <w:rPr>
          <w:rFonts w:hint="eastAsia"/>
        </w:rPr>
        <w:fldChar w:fldCharType="end"/>
      </w:r>
    </w:p>
    <w:p w14:paraId="6FDAEB19">
      <w:pPr>
        <w:pStyle w:val="36"/>
        <w:tabs>
          <w:tab w:val="right" w:leader="dot" w:pos="9015"/>
        </w:tabs>
      </w:pPr>
      <w:r>
        <w:rPr>
          <w:rFonts w:hint="eastAsia"/>
        </w:rPr>
        <w:fldChar w:fldCharType="begin"/>
      </w:r>
      <w:r>
        <w:rPr>
          <w:rFonts w:hint="eastAsia"/>
        </w:rPr>
        <w:instrText xml:space="preserve"> HYPERLINK \l _Toc27118 </w:instrText>
      </w:r>
      <w:r>
        <w:rPr>
          <w:rFonts w:hint="eastAsia"/>
        </w:rPr>
        <w:fldChar w:fldCharType="separate"/>
      </w:r>
      <w:r>
        <w:rPr>
          <w:rFonts w:hint="eastAsia"/>
        </w:rPr>
        <w:t>3.4. 塔机基础</w:t>
      </w:r>
      <w:r>
        <w:tab/>
      </w:r>
      <w:r>
        <w:fldChar w:fldCharType="begin"/>
      </w:r>
      <w:r>
        <w:instrText xml:space="preserve"> PAGEREF _Toc27118 \h </w:instrText>
      </w:r>
      <w:r>
        <w:fldChar w:fldCharType="separate"/>
      </w:r>
      <w:r>
        <w:t>16</w:t>
      </w:r>
      <w:r>
        <w:fldChar w:fldCharType="end"/>
      </w:r>
      <w:r>
        <w:rPr>
          <w:rFonts w:hint="eastAsia"/>
        </w:rPr>
        <w:fldChar w:fldCharType="end"/>
      </w:r>
    </w:p>
    <w:p w14:paraId="63A0EA3D">
      <w:pPr>
        <w:pStyle w:val="31"/>
        <w:tabs>
          <w:tab w:val="right" w:leader="dot" w:pos="9015"/>
        </w:tabs>
      </w:pPr>
      <w:r>
        <w:rPr>
          <w:rFonts w:hint="eastAsia"/>
        </w:rPr>
        <w:fldChar w:fldCharType="begin"/>
      </w:r>
      <w:r>
        <w:rPr>
          <w:rFonts w:hint="eastAsia"/>
        </w:rPr>
        <w:instrText xml:space="preserve"> HYPERLINK \l _Toc32165 </w:instrText>
      </w:r>
      <w:r>
        <w:rPr>
          <w:rFonts w:hint="eastAsia"/>
        </w:rPr>
        <w:fldChar w:fldCharType="separate"/>
      </w:r>
      <w:r>
        <w:rPr>
          <w:rFonts w:hint="eastAsia"/>
        </w:rPr>
        <w:t>第四章 施工技术方案</w:t>
      </w:r>
      <w:r>
        <w:tab/>
      </w:r>
      <w:r>
        <w:fldChar w:fldCharType="begin"/>
      </w:r>
      <w:r>
        <w:instrText xml:space="preserve"> PAGEREF _Toc32165 \h </w:instrText>
      </w:r>
      <w:r>
        <w:fldChar w:fldCharType="separate"/>
      </w:r>
      <w:r>
        <w:t>19</w:t>
      </w:r>
      <w:r>
        <w:fldChar w:fldCharType="end"/>
      </w:r>
      <w:r>
        <w:rPr>
          <w:rFonts w:hint="eastAsia"/>
        </w:rPr>
        <w:fldChar w:fldCharType="end"/>
      </w:r>
    </w:p>
    <w:p w14:paraId="594AC1F8">
      <w:pPr>
        <w:pStyle w:val="36"/>
        <w:tabs>
          <w:tab w:val="right" w:leader="dot" w:pos="9015"/>
        </w:tabs>
      </w:pPr>
      <w:r>
        <w:rPr>
          <w:rFonts w:hint="eastAsia"/>
        </w:rPr>
        <w:fldChar w:fldCharType="begin"/>
      </w:r>
      <w:r>
        <w:rPr>
          <w:rFonts w:hint="eastAsia"/>
        </w:rPr>
        <w:instrText xml:space="preserve"> HYPERLINK \l _Toc7801 </w:instrText>
      </w:r>
      <w:r>
        <w:rPr>
          <w:rFonts w:hint="eastAsia"/>
        </w:rPr>
        <w:fldChar w:fldCharType="separate"/>
      </w:r>
      <w:r>
        <w:rPr>
          <w:rFonts w:hint="eastAsia"/>
        </w:rPr>
        <w:t>4.1. 组织机构</w:t>
      </w:r>
      <w:r>
        <w:tab/>
      </w:r>
      <w:r>
        <w:fldChar w:fldCharType="begin"/>
      </w:r>
      <w:r>
        <w:instrText xml:space="preserve"> PAGEREF _Toc7801 \h </w:instrText>
      </w:r>
      <w:r>
        <w:fldChar w:fldCharType="separate"/>
      </w:r>
      <w:r>
        <w:t>19</w:t>
      </w:r>
      <w:r>
        <w:fldChar w:fldCharType="end"/>
      </w:r>
      <w:r>
        <w:rPr>
          <w:rFonts w:hint="eastAsia"/>
        </w:rPr>
        <w:fldChar w:fldCharType="end"/>
      </w:r>
    </w:p>
    <w:p w14:paraId="201EBD92">
      <w:pPr>
        <w:pStyle w:val="36"/>
        <w:tabs>
          <w:tab w:val="right" w:leader="dot" w:pos="9015"/>
        </w:tabs>
      </w:pPr>
      <w:r>
        <w:rPr>
          <w:rFonts w:hint="eastAsia"/>
        </w:rPr>
        <w:fldChar w:fldCharType="begin"/>
      </w:r>
      <w:r>
        <w:rPr>
          <w:rFonts w:hint="eastAsia"/>
        </w:rPr>
        <w:instrText xml:space="preserve"> HYPERLINK \l _Toc10114 </w:instrText>
      </w:r>
      <w:r>
        <w:rPr>
          <w:rFonts w:hint="eastAsia"/>
        </w:rPr>
        <w:fldChar w:fldCharType="separate"/>
      </w:r>
      <w:r>
        <w:rPr>
          <w:rFonts w:hint="eastAsia"/>
        </w:rPr>
        <w:t>4.2. 工期计划</w:t>
      </w:r>
      <w:r>
        <w:tab/>
      </w:r>
      <w:r>
        <w:fldChar w:fldCharType="begin"/>
      </w:r>
      <w:r>
        <w:instrText xml:space="preserve"> PAGEREF _Toc10114 \h </w:instrText>
      </w:r>
      <w:r>
        <w:fldChar w:fldCharType="separate"/>
      </w:r>
      <w:r>
        <w:t>20</w:t>
      </w:r>
      <w:r>
        <w:fldChar w:fldCharType="end"/>
      </w:r>
      <w:r>
        <w:rPr>
          <w:rFonts w:hint="eastAsia"/>
        </w:rPr>
        <w:fldChar w:fldCharType="end"/>
      </w:r>
    </w:p>
    <w:p w14:paraId="42B628DB">
      <w:pPr>
        <w:pStyle w:val="36"/>
        <w:tabs>
          <w:tab w:val="right" w:leader="dot" w:pos="9015"/>
        </w:tabs>
      </w:pPr>
      <w:r>
        <w:rPr>
          <w:rFonts w:hint="eastAsia"/>
        </w:rPr>
        <w:fldChar w:fldCharType="begin"/>
      </w:r>
      <w:r>
        <w:rPr>
          <w:rFonts w:hint="eastAsia"/>
        </w:rPr>
        <w:instrText xml:space="preserve"> HYPERLINK \l _Toc2953 </w:instrText>
      </w:r>
      <w:r>
        <w:rPr>
          <w:rFonts w:hint="eastAsia"/>
        </w:rPr>
        <w:fldChar w:fldCharType="separate"/>
      </w:r>
      <w:r>
        <w:rPr>
          <w:rFonts w:hint="eastAsia"/>
        </w:rPr>
        <w:t>4.3. 资源配置</w:t>
      </w:r>
      <w:r>
        <w:tab/>
      </w:r>
      <w:r>
        <w:fldChar w:fldCharType="begin"/>
      </w:r>
      <w:r>
        <w:instrText xml:space="preserve"> PAGEREF _Toc2953 \h </w:instrText>
      </w:r>
      <w:r>
        <w:fldChar w:fldCharType="separate"/>
      </w:r>
      <w:r>
        <w:t>21</w:t>
      </w:r>
      <w:r>
        <w:fldChar w:fldCharType="end"/>
      </w:r>
      <w:r>
        <w:rPr>
          <w:rFonts w:hint="eastAsia"/>
        </w:rPr>
        <w:fldChar w:fldCharType="end"/>
      </w:r>
    </w:p>
    <w:p w14:paraId="7DD92DC2">
      <w:pPr>
        <w:pStyle w:val="36"/>
        <w:tabs>
          <w:tab w:val="right" w:leader="dot" w:pos="9015"/>
        </w:tabs>
      </w:pPr>
      <w:r>
        <w:rPr>
          <w:rFonts w:hint="eastAsia"/>
        </w:rPr>
        <w:fldChar w:fldCharType="begin"/>
      </w:r>
      <w:r>
        <w:rPr>
          <w:rFonts w:hint="eastAsia"/>
        </w:rPr>
        <w:instrText xml:space="preserve"> HYPERLINK \l _Toc23806 </w:instrText>
      </w:r>
      <w:r>
        <w:rPr>
          <w:rFonts w:hint="eastAsia"/>
        </w:rPr>
        <w:fldChar w:fldCharType="separate"/>
      </w:r>
      <w:r>
        <w:rPr>
          <w:rFonts w:hint="eastAsia"/>
        </w:rPr>
        <w:t xml:space="preserve">4.4. </w:t>
      </w:r>
      <w:r>
        <w:t>安装</w:t>
      </w:r>
      <w:r>
        <w:rPr>
          <w:rFonts w:hint="eastAsia"/>
        </w:rPr>
        <w:t>起重机械</w:t>
      </w:r>
      <w:r>
        <w:t>设备的型号、性能及</w:t>
      </w:r>
      <w:r>
        <w:rPr>
          <w:rFonts w:hint="eastAsia"/>
        </w:rPr>
        <w:t>起吊能力验算</w:t>
      </w:r>
      <w:r>
        <w:tab/>
      </w:r>
      <w:r>
        <w:fldChar w:fldCharType="begin"/>
      </w:r>
      <w:r>
        <w:instrText xml:space="preserve"> PAGEREF _Toc23806 \h </w:instrText>
      </w:r>
      <w:r>
        <w:fldChar w:fldCharType="separate"/>
      </w:r>
      <w:r>
        <w:t>24</w:t>
      </w:r>
      <w:r>
        <w:fldChar w:fldCharType="end"/>
      </w:r>
      <w:r>
        <w:rPr>
          <w:rFonts w:hint="eastAsia"/>
        </w:rPr>
        <w:fldChar w:fldCharType="end"/>
      </w:r>
    </w:p>
    <w:p w14:paraId="27D73489">
      <w:pPr>
        <w:pStyle w:val="31"/>
        <w:tabs>
          <w:tab w:val="right" w:leader="dot" w:pos="9015"/>
        </w:tabs>
      </w:pPr>
      <w:r>
        <w:rPr>
          <w:rFonts w:hint="eastAsia"/>
        </w:rPr>
        <w:fldChar w:fldCharType="begin"/>
      </w:r>
      <w:r>
        <w:rPr>
          <w:rFonts w:hint="eastAsia"/>
        </w:rPr>
        <w:instrText xml:space="preserve"> HYPERLINK \l _Toc16176 </w:instrText>
      </w:r>
      <w:r>
        <w:rPr>
          <w:rFonts w:hint="eastAsia"/>
        </w:rPr>
        <w:fldChar w:fldCharType="separate"/>
      </w:r>
      <w:r>
        <w:rPr>
          <w:rFonts w:hint="eastAsia"/>
          <w:lang w:val="en-US" w:eastAsia="zh-CN"/>
        </w:rPr>
        <w:t xml:space="preserve">第五章 </w:t>
      </w:r>
      <w:r>
        <w:rPr>
          <w:rFonts w:hint="eastAsia"/>
          <w:lang w:eastAsia="zh-CN"/>
        </w:rPr>
        <w:t>XGT6015A-8S</w:t>
      </w:r>
      <w:r>
        <w:rPr>
          <w:rFonts w:hint="eastAsia"/>
        </w:rPr>
        <w:t>安装施工方案</w:t>
      </w:r>
      <w:r>
        <w:tab/>
      </w:r>
      <w:r>
        <w:fldChar w:fldCharType="begin"/>
      </w:r>
      <w:r>
        <w:instrText xml:space="preserve"> PAGEREF _Toc16176 \h </w:instrText>
      </w:r>
      <w:r>
        <w:fldChar w:fldCharType="separate"/>
      </w:r>
      <w:r>
        <w:t>46</w:t>
      </w:r>
      <w:r>
        <w:fldChar w:fldCharType="end"/>
      </w:r>
      <w:r>
        <w:rPr>
          <w:rFonts w:hint="eastAsia"/>
        </w:rPr>
        <w:fldChar w:fldCharType="end"/>
      </w:r>
    </w:p>
    <w:p w14:paraId="447226C1">
      <w:pPr>
        <w:pStyle w:val="36"/>
        <w:tabs>
          <w:tab w:val="right" w:leader="dot" w:pos="9015"/>
        </w:tabs>
      </w:pPr>
      <w:r>
        <w:rPr>
          <w:rFonts w:hint="eastAsia"/>
        </w:rPr>
        <w:fldChar w:fldCharType="begin"/>
      </w:r>
      <w:r>
        <w:rPr>
          <w:rFonts w:hint="eastAsia"/>
        </w:rPr>
        <w:instrText xml:space="preserve"> HYPERLINK \l _Toc26453 </w:instrText>
      </w:r>
      <w:r>
        <w:rPr>
          <w:rFonts w:hint="eastAsia"/>
        </w:rPr>
        <w:fldChar w:fldCharType="separate"/>
      </w:r>
      <w:r>
        <w:rPr>
          <w:rFonts w:hint="eastAsia"/>
        </w:rPr>
        <w:t>5.1. 塔机安装流程</w:t>
      </w:r>
      <w:r>
        <w:tab/>
      </w:r>
      <w:r>
        <w:fldChar w:fldCharType="begin"/>
      </w:r>
      <w:r>
        <w:instrText xml:space="preserve"> PAGEREF _Toc26453 \h </w:instrText>
      </w:r>
      <w:r>
        <w:fldChar w:fldCharType="separate"/>
      </w:r>
      <w:r>
        <w:t>46</w:t>
      </w:r>
      <w:r>
        <w:fldChar w:fldCharType="end"/>
      </w:r>
      <w:r>
        <w:rPr>
          <w:rFonts w:hint="eastAsia"/>
        </w:rPr>
        <w:fldChar w:fldCharType="end"/>
      </w:r>
    </w:p>
    <w:p w14:paraId="5816C71F">
      <w:pPr>
        <w:pStyle w:val="36"/>
        <w:tabs>
          <w:tab w:val="right" w:leader="dot" w:pos="9015"/>
        </w:tabs>
      </w:pPr>
      <w:r>
        <w:rPr>
          <w:rFonts w:hint="eastAsia"/>
        </w:rPr>
        <w:fldChar w:fldCharType="begin"/>
      </w:r>
      <w:r>
        <w:rPr>
          <w:rFonts w:hint="eastAsia"/>
        </w:rPr>
        <w:instrText xml:space="preserve"> HYPERLINK \l _Toc19302 </w:instrText>
      </w:r>
      <w:r>
        <w:rPr>
          <w:rFonts w:hint="eastAsia"/>
        </w:rPr>
        <w:fldChar w:fldCharType="separate"/>
      </w:r>
      <w:r>
        <w:rPr>
          <w:rFonts w:hint="eastAsia"/>
        </w:rPr>
        <w:t>5.2. 安装前准备工作</w:t>
      </w:r>
      <w:r>
        <w:tab/>
      </w:r>
      <w:r>
        <w:fldChar w:fldCharType="begin"/>
      </w:r>
      <w:r>
        <w:instrText xml:space="preserve"> PAGEREF _Toc19302 \h </w:instrText>
      </w:r>
      <w:r>
        <w:fldChar w:fldCharType="separate"/>
      </w:r>
      <w:r>
        <w:t>46</w:t>
      </w:r>
      <w:r>
        <w:fldChar w:fldCharType="end"/>
      </w:r>
      <w:r>
        <w:rPr>
          <w:rFonts w:hint="eastAsia"/>
        </w:rPr>
        <w:fldChar w:fldCharType="end"/>
      </w:r>
    </w:p>
    <w:p w14:paraId="0331B2AE">
      <w:pPr>
        <w:pStyle w:val="36"/>
        <w:tabs>
          <w:tab w:val="right" w:leader="dot" w:pos="9015"/>
        </w:tabs>
      </w:pPr>
      <w:r>
        <w:rPr>
          <w:rFonts w:hint="eastAsia"/>
        </w:rPr>
        <w:fldChar w:fldCharType="begin"/>
      </w:r>
      <w:r>
        <w:rPr>
          <w:rFonts w:hint="eastAsia"/>
        </w:rPr>
        <w:instrText xml:space="preserve"> HYPERLINK \l _Toc28578 </w:instrText>
      </w:r>
      <w:r>
        <w:rPr>
          <w:rFonts w:hint="eastAsia"/>
        </w:rPr>
        <w:fldChar w:fldCharType="separate"/>
      </w:r>
      <w:r>
        <w:rPr>
          <w:rFonts w:hint="eastAsia"/>
        </w:rPr>
        <w:t xml:space="preserve">5.3. </w:t>
      </w:r>
      <w:r>
        <w:rPr>
          <w:rFonts w:hint="eastAsia"/>
          <w:lang w:eastAsia="zh-CN"/>
        </w:rPr>
        <w:t>XGT6015A-8S</w:t>
      </w:r>
      <w:r>
        <w:rPr>
          <w:rFonts w:hint="eastAsia"/>
        </w:rPr>
        <w:t>塔机主机安装过程</w:t>
      </w:r>
      <w:r>
        <w:tab/>
      </w:r>
      <w:r>
        <w:fldChar w:fldCharType="begin"/>
      </w:r>
      <w:r>
        <w:instrText xml:space="preserve"> PAGEREF _Toc28578 \h </w:instrText>
      </w:r>
      <w:r>
        <w:fldChar w:fldCharType="separate"/>
      </w:r>
      <w:r>
        <w:t>47</w:t>
      </w:r>
      <w:r>
        <w:fldChar w:fldCharType="end"/>
      </w:r>
      <w:r>
        <w:rPr>
          <w:rFonts w:hint="eastAsia"/>
        </w:rPr>
        <w:fldChar w:fldCharType="end"/>
      </w:r>
    </w:p>
    <w:p w14:paraId="5D665E8E">
      <w:pPr>
        <w:pStyle w:val="36"/>
        <w:tabs>
          <w:tab w:val="right" w:leader="dot" w:pos="9015"/>
        </w:tabs>
      </w:pPr>
      <w:r>
        <w:rPr>
          <w:rFonts w:hint="eastAsia"/>
        </w:rPr>
        <w:fldChar w:fldCharType="begin"/>
      </w:r>
      <w:r>
        <w:rPr>
          <w:rFonts w:hint="eastAsia"/>
        </w:rPr>
        <w:instrText xml:space="preserve"> HYPERLINK \l _Toc8150 </w:instrText>
      </w:r>
      <w:r>
        <w:rPr>
          <w:rFonts w:hint="eastAsia"/>
        </w:rPr>
        <w:fldChar w:fldCharType="separate"/>
      </w:r>
      <w:r>
        <w:rPr>
          <w:rFonts w:hint="eastAsia"/>
        </w:rPr>
        <w:t>5.4. 顶升加节</w:t>
      </w:r>
      <w:r>
        <w:tab/>
      </w:r>
      <w:r>
        <w:fldChar w:fldCharType="begin"/>
      </w:r>
      <w:r>
        <w:instrText xml:space="preserve"> PAGEREF _Toc8150 \h </w:instrText>
      </w:r>
      <w:r>
        <w:fldChar w:fldCharType="separate"/>
      </w:r>
      <w:r>
        <w:t>71</w:t>
      </w:r>
      <w:r>
        <w:fldChar w:fldCharType="end"/>
      </w:r>
      <w:r>
        <w:rPr>
          <w:rFonts w:hint="eastAsia"/>
        </w:rPr>
        <w:fldChar w:fldCharType="end"/>
      </w:r>
    </w:p>
    <w:p w14:paraId="213D0D4B">
      <w:pPr>
        <w:pStyle w:val="31"/>
        <w:tabs>
          <w:tab w:val="right" w:leader="dot" w:pos="9015"/>
        </w:tabs>
      </w:pPr>
      <w:r>
        <w:rPr>
          <w:rFonts w:hint="eastAsia"/>
        </w:rPr>
        <w:fldChar w:fldCharType="begin"/>
      </w:r>
      <w:r>
        <w:rPr>
          <w:rFonts w:hint="eastAsia"/>
        </w:rPr>
        <w:instrText xml:space="preserve"> HYPERLINK \l _Toc19957 </w:instrText>
      </w:r>
      <w:r>
        <w:rPr>
          <w:rFonts w:hint="eastAsia"/>
        </w:rPr>
        <w:fldChar w:fldCharType="separate"/>
      </w:r>
      <w:r>
        <w:rPr>
          <w:rFonts w:hint="eastAsia"/>
        </w:rPr>
        <w:t xml:space="preserve">第六章 </w:t>
      </w:r>
      <w:r>
        <w:rPr>
          <w:rFonts w:hint="eastAsia"/>
          <w:lang w:val="en-US" w:eastAsia="zh-CN"/>
        </w:rPr>
        <w:t>T7020-12</w:t>
      </w:r>
      <w:r>
        <w:rPr>
          <w:rFonts w:hint="eastAsia"/>
        </w:rPr>
        <w:t>安装施工方案</w:t>
      </w:r>
      <w:r>
        <w:tab/>
      </w:r>
      <w:r>
        <w:fldChar w:fldCharType="begin"/>
      </w:r>
      <w:r>
        <w:instrText xml:space="preserve"> PAGEREF _Toc19957 \h </w:instrText>
      </w:r>
      <w:r>
        <w:fldChar w:fldCharType="separate"/>
      </w:r>
      <w:r>
        <w:t>79</w:t>
      </w:r>
      <w:r>
        <w:fldChar w:fldCharType="end"/>
      </w:r>
      <w:r>
        <w:rPr>
          <w:rFonts w:hint="eastAsia"/>
        </w:rPr>
        <w:fldChar w:fldCharType="end"/>
      </w:r>
    </w:p>
    <w:p w14:paraId="62A5A779">
      <w:pPr>
        <w:pStyle w:val="36"/>
        <w:tabs>
          <w:tab w:val="right" w:leader="dot" w:pos="9015"/>
        </w:tabs>
      </w:pPr>
      <w:r>
        <w:rPr>
          <w:rFonts w:hint="eastAsia"/>
        </w:rPr>
        <w:fldChar w:fldCharType="begin"/>
      </w:r>
      <w:r>
        <w:rPr>
          <w:rFonts w:hint="eastAsia"/>
        </w:rPr>
        <w:instrText xml:space="preserve"> HYPERLINK \l _Toc1811 </w:instrText>
      </w:r>
      <w:r>
        <w:rPr>
          <w:rFonts w:hint="eastAsia"/>
        </w:rPr>
        <w:fldChar w:fldCharType="separate"/>
      </w:r>
      <w:r>
        <w:rPr>
          <w:rFonts w:hint="eastAsia"/>
          <w:lang w:val="en-US" w:eastAsia="zh-CN"/>
        </w:rPr>
        <w:t>6.2. 试验</w:t>
      </w:r>
      <w:r>
        <w:tab/>
      </w:r>
      <w:r>
        <w:fldChar w:fldCharType="begin"/>
      </w:r>
      <w:r>
        <w:instrText xml:space="preserve"> PAGEREF _Toc1811 \h </w:instrText>
      </w:r>
      <w:r>
        <w:fldChar w:fldCharType="separate"/>
      </w:r>
      <w:r>
        <w:t>102</w:t>
      </w:r>
      <w:r>
        <w:fldChar w:fldCharType="end"/>
      </w:r>
      <w:r>
        <w:rPr>
          <w:rFonts w:hint="eastAsia"/>
        </w:rPr>
        <w:fldChar w:fldCharType="end"/>
      </w:r>
    </w:p>
    <w:p w14:paraId="2BF64F97">
      <w:pPr>
        <w:pStyle w:val="31"/>
        <w:tabs>
          <w:tab w:val="right" w:leader="dot" w:pos="9015"/>
        </w:tabs>
      </w:pPr>
      <w:r>
        <w:rPr>
          <w:rFonts w:hint="eastAsia"/>
        </w:rPr>
        <w:fldChar w:fldCharType="begin"/>
      </w:r>
      <w:r>
        <w:rPr>
          <w:rFonts w:hint="eastAsia"/>
        </w:rPr>
        <w:instrText xml:space="preserve"> HYPERLINK \l _Toc21048 </w:instrText>
      </w:r>
      <w:r>
        <w:rPr>
          <w:rFonts w:hint="eastAsia"/>
        </w:rPr>
        <w:fldChar w:fldCharType="separate"/>
      </w:r>
      <w:r>
        <w:rPr>
          <w:rFonts w:hint="eastAsia"/>
        </w:rPr>
        <w:t xml:space="preserve">第七章 </w:t>
      </w:r>
      <w:r>
        <w:rPr>
          <w:rFonts w:hint="eastAsia"/>
          <w:lang w:val="en-US" w:eastAsia="zh-CN"/>
        </w:rPr>
        <w:t>XGT6515D-10S</w:t>
      </w:r>
      <w:r>
        <w:rPr>
          <w:rFonts w:hint="default"/>
          <w:lang w:val="en-US" w:eastAsia="zh-CN"/>
        </w:rPr>
        <w:t>塔吊安装</w:t>
      </w:r>
      <w:r>
        <w:tab/>
      </w:r>
      <w:r>
        <w:fldChar w:fldCharType="begin"/>
      </w:r>
      <w:r>
        <w:instrText xml:space="preserve"> PAGEREF _Toc21048 \h </w:instrText>
      </w:r>
      <w:r>
        <w:fldChar w:fldCharType="separate"/>
      </w:r>
      <w:r>
        <w:t>105</w:t>
      </w:r>
      <w:r>
        <w:fldChar w:fldCharType="end"/>
      </w:r>
      <w:r>
        <w:rPr>
          <w:rFonts w:hint="eastAsia"/>
        </w:rPr>
        <w:fldChar w:fldCharType="end"/>
      </w:r>
    </w:p>
    <w:p w14:paraId="314BDB70">
      <w:pPr>
        <w:pStyle w:val="36"/>
        <w:tabs>
          <w:tab w:val="right" w:leader="dot" w:pos="9015"/>
        </w:tabs>
      </w:pPr>
      <w:r>
        <w:rPr>
          <w:rFonts w:hint="eastAsia"/>
        </w:rPr>
        <w:fldChar w:fldCharType="begin"/>
      </w:r>
      <w:r>
        <w:rPr>
          <w:rFonts w:hint="eastAsia"/>
        </w:rPr>
        <w:instrText xml:space="preserve"> HYPERLINK \l _Toc2688 </w:instrText>
      </w:r>
      <w:r>
        <w:rPr>
          <w:rFonts w:hint="eastAsia"/>
        </w:rPr>
        <w:fldChar w:fldCharType="separate"/>
      </w:r>
      <w:r>
        <w:rPr>
          <w:rFonts w:hint="eastAsia"/>
        </w:rPr>
        <w:t>7.1. 塔机安装流程</w:t>
      </w:r>
      <w:r>
        <w:tab/>
      </w:r>
      <w:r>
        <w:fldChar w:fldCharType="begin"/>
      </w:r>
      <w:r>
        <w:instrText xml:space="preserve"> PAGEREF _Toc2688 \h </w:instrText>
      </w:r>
      <w:r>
        <w:fldChar w:fldCharType="separate"/>
      </w:r>
      <w:r>
        <w:t>105</w:t>
      </w:r>
      <w:r>
        <w:fldChar w:fldCharType="end"/>
      </w:r>
      <w:r>
        <w:rPr>
          <w:rFonts w:hint="eastAsia"/>
        </w:rPr>
        <w:fldChar w:fldCharType="end"/>
      </w:r>
    </w:p>
    <w:p w14:paraId="4C6C9779">
      <w:pPr>
        <w:pStyle w:val="36"/>
        <w:tabs>
          <w:tab w:val="right" w:leader="dot" w:pos="9015"/>
        </w:tabs>
      </w:pPr>
      <w:r>
        <w:rPr>
          <w:rFonts w:hint="eastAsia"/>
        </w:rPr>
        <w:fldChar w:fldCharType="begin"/>
      </w:r>
      <w:r>
        <w:rPr>
          <w:rFonts w:hint="eastAsia"/>
        </w:rPr>
        <w:instrText xml:space="preserve"> HYPERLINK \l _Toc23792 </w:instrText>
      </w:r>
      <w:r>
        <w:rPr>
          <w:rFonts w:hint="eastAsia"/>
        </w:rPr>
        <w:fldChar w:fldCharType="separate"/>
      </w:r>
      <w:r>
        <w:rPr>
          <w:rFonts w:hint="eastAsia"/>
        </w:rPr>
        <w:t>7.2. 安装前准备工作</w:t>
      </w:r>
      <w:r>
        <w:tab/>
      </w:r>
      <w:r>
        <w:fldChar w:fldCharType="begin"/>
      </w:r>
      <w:r>
        <w:instrText xml:space="preserve"> PAGEREF _Toc23792 \h </w:instrText>
      </w:r>
      <w:r>
        <w:fldChar w:fldCharType="separate"/>
      </w:r>
      <w:r>
        <w:t>105</w:t>
      </w:r>
      <w:r>
        <w:fldChar w:fldCharType="end"/>
      </w:r>
      <w:r>
        <w:rPr>
          <w:rFonts w:hint="eastAsia"/>
        </w:rPr>
        <w:fldChar w:fldCharType="end"/>
      </w:r>
    </w:p>
    <w:p w14:paraId="533B7CE9">
      <w:pPr>
        <w:pStyle w:val="36"/>
        <w:tabs>
          <w:tab w:val="right" w:leader="dot" w:pos="9015"/>
        </w:tabs>
      </w:pPr>
      <w:r>
        <w:rPr>
          <w:rFonts w:hint="eastAsia"/>
        </w:rPr>
        <w:fldChar w:fldCharType="begin"/>
      </w:r>
      <w:r>
        <w:rPr>
          <w:rFonts w:hint="eastAsia"/>
        </w:rPr>
        <w:instrText xml:space="preserve"> HYPERLINK \l _Toc23154 </w:instrText>
      </w:r>
      <w:r>
        <w:rPr>
          <w:rFonts w:hint="eastAsia"/>
        </w:rPr>
        <w:fldChar w:fldCharType="separate"/>
      </w:r>
      <w:r>
        <w:rPr>
          <w:rFonts w:hint="eastAsia"/>
        </w:rPr>
        <w:t xml:space="preserve">7.3. </w:t>
      </w:r>
      <w:r>
        <w:rPr>
          <w:rFonts w:hint="eastAsia"/>
          <w:lang w:eastAsia="zh-CN"/>
        </w:rPr>
        <w:t>XGT6515D-10S</w:t>
      </w:r>
      <w:r>
        <w:rPr>
          <w:rFonts w:hint="eastAsia"/>
        </w:rPr>
        <w:t>塔机主机安装过程</w:t>
      </w:r>
      <w:r>
        <w:tab/>
      </w:r>
      <w:r>
        <w:fldChar w:fldCharType="begin"/>
      </w:r>
      <w:r>
        <w:instrText xml:space="preserve"> PAGEREF _Toc23154 \h </w:instrText>
      </w:r>
      <w:r>
        <w:fldChar w:fldCharType="separate"/>
      </w:r>
      <w:r>
        <w:t>106</w:t>
      </w:r>
      <w:r>
        <w:fldChar w:fldCharType="end"/>
      </w:r>
      <w:r>
        <w:rPr>
          <w:rFonts w:hint="eastAsia"/>
        </w:rPr>
        <w:fldChar w:fldCharType="end"/>
      </w:r>
    </w:p>
    <w:p w14:paraId="34B73BA5">
      <w:pPr>
        <w:pStyle w:val="36"/>
        <w:tabs>
          <w:tab w:val="right" w:leader="dot" w:pos="9015"/>
        </w:tabs>
      </w:pPr>
      <w:r>
        <w:rPr>
          <w:rFonts w:hint="eastAsia"/>
        </w:rPr>
        <w:fldChar w:fldCharType="begin"/>
      </w:r>
      <w:r>
        <w:rPr>
          <w:rFonts w:hint="eastAsia"/>
        </w:rPr>
        <w:instrText xml:space="preserve"> HYPERLINK \l _Toc3943 </w:instrText>
      </w:r>
      <w:r>
        <w:rPr>
          <w:rFonts w:hint="eastAsia"/>
        </w:rPr>
        <w:fldChar w:fldCharType="separate"/>
      </w:r>
      <w:r>
        <w:rPr>
          <w:rFonts w:hint="eastAsia"/>
        </w:rPr>
        <w:t>7.4. 顶升加节</w:t>
      </w:r>
      <w:r>
        <w:tab/>
      </w:r>
      <w:r>
        <w:fldChar w:fldCharType="begin"/>
      </w:r>
      <w:r>
        <w:instrText xml:space="preserve"> PAGEREF _Toc3943 \h </w:instrText>
      </w:r>
      <w:r>
        <w:fldChar w:fldCharType="separate"/>
      </w:r>
      <w:r>
        <w:t>123</w:t>
      </w:r>
      <w:r>
        <w:fldChar w:fldCharType="end"/>
      </w:r>
      <w:r>
        <w:rPr>
          <w:rFonts w:hint="eastAsia"/>
        </w:rPr>
        <w:fldChar w:fldCharType="end"/>
      </w:r>
    </w:p>
    <w:p w14:paraId="525CBEE3">
      <w:pPr>
        <w:pStyle w:val="31"/>
        <w:tabs>
          <w:tab w:val="right" w:leader="dot" w:pos="9015"/>
        </w:tabs>
      </w:pPr>
      <w:r>
        <w:rPr>
          <w:rFonts w:hint="eastAsia"/>
        </w:rPr>
        <w:fldChar w:fldCharType="begin"/>
      </w:r>
      <w:r>
        <w:rPr>
          <w:rFonts w:hint="eastAsia"/>
        </w:rPr>
        <w:instrText xml:space="preserve"> HYPERLINK \l _Toc1101 </w:instrText>
      </w:r>
      <w:r>
        <w:rPr>
          <w:rFonts w:hint="eastAsia"/>
        </w:rPr>
        <w:fldChar w:fldCharType="separate"/>
      </w:r>
      <w:r>
        <w:rPr>
          <w:rFonts w:hint="eastAsia"/>
        </w:rPr>
        <w:t xml:space="preserve">第八章 </w:t>
      </w:r>
      <w:r>
        <w:rPr>
          <w:rFonts w:hint="eastAsia"/>
          <w:lang w:eastAsia="zh-CN"/>
        </w:rPr>
        <w:t>XGT6015A-8S</w:t>
      </w:r>
      <w:r>
        <w:rPr>
          <w:rFonts w:hint="eastAsia"/>
        </w:rPr>
        <w:t>塔机拆除施工方案</w:t>
      </w:r>
      <w:r>
        <w:tab/>
      </w:r>
      <w:r>
        <w:fldChar w:fldCharType="begin"/>
      </w:r>
      <w:r>
        <w:instrText xml:space="preserve"> PAGEREF _Toc1101 \h </w:instrText>
      </w:r>
      <w:r>
        <w:fldChar w:fldCharType="separate"/>
      </w:r>
      <w:r>
        <w:t>129</w:t>
      </w:r>
      <w:r>
        <w:fldChar w:fldCharType="end"/>
      </w:r>
      <w:r>
        <w:rPr>
          <w:rFonts w:hint="eastAsia"/>
        </w:rPr>
        <w:fldChar w:fldCharType="end"/>
      </w:r>
    </w:p>
    <w:p w14:paraId="4D565E0A">
      <w:pPr>
        <w:pStyle w:val="36"/>
        <w:tabs>
          <w:tab w:val="right" w:leader="dot" w:pos="9015"/>
        </w:tabs>
      </w:pPr>
      <w:r>
        <w:rPr>
          <w:rFonts w:hint="eastAsia"/>
        </w:rPr>
        <w:fldChar w:fldCharType="begin"/>
      </w:r>
      <w:r>
        <w:rPr>
          <w:rFonts w:hint="eastAsia"/>
        </w:rPr>
        <w:instrText xml:space="preserve"> HYPERLINK \l _Toc21949 </w:instrText>
      </w:r>
      <w:r>
        <w:rPr>
          <w:rFonts w:hint="eastAsia"/>
        </w:rPr>
        <w:fldChar w:fldCharType="separate"/>
      </w:r>
      <w:r>
        <w:rPr>
          <w:rFonts w:hint="eastAsia"/>
        </w:rPr>
        <w:t>8.1. 拆塔前的准备工作</w:t>
      </w:r>
      <w:r>
        <w:tab/>
      </w:r>
      <w:r>
        <w:fldChar w:fldCharType="begin"/>
      </w:r>
      <w:r>
        <w:instrText xml:space="preserve"> PAGEREF _Toc21949 \h </w:instrText>
      </w:r>
      <w:r>
        <w:fldChar w:fldCharType="separate"/>
      </w:r>
      <w:r>
        <w:t>129</w:t>
      </w:r>
      <w:r>
        <w:fldChar w:fldCharType="end"/>
      </w:r>
      <w:r>
        <w:rPr>
          <w:rFonts w:hint="eastAsia"/>
        </w:rPr>
        <w:fldChar w:fldCharType="end"/>
      </w:r>
    </w:p>
    <w:p w14:paraId="12C029D8">
      <w:pPr>
        <w:pStyle w:val="36"/>
        <w:tabs>
          <w:tab w:val="right" w:leader="dot" w:pos="9015"/>
        </w:tabs>
      </w:pPr>
      <w:r>
        <w:rPr>
          <w:rFonts w:hint="eastAsia"/>
        </w:rPr>
        <w:fldChar w:fldCharType="begin"/>
      </w:r>
      <w:r>
        <w:rPr>
          <w:rFonts w:hint="eastAsia"/>
        </w:rPr>
        <w:instrText xml:space="preserve"> HYPERLINK \l _Toc20146 </w:instrText>
      </w:r>
      <w:r>
        <w:rPr>
          <w:rFonts w:hint="eastAsia"/>
        </w:rPr>
        <w:fldChar w:fldCharType="separate"/>
      </w:r>
      <w:r>
        <w:rPr>
          <w:rFonts w:hint="eastAsia"/>
        </w:rPr>
        <w:t>8.2. 拆塔注意事项</w:t>
      </w:r>
      <w:r>
        <w:tab/>
      </w:r>
      <w:r>
        <w:fldChar w:fldCharType="begin"/>
      </w:r>
      <w:r>
        <w:instrText xml:space="preserve"> PAGEREF _Toc20146 \h </w:instrText>
      </w:r>
      <w:r>
        <w:fldChar w:fldCharType="separate"/>
      </w:r>
      <w:r>
        <w:t>129</w:t>
      </w:r>
      <w:r>
        <w:fldChar w:fldCharType="end"/>
      </w:r>
      <w:r>
        <w:rPr>
          <w:rFonts w:hint="eastAsia"/>
        </w:rPr>
        <w:fldChar w:fldCharType="end"/>
      </w:r>
    </w:p>
    <w:p w14:paraId="73432C3D">
      <w:pPr>
        <w:pStyle w:val="36"/>
        <w:tabs>
          <w:tab w:val="right" w:leader="dot" w:pos="9015"/>
        </w:tabs>
      </w:pPr>
      <w:r>
        <w:rPr>
          <w:rFonts w:hint="eastAsia"/>
        </w:rPr>
        <w:fldChar w:fldCharType="begin"/>
      </w:r>
      <w:r>
        <w:rPr>
          <w:rFonts w:hint="eastAsia"/>
        </w:rPr>
        <w:instrText xml:space="preserve"> HYPERLINK \l _Toc25334 </w:instrText>
      </w:r>
      <w:r>
        <w:rPr>
          <w:rFonts w:hint="eastAsia"/>
        </w:rPr>
        <w:fldChar w:fldCharType="separate"/>
      </w:r>
      <w:r>
        <w:rPr>
          <w:rFonts w:hint="eastAsia"/>
        </w:rPr>
        <w:t>8.3. 拆除总工序</w:t>
      </w:r>
      <w:r>
        <w:tab/>
      </w:r>
      <w:r>
        <w:fldChar w:fldCharType="begin"/>
      </w:r>
      <w:r>
        <w:instrText xml:space="preserve"> PAGEREF _Toc25334 \h </w:instrText>
      </w:r>
      <w:r>
        <w:fldChar w:fldCharType="separate"/>
      </w:r>
      <w:r>
        <w:t>130</w:t>
      </w:r>
      <w:r>
        <w:fldChar w:fldCharType="end"/>
      </w:r>
      <w:r>
        <w:rPr>
          <w:rFonts w:hint="eastAsia"/>
        </w:rPr>
        <w:fldChar w:fldCharType="end"/>
      </w:r>
    </w:p>
    <w:p w14:paraId="76005A1F">
      <w:pPr>
        <w:pStyle w:val="36"/>
        <w:tabs>
          <w:tab w:val="right" w:leader="dot" w:pos="9015"/>
        </w:tabs>
      </w:pPr>
      <w:r>
        <w:rPr>
          <w:rFonts w:hint="eastAsia"/>
        </w:rPr>
        <w:fldChar w:fldCharType="begin"/>
      </w:r>
      <w:r>
        <w:rPr>
          <w:rFonts w:hint="eastAsia"/>
        </w:rPr>
        <w:instrText xml:space="preserve"> HYPERLINK \l _Toc5111 </w:instrText>
      </w:r>
      <w:r>
        <w:rPr>
          <w:rFonts w:hint="eastAsia"/>
        </w:rPr>
        <w:fldChar w:fldCharType="separate"/>
      </w:r>
      <w:r>
        <w:rPr>
          <w:rFonts w:hint="eastAsia"/>
        </w:rPr>
        <w:t>8.4. 拆塔</w:t>
      </w:r>
      <w:r>
        <w:tab/>
      </w:r>
      <w:r>
        <w:fldChar w:fldCharType="begin"/>
      </w:r>
      <w:r>
        <w:instrText xml:space="preserve"> PAGEREF _Toc5111 \h </w:instrText>
      </w:r>
      <w:r>
        <w:fldChar w:fldCharType="separate"/>
      </w:r>
      <w:r>
        <w:t>130</w:t>
      </w:r>
      <w:r>
        <w:fldChar w:fldCharType="end"/>
      </w:r>
      <w:r>
        <w:rPr>
          <w:rFonts w:hint="eastAsia"/>
        </w:rPr>
        <w:fldChar w:fldCharType="end"/>
      </w:r>
    </w:p>
    <w:p w14:paraId="3CB5C2DF">
      <w:pPr>
        <w:pStyle w:val="31"/>
        <w:tabs>
          <w:tab w:val="right" w:leader="dot" w:pos="9015"/>
        </w:tabs>
      </w:pPr>
      <w:r>
        <w:rPr>
          <w:rFonts w:hint="eastAsia"/>
        </w:rPr>
        <w:fldChar w:fldCharType="begin"/>
      </w:r>
      <w:r>
        <w:rPr>
          <w:rFonts w:hint="eastAsia"/>
        </w:rPr>
        <w:instrText xml:space="preserve"> HYPERLINK \l _Toc13821 </w:instrText>
      </w:r>
      <w:r>
        <w:rPr>
          <w:rFonts w:hint="eastAsia"/>
        </w:rPr>
        <w:fldChar w:fldCharType="separate"/>
      </w:r>
      <w:r>
        <w:rPr>
          <w:rFonts w:hint="eastAsia"/>
        </w:rPr>
        <w:t xml:space="preserve">第九章 </w:t>
      </w:r>
      <w:r>
        <w:rPr>
          <w:rFonts w:hint="eastAsia"/>
          <w:lang w:val="en-US" w:eastAsia="zh-CN"/>
        </w:rPr>
        <w:t>T7020-12</w:t>
      </w:r>
      <w:r>
        <w:rPr>
          <w:rFonts w:hint="eastAsia"/>
        </w:rPr>
        <w:t>塔机拆除施工</w:t>
      </w:r>
      <w:r>
        <w:rPr>
          <w:rFonts w:hint="eastAsia"/>
          <w:lang w:val="en-US" w:eastAsia="zh-CN"/>
        </w:rPr>
        <w:t>方案</w:t>
      </w:r>
      <w:r>
        <w:tab/>
      </w:r>
      <w:r>
        <w:fldChar w:fldCharType="begin"/>
      </w:r>
      <w:r>
        <w:instrText xml:space="preserve"> PAGEREF _Toc13821 \h </w:instrText>
      </w:r>
      <w:r>
        <w:fldChar w:fldCharType="separate"/>
      </w:r>
      <w:r>
        <w:t>133</w:t>
      </w:r>
      <w:r>
        <w:fldChar w:fldCharType="end"/>
      </w:r>
      <w:r>
        <w:rPr>
          <w:rFonts w:hint="eastAsia"/>
        </w:rPr>
        <w:fldChar w:fldCharType="end"/>
      </w:r>
    </w:p>
    <w:p w14:paraId="72BC3ED3">
      <w:pPr>
        <w:pStyle w:val="36"/>
        <w:tabs>
          <w:tab w:val="right" w:leader="dot" w:pos="9015"/>
        </w:tabs>
      </w:pPr>
      <w:r>
        <w:rPr>
          <w:rFonts w:hint="eastAsia"/>
        </w:rPr>
        <w:fldChar w:fldCharType="begin"/>
      </w:r>
      <w:r>
        <w:rPr>
          <w:rFonts w:hint="eastAsia"/>
        </w:rPr>
        <w:instrText xml:space="preserve"> HYPERLINK \l _Toc30077 </w:instrText>
      </w:r>
      <w:r>
        <w:rPr>
          <w:rFonts w:hint="eastAsia"/>
        </w:rPr>
        <w:fldChar w:fldCharType="separate"/>
      </w:r>
      <w:r>
        <w:rPr>
          <w:rFonts w:hint="eastAsia"/>
        </w:rPr>
        <w:t>9.1. 拆塔前的准备工作</w:t>
      </w:r>
      <w:r>
        <w:tab/>
      </w:r>
      <w:r>
        <w:fldChar w:fldCharType="begin"/>
      </w:r>
      <w:r>
        <w:instrText xml:space="preserve"> PAGEREF _Toc30077 \h </w:instrText>
      </w:r>
      <w:r>
        <w:fldChar w:fldCharType="separate"/>
      </w:r>
      <w:r>
        <w:t>133</w:t>
      </w:r>
      <w:r>
        <w:fldChar w:fldCharType="end"/>
      </w:r>
      <w:r>
        <w:rPr>
          <w:rFonts w:hint="eastAsia"/>
        </w:rPr>
        <w:fldChar w:fldCharType="end"/>
      </w:r>
    </w:p>
    <w:p w14:paraId="3BD91F51">
      <w:pPr>
        <w:pStyle w:val="36"/>
        <w:tabs>
          <w:tab w:val="right" w:leader="dot" w:pos="9015"/>
        </w:tabs>
      </w:pPr>
      <w:r>
        <w:rPr>
          <w:rFonts w:hint="eastAsia"/>
        </w:rPr>
        <w:fldChar w:fldCharType="begin"/>
      </w:r>
      <w:r>
        <w:rPr>
          <w:rFonts w:hint="eastAsia"/>
        </w:rPr>
        <w:instrText xml:space="preserve"> HYPERLINK \l _Toc14385 </w:instrText>
      </w:r>
      <w:r>
        <w:rPr>
          <w:rFonts w:hint="eastAsia"/>
        </w:rPr>
        <w:fldChar w:fldCharType="separate"/>
      </w:r>
      <w:r>
        <w:rPr>
          <w:rFonts w:hint="eastAsia"/>
        </w:rPr>
        <w:t>9.2. 拆塔注意事项</w:t>
      </w:r>
      <w:r>
        <w:tab/>
      </w:r>
      <w:r>
        <w:fldChar w:fldCharType="begin"/>
      </w:r>
      <w:r>
        <w:instrText xml:space="preserve"> PAGEREF _Toc14385 \h </w:instrText>
      </w:r>
      <w:r>
        <w:fldChar w:fldCharType="separate"/>
      </w:r>
      <w:r>
        <w:t>133</w:t>
      </w:r>
      <w:r>
        <w:fldChar w:fldCharType="end"/>
      </w:r>
      <w:r>
        <w:rPr>
          <w:rFonts w:hint="eastAsia"/>
        </w:rPr>
        <w:fldChar w:fldCharType="end"/>
      </w:r>
    </w:p>
    <w:p w14:paraId="6B491655">
      <w:pPr>
        <w:pStyle w:val="36"/>
        <w:tabs>
          <w:tab w:val="right" w:leader="dot" w:pos="9015"/>
        </w:tabs>
      </w:pPr>
      <w:r>
        <w:rPr>
          <w:rFonts w:hint="eastAsia"/>
        </w:rPr>
        <w:fldChar w:fldCharType="begin"/>
      </w:r>
      <w:r>
        <w:rPr>
          <w:rFonts w:hint="eastAsia"/>
        </w:rPr>
        <w:instrText xml:space="preserve"> HYPERLINK \l _Toc22183 </w:instrText>
      </w:r>
      <w:r>
        <w:rPr>
          <w:rFonts w:hint="eastAsia"/>
        </w:rPr>
        <w:fldChar w:fldCharType="separate"/>
      </w:r>
      <w:r>
        <w:rPr>
          <w:rFonts w:hint="eastAsia"/>
        </w:rPr>
        <w:t>9.3. 拆除总工序</w:t>
      </w:r>
      <w:r>
        <w:tab/>
      </w:r>
      <w:r>
        <w:fldChar w:fldCharType="begin"/>
      </w:r>
      <w:r>
        <w:instrText xml:space="preserve"> PAGEREF _Toc22183 \h </w:instrText>
      </w:r>
      <w:r>
        <w:fldChar w:fldCharType="separate"/>
      </w:r>
      <w:r>
        <w:t>133</w:t>
      </w:r>
      <w:r>
        <w:fldChar w:fldCharType="end"/>
      </w:r>
      <w:r>
        <w:rPr>
          <w:rFonts w:hint="eastAsia"/>
        </w:rPr>
        <w:fldChar w:fldCharType="end"/>
      </w:r>
    </w:p>
    <w:p w14:paraId="7E650A42">
      <w:pPr>
        <w:pStyle w:val="36"/>
        <w:tabs>
          <w:tab w:val="right" w:leader="dot" w:pos="9015"/>
        </w:tabs>
      </w:pPr>
      <w:r>
        <w:rPr>
          <w:rFonts w:hint="eastAsia"/>
        </w:rPr>
        <w:fldChar w:fldCharType="begin"/>
      </w:r>
      <w:r>
        <w:rPr>
          <w:rFonts w:hint="eastAsia"/>
        </w:rPr>
        <w:instrText xml:space="preserve"> HYPERLINK \l _Toc18688 </w:instrText>
      </w:r>
      <w:r>
        <w:rPr>
          <w:rFonts w:hint="eastAsia"/>
        </w:rPr>
        <w:fldChar w:fldCharType="separate"/>
      </w:r>
      <w:r>
        <w:rPr>
          <w:rFonts w:hint="eastAsia"/>
        </w:rPr>
        <w:t>9.4. 拆</w:t>
      </w:r>
      <w:r>
        <w:rPr>
          <w:rFonts w:hint="eastAsia"/>
          <w:lang w:val="en-US" w:eastAsia="zh-CN"/>
        </w:rPr>
        <w:t>塔</w:t>
      </w:r>
      <w:r>
        <w:tab/>
      </w:r>
      <w:r>
        <w:fldChar w:fldCharType="begin"/>
      </w:r>
      <w:r>
        <w:instrText xml:space="preserve"> PAGEREF _Toc18688 \h </w:instrText>
      </w:r>
      <w:r>
        <w:fldChar w:fldCharType="separate"/>
      </w:r>
      <w:r>
        <w:t>134</w:t>
      </w:r>
      <w:r>
        <w:fldChar w:fldCharType="end"/>
      </w:r>
      <w:r>
        <w:rPr>
          <w:rFonts w:hint="eastAsia"/>
        </w:rPr>
        <w:fldChar w:fldCharType="end"/>
      </w:r>
    </w:p>
    <w:p w14:paraId="085F5E6C">
      <w:pPr>
        <w:pStyle w:val="31"/>
        <w:tabs>
          <w:tab w:val="right" w:leader="dot" w:pos="9015"/>
        </w:tabs>
      </w:pPr>
      <w:r>
        <w:rPr>
          <w:rFonts w:hint="eastAsia"/>
        </w:rPr>
        <w:fldChar w:fldCharType="begin"/>
      </w:r>
      <w:r>
        <w:rPr>
          <w:rFonts w:hint="eastAsia"/>
        </w:rPr>
        <w:instrText xml:space="preserve"> HYPERLINK \l _Toc17523 </w:instrText>
      </w:r>
      <w:r>
        <w:rPr>
          <w:rFonts w:hint="eastAsia"/>
        </w:rPr>
        <w:fldChar w:fldCharType="separate"/>
      </w:r>
      <w:r>
        <w:rPr>
          <w:rFonts w:hint="eastAsia"/>
        </w:rPr>
        <w:t>第十章 危险源辨识与分析</w:t>
      </w:r>
      <w:r>
        <w:tab/>
      </w:r>
      <w:r>
        <w:fldChar w:fldCharType="begin"/>
      </w:r>
      <w:r>
        <w:instrText xml:space="preserve"> PAGEREF _Toc17523 \h </w:instrText>
      </w:r>
      <w:r>
        <w:fldChar w:fldCharType="separate"/>
      </w:r>
      <w:r>
        <w:t>137</w:t>
      </w:r>
      <w:r>
        <w:fldChar w:fldCharType="end"/>
      </w:r>
      <w:r>
        <w:rPr>
          <w:rFonts w:hint="eastAsia"/>
        </w:rPr>
        <w:fldChar w:fldCharType="end"/>
      </w:r>
    </w:p>
    <w:p w14:paraId="30685400">
      <w:pPr>
        <w:pStyle w:val="36"/>
        <w:tabs>
          <w:tab w:val="right" w:leader="dot" w:pos="9015"/>
        </w:tabs>
      </w:pPr>
      <w:r>
        <w:rPr>
          <w:rFonts w:hint="eastAsia"/>
        </w:rPr>
        <w:fldChar w:fldCharType="begin"/>
      </w:r>
      <w:r>
        <w:rPr>
          <w:rFonts w:hint="eastAsia"/>
        </w:rPr>
        <w:instrText xml:space="preserve"> HYPERLINK \l _Toc26511 </w:instrText>
      </w:r>
      <w:r>
        <w:rPr>
          <w:rFonts w:hint="eastAsia"/>
        </w:rPr>
        <w:fldChar w:fldCharType="separate"/>
      </w:r>
      <w:r>
        <w:rPr>
          <w:rFonts w:hint="eastAsia"/>
        </w:rPr>
        <w:t>10.1. 危险因素辨识</w:t>
      </w:r>
      <w:r>
        <w:tab/>
      </w:r>
      <w:r>
        <w:fldChar w:fldCharType="begin"/>
      </w:r>
      <w:r>
        <w:instrText xml:space="preserve"> PAGEREF _Toc26511 \h </w:instrText>
      </w:r>
      <w:r>
        <w:fldChar w:fldCharType="separate"/>
      </w:r>
      <w:r>
        <w:t>137</w:t>
      </w:r>
      <w:r>
        <w:fldChar w:fldCharType="end"/>
      </w:r>
      <w:r>
        <w:rPr>
          <w:rFonts w:hint="eastAsia"/>
        </w:rPr>
        <w:fldChar w:fldCharType="end"/>
      </w:r>
    </w:p>
    <w:p w14:paraId="2FCF20A8">
      <w:pPr>
        <w:pStyle w:val="36"/>
        <w:tabs>
          <w:tab w:val="right" w:leader="dot" w:pos="9015"/>
        </w:tabs>
      </w:pPr>
      <w:r>
        <w:rPr>
          <w:rFonts w:hint="eastAsia"/>
        </w:rPr>
        <w:fldChar w:fldCharType="begin"/>
      </w:r>
      <w:r>
        <w:rPr>
          <w:rFonts w:hint="eastAsia"/>
        </w:rPr>
        <w:instrText xml:space="preserve"> HYPERLINK \l _Toc22286 </w:instrText>
      </w:r>
      <w:r>
        <w:rPr>
          <w:rFonts w:hint="eastAsia"/>
        </w:rPr>
        <w:fldChar w:fldCharType="separate"/>
      </w:r>
      <w:r>
        <w:rPr>
          <w:rFonts w:hint="eastAsia"/>
        </w:rPr>
        <w:t>10.2. 危险因素分析</w:t>
      </w:r>
      <w:r>
        <w:tab/>
      </w:r>
      <w:r>
        <w:fldChar w:fldCharType="begin"/>
      </w:r>
      <w:r>
        <w:instrText xml:space="preserve"> PAGEREF _Toc22286 \h </w:instrText>
      </w:r>
      <w:r>
        <w:fldChar w:fldCharType="separate"/>
      </w:r>
      <w:r>
        <w:t>139</w:t>
      </w:r>
      <w:r>
        <w:fldChar w:fldCharType="end"/>
      </w:r>
      <w:r>
        <w:rPr>
          <w:rFonts w:hint="eastAsia"/>
        </w:rPr>
        <w:fldChar w:fldCharType="end"/>
      </w:r>
    </w:p>
    <w:p w14:paraId="3BDD3091">
      <w:pPr>
        <w:pStyle w:val="36"/>
        <w:tabs>
          <w:tab w:val="right" w:leader="dot" w:pos="9015"/>
        </w:tabs>
      </w:pPr>
      <w:r>
        <w:rPr>
          <w:rFonts w:hint="eastAsia"/>
        </w:rPr>
        <w:fldChar w:fldCharType="begin"/>
      </w:r>
      <w:r>
        <w:rPr>
          <w:rFonts w:hint="eastAsia"/>
        </w:rPr>
        <w:instrText xml:space="preserve"> HYPERLINK \l _Toc29323 </w:instrText>
      </w:r>
      <w:r>
        <w:rPr>
          <w:rFonts w:hint="eastAsia"/>
        </w:rPr>
        <w:fldChar w:fldCharType="separate"/>
      </w:r>
      <w:r>
        <w:rPr>
          <w:rFonts w:hint="eastAsia"/>
        </w:rPr>
        <w:t>10.3. 风险因素评估</w:t>
      </w:r>
      <w:r>
        <w:tab/>
      </w:r>
      <w:r>
        <w:fldChar w:fldCharType="begin"/>
      </w:r>
      <w:r>
        <w:instrText xml:space="preserve"> PAGEREF _Toc29323 \h </w:instrText>
      </w:r>
      <w:r>
        <w:fldChar w:fldCharType="separate"/>
      </w:r>
      <w:r>
        <w:t>139</w:t>
      </w:r>
      <w:r>
        <w:fldChar w:fldCharType="end"/>
      </w:r>
      <w:r>
        <w:rPr>
          <w:rFonts w:hint="eastAsia"/>
        </w:rPr>
        <w:fldChar w:fldCharType="end"/>
      </w:r>
    </w:p>
    <w:p w14:paraId="1465AE65">
      <w:pPr>
        <w:pStyle w:val="31"/>
        <w:tabs>
          <w:tab w:val="right" w:leader="dot" w:pos="9015"/>
        </w:tabs>
      </w:pPr>
      <w:r>
        <w:rPr>
          <w:rFonts w:hint="eastAsia"/>
        </w:rPr>
        <w:fldChar w:fldCharType="begin"/>
      </w:r>
      <w:r>
        <w:rPr>
          <w:rFonts w:hint="eastAsia"/>
        </w:rPr>
        <w:instrText xml:space="preserve"> HYPERLINK \l _Toc17624 </w:instrText>
      </w:r>
      <w:r>
        <w:rPr>
          <w:rFonts w:hint="eastAsia"/>
        </w:rPr>
        <w:fldChar w:fldCharType="separate"/>
      </w:r>
      <w:r>
        <w:rPr>
          <w:rFonts w:hint="eastAsia"/>
        </w:rPr>
        <w:t>第十一章 施工安全技术保障措施</w:t>
      </w:r>
      <w:r>
        <w:tab/>
      </w:r>
      <w:r>
        <w:fldChar w:fldCharType="begin"/>
      </w:r>
      <w:r>
        <w:instrText xml:space="preserve"> PAGEREF _Toc17624 \h </w:instrText>
      </w:r>
      <w:r>
        <w:fldChar w:fldCharType="separate"/>
      </w:r>
      <w:r>
        <w:t>142</w:t>
      </w:r>
      <w:r>
        <w:fldChar w:fldCharType="end"/>
      </w:r>
      <w:r>
        <w:rPr>
          <w:rFonts w:hint="eastAsia"/>
        </w:rPr>
        <w:fldChar w:fldCharType="end"/>
      </w:r>
    </w:p>
    <w:p w14:paraId="0C6CFCF4">
      <w:pPr>
        <w:pStyle w:val="36"/>
        <w:tabs>
          <w:tab w:val="right" w:leader="dot" w:pos="9015"/>
        </w:tabs>
      </w:pPr>
      <w:r>
        <w:rPr>
          <w:rFonts w:hint="eastAsia"/>
        </w:rPr>
        <w:fldChar w:fldCharType="begin"/>
      </w:r>
      <w:r>
        <w:rPr>
          <w:rFonts w:hint="eastAsia"/>
        </w:rPr>
        <w:instrText xml:space="preserve"> HYPERLINK \l _Toc30611 </w:instrText>
      </w:r>
      <w:r>
        <w:rPr>
          <w:rFonts w:hint="eastAsia"/>
        </w:rPr>
        <w:fldChar w:fldCharType="separate"/>
      </w:r>
      <w:r>
        <w:rPr>
          <w:rFonts w:hint="eastAsia"/>
        </w:rPr>
        <w:t>11.1. 健康</w:t>
      </w:r>
      <w:r>
        <w:tab/>
      </w:r>
      <w:r>
        <w:fldChar w:fldCharType="begin"/>
      </w:r>
      <w:r>
        <w:instrText xml:space="preserve"> PAGEREF _Toc30611 \h </w:instrText>
      </w:r>
      <w:r>
        <w:fldChar w:fldCharType="separate"/>
      </w:r>
      <w:r>
        <w:t>142</w:t>
      </w:r>
      <w:r>
        <w:fldChar w:fldCharType="end"/>
      </w:r>
      <w:r>
        <w:rPr>
          <w:rFonts w:hint="eastAsia"/>
        </w:rPr>
        <w:fldChar w:fldCharType="end"/>
      </w:r>
    </w:p>
    <w:p w14:paraId="1ABCCFD4">
      <w:pPr>
        <w:pStyle w:val="36"/>
        <w:tabs>
          <w:tab w:val="right" w:leader="dot" w:pos="9015"/>
        </w:tabs>
      </w:pPr>
      <w:r>
        <w:rPr>
          <w:rFonts w:hint="eastAsia"/>
        </w:rPr>
        <w:fldChar w:fldCharType="begin"/>
      </w:r>
      <w:r>
        <w:rPr>
          <w:rFonts w:hint="eastAsia"/>
        </w:rPr>
        <w:instrText xml:space="preserve"> HYPERLINK \l _Toc23217 </w:instrText>
      </w:r>
      <w:r>
        <w:rPr>
          <w:rFonts w:hint="eastAsia"/>
        </w:rPr>
        <w:fldChar w:fldCharType="separate"/>
      </w:r>
      <w:r>
        <w:rPr>
          <w:rFonts w:hint="eastAsia"/>
        </w:rPr>
        <w:t>11.2. 环境</w:t>
      </w:r>
      <w:r>
        <w:tab/>
      </w:r>
      <w:r>
        <w:fldChar w:fldCharType="begin"/>
      </w:r>
      <w:r>
        <w:instrText xml:space="preserve"> PAGEREF _Toc23217 \h </w:instrText>
      </w:r>
      <w:r>
        <w:fldChar w:fldCharType="separate"/>
      </w:r>
      <w:r>
        <w:t>142</w:t>
      </w:r>
      <w:r>
        <w:fldChar w:fldCharType="end"/>
      </w:r>
      <w:r>
        <w:rPr>
          <w:rFonts w:hint="eastAsia"/>
        </w:rPr>
        <w:fldChar w:fldCharType="end"/>
      </w:r>
    </w:p>
    <w:p w14:paraId="451A85ED">
      <w:pPr>
        <w:pStyle w:val="36"/>
        <w:tabs>
          <w:tab w:val="right" w:leader="dot" w:pos="9015"/>
        </w:tabs>
      </w:pPr>
      <w:r>
        <w:rPr>
          <w:rFonts w:hint="eastAsia"/>
        </w:rPr>
        <w:fldChar w:fldCharType="begin"/>
      </w:r>
      <w:r>
        <w:rPr>
          <w:rFonts w:hint="eastAsia"/>
        </w:rPr>
        <w:instrText xml:space="preserve"> HYPERLINK \l _Toc5849 </w:instrText>
      </w:r>
      <w:r>
        <w:rPr>
          <w:rFonts w:hint="eastAsia"/>
        </w:rPr>
        <w:fldChar w:fldCharType="separate"/>
      </w:r>
      <w:r>
        <w:rPr>
          <w:rFonts w:hint="eastAsia"/>
        </w:rPr>
        <w:t>11.3. 安全</w:t>
      </w:r>
      <w:r>
        <w:tab/>
      </w:r>
      <w:r>
        <w:fldChar w:fldCharType="begin"/>
      </w:r>
      <w:r>
        <w:instrText xml:space="preserve"> PAGEREF _Toc5849 \h </w:instrText>
      </w:r>
      <w:r>
        <w:fldChar w:fldCharType="separate"/>
      </w:r>
      <w:r>
        <w:t>143</w:t>
      </w:r>
      <w:r>
        <w:fldChar w:fldCharType="end"/>
      </w:r>
      <w:r>
        <w:rPr>
          <w:rFonts w:hint="eastAsia"/>
        </w:rPr>
        <w:fldChar w:fldCharType="end"/>
      </w:r>
    </w:p>
    <w:p w14:paraId="34C15B3E">
      <w:pPr>
        <w:pStyle w:val="36"/>
        <w:tabs>
          <w:tab w:val="right" w:leader="dot" w:pos="9015"/>
        </w:tabs>
      </w:pPr>
      <w:r>
        <w:rPr>
          <w:rFonts w:hint="eastAsia"/>
        </w:rPr>
        <w:fldChar w:fldCharType="begin"/>
      </w:r>
      <w:r>
        <w:rPr>
          <w:rFonts w:hint="eastAsia"/>
        </w:rPr>
        <w:instrText xml:space="preserve"> HYPERLINK \l _Toc27529 </w:instrText>
      </w:r>
      <w:r>
        <w:rPr>
          <w:rFonts w:hint="eastAsia"/>
        </w:rPr>
        <w:fldChar w:fldCharType="separate"/>
      </w:r>
      <w:r>
        <w:rPr>
          <w:rFonts w:hint="eastAsia"/>
        </w:rPr>
        <w:t>11.4. 质量监测与监控</w:t>
      </w:r>
      <w:r>
        <w:tab/>
      </w:r>
      <w:r>
        <w:fldChar w:fldCharType="begin"/>
      </w:r>
      <w:r>
        <w:instrText xml:space="preserve"> PAGEREF _Toc27529 \h </w:instrText>
      </w:r>
      <w:r>
        <w:fldChar w:fldCharType="separate"/>
      </w:r>
      <w:r>
        <w:t>145</w:t>
      </w:r>
      <w:r>
        <w:fldChar w:fldCharType="end"/>
      </w:r>
      <w:r>
        <w:rPr>
          <w:rFonts w:hint="eastAsia"/>
        </w:rPr>
        <w:fldChar w:fldCharType="end"/>
      </w:r>
    </w:p>
    <w:p w14:paraId="70F160F9">
      <w:pPr>
        <w:pStyle w:val="31"/>
        <w:tabs>
          <w:tab w:val="right" w:leader="dot" w:pos="9015"/>
        </w:tabs>
      </w:pPr>
      <w:r>
        <w:rPr>
          <w:rFonts w:hint="eastAsia"/>
        </w:rPr>
        <w:fldChar w:fldCharType="begin"/>
      </w:r>
      <w:r>
        <w:rPr>
          <w:rFonts w:hint="eastAsia"/>
        </w:rPr>
        <w:instrText xml:space="preserve"> HYPERLINK \l _Toc25840 </w:instrText>
      </w:r>
      <w:r>
        <w:rPr>
          <w:rFonts w:hint="eastAsia"/>
        </w:rPr>
        <w:fldChar w:fldCharType="separate"/>
      </w:r>
      <w:r>
        <w:rPr>
          <w:rFonts w:hint="eastAsia"/>
        </w:rPr>
        <w:t>第十二章 安全管理措施</w:t>
      </w:r>
      <w:r>
        <w:tab/>
      </w:r>
      <w:r>
        <w:fldChar w:fldCharType="begin"/>
      </w:r>
      <w:r>
        <w:instrText xml:space="preserve"> PAGEREF _Toc25840 \h </w:instrText>
      </w:r>
      <w:r>
        <w:fldChar w:fldCharType="separate"/>
      </w:r>
      <w:r>
        <w:t>147</w:t>
      </w:r>
      <w:r>
        <w:fldChar w:fldCharType="end"/>
      </w:r>
      <w:r>
        <w:rPr>
          <w:rFonts w:hint="eastAsia"/>
        </w:rPr>
        <w:fldChar w:fldCharType="end"/>
      </w:r>
    </w:p>
    <w:p w14:paraId="0C254A4D">
      <w:pPr>
        <w:pStyle w:val="36"/>
        <w:tabs>
          <w:tab w:val="right" w:leader="dot" w:pos="9015"/>
        </w:tabs>
      </w:pPr>
      <w:r>
        <w:rPr>
          <w:rFonts w:hint="eastAsia"/>
        </w:rPr>
        <w:fldChar w:fldCharType="begin"/>
      </w:r>
      <w:r>
        <w:rPr>
          <w:rFonts w:hint="eastAsia"/>
        </w:rPr>
        <w:instrText xml:space="preserve"> HYPERLINK \l _Toc6532 </w:instrText>
      </w:r>
      <w:r>
        <w:rPr>
          <w:rFonts w:hint="eastAsia"/>
        </w:rPr>
        <w:fldChar w:fldCharType="separate"/>
      </w:r>
      <w:r>
        <w:rPr>
          <w:rFonts w:hint="eastAsia"/>
        </w:rPr>
        <w:t>12.1. 安全保证措施</w:t>
      </w:r>
      <w:r>
        <w:tab/>
      </w:r>
      <w:r>
        <w:fldChar w:fldCharType="begin"/>
      </w:r>
      <w:r>
        <w:instrText xml:space="preserve"> PAGEREF _Toc6532 \h </w:instrText>
      </w:r>
      <w:r>
        <w:fldChar w:fldCharType="separate"/>
      </w:r>
      <w:r>
        <w:t>147</w:t>
      </w:r>
      <w:r>
        <w:fldChar w:fldCharType="end"/>
      </w:r>
      <w:r>
        <w:rPr>
          <w:rFonts w:hint="eastAsia"/>
        </w:rPr>
        <w:fldChar w:fldCharType="end"/>
      </w:r>
    </w:p>
    <w:p w14:paraId="002E26F7">
      <w:pPr>
        <w:pStyle w:val="36"/>
        <w:tabs>
          <w:tab w:val="right" w:leader="dot" w:pos="9015"/>
        </w:tabs>
      </w:pPr>
      <w:r>
        <w:rPr>
          <w:rFonts w:hint="eastAsia"/>
        </w:rPr>
        <w:fldChar w:fldCharType="begin"/>
      </w:r>
      <w:r>
        <w:rPr>
          <w:rFonts w:hint="eastAsia"/>
        </w:rPr>
        <w:instrText xml:space="preserve"> HYPERLINK \l _Toc17375 </w:instrText>
      </w:r>
      <w:r>
        <w:rPr>
          <w:rFonts w:hint="eastAsia"/>
        </w:rPr>
        <w:fldChar w:fldCharType="separate"/>
      </w:r>
      <w:r>
        <w:rPr>
          <w:rFonts w:hint="eastAsia"/>
        </w:rPr>
        <w:t>12.2. 危险源安全监控措施</w:t>
      </w:r>
      <w:r>
        <w:tab/>
      </w:r>
      <w:r>
        <w:fldChar w:fldCharType="begin"/>
      </w:r>
      <w:r>
        <w:instrText xml:space="preserve"> PAGEREF _Toc17375 \h </w:instrText>
      </w:r>
      <w:r>
        <w:fldChar w:fldCharType="separate"/>
      </w:r>
      <w:r>
        <w:t>148</w:t>
      </w:r>
      <w:r>
        <w:fldChar w:fldCharType="end"/>
      </w:r>
      <w:r>
        <w:rPr>
          <w:rFonts w:hint="eastAsia"/>
        </w:rPr>
        <w:fldChar w:fldCharType="end"/>
      </w:r>
    </w:p>
    <w:p w14:paraId="1BC60278">
      <w:pPr>
        <w:pStyle w:val="36"/>
        <w:tabs>
          <w:tab w:val="right" w:leader="dot" w:pos="9015"/>
        </w:tabs>
      </w:pPr>
      <w:r>
        <w:rPr>
          <w:rFonts w:hint="eastAsia"/>
        </w:rPr>
        <w:fldChar w:fldCharType="begin"/>
      </w:r>
      <w:r>
        <w:rPr>
          <w:rFonts w:hint="eastAsia"/>
        </w:rPr>
        <w:instrText xml:space="preserve"> HYPERLINK \l _Toc11573 </w:instrText>
      </w:r>
      <w:r>
        <w:rPr>
          <w:rFonts w:hint="eastAsia"/>
        </w:rPr>
        <w:fldChar w:fldCharType="separate"/>
      </w:r>
      <w:r>
        <w:rPr>
          <w:rFonts w:hint="eastAsia"/>
        </w:rPr>
        <w:t>12.3. 施工安全保证措施</w:t>
      </w:r>
      <w:r>
        <w:tab/>
      </w:r>
      <w:r>
        <w:fldChar w:fldCharType="begin"/>
      </w:r>
      <w:r>
        <w:instrText xml:space="preserve"> PAGEREF _Toc11573 \h </w:instrText>
      </w:r>
      <w:r>
        <w:fldChar w:fldCharType="separate"/>
      </w:r>
      <w:r>
        <w:t>154</w:t>
      </w:r>
      <w:r>
        <w:fldChar w:fldCharType="end"/>
      </w:r>
      <w:r>
        <w:rPr>
          <w:rFonts w:hint="eastAsia"/>
        </w:rPr>
        <w:fldChar w:fldCharType="end"/>
      </w:r>
    </w:p>
    <w:p w14:paraId="29DCD442">
      <w:pPr>
        <w:pStyle w:val="36"/>
        <w:tabs>
          <w:tab w:val="right" w:leader="dot" w:pos="9015"/>
        </w:tabs>
      </w:pPr>
      <w:r>
        <w:rPr>
          <w:rFonts w:hint="eastAsia"/>
        </w:rPr>
        <w:fldChar w:fldCharType="begin"/>
      </w:r>
      <w:r>
        <w:rPr>
          <w:rFonts w:hint="eastAsia"/>
        </w:rPr>
        <w:instrText xml:space="preserve"> HYPERLINK \l _Toc13808 </w:instrText>
      </w:r>
      <w:r>
        <w:rPr>
          <w:rFonts w:hint="eastAsia"/>
        </w:rPr>
        <w:fldChar w:fldCharType="separate"/>
      </w:r>
      <w:r>
        <w:rPr>
          <w:rFonts w:hint="eastAsia"/>
        </w:rPr>
        <w:t xml:space="preserve">12.4. </w:t>
      </w:r>
      <w:r>
        <w:t>高处作业及临边防护安全技术措施</w:t>
      </w:r>
      <w:r>
        <w:tab/>
      </w:r>
      <w:r>
        <w:fldChar w:fldCharType="begin"/>
      </w:r>
      <w:r>
        <w:instrText xml:space="preserve"> PAGEREF _Toc13808 \h </w:instrText>
      </w:r>
      <w:r>
        <w:fldChar w:fldCharType="separate"/>
      </w:r>
      <w:r>
        <w:t>160</w:t>
      </w:r>
      <w:r>
        <w:fldChar w:fldCharType="end"/>
      </w:r>
      <w:r>
        <w:rPr>
          <w:rFonts w:hint="eastAsia"/>
        </w:rPr>
        <w:fldChar w:fldCharType="end"/>
      </w:r>
    </w:p>
    <w:p w14:paraId="487B809C">
      <w:pPr>
        <w:pStyle w:val="36"/>
        <w:tabs>
          <w:tab w:val="right" w:leader="dot" w:pos="9015"/>
        </w:tabs>
      </w:pPr>
      <w:r>
        <w:rPr>
          <w:rFonts w:hint="eastAsia"/>
        </w:rPr>
        <w:fldChar w:fldCharType="begin"/>
      </w:r>
      <w:r>
        <w:rPr>
          <w:rFonts w:hint="eastAsia"/>
        </w:rPr>
        <w:instrText xml:space="preserve"> HYPERLINK \l _Toc5051 </w:instrText>
      </w:r>
      <w:r>
        <w:rPr>
          <w:rFonts w:hint="eastAsia"/>
        </w:rPr>
        <w:fldChar w:fldCharType="separate"/>
      </w:r>
      <w:r>
        <w:rPr>
          <w:rFonts w:hint="eastAsia"/>
        </w:rPr>
        <w:t>12.5. 绿色施工保证措施</w:t>
      </w:r>
      <w:r>
        <w:tab/>
      </w:r>
      <w:r>
        <w:fldChar w:fldCharType="begin"/>
      </w:r>
      <w:r>
        <w:instrText xml:space="preserve"> PAGEREF _Toc5051 \h </w:instrText>
      </w:r>
      <w:r>
        <w:fldChar w:fldCharType="separate"/>
      </w:r>
      <w:r>
        <w:t>160</w:t>
      </w:r>
      <w:r>
        <w:fldChar w:fldCharType="end"/>
      </w:r>
      <w:r>
        <w:rPr>
          <w:rFonts w:hint="eastAsia"/>
        </w:rPr>
        <w:fldChar w:fldCharType="end"/>
      </w:r>
    </w:p>
    <w:p w14:paraId="732DE557">
      <w:pPr>
        <w:pStyle w:val="36"/>
        <w:tabs>
          <w:tab w:val="right" w:leader="dot" w:pos="9015"/>
        </w:tabs>
      </w:pPr>
      <w:r>
        <w:rPr>
          <w:rFonts w:hint="eastAsia"/>
        </w:rPr>
        <w:fldChar w:fldCharType="begin"/>
      </w:r>
      <w:r>
        <w:rPr>
          <w:rFonts w:hint="eastAsia"/>
        </w:rPr>
        <w:instrText xml:space="preserve"> HYPERLINK \l _Toc32725 </w:instrText>
      </w:r>
      <w:r>
        <w:rPr>
          <w:rFonts w:hint="eastAsia"/>
        </w:rPr>
        <w:fldChar w:fldCharType="separate"/>
      </w:r>
      <w:r>
        <w:rPr>
          <w:rFonts w:hint="eastAsia"/>
        </w:rPr>
        <w:t>12.6. 验收及日常检查维保</w:t>
      </w:r>
      <w:r>
        <w:tab/>
      </w:r>
      <w:r>
        <w:fldChar w:fldCharType="begin"/>
      </w:r>
      <w:r>
        <w:instrText xml:space="preserve"> PAGEREF _Toc32725 \h </w:instrText>
      </w:r>
      <w:r>
        <w:fldChar w:fldCharType="separate"/>
      </w:r>
      <w:r>
        <w:t>161</w:t>
      </w:r>
      <w:r>
        <w:fldChar w:fldCharType="end"/>
      </w:r>
      <w:r>
        <w:rPr>
          <w:rFonts w:hint="eastAsia"/>
        </w:rPr>
        <w:fldChar w:fldCharType="end"/>
      </w:r>
    </w:p>
    <w:p w14:paraId="11B81ABF">
      <w:pPr>
        <w:pStyle w:val="36"/>
        <w:tabs>
          <w:tab w:val="right" w:leader="dot" w:pos="9015"/>
        </w:tabs>
      </w:pPr>
      <w:r>
        <w:rPr>
          <w:rFonts w:hint="eastAsia"/>
        </w:rPr>
        <w:fldChar w:fldCharType="begin"/>
      </w:r>
      <w:r>
        <w:rPr>
          <w:rFonts w:hint="eastAsia"/>
        </w:rPr>
        <w:instrText xml:space="preserve"> HYPERLINK \l _Toc8905 </w:instrText>
      </w:r>
      <w:r>
        <w:rPr>
          <w:rFonts w:hint="eastAsia"/>
        </w:rPr>
        <w:fldChar w:fldCharType="separate"/>
      </w:r>
      <w:r>
        <w:rPr>
          <w:rFonts w:hint="eastAsia"/>
        </w:rPr>
        <w:t>12.7. 塔机垂直度监控</w:t>
      </w:r>
      <w:r>
        <w:tab/>
      </w:r>
      <w:r>
        <w:fldChar w:fldCharType="begin"/>
      </w:r>
      <w:r>
        <w:instrText xml:space="preserve"> PAGEREF _Toc8905 \h </w:instrText>
      </w:r>
      <w:r>
        <w:fldChar w:fldCharType="separate"/>
      </w:r>
      <w:r>
        <w:t>162</w:t>
      </w:r>
      <w:r>
        <w:fldChar w:fldCharType="end"/>
      </w:r>
      <w:r>
        <w:rPr>
          <w:rFonts w:hint="eastAsia"/>
        </w:rPr>
        <w:fldChar w:fldCharType="end"/>
      </w:r>
    </w:p>
    <w:p w14:paraId="0EAB1AFD">
      <w:pPr>
        <w:pStyle w:val="31"/>
        <w:tabs>
          <w:tab w:val="right" w:leader="dot" w:pos="9015"/>
        </w:tabs>
      </w:pPr>
      <w:r>
        <w:rPr>
          <w:rFonts w:hint="eastAsia"/>
        </w:rPr>
        <w:fldChar w:fldCharType="begin"/>
      </w:r>
      <w:r>
        <w:rPr>
          <w:rFonts w:hint="eastAsia"/>
        </w:rPr>
        <w:instrText xml:space="preserve"> HYPERLINK \l _Toc23830 </w:instrText>
      </w:r>
      <w:r>
        <w:rPr>
          <w:rFonts w:hint="eastAsia"/>
        </w:rPr>
        <w:fldChar w:fldCharType="separate"/>
      </w:r>
      <w:r>
        <w:rPr>
          <w:rFonts w:hint="eastAsia"/>
        </w:rPr>
        <w:t>第十三章 应急预案</w:t>
      </w:r>
      <w:r>
        <w:tab/>
      </w:r>
      <w:r>
        <w:fldChar w:fldCharType="begin"/>
      </w:r>
      <w:r>
        <w:instrText xml:space="preserve"> PAGEREF _Toc23830 \h </w:instrText>
      </w:r>
      <w:r>
        <w:fldChar w:fldCharType="separate"/>
      </w:r>
      <w:r>
        <w:t>164</w:t>
      </w:r>
      <w:r>
        <w:fldChar w:fldCharType="end"/>
      </w:r>
      <w:r>
        <w:rPr>
          <w:rFonts w:hint="eastAsia"/>
        </w:rPr>
        <w:fldChar w:fldCharType="end"/>
      </w:r>
    </w:p>
    <w:p w14:paraId="63A46B97">
      <w:pPr>
        <w:pStyle w:val="36"/>
        <w:tabs>
          <w:tab w:val="right" w:leader="dot" w:pos="9015"/>
        </w:tabs>
      </w:pPr>
      <w:r>
        <w:rPr>
          <w:rFonts w:hint="eastAsia"/>
        </w:rPr>
        <w:fldChar w:fldCharType="begin"/>
      </w:r>
      <w:r>
        <w:rPr>
          <w:rFonts w:hint="eastAsia"/>
        </w:rPr>
        <w:instrText xml:space="preserve"> HYPERLINK \l _Toc31197 </w:instrText>
      </w:r>
      <w:r>
        <w:rPr>
          <w:rFonts w:hint="eastAsia"/>
        </w:rPr>
        <w:fldChar w:fldCharType="separate"/>
      </w:r>
      <w:r>
        <w:rPr>
          <w:rFonts w:hint="eastAsia"/>
        </w:rPr>
        <w:t>13.1. 编制目的</w:t>
      </w:r>
      <w:r>
        <w:tab/>
      </w:r>
      <w:r>
        <w:fldChar w:fldCharType="begin"/>
      </w:r>
      <w:r>
        <w:instrText xml:space="preserve"> PAGEREF _Toc31197 \h </w:instrText>
      </w:r>
      <w:r>
        <w:fldChar w:fldCharType="separate"/>
      </w:r>
      <w:r>
        <w:t>164</w:t>
      </w:r>
      <w:r>
        <w:fldChar w:fldCharType="end"/>
      </w:r>
      <w:r>
        <w:rPr>
          <w:rFonts w:hint="eastAsia"/>
        </w:rPr>
        <w:fldChar w:fldCharType="end"/>
      </w:r>
    </w:p>
    <w:p w14:paraId="7C0D2B7C">
      <w:pPr>
        <w:pStyle w:val="36"/>
        <w:tabs>
          <w:tab w:val="right" w:leader="dot" w:pos="9015"/>
        </w:tabs>
      </w:pPr>
      <w:r>
        <w:rPr>
          <w:rFonts w:hint="eastAsia"/>
        </w:rPr>
        <w:fldChar w:fldCharType="begin"/>
      </w:r>
      <w:r>
        <w:rPr>
          <w:rFonts w:hint="eastAsia"/>
        </w:rPr>
        <w:instrText xml:space="preserve"> HYPERLINK \l _Toc24817 </w:instrText>
      </w:r>
      <w:r>
        <w:rPr>
          <w:rFonts w:hint="eastAsia"/>
        </w:rPr>
        <w:fldChar w:fldCharType="separate"/>
      </w:r>
      <w:r>
        <w:rPr>
          <w:rFonts w:hint="eastAsia"/>
        </w:rPr>
        <w:t>13.2. 应急组织机构</w:t>
      </w:r>
      <w:r>
        <w:tab/>
      </w:r>
      <w:r>
        <w:fldChar w:fldCharType="begin"/>
      </w:r>
      <w:r>
        <w:instrText xml:space="preserve"> PAGEREF _Toc24817 \h </w:instrText>
      </w:r>
      <w:r>
        <w:fldChar w:fldCharType="separate"/>
      </w:r>
      <w:r>
        <w:t>164</w:t>
      </w:r>
      <w:r>
        <w:fldChar w:fldCharType="end"/>
      </w:r>
      <w:r>
        <w:rPr>
          <w:rFonts w:hint="eastAsia"/>
        </w:rPr>
        <w:fldChar w:fldCharType="end"/>
      </w:r>
    </w:p>
    <w:p w14:paraId="7DFABF59">
      <w:pPr>
        <w:pStyle w:val="36"/>
        <w:tabs>
          <w:tab w:val="right" w:leader="dot" w:pos="9015"/>
        </w:tabs>
      </w:pPr>
      <w:r>
        <w:rPr>
          <w:rFonts w:hint="eastAsia"/>
        </w:rPr>
        <w:fldChar w:fldCharType="begin"/>
      </w:r>
      <w:r>
        <w:rPr>
          <w:rFonts w:hint="eastAsia"/>
        </w:rPr>
        <w:instrText xml:space="preserve"> HYPERLINK \l _Toc21036 </w:instrText>
      </w:r>
      <w:r>
        <w:rPr>
          <w:rFonts w:hint="eastAsia"/>
        </w:rPr>
        <w:fldChar w:fldCharType="separate"/>
      </w:r>
      <w:r>
        <w:rPr>
          <w:rFonts w:hint="eastAsia"/>
        </w:rPr>
        <w:t xml:space="preserve">13.3. </w:t>
      </w:r>
      <w:r>
        <w:t>紧急事故救援小组成员分工</w:t>
      </w:r>
      <w:r>
        <w:tab/>
      </w:r>
      <w:r>
        <w:fldChar w:fldCharType="begin"/>
      </w:r>
      <w:r>
        <w:instrText xml:space="preserve"> PAGEREF _Toc21036 \h </w:instrText>
      </w:r>
      <w:r>
        <w:fldChar w:fldCharType="separate"/>
      </w:r>
      <w:r>
        <w:t>164</w:t>
      </w:r>
      <w:r>
        <w:fldChar w:fldCharType="end"/>
      </w:r>
      <w:r>
        <w:rPr>
          <w:rFonts w:hint="eastAsia"/>
        </w:rPr>
        <w:fldChar w:fldCharType="end"/>
      </w:r>
    </w:p>
    <w:p w14:paraId="1069E005">
      <w:pPr>
        <w:pStyle w:val="36"/>
        <w:tabs>
          <w:tab w:val="right" w:leader="dot" w:pos="9015"/>
        </w:tabs>
      </w:pPr>
      <w:r>
        <w:rPr>
          <w:rFonts w:hint="eastAsia"/>
        </w:rPr>
        <w:fldChar w:fldCharType="begin"/>
      </w:r>
      <w:r>
        <w:rPr>
          <w:rFonts w:hint="eastAsia"/>
        </w:rPr>
        <w:instrText xml:space="preserve"> HYPERLINK \l _Toc12035 </w:instrText>
      </w:r>
      <w:r>
        <w:rPr>
          <w:rFonts w:hint="eastAsia"/>
        </w:rPr>
        <w:fldChar w:fldCharType="separate"/>
      </w:r>
      <w:r>
        <w:rPr>
          <w:rFonts w:hint="eastAsia"/>
        </w:rPr>
        <w:t xml:space="preserve">13.4. </w:t>
      </w:r>
      <w:r>
        <w:t>应急准备</w:t>
      </w:r>
      <w:r>
        <w:tab/>
      </w:r>
      <w:r>
        <w:fldChar w:fldCharType="begin"/>
      </w:r>
      <w:r>
        <w:instrText xml:space="preserve"> PAGEREF _Toc12035 \h </w:instrText>
      </w:r>
      <w:r>
        <w:fldChar w:fldCharType="separate"/>
      </w:r>
      <w:r>
        <w:t>165</w:t>
      </w:r>
      <w:r>
        <w:fldChar w:fldCharType="end"/>
      </w:r>
      <w:r>
        <w:rPr>
          <w:rFonts w:hint="eastAsia"/>
        </w:rPr>
        <w:fldChar w:fldCharType="end"/>
      </w:r>
    </w:p>
    <w:p w14:paraId="2CDD732E">
      <w:pPr>
        <w:pStyle w:val="36"/>
        <w:tabs>
          <w:tab w:val="right" w:leader="dot" w:pos="9015"/>
        </w:tabs>
      </w:pPr>
      <w:r>
        <w:rPr>
          <w:rFonts w:hint="eastAsia"/>
        </w:rPr>
        <w:fldChar w:fldCharType="begin"/>
      </w:r>
      <w:r>
        <w:rPr>
          <w:rFonts w:hint="eastAsia"/>
        </w:rPr>
        <w:instrText xml:space="preserve"> HYPERLINK \l _Toc23322 </w:instrText>
      </w:r>
      <w:r>
        <w:rPr>
          <w:rFonts w:hint="eastAsia"/>
        </w:rPr>
        <w:fldChar w:fldCharType="separate"/>
      </w:r>
      <w:r>
        <w:rPr>
          <w:rFonts w:hint="eastAsia"/>
        </w:rPr>
        <w:t xml:space="preserve">13.5. </w:t>
      </w:r>
      <w:r>
        <w:t>施工现场的急救步骤</w:t>
      </w:r>
      <w:r>
        <w:tab/>
      </w:r>
      <w:r>
        <w:fldChar w:fldCharType="begin"/>
      </w:r>
      <w:r>
        <w:instrText xml:space="preserve"> PAGEREF _Toc23322 \h </w:instrText>
      </w:r>
      <w:r>
        <w:fldChar w:fldCharType="separate"/>
      </w:r>
      <w:r>
        <w:t>165</w:t>
      </w:r>
      <w:r>
        <w:fldChar w:fldCharType="end"/>
      </w:r>
      <w:r>
        <w:rPr>
          <w:rFonts w:hint="eastAsia"/>
        </w:rPr>
        <w:fldChar w:fldCharType="end"/>
      </w:r>
    </w:p>
    <w:p w14:paraId="035359F8">
      <w:pPr>
        <w:pStyle w:val="36"/>
        <w:tabs>
          <w:tab w:val="right" w:leader="dot" w:pos="9015"/>
        </w:tabs>
      </w:pPr>
      <w:r>
        <w:rPr>
          <w:rFonts w:hint="eastAsia"/>
        </w:rPr>
        <w:fldChar w:fldCharType="begin"/>
      </w:r>
      <w:r>
        <w:rPr>
          <w:rFonts w:hint="eastAsia"/>
        </w:rPr>
        <w:instrText xml:space="preserve"> HYPERLINK \l _Toc21110 </w:instrText>
      </w:r>
      <w:r>
        <w:rPr>
          <w:rFonts w:hint="eastAsia"/>
        </w:rPr>
        <w:fldChar w:fldCharType="separate"/>
      </w:r>
      <w:r>
        <w:rPr>
          <w:rFonts w:hint="eastAsia"/>
        </w:rPr>
        <w:t xml:space="preserve">13.6. </w:t>
      </w:r>
      <w:r>
        <w:t>现场预案及措施</w:t>
      </w:r>
      <w:r>
        <w:tab/>
      </w:r>
      <w:r>
        <w:fldChar w:fldCharType="begin"/>
      </w:r>
      <w:r>
        <w:instrText xml:space="preserve"> PAGEREF _Toc21110 \h </w:instrText>
      </w:r>
      <w:r>
        <w:fldChar w:fldCharType="separate"/>
      </w:r>
      <w:r>
        <w:t>165</w:t>
      </w:r>
      <w:r>
        <w:fldChar w:fldCharType="end"/>
      </w:r>
      <w:r>
        <w:rPr>
          <w:rFonts w:hint="eastAsia"/>
        </w:rPr>
        <w:fldChar w:fldCharType="end"/>
      </w:r>
    </w:p>
    <w:p w14:paraId="64E79830">
      <w:pPr>
        <w:pStyle w:val="36"/>
        <w:tabs>
          <w:tab w:val="right" w:leader="dot" w:pos="9015"/>
        </w:tabs>
      </w:pPr>
      <w:r>
        <w:rPr>
          <w:rFonts w:hint="eastAsia"/>
        </w:rPr>
        <w:fldChar w:fldCharType="begin"/>
      </w:r>
      <w:r>
        <w:rPr>
          <w:rFonts w:hint="eastAsia"/>
        </w:rPr>
        <w:instrText xml:space="preserve"> HYPERLINK \l _Toc28461 </w:instrText>
      </w:r>
      <w:r>
        <w:rPr>
          <w:rFonts w:hint="eastAsia"/>
        </w:rPr>
        <w:fldChar w:fldCharType="separate"/>
      </w:r>
      <w:r>
        <w:rPr>
          <w:rFonts w:hint="eastAsia"/>
          <w:lang w:val="zh-CN"/>
        </w:rPr>
        <w:t xml:space="preserve">13.7. </w:t>
      </w:r>
      <w:r>
        <w:rPr>
          <w:lang w:val="zh-CN"/>
        </w:rPr>
        <w:t>应急响应</w:t>
      </w:r>
      <w:r>
        <w:tab/>
      </w:r>
      <w:r>
        <w:fldChar w:fldCharType="begin"/>
      </w:r>
      <w:r>
        <w:instrText xml:space="preserve"> PAGEREF _Toc28461 \h </w:instrText>
      </w:r>
      <w:r>
        <w:fldChar w:fldCharType="separate"/>
      </w:r>
      <w:r>
        <w:t>170</w:t>
      </w:r>
      <w:r>
        <w:fldChar w:fldCharType="end"/>
      </w:r>
      <w:r>
        <w:rPr>
          <w:rFonts w:hint="eastAsia"/>
        </w:rPr>
        <w:fldChar w:fldCharType="end"/>
      </w:r>
    </w:p>
    <w:p w14:paraId="06B00483">
      <w:pPr>
        <w:pStyle w:val="36"/>
        <w:tabs>
          <w:tab w:val="right" w:leader="dot" w:pos="9015"/>
        </w:tabs>
      </w:pPr>
      <w:r>
        <w:rPr>
          <w:rFonts w:hint="eastAsia"/>
        </w:rPr>
        <w:fldChar w:fldCharType="begin"/>
      </w:r>
      <w:r>
        <w:rPr>
          <w:rFonts w:hint="eastAsia"/>
        </w:rPr>
        <w:instrText xml:space="preserve"> HYPERLINK \l _Toc28566 </w:instrText>
      </w:r>
      <w:r>
        <w:rPr>
          <w:rFonts w:hint="eastAsia"/>
        </w:rPr>
        <w:fldChar w:fldCharType="separate"/>
      </w:r>
      <w:r>
        <w:rPr>
          <w:rFonts w:hint="eastAsia"/>
        </w:rPr>
        <w:t xml:space="preserve">13.8. </w:t>
      </w:r>
      <w:r>
        <w:rPr>
          <w:lang w:val="zh-CN"/>
        </w:rPr>
        <w:t>应急电话</w:t>
      </w:r>
      <w:r>
        <w:tab/>
      </w:r>
      <w:r>
        <w:fldChar w:fldCharType="begin"/>
      </w:r>
      <w:r>
        <w:instrText xml:space="preserve"> PAGEREF _Toc28566 \h </w:instrText>
      </w:r>
      <w:r>
        <w:fldChar w:fldCharType="separate"/>
      </w:r>
      <w:r>
        <w:t>171</w:t>
      </w:r>
      <w:r>
        <w:fldChar w:fldCharType="end"/>
      </w:r>
      <w:r>
        <w:rPr>
          <w:rFonts w:hint="eastAsia"/>
        </w:rPr>
        <w:fldChar w:fldCharType="end"/>
      </w:r>
    </w:p>
    <w:p w14:paraId="2F68C746">
      <w:pPr>
        <w:pStyle w:val="31"/>
        <w:tabs>
          <w:tab w:val="right" w:leader="dot" w:pos="9015"/>
        </w:tabs>
      </w:pPr>
      <w:r>
        <w:rPr>
          <w:rFonts w:hint="eastAsia"/>
        </w:rPr>
        <w:fldChar w:fldCharType="begin"/>
      </w:r>
      <w:r>
        <w:rPr>
          <w:rFonts w:hint="eastAsia"/>
        </w:rPr>
        <w:instrText xml:space="preserve"> HYPERLINK \l _Toc3550 </w:instrText>
      </w:r>
      <w:r>
        <w:rPr>
          <w:rFonts w:hint="eastAsia"/>
        </w:rPr>
        <w:fldChar w:fldCharType="separate"/>
      </w:r>
      <w:r>
        <w:rPr>
          <w:rFonts w:hint="eastAsia"/>
        </w:rPr>
        <w:t>第十四章 附件</w:t>
      </w:r>
      <w:r>
        <w:tab/>
      </w:r>
      <w:r>
        <w:fldChar w:fldCharType="begin"/>
      </w:r>
      <w:r>
        <w:instrText xml:space="preserve"> PAGEREF _Toc3550 \h </w:instrText>
      </w:r>
      <w:r>
        <w:fldChar w:fldCharType="separate"/>
      </w:r>
      <w:r>
        <w:t>172</w:t>
      </w:r>
      <w:r>
        <w:fldChar w:fldCharType="end"/>
      </w:r>
      <w:r>
        <w:rPr>
          <w:rFonts w:hint="eastAsia"/>
        </w:rPr>
        <w:fldChar w:fldCharType="end"/>
      </w:r>
    </w:p>
    <w:p w14:paraId="51675399">
      <w:pPr>
        <w:pStyle w:val="36"/>
        <w:tabs>
          <w:tab w:val="right" w:leader="dot" w:pos="9015"/>
        </w:tabs>
      </w:pPr>
      <w:r>
        <w:rPr>
          <w:rFonts w:hint="eastAsia"/>
        </w:rPr>
        <w:fldChar w:fldCharType="begin"/>
      </w:r>
      <w:r>
        <w:rPr>
          <w:rFonts w:hint="eastAsia"/>
        </w:rPr>
        <w:instrText xml:space="preserve"> HYPERLINK \l _Toc10989 </w:instrText>
      </w:r>
      <w:r>
        <w:rPr>
          <w:rFonts w:hint="eastAsia"/>
        </w:rPr>
        <w:fldChar w:fldCharType="separate"/>
      </w:r>
      <w:r>
        <w:rPr>
          <w:rFonts w:hint="eastAsia"/>
        </w:rPr>
        <w:t>14.1. 安拆单位证件</w:t>
      </w:r>
      <w:r>
        <w:tab/>
      </w:r>
      <w:r>
        <w:fldChar w:fldCharType="begin"/>
      </w:r>
      <w:r>
        <w:instrText xml:space="preserve"> PAGEREF _Toc10989 \h </w:instrText>
      </w:r>
      <w:r>
        <w:fldChar w:fldCharType="separate"/>
      </w:r>
      <w:r>
        <w:t>172</w:t>
      </w:r>
      <w:r>
        <w:fldChar w:fldCharType="end"/>
      </w:r>
      <w:r>
        <w:rPr>
          <w:rFonts w:hint="eastAsia"/>
        </w:rPr>
        <w:fldChar w:fldCharType="end"/>
      </w:r>
    </w:p>
    <w:p w14:paraId="384B4D1B">
      <w:pPr>
        <w:pStyle w:val="36"/>
        <w:tabs>
          <w:tab w:val="right" w:leader="dot" w:pos="9015"/>
        </w:tabs>
      </w:pPr>
      <w:r>
        <w:rPr>
          <w:rFonts w:hint="eastAsia"/>
        </w:rPr>
        <w:fldChar w:fldCharType="begin"/>
      </w:r>
      <w:r>
        <w:rPr>
          <w:rFonts w:hint="eastAsia"/>
        </w:rPr>
        <w:instrText xml:space="preserve"> HYPERLINK \l _Toc10426 </w:instrText>
      </w:r>
      <w:r>
        <w:rPr>
          <w:rFonts w:hint="eastAsia"/>
        </w:rPr>
        <w:fldChar w:fldCharType="separate"/>
      </w:r>
      <w:r>
        <w:rPr>
          <w:rFonts w:hint="eastAsia"/>
          <w:lang w:val="zh-CN"/>
        </w:rPr>
        <w:t>14.2. 安拆人员证件</w:t>
      </w:r>
      <w:r>
        <w:tab/>
      </w:r>
      <w:r>
        <w:fldChar w:fldCharType="begin"/>
      </w:r>
      <w:r>
        <w:instrText xml:space="preserve"> PAGEREF _Toc10426 \h </w:instrText>
      </w:r>
      <w:r>
        <w:fldChar w:fldCharType="separate"/>
      </w:r>
      <w:r>
        <w:t>173</w:t>
      </w:r>
      <w:r>
        <w:fldChar w:fldCharType="end"/>
      </w:r>
      <w:r>
        <w:rPr>
          <w:rFonts w:hint="eastAsia"/>
        </w:rPr>
        <w:fldChar w:fldCharType="end"/>
      </w:r>
    </w:p>
    <w:p w14:paraId="399B2708">
      <w:pPr>
        <w:pStyle w:val="36"/>
        <w:tabs>
          <w:tab w:val="right" w:leader="dot" w:pos="9015"/>
        </w:tabs>
      </w:pPr>
      <w:r>
        <w:rPr>
          <w:rFonts w:hint="eastAsia"/>
        </w:rPr>
        <w:fldChar w:fldCharType="begin"/>
      </w:r>
      <w:r>
        <w:rPr>
          <w:rFonts w:hint="eastAsia"/>
        </w:rPr>
        <w:instrText xml:space="preserve"> HYPERLINK \l _Toc14935 </w:instrText>
      </w:r>
      <w:r>
        <w:rPr>
          <w:rFonts w:hint="eastAsia"/>
        </w:rPr>
        <w:fldChar w:fldCharType="separate"/>
      </w:r>
      <w:r>
        <w:rPr>
          <w:rFonts w:hint="eastAsia"/>
        </w:rPr>
        <w:t>14.3. 安装竣工验收样表</w:t>
      </w:r>
      <w:r>
        <w:tab/>
      </w:r>
      <w:r>
        <w:fldChar w:fldCharType="begin"/>
      </w:r>
      <w:r>
        <w:instrText xml:space="preserve"> PAGEREF _Toc14935 \h </w:instrText>
      </w:r>
      <w:r>
        <w:fldChar w:fldCharType="separate"/>
      </w:r>
      <w:r>
        <w:t>183</w:t>
      </w:r>
      <w:r>
        <w:fldChar w:fldCharType="end"/>
      </w:r>
      <w:r>
        <w:rPr>
          <w:rFonts w:hint="eastAsia"/>
        </w:rPr>
        <w:fldChar w:fldCharType="end"/>
      </w:r>
    </w:p>
    <w:p w14:paraId="27FDBBF6">
      <w:pPr>
        <w:pStyle w:val="2"/>
        <w:bidi w:val="0"/>
        <w:ind w:left="432" w:leftChars="0" w:hanging="432" w:firstLineChars="0"/>
      </w:pPr>
      <w:r>
        <w:rPr>
          <w:rFonts w:hint="eastAsia"/>
        </w:rPr>
        <w:fldChar w:fldCharType="end"/>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Start w:id="15" w:name="_Toc4001"/>
      <w:bookmarkStart w:id="16" w:name="_Toc1088"/>
      <w:bookmarkStart w:id="17" w:name="_Toc27001"/>
      <w:bookmarkStart w:id="18" w:name="_Toc174_WPSOffice_Level2"/>
      <w:bookmarkStart w:id="19" w:name="_Toc26927"/>
      <w:bookmarkStart w:id="20" w:name="_Toc4057"/>
      <w:bookmarkStart w:id="21" w:name="_Toc11000"/>
      <w:bookmarkStart w:id="22" w:name="_Toc6685"/>
      <w:bookmarkStart w:id="23" w:name="_Toc23722"/>
      <w:bookmarkStart w:id="24" w:name="_Toc28574"/>
      <w:bookmarkStart w:id="25" w:name="_Toc28833_WPSOffice_Level2"/>
      <w:bookmarkStart w:id="26" w:name="_Toc13952"/>
      <w:bookmarkStart w:id="27" w:name="_Toc525111829"/>
      <w:bookmarkStart w:id="28" w:name="_Toc21675"/>
      <w:bookmarkStart w:id="29" w:name="_Toc27285_WPSOffice_Level2"/>
      <w:bookmarkStart w:id="30" w:name="_Toc4904"/>
      <w:bookmarkStart w:id="31" w:name="_Toc23905_WPSOffice_Level2"/>
      <w:bookmarkStart w:id="32" w:name="_Toc26662"/>
      <w:bookmarkStart w:id="33" w:name="_Toc8641_WPSOffice_Level2"/>
      <w:bookmarkStart w:id="34" w:name="_Toc5984"/>
      <w:bookmarkStart w:id="35" w:name="_Toc27881_WPSOffice_Level2"/>
      <w:bookmarkStart w:id="36" w:name="_Toc27678"/>
      <w:bookmarkStart w:id="37" w:name="_Toc29568"/>
      <w:bookmarkStart w:id="38" w:name="_Toc16667_WPSOffice_Level2"/>
      <w:bookmarkStart w:id="39" w:name="_Toc30524"/>
      <w:bookmarkStart w:id="40" w:name="_Toc6644"/>
      <w:bookmarkStart w:id="41" w:name="_Toc4066"/>
      <w:bookmarkStart w:id="42" w:name="_Toc11518"/>
      <w:r>
        <w:rPr>
          <w:rFonts w:hint="eastAsia"/>
        </w:rPr>
        <w:t>编制说明</w:t>
      </w:r>
      <w:bookmarkEnd w:id="15"/>
    </w:p>
    <w:p w14:paraId="4C209AE4">
      <w:pPr>
        <w:pStyle w:val="3"/>
        <w:bidi w:val="0"/>
        <w:ind w:left="575" w:leftChars="0" w:hanging="575" w:firstLineChars="0"/>
      </w:pPr>
      <w:bookmarkStart w:id="43" w:name="_Toc1885"/>
      <w:bookmarkStart w:id="44" w:name="_Toc15621"/>
      <w:bookmarkStart w:id="45" w:name="_Toc38284771"/>
      <w:bookmarkStart w:id="46" w:name="_Toc38284943"/>
      <w:bookmarkStart w:id="47" w:name="_Toc27194"/>
      <w:bookmarkStart w:id="48" w:name="_Toc16472"/>
      <w:bookmarkStart w:id="49" w:name="_Toc78734648"/>
      <w:bookmarkStart w:id="50" w:name="_Toc31845"/>
      <w:bookmarkStart w:id="51" w:name="_Toc2675"/>
      <w:bookmarkStart w:id="52" w:name="_Toc364"/>
      <w:bookmarkStart w:id="53" w:name="_Toc31524"/>
      <w:bookmarkStart w:id="54" w:name="_Toc18198"/>
      <w:bookmarkStart w:id="55" w:name="_Toc29292"/>
      <w:bookmarkStart w:id="56" w:name="_Toc29906"/>
      <w:bookmarkStart w:id="57" w:name="_Toc18899"/>
      <w:bookmarkStart w:id="58" w:name="_Toc45466123"/>
      <w:bookmarkStart w:id="59" w:name="_Toc30367"/>
      <w:bookmarkStart w:id="60" w:name="_Toc19508"/>
      <w:bookmarkStart w:id="61" w:name="_Toc16112"/>
      <w:r>
        <w:t>编制依据</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71E8ED07">
      <w:pPr>
        <w:ind w:left="560" w:leftChars="200" w:firstLine="0" w:firstLineChars="0"/>
        <w:rPr>
          <w:color w:val="000000"/>
        </w:rPr>
      </w:pPr>
      <w:bookmarkStart w:id="62" w:name="_Toc4539"/>
      <w:bookmarkStart w:id="63" w:name="_Toc30101"/>
      <w:bookmarkStart w:id="64" w:name="_Toc3672"/>
      <w:bookmarkStart w:id="65" w:name="_Toc14535"/>
      <w:bookmarkStart w:id="66" w:name="_Toc1855"/>
      <w:bookmarkStart w:id="67" w:name="_Toc26335"/>
      <w:bookmarkStart w:id="68" w:name="_Toc16460"/>
      <w:bookmarkStart w:id="69" w:name="_Toc13106"/>
      <w:bookmarkStart w:id="70" w:name="_Toc19823"/>
      <w:bookmarkStart w:id="71" w:name="_Toc28189"/>
      <w:bookmarkStart w:id="72" w:name="_Toc25765"/>
      <w:bookmarkStart w:id="73" w:name="_Toc19237"/>
      <w:bookmarkStart w:id="74" w:name="_Toc24559"/>
      <w:bookmarkStart w:id="75" w:name="_Toc11265"/>
      <w:bookmarkStart w:id="76" w:name="_Toc14821"/>
      <w:r>
        <w:rPr>
          <w:rFonts w:hint="eastAsia"/>
          <w:color w:val="000000"/>
        </w:rPr>
        <w:t>现行法规、规范、标准及办法，主要有：</w:t>
      </w:r>
    </w:p>
    <w:p w14:paraId="6AD1D28C">
      <w:pPr>
        <w:numPr>
          <w:ilvl w:val="0"/>
          <w:numId w:val="4"/>
        </w:numPr>
        <w:ind w:left="425" w:leftChars="0" w:hanging="425" w:firstLineChars="0"/>
        <w:rPr>
          <w:color w:val="000000"/>
        </w:rPr>
      </w:pPr>
      <w:r>
        <w:rPr>
          <w:rFonts w:hint="eastAsia"/>
          <w:color w:val="000000"/>
        </w:rPr>
        <w:t>《中华人民共和国特种设备安全法》（主席令第四号）</w:t>
      </w:r>
    </w:p>
    <w:p w14:paraId="31744156">
      <w:pPr>
        <w:numPr>
          <w:ilvl w:val="0"/>
          <w:numId w:val="4"/>
        </w:numPr>
        <w:ind w:left="425" w:leftChars="0" w:hanging="425" w:firstLineChars="0"/>
      </w:pPr>
      <w:r>
        <w:rPr>
          <w:rFonts w:hint="eastAsia"/>
          <w:color w:val="000000"/>
        </w:rPr>
        <w:t>《中华人民共和国安全生产法 》（第三次修正）</w:t>
      </w:r>
    </w:p>
    <w:p w14:paraId="481A88FB">
      <w:pPr>
        <w:numPr>
          <w:ilvl w:val="0"/>
          <w:numId w:val="4"/>
        </w:numPr>
        <w:ind w:left="425" w:leftChars="0" w:hanging="425" w:firstLineChars="0"/>
        <w:rPr>
          <w:color w:val="000000"/>
        </w:rPr>
      </w:pPr>
      <w:r>
        <w:rPr>
          <w:rFonts w:hint="eastAsia"/>
          <w:color w:val="000000"/>
        </w:rPr>
        <w:t>《建设工程安全生产管理条例》（国务院令第</w:t>
      </w:r>
      <w:r>
        <w:rPr>
          <w:color w:val="000000"/>
        </w:rPr>
        <w:t>393</w:t>
      </w:r>
      <w:r>
        <w:rPr>
          <w:rFonts w:hint="eastAsia"/>
          <w:color w:val="000000"/>
        </w:rPr>
        <w:t>号）</w:t>
      </w:r>
    </w:p>
    <w:p w14:paraId="0A9B50F8">
      <w:pPr>
        <w:numPr>
          <w:ilvl w:val="0"/>
          <w:numId w:val="4"/>
        </w:numPr>
        <w:ind w:left="425" w:leftChars="0" w:hanging="425" w:firstLineChars="0"/>
        <w:rPr>
          <w:color w:val="000000"/>
        </w:rPr>
      </w:pPr>
      <w:r>
        <w:rPr>
          <w:rFonts w:hint="eastAsia"/>
          <w:color w:val="000000"/>
        </w:rPr>
        <w:t>《特种设备使用管理规则》（</w:t>
      </w:r>
      <w:r>
        <w:rPr>
          <w:color w:val="000000"/>
        </w:rPr>
        <w:t>TSG 08-2017</w:t>
      </w:r>
      <w:r>
        <w:rPr>
          <w:rFonts w:hint="eastAsia"/>
          <w:color w:val="000000"/>
        </w:rPr>
        <w:t>）</w:t>
      </w:r>
    </w:p>
    <w:p w14:paraId="1A63834E">
      <w:pPr>
        <w:numPr>
          <w:ilvl w:val="0"/>
          <w:numId w:val="4"/>
        </w:numPr>
        <w:ind w:left="425" w:leftChars="0" w:hanging="425" w:firstLineChars="0"/>
        <w:rPr>
          <w:color w:val="000000"/>
        </w:rPr>
      </w:pPr>
      <w:r>
        <w:rPr>
          <w:rFonts w:hint="eastAsia"/>
          <w:color w:val="000000"/>
        </w:rPr>
        <w:t>《特种设备安全监察条例》（国务院令第</w:t>
      </w:r>
      <w:r>
        <w:rPr>
          <w:color w:val="000000"/>
        </w:rPr>
        <w:t>549</w:t>
      </w:r>
      <w:r>
        <w:rPr>
          <w:rFonts w:hint="eastAsia"/>
          <w:color w:val="000000"/>
        </w:rPr>
        <w:t>号）</w:t>
      </w:r>
    </w:p>
    <w:p w14:paraId="0049D409">
      <w:pPr>
        <w:numPr>
          <w:ilvl w:val="0"/>
          <w:numId w:val="4"/>
        </w:numPr>
        <w:ind w:left="425" w:leftChars="0" w:hanging="425" w:firstLineChars="0"/>
        <w:rPr>
          <w:color w:val="000000"/>
        </w:rPr>
      </w:pPr>
      <w:r>
        <w:rPr>
          <w:rFonts w:hint="eastAsia"/>
          <w:color w:val="000000"/>
        </w:rPr>
        <w:t>《建筑施工塔式起重机安装、使用、拆卸安全技术规程》（</w:t>
      </w:r>
      <w:r>
        <w:rPr>
          <w:color w:val="000000"/>
        </w:rPr>
        <w:t>JGJ196-2010</w:t>
      </w:r>
      <w:r>
        <w:rPr>
          <w:rFonts w:hint="eastAsia"/>
          <w:color w:val="000000"/>
        </w:rPr>
        <w:t>）</w:t>
      </w:r>
    </w:p>
    <w:p w14:paraId="72361E2D">
      <w:pPr>
        <w:numPr>
          <w:ilvl w:val="0"/>
          <w:numId w:val="4"/>
        </w:numPr>
        <w:ind w:left="425" w:leftChars="0" w:hanging="425" w:firstLineChars="0"/>
        <w:rPr>
          <w:color w:val="000000"/>
        </w:rPr>
      </w:pPr>
      <w:r>
        <w:rPr>
          <w:rFonts w:hint="eastAsia"/>
          <w:color w:val="000000"/>
        </w:rPr>
        <w:t>《塔式起重机安全规程》（</w:t>
      </w:r>
      <w:r>
        <w:rPr>
          <w:color w:val="000000"/>
        </w:rPr>
        <w:t>GB5144-2006</w:t>
      </w:r>
      <w:r>
        <w:rPr>
          <w:rFonts w:hint="eastAsia"/>
          <w:color w:val="000000"/>
        </w:rPr>
        <w:t>）</w:t>
      </w:r>
    </w:p>
    <w:p w14:paraId="71DF9775">
      <w:pPr>
        <w:numPr>
          <w:ilvl w:val="0"/>
          <w:numId w:val="4"/>
        </w:numPr>
        <w:ind w:left="425" w:leftChars="0" w:hanging="425" w:firstLineChars="0"/>
        <w:rPr>
          <w:color w:val="000000"/>
        </w:rPr>
      </w:pPr>
      <w:r>
        <w:rPr>
          <w:rFonts w:hint="eastAsia"/>
          <w:color w:val="000000"/>
        </w:rPr>
        <w:t>《建筑机械使用安全技术规程》（</w:t>
      </w:r>
      <w:r>
        <w:rPr>
          <w:color w:val="000000"/>
        </w:rPr>
        <w:t>JGJ33-2012</w:t>
      </w:r>
      <w:r>
        <w:rPr>
          <w:rFonts w:hint="eastAsia"/>
          <w:color w:val="000000"/>
        </w:rPr>
        <w:t>）</w:t>
      </w:r>
    </w:p>
    <w:p w14:paraId="78BDBBB6">
      <w:pPr>
        <w:numPr>
          <w:ilvl w:val="0"/>
          <w:numId w:val="4"/>
        </w:numPr>
        <w:ind w:left="425" w:leftChars="0" w:hanging="425" w:firstLineChars="0"/>
        <w:rPr>
          <w:color w:val="000000"/>
        </w:rPr>
      </w:pPr>
      <w:r>
        <w:rPr>
          <w:rFonts w:hint="eastAsia"/>
          <w:color w:val="000000"/>
        </w:rPr>
        <w:t>《建筑施工安全检查标准》（</w:t>
      </w:r>
      <w:r>
        <w:rPr>
          <w:color w:val="000000"/>
        </w:rPr>
        <w:t>JGJ59-2011</w:t>
      </w:r>
      <w:r>
        <w:rPr>
          <w:rFonts w:hint="eastAsia"/>
          <w:color w:val="000000"/>
        </w:rPr>
        <w:t>）</w:t>
      </w:r>
    </w:p>
    <w:p w14:paraId="305F271F">
      <w:pPr>
        <w:numPr>
          <w:ilvl w:val="0"/>
          <w:numId w:val="4"/>
        </w:numPr>
        <w:ind w:left="425" w:leftChars="0" w:hanging="425" w:firstLineChars="0"/>
        <w:rPr>
          <w:color w:val="000000"/>
        </w:rPr>
      </w:pPr>
      <w:r>
        <w:rPr>
          <w:rFonts w:hint="eastAsia"/>
          <w:color w:val="000000"/>
        </w:rPr>
        <w:t>《建筑施工高处作业安全技术规范》（</w:t>
      </w:r>
      <w:r>
        <w:rPr>
          <w:color w:val="000000"/>
        </w:rPr>
        <w:t>JGJ80-2016</w:t>
      </w:r>
      <w:r>
        <w:rPr>
          <w:rFonts w:hint="eastAsia"/>
          <w:color w:val="000000"/>
        </w:rPr>
        <w:t>）</w:t>
      </w:r>
    </w:p>
    <w:p w14:paraId="51EF4156">
      <w:pPr>
        <w:numPr>
          <w:ilvl w:val="0"/>
          <w:numId w:val="4"/>
        </w:numPr>
        <w:ind w:left="425" w:leftChars="0" w:hanging="425" w:firstLineChars="0"/>
        <w:rPr>
          <w:color w:val="000000"/>
        </w:rPr>
      </w:pPr>
      <w:r>
        <w:rPr>
          <w:rFonts w:hint="eastAsia"/>
          <w:color w:val="000000"/>
        </w:rPr>
        <w:t>《建筑施工起重吊装安全技术规范》（</w:t>
      </w:r>
      <w:r>
        <w:rPr>
          <w:color w:val="000000"/>
        </w:rPr>
        <w:t>JGJ276-2012</w:t>
      </w:r>
      <w:r>
        <w:rPr>
          <w:rFonts w:hint="eastAsia"/>
          <w:color w:val="000000"/>
        </w:rPr>
        <w:t>）</w:t>
      </w:r>
    </w:p>
    <w:p w14:paraId="0A1C68ED">
      <w:pPr>
        <w:numPr>
          <w:ilvl w:val="0"/>
          <w:numId w:val="4"/>
        </w:numPr>
        <w:ind w:left="425" w:leftChars="0" w:hanging="425" w:firstLineChars="0"/>
        <w:rPr>
          <w:color w:val="000000"/>
        </w:rPr>
      </w:pPr>
      <w:r>
        <w:rPr>
          <w:rFonts w:hint="eastAsia"/>
          <w:color w:val="000000"/>
        </w:rPr>
        <w:t>《建筑起重机械安全监督管理规定》（建设部第</w:t>
      </w:r>
      <w:r>
        <w:rPr>
          <w:color w:val="000000"/>
        </w:rPr>
        <w:t>166</w:t>
      </w:r>
      <w:r>
        <w:rPr>
          <w:rFonts w:hint="eastAsia"/>
          <w:color w:val="000000"/>
        </w:rPr>
        <w:t>号令）</w:t>
      </w:r>
    </w:p>
    <w:p w14:paraId="7025A29C">
      <w:pPr>
        <w:numPr>
          <w:ilvl w:val="0"/>
          <w:numId w:val="4"/>
        </w:numPr>
        <w:ind w:left="425" w:leftChars="0" w:hanging="425" w:firstLineChars="0"/>
        <w:rPr>
          <w:color w:val="000000"/>
        </w:rPr>
      </w:pPr>
      <w:r>
        <w:rPr>
          <w:rFonts w:hint="eastAsia"/>
          <w:color w:val="000000"/>
        </w:rPr>
        <w:t>《起重机钢丝绳保养、维护、检验和报废》（</w:t>
      </w:r>
      <w:r>
        <w:rPr>
          <w:color w:val="000000"/>
        </w:rPr>
        <w:t>GB/T5972-2016</w:t>
      </w:r>
      <w:r>
        <w:rPr>
          <w:rFonts w:hint="eastAsia"/>
          <w:color w:val="000000"/>
        </w:rPr>
        <w:t>）</w:t>
      </w:r>
    </w:p>
    <w:p w14:paraId="69867881">
      <w:pPr>
        <w:numPr>
          <w:ilvl w:val="0"/>
          <w:numId w:val="4"/>
        </w:numPr>
        <w:ind w:left="425" w:leftChars="0" w:hanging="425" w:firstLineChars="0"/>
      </w:pPr>
      <w:r>
        <w:rPr>
          <w:rFonts w:hint="eastAsia"/>
          <w:color w:val="000000"/>
        </w:rPr>
        <w:t>《</w:t>
      </w:r>
      <w:r>
        <w:rPr>
          <w:rFonts w:hint="eastAsia"/>
        </w:rPr>
        <w:t>一般用途钢丝绳吊索特性和技术条件</w:t>
      </w:r>
      <w:r>
        <w:t>》</w:t>
      </w:r>
      <w:r>
        <w:rPr>
          <w:rFonts w:hint="eastAsia"/>
        </w:rPr>
        <w:t>(GB/T 1</w:t>
      </w:r>
      <w:r>
        <w:t xml:space="preserve">6762-2020 </w:t>
      </w:r>
      <w:r>
        <w:rPr>
          <w:rFonts w:hint="eastAsia"/>
        </w:rPr>
        <w:t>)</w:t>
      </w:r>
    </w:p>
    <w:p w14:paraId="01BEE8BB">
      <w:pPr>
        <w:numPr>
          <w:ilvl w:val="0"/>
          <w:numId w:val="4"/>
        </w:numPr>
        <w:ind w:left="425" w:leftChars="0" w:hanging="425" w:firstLineChars="0"/>
      </w:pPr>
      <w:r>
        <w:t>《</w:t>
      </w:r>
      <w:r>
        <w:rPr>
          <w:rFonts w:hint="eastAsia"/>
        </w:rPr>
        <w:t>钢丝绳通用技术条件</w:t>
      </w:r>
      <w:r>
        <w:t>》</w:t>
      </w:r>
      <w:r>
        <w:rPr>
          <w:rFonts w:hint="eastAsia"/>
        </w:rPr>
        <w:t>(GB/T 20118</w:t>
      </w:r>
      <w:r>
        <w:t>-20</w:t>
      </w:r>
      <w:r>
        <w:rPr>
          <w:rFonts w:hint="eastAsia"/>
        </w:rPr>
        <w:t>17 )</w:t>
      </w:r>
    </w:p>
    <w:p w14:paraId="6EA8F4EF">
      <w:pPr>
        <w:numPr>
          <w:ilvl w:val="0"/>
          <w:numId w:val="4"/>
        </w:numPr>
        <w:ind w:left="425" w:leftChars="0" w:hanging="425" w:firstLineChars="0"/>
        <w:rPr>
          <w:color w:val="000000"/>
        </w:rPr>
      </w:pPr>
      <w:r>
        <w:rPr>
          <w:rFonts w:hint="eastAsia"/>
          <w:color w:val="000000"/>
        </w:rPr>
        <w:t>《塔式起重机混凝土基础工程技术标准》（</w:t>
      </w:r>
      <w:r>
        <w:rPr>
          <w:color w:val="000000"/>
        </w:rPr>
        <w:t>JGJ/T187-2019</w:t>
      </w:r>
      <w:r>
        <w:rPr>
          <w:rFonts w:hint="eastAsia"/>
          <w:color w:val="000000"/>
        </w:rPr>
        <w:t>）</w:t>
      </w:r>
    </w:p>
    <w:p w14:paraId="4159284D">
      <w:pPr>
        <w:numPr>
          <w:ilvl w:val="0"/>
          <w:numId w:val="4"/>
        </w:numPr>
        <w:ind w:left="425" w:leftChars="0" w:hanging="425" w:firstLineChars="0"/>
        <w:rPr>
          <w:color w:val="000000"/>
        </w:rPr>
      </w:pPr>
      <w:r>
        <w:rPr>
          <w:rFonts w:hint="eastAsia"/>
          <w:color w:val="000000"/>
        </w:rPr>
        <w:t>《危险性较大的分部分项工程安全管理规定》</w:t>
      </w:r>
      <w:r>
        <w:rPr>
          <w:color w:val="000000"/>
        </w:rPr>
        <w:t>(</w:t>
      </w:r>
      <w:r>
        <w:rPr>
          <w:rFonts w:hint="eastAsia"/>
          <w:color w:val="000000"/>
        </w:rPr>
        <w:t>建设部令第</w:t>
      </w:r>
      <w:r>
        <w:rPr>
          <w:color w:val="000000"/>
        </w:rPr>
        <w:t>37</w:t>
      </w:r>
      <w:r>
        <w:rPr>
          <w:rFonts w:hint="eastAsia"/>
          <w:color w:val="000000"/>
        </w:rPr>
        <w:t>号</w:t>
      </w:r>
      <w:r>
        <w:rPr>
          <w:color w:val="000000"/>
        </w:rPr>
        <w:t>)</w:t>
      </w:r>
    </w:p>
    <w:p w14:paraId="73E7476F">
      <w:pPr>
        <w:numPr>
          <w:ilvl w:val="0"/>
          <w:numId w:val="4"/>
        </w:numPr>
        <w:ind w:left="425" w:leftChars="0" w:hanging="425" w:firstLineChars="0"/>
        <w:rPr>
          <w:color w:val="000000"/>
        </w:rPr>
      </w:pPr>
      <w:r>
        <w:rPr>
          <w:rFonts w:hint="eastAsia"/>
          <w:color w:val="000000"/>
        </w:rPr>
        <w:t>《公路工程施工安全技术规范》（</w:t>
      </w:r>
      <w:r>
        <w:rPr>
          <w:color w:val="000000"/>
        </w:rPr>
        <w:t xml:space="preserve">JTG F90-2015 </w:t>
      </w:r>
      <w:r>
        <w:rPr>
          <w:rFonts w:hint="eastAsia"/>
          <w:color w:val="000000"/>
        </w:rPr>
        <w:t>）</w:t>
      </w:r>
    </w:p>
    <w:p w14:paraId="281FFCCF">
      <w:pPr>
        <w:numPr>
          <w:ilvl w:val="0"/>
          <w:numId w:val="4"/>
        </w:numPr>
        <w:ind w:left="425" w:leftChars="0" w:hanging="425" w:firstLineChars="0"/>
        <w:rPr>
          <w:rFonts w:hint="eastAsia"/>
          <w:color w:val="000000"/>
        </w:rPr>
      </w:pPr>
      <w:r>
        <w:rPr>
          <w:rFonts w:hint="eastAsia"/>
          <w:color w:val="000000"/>
        </w:rPr>
        <w:t>《施工现场临时用电安全技术规范》（</w:t>
      </w:r>
      <w:r>
        <w:rPr>
          <w:color w:val="000000"/>
        </w:rPr>
        <w:t>JGJ46-2005</w:t>
      </w:r>
      <w:r>
        <w:rPr>
          <w:rFonts w:hint="eastAsia"/>
          <w:color w:val="000000"/>
        </w:rPr>
        <w:t>）</w:t>
      </w:r>
    </w:p>
    <w:p w14:paraId="128FC514">
      <w:pPr>
        <w:numPr>
          <w:ilvl w:val="0"/>
          <w:numId w:val="4"/>
        </w:numPr>
        <w:ind w:left="425" w:leftChars="0" w:hanging="425" w:firstLineChars="0"/>
        <w:rPr>
          <w:rFonts w:hint="eastAsia"/>
          <w:highlight w:val="none"/>
        </w:rPr>
      </w:pPr>
      <w:r>
        <w:rPr>
          <w:rFonts w:hint="eastAsia"/>
          <w:highlight w:val="none"/>
          <w:lang w:val="en-US" w:eastAsia="zh-CN"/>
        </w:rPr>
        <w:t>徐工建机</w:t>
      </w:r>
      <w:r>
        <w:rPr>
          <w:rFonts w:hint="eastAsia"/>
          <w:highlight w:val="none"/>
        </w:rPr>
        <w:t>《</w:t>
      </w:r>
      <w:r>
        <w:rPr>
          <w:rFonts w:hint="eastAsia"/>
          <w:highlight w:val="none"/>
          <w:lang w:val="en-US" w:eastAsia="zh-CN"/>
        </w:rPr>
        <w:t>XGT6015A-8S</w:t>
      </w:r>
      <w:r>
        <w:rPr>
          <w:rFonts w:hint="eastAsia"/>
          <w:highlight w:val="none"/>
        </w:rPr>
        <w:t>塔式起重机使用说明书》</w:t>
      </w:r>
    </w:p>
    <w:p w14:paraId="46696E5C">
      <w:pPr>
        <w:numPr>
          <w:ilvl w:val="0"/>
          <w:numId w:val="4"/>
        </w:numPr>
        <w:ind w:left="425" w:leftChars="0" w:hanging="425" w:firstLineChars="0"/>
        <w:rPr>
          <w:rFonts w:hint="eastAsia"/>
          <w:highlight w:val="none"/>
        </w:rPr>
      </w:pPr>
      <w:r>
        <w:rPr>
          <w:rFonts w:hint="eastAsia"/>
          <w:highlight w:val="none"/>
          <w:lang w:val="en-US" w:eastAsia="zh-CN"/>
        </w:rPr>
        <w:t>虎霸建机</w:t>
      </w:r>
      <w:r>
        <w:rPr>
          <w:rFonts w:hint="eastAsia"/>
          <w:highlight w:val="none"/>
        </w:rPr>
        <w:t>《</w:t>
      </w:r>
      <w:r>
        <w:rPr>
          <w:rFonts w:hint="eastAsia"/>
          <w:highlight w:val="none"/>
          <w:lang w:val="en-US" w:eastAsia="zh-CN"/>
        </w:rPr>
        <w:t>T7020-12</w:t>
      </w:r>
      <w:r>
        <w:rPr>
          <w:rFonts w:hint="eastAsia"/>
          <w:highlight w:val="none"/>
        </w:rPr>
        <w:t>塔式起重机使用说明书》</w:t>
      </w:r>
    </w:p>
    <w:p w14:paraId="5A000BAE">
      <w:pPr>
        <w:numPr>
          <w:ilvl w:val="0"/>
          <w:numId w:val="4"/>
        </w:numPr>
        <w:ind w:left="425" w:leftChars="0" w:hanging="425" w:firstLineChars="0"/>
        <w:rPr>
          <w:rFonts w:hint="eastAsia"/>
          <w:highlight w:val="none"/>
        </w:rPr>
      </w:pPr>
      <w:r>
        <w:rPr>
          <w:rFonts w:hint="eastAsia"/>
          <w:highlight w:val="none"/>
          <w:lang w:val="en-US" w:eastAsia="zh-CN"/>
        </w:rPr>
        <w:t>徐工建机</w:t>
      </w:r>
      <w:r>
        <w:rPr>
          <w:rFonts w:hint="eastAsia"/>
          <w:highlight w:val="none"/>
        </w:rPr>
        <w:t>《</w:t>
      </w:r>
      <w:r>
        <w:rPr>
          <w:rFonts w:hint="eastAsia"/>
          <w:highlight w:val="none"/>
          <w:lang w:val="en-US" w:eastAsia="zh-CN"/>
        </w:rPr>
        <w:t>XGT6515D-10S</w:t>
      </w:r>
      <w:r>
        <w:rPr>
          <w:rFonts w:hint="eastAsia"/>
          <w:highlight w:val="none"/>
        </w:rPr>
        <w:t>塔式起重机使用说明书》</w:t>
      </w:r>
    </w:p>
    <w:p w14:paraId="7948D7F1">
      <w:pPr>
        <w:pStyle w:val="3"/>
        <w:bidi w:val="0"/>
        <w:ind w:left="575" w:leftChars="0" w:hanging="575" w:firstLineChars="0"/>
      </w:pPr>
      <w:bookmarkStart w:id="77" w:name="_Toc20791"/>
      <w:r>
        <w:rPr>
          <w:rFonts w:hint="eastAsia"/>
        </w:rPr>
        <w:t>编制原则</w:t>
      </w:r>
      <w:bookmarkEnd w:id="77"/>
    </w:p>
    <w:p w14:paraId="02B8CEC6">
      <w:pPr>
        <w:widowControl/>
        <w:adjustRightInd w:val="0"/>
        <w:ind w:firstLine="560"/>
        <w:jc w:val="left"/>
        <w:rPr>
          <w:color w:val="000000"/>
        </w:rPr>
      </w:pPr>
      <w:r>
        <w:rPr>
          <w:rFonts w:hint="eastAsia"/>
          <w:color w:val="000000"/>
        </w:rPr>
        <w:t>（1）安全第一的原则，坚持“安全第一，预防为主，综合治理”的指导思想，遵守国家安全相关法律法规，结合工程特点，制定积极有效的安全管理、技术、组织措施，确保人身安全和工程安全。</w:t>
      </w:r>
    </w:p>
    <w:p w14:paraId="1C95B875">
      <w:pPr>
        <w:widowControl/>
        <w:adjustRightInd w:val="0"/>
        <w:ind w:firstLine="560"/>
        <w:jc w:val="left"/>
        <w:rPr>
          <w:color w:val="000000"/>
        </w:rPr>
      </w:pPr>
      <w:r>
        <w:rPr>
          <w:rFonts w:hint="eastAsia"/>
          <w:color w:val="000000"/>
        </w:rPr>
        <w:t>（2）确保工期的原则，根据工程施工组织安排，编制科学的、合理的、周密的施工方案，合理安排塔柱施工进度，实行网络控制，做好工序衔接，实施进度监控，确保实现工期目标，满足业主要求。</w:t>
      </w:r>
    </w:p>
    <w:p w14:paraId="720ED201">
      <w:pPr>
        <w:widowControl/>
        <w:adjustRightInd w:val="0"/>
        <w:ind w:firstLine="560"/>
        <w:jc w:val="left"/>
      </w:pPr>
      <w:r>
        <w:rPr>
          <w:rFonts w:hint="eastAsia"/>
          <w:color w:val="000000"/>
        </w:rPr>
        <w:t>（3）方案优化的原则，科学组织，合理安排，以采用成熟的施工技术、先进的机械、完善的施工工艺为原则。</w:t>
      </w:r>
    </w:p>
    <w:p w14:paraId="1C36B3AD">
      <w:pPr>
        <w:pStyle w:val="3"/>
        <w:bidi w:val="0"/>
        <w:ind w:left="575" w:leftChars="0" w:hanging="575" w:firstLineChars="0"/>
      </w:pPr>
      <w:bookmarkStart w:id="78" w:name="_Toc16130"/>
      <w:r>
        <w:rPr>
          <w:rFonts w:hint="eastAsia"/>
        </w:rPr>
        <w:t>编制范围</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8"/>
    </w:p>
    <w:p w14:paraId="1F89F5E2">
      <w:pPr>
        <w:widowControl/>
        <w:adjustRightInd w:val="0"/>
        <w:ind w:firstLine="560"/>
        <w:jc w:val="left"/>
        <w:rPr>
          <w:rFonts w:hint="eastAsia"/>
          <w:color w:val="000000"/>
        </w:rPr>
      </w:pPr>
      <w:bookmarkStart w:id="79" w:name="_Toc6722"/>
      <w:r>
        <w:rPr>
          <w:rFonts w:hint="eastAsia"/>
          <w:color w:val="000000"/>
        </w:rPr>
        <w:t>本方案适用于</w:t>
      </w:r>
      <w:r>
        <w:rPr>
          <w:rFonts w:hint="eastAsia"/>
          <w:color w:val="000000"/>
          <w:lang w:val="en-US" w:eastAsia="zh-CN"/>
        </w:rPr>
        <w:t>新建合肥至武汉高速铁路（湖北段）站前工程HWZQ-4标段9#墩XGT6015A-8S</w:t>
      </w:r>
      <w:r>
        <w:rPr>
          <w:rFonts w:hint="eastAsia"/>
          <w:color w:val="000000"/>
        </w:rPr>
        <w:t>塔式起重机</w:t>
      </w:r>
      <w:r>
        <w:rPr>
          <w:rFonts w:hint="eastAsia"/>
          <w:color w:val="000000"/>
          <w:lang w:val="en-US" w:eastAsia="zh-CN"/>
        </w:rPr>
        <w:t>、676#墩T7020-12</w:t>
      </w:r>
      <w:r>
        <w:rPr>
          <w:rFonts w:hint="eastAsia"/>
          <w:color w:val="000000"/>
        </w:rPr>
        <w:t>塔式起重机</w:t>
      </w:r>
      <w:r>
        <w:rPr>
          <w:rFonts w:hint="eastAsia"/>
          <w:color w:val="000000"/>
          <w:lang w:val="en-US" w:eastAsia="zh-CN"/>
        </w:rPr>
        <w:t>、11#墩XGT6015A-8S</w:t>
      </w:r>
      <w:r>
        <w:rPr>
          <w:rFonts w:hint="eastAsia"/>
          <w:color w:val="000000"/>
        </w:rPr>
        <w:t>塔式起重机</w:t>
      </w:r>
      <w:r>
        <w:rPr>
          <w:rFonts w:hint="eastAsia"/>
          <w:color w:val="000000"/>
          <w:lang w:val="en-US" w:eastAsia="zh-CN"/>
        </w:rPr>
        <w:t>、13#墩XGT6515D-10S</w:t>
      </w:r>
      <w:r>
        <w:rPr>
          <w:rFonts w:hint="eastAsia"/>
          <w:color w:val="000000"/>
        </w:rPr>
        <w:t>塔式起重机安拆施工。</w:t>
      </w:r>
    </w:p>
    <w:p w14:paraId="5F0554E8">
      <w:pPr>
        <w:ind w:firstLine="560"/>
        <w:rPr>
          <w:rFonts w:cs="仿宋"/>
          <w:bCs/>
          <w:color w:val="000000"/>
          <w:kern w:val="44"/>
          <w:szCs w:val="44"/>
        </w:rPr>
      </w:pPr>
    </w:p>
    <w:p w14:paraId="39A18567">
      <w:pPr>
        <w:pStyle w:val="2"/>
        <w:bidi w:val="0"/>
        <w:ind w:left="432" w:leftChars="0" w:hanging="432" w:firstLineChars="0"/>
      </w:pPr>
      <w:bookmarkStart w:id="80" w:name="_Toc32171"/>
      <w:bookmarkStart w:id="81" w:name="_Toc20439"/>
      <w:bookmarkStart w:id="82" w:name="_Toc25032"/>
      <w:bookmarkStart w:id="83" w:name="_Toc2670"/>
      <w:bookmarkStart w:id="84" w:name="_Toc23740"/>
      <w:bookmarkStart w:id="85" w:name="_Toc24863"/>
      <w:bookmarkStart w:id="86" w:name="_Toc7598"/>
      <w:bookmarkStart w:id="87" w:name="_Toc9989"/>
      <w:bookmarkStart w:id="88" w:name="_Toc1259"/>
      <w:bookmarkStart w:id="89" w:name="_Toc26925"/>
      <w:bookmarkStart w:id="90" w:name="_Toc30497"/>
      <w:bookmarkStart w:id="91" w:name="_Toc14344"/>
      <w:bookmarkStart w:id="92" w:name="_Toc668"/>
      <w:bookmarkStart w:id="93" w:name="_Toc15747"/>
      <w:bookmarkStart w:id="94" w:name="_Toc31276"/>
      <w:r>
        <w:rPr>
          <w:rFonts w:hint="eastAsia"/>
        </w:rPr>
        <w:t>工程概况</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0487874E">
      <w:pPr>
        <w:pStyle w:val="3"/>
        <w:bidi w:val="0"/>
        <w:ind w:left="575" w:leftChars="0" w:hanging="575" w:firstLineChars="0"/>
      </w:pPr>
      <w:bookmarkStart w:id="95" w:name="_Toc14286"/>
      <w:bookmarkStart w:id="96" w:name="_Toc17559"/>
      <w:bookmarkStart w:id="97" w:name="_Toc31978"/>
      <w:bookmarkStart w:id="98" w:name="_Toc20636"/>
      <w:bookmarkStart w:id="99" w:name="_Toc14049"/>
      <w:bookmarkStart w:id="100" w:name="_Toc7670"/>
      <w:bookmarkStart w:id="101" w:name="_Toc14322"/>
      <w:bookmarkStart w:id="102" w:name="_Toc24560"/>
      <w:bookmarkStart w:id="103" w:name="_Toc27851"/>
      <w:bookmarkStart w:id="104" w:name="_Toc6653"/>
      <w:bookmarkStart w:id="105" w:name="_Toc32454"/>
      <w:bookmarkStart w:id="106" w:name="_Toc18349"/>
      <w:bookmarkStart w:id="107" w:name="_Toc21266"/>
      <w:bookmarkStart w:id="108" w:name="_Toc25631"/>
      <w:bookmarkStart w:id="109" w:name="_Toc13963"/>
      <w:r>
        <w:rPr>
          <w:rFonts w:hint="eastAsia"/>
        </w:rPr>
        <w:t>工程概况</w:t>
      </w:r>
      <w:bookmarkEnd w:id="95"/>
      <w:bookmarkEnd w:id="96"/>
      <w:bookmarkEnd w:id="97"/>
      <w:bookmarkEnd w:id="98"/>
      <w:bookmarkEnd w:id="99"/>
      <w:bookmarkEnd w:id="100"/>
      <w:bookmarkEnd w:id="101"/>
    </w:p>
    <w:p w14:paraId="7A031228">
      <w:pPr>
        <w:pStyle w:val="4"/>
        <w:bidi w:val="0"/>
        <w:ind w:left="720" w:leftChars="0" w:hanging="720" w:firstLineChars="0"/>
      </w:pPr>
      <w:bookmarkStart w:id="110" w:name="_Toc156659270"/>
      <w:bookmarkStart w:id="111" w:name="_Toc194051239"/>
      <w:r>
        <w:rPr>
          <w:rFonts w:hint="eastAsia"/>
          <w:lang w:val="en-US" w:eastAsia="zh-CN"/>
        </w:rPr>
        <w:t>项目概况</w:t>
      </w:r>
    </w:p>
    <w:p w14:paraId="11F72A4E">
      <w:pPr>
        <w:ind w:firstLine="628"/>
      </w:pPr>
      <w:r>
        <w:rPr>
          <w:rFonts w:hint="eastAsia"/>
        </w:rPr>
        <w:t>新建合肥至武汉高速铁路位于安徽、湖北省境内，线路东起合肥，途经安徽省六安市、金寨县及湖北省麻城市、红安县，终至武汉。本项目是沪渝蓉沿江高铁通道的重要组成部分，向东与合宁、合新高铁衔接，向西与武宜高铁、汉十高铁、京广高铁衔接，在东西两端衔接的高铁路网呈“扇形放射”特征。</w:t>
      </w:r>
    </w:p>
    <w:p w14:paraId="521EAD4E">
      <w:pPr>
        <w:pStyle w:val="184"/>
      </w:pPr>
      <w:r>
        <w:drawing>
          <wp:inline distT="0" distB="0" distL="0" distR="0">
            <wp:extent cx="5570855" cy="3843655"/>
            <wp:effectExtent l="0" t="0" r="10795" b="4445"/>
            <wp:docPr id="222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63"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570855" cy="3843655"/>
                    </a:xfrm>
                    <a:prstGeom prst="rect">
                      <a:avLst/>
                    </a:prstGeom>
                    <a:noFill/>
                    <a:ln>
                      <a:noFill/>
                    </a:ln>
                  </pic:spPr>
                </pic:pic>
              </a:graphicData>
            </a:graphic>
          </wp:inline>
        </w:drawing>
      </w:r>
    </w:p>
    <w:p w14:paraId="77021B9A">
      <w:pPr>
        <w:pStyle w:val="16"/>
        <w:jc w:val="center"/>
      </w:pPr>
      <w:r>
        <w:t xml:space="preserve">图 </w:t>
      </w:r>
      <w:r>
        <w:fldChar w:fldCharType="begin"/>
      </w:r>
      <w:r>
        <w:instrText xml:space="preserve"> STYLEREF 3 \s </w:instrText>
      </w:r>
      <w:r>
        <w:fldChar w:fldCharType="separate"/>
      </w:r>
      <w:r>
        <w:t>2.1.1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项目地理位置图</w:t>
      </w:r>
    </w:p>
    <w:p w14:paraId="4A00AA41">
      <w:pPr>
        <w:ind w:firstLine="628"/>
        <w:rPr>
          <w:rFonts w:hint="eastAsia"/>
        </w:rPr>
      </w:pPr>
      <w:r>
        <w:rPr>
          <w:rFonts w:hint="eastAsia"/>
        </w:rPr>
        <w:t>新建合肥至武汉高速铁路（湖北段）起自大别山隧道鄂皖省界DK171+500，向西穿大别山脉，沿既有合武铁路南侧行至既有麻城北、红安站并站，后进入武汉市于黄陂区东南设长江新区站，出站后沿绕城高速西行至天河机场，于机场东南侧新设武汉天河站，出站后向西两跨绕城高速公路于东西湖区新沟西线路所与武汉至宜昌高铁相衔接。</w:t>
      </w:r>
    </w:p>
    <w:p w14:paraId="16904D04">
      <w:pPr>
        <w:ind w:firstLine="628"/>
        <w:rPr>
          <w:szCs w:val="32"/>
        </w:rPr>
      </w:pPr>
      <w:r>
        <w:rPr>
          <w:rFonts w:hint="eastAsia"/>
          <w:szCs w:val="32"/>
        </w:rPr>
        <w:t>新建合肥至武汉高速铁路（湖北段）正线长163.350km，设4个车站：麻城北、红安、长江新区、武汉天河。新建桥梁37座125.</w:t>
      </w:r>
      <w:r>
        <w:rPr>
          <w:szCs w:val="32"/>
        </w:rPr>
        <w:t>294</w:t>
      </w:r>
      <w:r>
        <w:rPr>
          <w:rFonts w:hint="eastAsia"/>
          <w:szCs w:val="32"/>
        </w:rPr>
        <w:t>km，隧道5座</w:t>
      </w:r>
      <w:r>
        <w:rPr>
          <w:szCs w:val="32"/>
        </w:rPr>
        <w:t>21.815</w:t>
      </w:r>
      <w:r>
        <w:rPr>
          <w:rFonts w:hint="eastAsia"/>
          <w:szCs w:val="32"/>
        </w:rPr>
        <w:t>km，桥隧占90.</w:t>
      </w:r>
      <w:r>
        <w:rPr>
          <w:szCs w:val="32"/>
        </w:rPr>
        <w:t>05</w:t>
      </w:r>
      <w:r>
        <w:rPr>
          <w:rFonts w:hint="eastAsia"/>
          <w:szCs w:val="32"/>
        </w:rPr>
        <w:t>%。正线路基工程长</w:t>
      </w:r>
      <w:r>
        <w:rPr>
          <w:szCs w:val="32"/>
        </w:rPr>
        <w:t>16.248</w:t>
      </w:r>
      <w:r>
        <w:rPr>
          <w:rFonts w:hint="eastAsia"/>
          <w:szCs w:val="32"/>
        </w:rPr>
        <w:t>km，占线路比例比为</w:t>
      </w:r>
      <w:r>
        <w:rPr>
          <w:szCs w:val="32"/>
        </w:rPr>
        <w:t>9.95</w:t>
      </w:r>
      <w:r>
        <w:rPr>
          <w:rFonts w:hint="eastAsia"/>
          <w:szCs w:val="32"/>
        </w:rPr>
        <w:t>%。</w:t>
      </w:r>
    </w:p>
    <w:p w14:paraId="38E75E48">
      <w:pPr>
        <w:ind w:firstLine="628"/>
        <w:rPr>
          <w:szCs w:val="32"/>
        </w:rPr>
      </w:pPr>
      <w:r>
        <w:rPr>
          <w:rFonts w:hint="eastAsia"/>
          <w:szCs w:val="32"/>
        </w:rPr>
        <w:t>枢纽、地区相关及配套工程：新沟东南联络线</w:t>
      </w:r>
      <w:r>
        <w:rPr>
          <w:szCs w:val="32"/>
        </w:rPr>
        <w:t>7.604km</w:t>
      </w:r>
      <w:r>
        <w:rPr>
          <w:rFonts w:hint="eastAsia"/>
          <w:szCs w:val="32"/>
        </w:rPr>
        <w:t>（单线）；预留天河三四线工程0</w:t>
      </w:r>
      <w:r>
        <w:rPr>
          <w:szCs w:val="32"/>
        </w:rPr>
        <w:t>.262km</w:t>
      </w:r>
      <w:r>
        <w:rPr>
          <w:rFonts w:hint="eastAsia"/>
          <w:szCs w:val="32"/>
        </w:rPr>
        <w:t>（单线）；横店东联络线10.</w:t>
      </w:r>
      <w:r>
        <w:rPr>
          <w:szCs w:val="32"/>
        </w:rPr>
        <w:t>699</w:t>
      </w:r>
      <w:r>
        <w:rPr>
          <w:rFonts w:hint="eastAsia"/>
          <w:szCs w:val="32"/>
        </w:rPr>
        <w:t>km（单线）。</w:t>
      </w:r>
    </w:p>
    <w:p w14:paraId="4A952F1A">
      <w:pPr>
        <w:pStyle w:val="184"/>
        <w:rPr>
          <w:rFonts w:hint="eastAsia"/>
          <w:szCs w:val="32"/>
        </w:rPr>
      </w:pPr>
      <w:r>
        <w:rPr>
          <w:rFonts w:hint="eastAsia"/>
          <w:szCs w:val="32"/>
        </w:rPr>
        <mc:AlternateContent>
          <mc:Choice Requires="wps">
            <w:drawing>
              <wp:anchor distT="0" distB="0" distL="114300" distR="114300" simplePos="0" relativeHeight="251663360" behindDoc="0" locked="0" layoutInCell="1" allowOverlap="1">
                <wp:simplePos x="0" y="0"/>
                <wp:positionH relativeFrom="column">
                  <wp:posOffset>1084580</wp:posOffset>
                </wp:positionH>
                <wp:positionV relativeFrom="paragraph">
                  <wp:posOffset>281940</wp:posOffset>
                </wp:positionV>
                <wp:extent cx="3067050" cy="279400"/>
                <wp:effectExtent l="0" t="0" r="0" b="0"/>
                <wp:wrapNone/>
                <wp:docPr id="1234912122" name="文本框 5"/>
                <wp:cNvGraphicFramePr/>
                <a:graphic xmlns:a="http://schemas.openxmlformats.org/drawingml/2006/main">
                  <a:graphicData uri="http://schemas.microsoft.com/office/word/2010/wordprocessingShape">
                    <wps:wsp>
                      <wps:cNvSpPr txBox="1"/>
                      <wps:spPr>
                        <a:xfrm>
                          <a:off x="0" y="0"/>
                          <a:ext cx="3067050" cy="279400"/>
                        </a:xfrm>
                        <a:prstGeom prst="rect">
                          <a:avLst/>
                        </a:prstGeom>
                        <a:noFill/>
                        <a:ln w="6350">
                          <a:noFill/>
                        </a:ln>
                      </wps:spPr>
                      <wps:txbx>
                        <w:txbxContent>
                          <w:p w14:paraId="59481860">
                            <w:pPr>
                              <w:ind w:firstLine="389"/>
                              <w:rPr>
                                <w:b/>
                                <w:bCs/>
                                <w:color w:val="4D10F8"/>
                                <w:sz w:val="20"/>
                                <w:szCs w:val="16"/>
                              </w:rPr>
                            </w:pPr>
                            <w:r>
                              <w:rPr>
                                <w:rFonts w:hint="eastAsia"/>
                                <w:b/>
                                <w:bCs/>
                                <w:color w:val="4D10F8"/>
                                <w:sz w:val="20"/>
                                <w:szCs w:val="16"/>
                              </w:rPr>
                              <w:t>起讫里程：D</w:t>
                            </w:r>
                            <w:r>
                              <w:rPr>
                                <w:b/>
                                <w:bCs/>
                                <w:color w:val="4D10F8"/>
                                <w:sz w:val="20"/>
                                <w:szCs w:val="16"/>
                              </w:rPr>
                              <w:t>K171+500</w:t>
                            </w:r>
                            <w:r>
                              <w:rPr>
                                <w:rFonts w:hint="eastAsia"/>
                                <w:b/>
                                <w:bCs/>
                                <w:color w:val="4D10F8"/>
                                <w:sz w:val="20"/>
                                <w:szCs w:val="16"/>
                              </w:rPr>
                              <w:t>～D</w:t>
                            </w:r>
                            <w:r>
                              <w:rPr>
                                <w:b/>
                                <w:bCs/>
                                <w:color w:val="4D10F8"/>
                                <w:sz w:val="20"/>
                                <w:szCs w:val="16"/>
                              </w:rPr>
                              <w:t>K334+723.215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 o:spid="_x0000_s1026" o:spt="202" type="#_x0000_t202" style="position:absolute;left:0pt;margin-left:85.4pt;margin-top:22.2pt;height:22pt;width:241.5pt;z-index:251663360;mso-width-relative:page;mso-height-relative:page;" filled="f" stroked="f" coordsize="21600,21600" o:gfxdata="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LSa+e2gAAAAkBAAAPAAAAAAAAAAEAIAAA&#10;ACIAAABkcnMvZG93bnJldi54bWxQSwECFAAUAAAACACHTuJAdcnb1UMCAABvBAAADgAAAAAAAAAB&#10;ACAAAAApAQAAZHJzL2Uyb0RvYy54bWxQSwUGAAAAAAYABgBZAQAA3gUAAAAA&#10;">
                <v:fill on="f" focussize="0,0"/>
                <v:stroke on="f" weight="0.5pt"/>
                <v:imagedata o:title=""/>
                <o:lock v:ext="edit" aspectratio="f"/>
                <v:textbox>
                  <w:txbxContent>
                    <w:p w14:paraId="59481860">
                      <w:pPr>
                        <w:ind w:firstLine="389"/>
                        <w:rPr>
                          <w:b/>
                          <w:bCs/>
                          <w:color w:val="4D10F8"/>
                          <w:sz w:val="20"/>
                          <w:szCs w:val="16"/>
                        </w:rPr>
                      </w:pPr>
                      <w:r>
                        <w:rPr>
                          <w:rFonts w:hint="eastAsia"/>
                          <w:b/>
                          <w:bCs/>
                          <w:color w:val="4D10F8"/>
                          <w:sz w:val="20"/>
                          <w:szCs w:val="16"/>
                        </w:rPr>
                        <w:t>起讫里程：D</w:t>
                      </w:r>
                      <w:r>
                        <w:rPr>
                          <w:b/>
                          <w:bCs/>
                          <w:color w:val="4D10F8"/>
                          <w:sz w:val="20"/>
                          <w:szCs w:val="16"/>
                        </w:rPr>
                        <w:t>K171+500</w:t>
                      </w:r>
                      <w:r>
                        <w:rPr>
                          <w:rFonts w:hint="eastAsia"/>
                          <w:b/>
                          <w:bCs/>
                          <w:color w:val="4D10F8"/>
                          <w:sz w:val="20"/>
                          <w:szCs w:val="16"/>
                        </w:rPr>
                        <w:t>～D</w:t>
                      </w:r>
                      <w:r>
                        <w:rPr>
                          <w:b/>
                          <w:bCs/>
                          <w:color w:val="4D10F8"/>
                          <w:sz w:val="20"/>
                          <w:szCs w:val="16"/>
                        </w:rPr>
                        <w:t>K334+723.215</w:t>
                      </w:r>
                    </w:p>
                  </w:txbxContent>
                </v:textbox>
              </v:shape>
            </w:pict>
          </mc:Fallback>
        </mc:AlternateContent>
      </w:r>
      <w:r>
        <w:rPr>
          <w:rFonts w:hint="eastAsia"/>
          <w:szCs w:val="32"/>
        </w:rPr>
        <mc:AlternateContent>
          <mc:Choice Requires="wps">
            <w:drawing>
              <wp:anchor distT="0" distB="0" distL="114300" distR="114300" simplePos="0" relativeHeight="251662336" behindDoc="0" locked="0" layoutInCell="1" allowOverlap="1">
                <wp:simplePos x="0" y="0"/>
                <wp:positionH relativeFrom="column">
                  <wp:posOffset>1617980</wp:posOffset>
                </wp:positionH>
                <wp:positionV relativeFrom="paragraph">
                  <wp:posOffset>104140</wp:posOffset>
                </wp:positionV>
                <wp:extent cx="1866900" cy="279400"/>
                <wp:effectExtent l="0" t="0" r="0" b="0"/>
                <wp:wrapNone/>
                <wp:docPr id="240761385" name="文本框 5"/>
                <wp:cNvGraphicFramePr/>
                <a:graphic xmlns:a="http://schemas.openxmlformats.org/drawingml/2006/main">
                  <a:graphicData uri="http://schemas.microsoft.com/office/word/2010/wordprocessingShape">
                    <wps:wsp>
                      <wps:cNvSpPr txBox="1"/>
                      <wps:spPr>
                        <a:xfrm>
                          <a:off x="0" y="0"/>
                          <a:ext cx="1866900" cy="279400"/>
                        </a:xfrm>
                        <a:prstGeom prst="rect">
                          <a:avLst/>
                        </a:prstGeom>
                        <a:noFill/>
                        <a:ln w="6350">
                          <a:noFill/>
                        </a:ln>
                      </wps:spPr>
                      <wps:txbx>
                        <w:txbxContent>
                          <w:p w14:paraId="39C0C83B">
                            <w:pPr>
                              <w:ind w:firstLine="389"/>
                              <w:rPr>
                                <w:b/>
                                <w:bCs/>
                                <w:color w:val="4D10F8"/>
                                <w:sz w:val="20"/>
                                <w:szCs w:val="16"/>
                              </w:rPr>
                            </w:pPr>
                            <w:r>
                              <w:rPr>
                                <w:rFonts w:hint="eastAsia"/>
                                <w:b/>
                                <w:bCs/>
                                <w:color w:val="4D10F8"/>
                                <w:sz w:val="20"/>
                                <w:szCs w:val="16"/>
                              </w:rPr>
                              <w:t>线路长：1</w:t>
                            </w:r>
                            <w:r>
                              <w:rPr>
                                <w:b/>
                                <w:bCs/>
                                <w:color w:val="4D10F8"/>
                                <w:sz w:val="20"/>
                                <w:szCs w:val="16"/>
                              </w:rPr>
                              <w:t>63.35km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 o:spid="_x0000_s1026" o:spt="202" type="#_x0000_t202" style="position:absolute;left:0pt;margin-left:127.4pt;margin-top:8.2pt;height:22pt;width:147pt;z-index:251662336;mso-width-relative:page;mso-height-relative:page;" filled="f" stroked="f" coordsize="21600,21600" o:gfxdata="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YpFlPYAAAACQEAAA8AAAAAAAAAAQAgAAAAIgAA&#10;AGRycy9kb3ducmV2LnhtbFBLAQIUABQAAAAIAIdO4kD7HGgoQQIAAG4EAAAOAAAAAAAAAAEAIAAA&#10;ACcBAABkcnMvZTJvRG9jLnhtbFBLBQYAAAAABgAGAFkBAADaBQAAAAA=&#10;">
                <v:fill on="f" focussize="0,0"/>
                <v:stroke on="f" weight="0.5pt"/>
                <v:imagedata o:title=""/>
                <o:lock v:ext="edit" aspectratio="f"/>
                <v:textbox>
                  <w:txbxContent>
                    <w:p w14:paraId="39C0C83B">
                      <w:pPr>
                        <w:ind w:firstLine="389"/>
                        <w:rPr>
                          <w:b/>
                          <w:bCs/>
                          <w:color w:val="4D10F8"/>
                          <w:sz w:val="20"/>
                          <w:szCs w:val="16"/>
                        </w:rPr>
                      </w:pPr>
                      <w:r>
                        <w:rPr>
                          <w:rFonts w:hint="eastAsia"/>
                          <w:b/>
                          <w:bCs/>
                          <w:color w:val="4D10F8"/>
                          <w:sz w:val="20"/>
                          <w:szCs w:val="16"/>
                        </w:rPr>
                        <w:t>线路长：1</w:t>
                      </w:r>
                      <w:r>
                        <w:rPr>
                          <w:b/>
                          <w:bCs/>
                          <w:color w:val="4D10F8"/>
                          <w:sz w:val="20"/>
                          <w:szCs w:val="16"/>
                        </w:rPr>
                        <w:t>63.35km</w:t>
                      </w:r>
                    </w:p>
                  </w:txbxContent>
                </v:textbox>
              </v:shape>
            </w:pict>
          </mc:Fallback>
        </mc:AlternateContent>
      </w:r>
      <w:r>
        <w:rPr>
          <w:rFonts w:hint="eastAsia"/>
          <w:szCs w:val="32"/>
        </w:rPr>
        <mc:AlternateContent>
          <mc:Choice Requires="wps">
            <w:drawing>
              <wp:anchor distT="0" distB="0" distL="114300" distR="114300" simplePos="0" relativeHeight="251661312" behindDoc="0" locked="0" layoutInCell="1" allowOverlap="1">
                <wp:simplePos x="0" y="0"/>
                <wp:positionH relativeFrom="column">
                  <wp:posOffset>316230</wp:posOffset>
                </wp:positionH>
                <wp:positionV relativeFrom="paragraph">
                  <wp:posOffset>313690</wp:posOffset>
                </wp:positionV>
                <wp:extent cx="4457700" cy="0"/>
                <wp:effectExtent l="0" t="38100" r="0" b="38100"/>
                <wp:wrapNone/>
                <wp:docPr id="791431777" name="直接箭头连接符 4"/>
                <wp:cNvGraphicFramePr/>
                <a:graphic xmlns:a="http://schemas.openxmlformats.org/drawingml/2006/main">
                  <a:graphicData uri="http://schemas.microsoft.com/office/word/2010/wordprocessingShape">
                    <wps:wsp>
                      <wps:cNvCnPr/>
                      <wps:spPr>
                        <a:xfrm>
                          <a:off x="0" y="0"/>
                          <a:ext cx="4457700" cy="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4" o:spid="_x0000_s1026" o:spt="32" type="#_x0000_t32" style="position:absolute;left:0pt;margin-left:24.9pt;margin-top:24.7pt;height:0pt;width:351pt;z-index:251661312;mso-width-relative:page;mso-height-relative:page;" filled="f" stroked="t" coordsize="21600,21600" o:gfxdata="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v1uHnWAAAACAEAAA8AAAAAAAAAAQAgAAAAIgAA&#10;AGRycy9kb3ducmV2LnhtbFBLAQIUABQAAAAIAIdO4kA/UwnTCgIAAO8DAAAOAAAAAAAAAAEAIAAA&#10;ACUBAABkcnMvZTJvRG9jLnhtbFBLBQYAAAAABgAGAFkBAAChBQAAAAA=&#10;">
                <v:fill on="f" focussize="0,0"/>
                <v:stroke weight="1.5pt" color="#FF0000 [3204]" joinstyle="round" startarrow="block" endarrow="block"/>
                <v:imagedata o:title=""/>
                <o:lock v:ext="edit" aspectratio="f"/>
              </v:shape>
            </w:pict>
          </mc:Fallback>
        </mc:AlternateContent>
      </w:r>
      <w:r>
        <w:rPr>
          <w:rFonts w:hint="eastAsia"/>
          <w:szCs w:val="32"/>
        </w:rPr>
        <w:drawing>
          <wp:inline distT="0" distB="0" distL="0" distR="0">
            <wp:extent cx="5579110" cy="2468880"/>
            <wp:effectExtent l="0" t="0" r="2540" b="7620"/>
            <wp:docPr id="10841982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98230" name="图片 2"/>
                    <pic:cNvPicPr>
                      <a:picLocks noChangeAspect="1"/>
                    </pic:cNvPicPr>
                  </pic:nvPicPr>
                  <pic:blipFill>
                    <a:blip r:embed="rId9"/>
                    <a:stretch>
                      <a:fillRect/>
                    </a:stretch>
                  </pic:blipFill>
                  <pic:spPr>
                    <a:xfrm>
                      <a:off x="0" y="0"/>
                      <a:ext cx="5579110" cy="2468880"/>
                    </a:xfrm>
                    <a:prstGeom prst="rect">
                      <a:avLst/>
                    </a:prstGeom>
                  </pic:spPr>
                </pic:pic>
              </a:graphicData>
            </a:graphic>
          </wp:inline>
        </w:drawing>
      </w:r>
    </w:p>
    <w:p w14:paraId="0C88D43B">
      <w:pPr>
        <w:pStyle w:val="16"/>
        <w:jc w:val="center"/>
      </w:pPr>
      <w:r>
        <w:t xml:space="preserve">图 </w:t>
      </w:r>
      <w:r>
        <w:fldChar w:fldCharType="begin"/>
      </w:r>
      <w:r>
        <w:instrText xml:space="preserve"> STYLEREF 3 \s </w:instrText>
      </w:r>
      <w:r>
        <w:fldChar w:fldCharType="separate"/>
      </w:r>
      <w:r>
        <w:t>2.1.1</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t xml:space="preserve"> </w:t>
      </w:r>
      <w:r>
        <w:rPr>
          <w:rFonts w:hint="eastAsia"/>
        </w:rPr>
        <w:t>项目线路图</w:t>
      </w:r>
    </w:p>
    <w:p w14:paraId="136C0B4E">
      <w:pPr>
        <w:pStyle w:val="4"/>
        <w:bidi w:val="0"/>
        <w:ind w:left="720" w:leftChars="0" w:hanging="720" w:firstLineChars="0"/>
        <w:rPr>
          <w:rFonts w:hint="eastAsia"/>
          <w:lang w:val="en-US" w:eastAsia="zh-CN"/>
        </w:rPr>
      </w:pPr>
      <w:r>
        <w:rPr>
          <w:rFonts w:hint="eastAsia"/>
          <w:lang w:val="en-US" w:eastAsia="zh-CN"/>
        </w:rPr>
        <w:t>标段概况</w:t>
      </w:r>
    </w:p>
    <w:p w14:paraId="113892EE">
      <w:pPr>
        <w:ind w:firstLine="628"/>
        <w:rPr>
          <w:szCs w:val="32"/>
        </w:rPr>
      </w:pPr>
      <w:r>
        <w:rPr>
          <w:rFonts w:hint="eastAsia"/>
          <w:szCs w:val="32"/>
        </w:rPr>
        <w:t>新建合肥至武汉高速铁路（湖北段）站前工程</w:t>
      </w:r>
      <w:r>
        <w:rPr>
          <w:szCs w:val="32"/>
        </w:rPr>
        <w:t>HWZQ-4标段：土建正线里程DK303+283.975～DK334+723.215，正线长31.439km。另含新沟东南联络线：</w:t>
      </w:r>
      <w:r>
        <w:rPr>
          <w:rFonts w:hint="eastAsia"/>
          <w:szCs w:val="32"/>
        </w:rPr>
        <w:t>上</w:t>
      </w:r>
      <w:r>
        <w:rPr>
          <w:szCs w:val="32"/>
        </w:rPr>
        <w:t>行线单线长</w:t>
      </w:r>
      <w:r>
        <w:rPr>
          <w:rFonts w:hint="eastAsia"/>
          <w:szCs w:val="32"/>
        </w:rPr>
        <w:t>3</w:t>
      </w:r>
      <w:r>
        <w:rPr>
          <w:szCs w:val="32"/>
        </w:rPr>
        <w:t>650.99m、</w:t>
      </w:r>
      <w:r>
        <w:rPr>
          <w:rFonts w:hint="eastAsia"/>
          <w:szCs w:val="32"/>
        </w:rPr>
        <w:t>下</w:t>
      </w:r>
      <w:r>
        <w:rPr>
          <w:szCs w:val="32"/>
        </w:rPr>
        <w:t>行线单线长</w:t>
      </w:r>
      <w:r>
        <w:rPr>
          <w:rFonts w:hint="eastAsia"/>
          <w:szCs w:val="32"/>
        </w:rPr>
        <w:t>3</w:t>
      </w:r>
      <w:r>
        <w:rPr>
          <w:szCs w:val="32"/>
        </w:rPr>
        <w:t>952.85m，合计7603.84m</w:t>
      </w:r>
      <w:r>
        <w:rPr>
          <w:rFonts w:hint="eastAsia"/>
          <w:szCs w:val="32"/>
        </w:rPr>
        <w:t>（单线）；</w:t>
      </w:r>
      <w:r>
        <w:rPr>
          <w:szCs w:val="32"/>
        </w:rPr>
        <w:t>预留天河三四线：上行线单线长130.84m</w:t>
      </w:r>
      <w:r>
        <w:rPr>
          <w:rFonts w:hint="eastAsia"/>
          <w:szCs w:val="32"/>
        </w:rPr>
        <w:t>、</w:t>
      </w:r>
      <w:r>
        <w:rPr>
          <w:szCs w:val="32"/>
        </w:rPr>
        <w:t>下行线单线长130.84m，合计单线261.68m</w:t>
      </w:r>
      <w:r>
        <w:rPr>
          <w:rFonts w:hint="eastAsia"/>
          <w:szCs w:val="32"/>
        </w:rPr>
        <w:t>（单线）</w:t>
      </w:r>
      <w:r>
        <w:rPr>
          <w:szCs w:val="32"/>
        </w:rPr>
        <w:t>。</w:t>
      </w:r>
    </w:p>
    <w:p w14:paraId="42696AEF">
      <w:pPr>
        <w:ind w:firstLine="628"/>
        <w:rPr>
          <w:szCs w:val="32"/>
        </w:rPr>
      </w:pPr>
      <w:r>
        <w:rPr>
          <w:rFonts w:hint="eastAsia"/>
          <w:szCs w:val="32"/>
        </w:rPr>
        <w:t>本标段主要包含：双线桥梁</w:t>
      </w:r>
      <w:r>
        <w:rPr>
          <w:szCs w:val="32"/>
        </w:rPr>
        <w:t>29709.66延长米/1座，单线桥梁7865.52延长米/4座，其中箱梁预制架设817孔</w:t>
      </w:r>
      <w:r>
        <w:rPr>
          <w:rFonts w:hint="eastAsia"/>
          <w:szCs w:val="32"/>
        </w:rPr>
        <w:t>（双线梁6</w:t>
      </w:r>
      <w:r>
        <w:rPr>
          <w:szCs w:val="32"/>
        </w:rPr>
        <w:t>80</w:t>
      </w:r>
      <w:r>
        <w:rPr>
          <w:rFonts w:hint="eastAsia"/>
          <w:szCs w:val="32"/>
        </w:rPr>
        <w:t>孔、单线梁1</w:t>
      </w:r>
      <w:r>
        <w:rPr>
          <w:szCs w:val="32"/>
        </w:rPr>
        <w:t>37</w:t>
      </w:r>
      <w:r>
        <w:rPr>
          <w:rFonts w:hint="eastAsia"/>
          <w:szCs w:val="32"/>
        </w:rPr>
        <w:t>孔）</w:t>
      </w:r>
      <w:r>
        <w:rPr>
          <w:szCs w:val="32"/>
        </w:rPr>
        <w:t>，</w:t>
      </w:r>
      <w:r>
        <w:rPr>
          <w:rFonts w:hint="eastAsia"/>
          <w:szCs w:val="32"/>
        </w:rPr>
        <w:t>钢混组合连续梁3联、连续刚构</w:t>
      </w:r>
      <w:r>
        <w:rPr>
          <w:szCs w:val="32"/>
        </w:rPr>
        <w:t>4</w:t>
      </w:r>
      <w:r>
        <w:rPr>
          <w:rFonts w:hint="eastAsia"/>
          <w:szCs w:val="32"/>
        </w:rPr>
        <w:t>联、道岔连续梁3联、</w:t>
      </w:r>
      <w:r>
        <w:rPr>
          <w:szCs w:val="32"/>
        </w:rPr>
        <w:t>连续梁30联，T构1联；框架桥94.75延长米/3座，路基1550</w:t>
      </w:r>
      <w:r>
        <w:rPr>
          <w:rFonts w:hint="eastAsia"/>
          <w:szCs w:val="32"/>
        </w:rPr>
        <w:t>米</w:t>
      </w:r>
      <w:r>
        <w:rPr>
          <w:szCs w:val="32"/>
        </w:rPr>
        <w:t>，涵洞1座</w:t>
      </w:r>
      <w:r>
        <w:rPr>
          <w:rFonts w:hint="eastAsia"/>
          <w:szCs w:val="32"/>
        </w:rPr>
        <w:t>；正线铺设</w:t>
      </w:r>
      <w:r>
        <w:rPr>
          <w:szCs w:val="32"/>
        </w:rPr>
        <w:t>CRTS双块式无砟轨道61805</w:t>
      </w:r>
      <w:r>
        <w:rPr>
          <w:rFonts w:hint="eastAsia"/>
          <w:szCs w:val="32"/>
        </w:rPr>
        <w:t>米</w:t>
      </w:r>
      <w:r>
        <w:rPr>
          <w:szCs w:val="32"/>
        </w:rPr>
        <w:t>，站线铺设CRTS双块式无砟轨道9584</w:t>
      </w:r>
      <w:r>
        <w:rPr>
          <w:rFonts w:hint="eastAsia"/>
          <w:szCs w:val="32"/>
        </w:rPr>
        <w:t>米</w:t>
      </w:r>
      <w:r>
        <w:rPr>
          <w:szCs w:val="32"/>
        </w:rPr>
        <w:t>，道岔过渡段125</w:t>
      </w:r>
      <w:r>
        <w:rPr>
          <w:rFonts w:hint="eastAsia"/>
          <w:szCs w:val="32"/>
        </w:rPr>
        <w:t>米</w:t>
      </w:r>
      <w:r>
        <w:rPr>
          <w:szCs w:val="32"/>
        </w:rPr>
        <w:t>。</w:t>
      </w:r>
    </w:p>
    <w:p w14:paraId="7C61F54D">
      <w:pPr>
        <w:pStyle w:val="184"/>
        <w:rPr>
          <w:rFonts w:hint="eastAsia"/>
          <w:szCs w:val="32"/>
        </w:rPr>
      </w:pPr>
      <w:r>
        <w:rPr>
          <w:rFonts w:hint="eastAsia"/>
          <w:szCs w:val="32"/>
        </w:rPr>
        <mc:AlternateContent>
          <mc:Choice Requires="wps">
            <w:drawing>
              <wp:anchor distT="0" distB="0" distL="114300" distR="114300" simplePos="0" relativeHeight="251665408" behindDoc="0" locked="0" layoutInCell="1" allowOverlap="1">
                <wp:simplePos x="0" y="0"/>
                <wp:positionH relativeFrom="column">
                  <wp:posOffset>1487170</wp:posOffset>
                </wp:positionH>
                <wp:positionV relativeFrom="paragraph">
                  <wp:posOffset>1468755</wp:posOffset>
                </wp:positionV>
                <wp:extent cx="1009650" cy="419735"/>
                <wp:effectExtent l="5715" t="13335" r="13335" b="24130"/>
                <wp:wrapNone/>
                <wp:docPr id="185992672" name="直接箭头连接符 12"/>
                <wp:cNvGraphicFramePr/>
                <a:graphic xmlns:a="http://schemas.openxmlformats.org/drawingml/2006/main">
                  <a:graphicData uri="http://schemas.microsoft.com/office/word/2010/wordprocessingShape">
                    <wps:wsp>
                      <wps:cNvCnPr/>
                      <wps:spPr>
                        <a:xfrm>
                          <a:off x="0" y="0"/>
                          <a:ext cx="1009650" cy="4197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2" o:spid="_x0000_s1026" o:spt="32" type="#_x0000_t32" style="position:absolute;left:0pt;margin-left:117.1pt;margin-top:115.65pt;height:33.05pt;width:79.5pt;z-index:251665408;mso-width-relative:page;mso-height-relative:page;" filled="f" stroked="t" coordsize="21600,21600" o:gfxdata="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3eWn/dgAAAALAQAADwAAAAAAAAABACAAAAAi&#10;AAAAZHJzL2Rvd25yZXYueG1sUEsBAhQAFAAAAAgAh07iQJ/Euq0KAgAA2QMAAA4AAAAAAAAAAQAg&#10;AAAAJwEAAGRycy9lMm9Eb2MueG1sUEsFBgAAAAAGAAYAWQEAAKMFAAAAAA==&#10;">
                <v:fill on="f" focussize="0,0"/>
                <v:stroke weight="2.25pt" color="#FF0000 [3204]" joinstyle="round" endarrow="block"/>
                <v:imagedata o:title=""/>
                <o:lock v:ext="edit" aspectratio="f"/>
              </v:shape>
            </w:pict>
          </mc:Fallback>
        </mc:AlternateContent>
      </w:r>
      <w:r>
        <w:rPr>
          <w:rFonts w:hint="eastAsia"/>
          <w:szCs w:val="32"/>
        </w:rPr>
        <mc:AlternateContent>
          <mc:Choice Requires="wps">
            <w:drawing>
              <wp:anchor distT="0" distB="0" distL="114300" distR="114300" simplePos="0" relativeHeight="251666432" behindDoc="0" locked="0" layoutInCell="1" allowOverlap="1">
                <wp:simplePos x="0" y="0"/>
                <wp:positionH relativeFrom="column">
                  <wp:posOffset>2249170</wp:posOffset>
                </wp:positionH>
                <wp:positionV relativeFrom="paragraph">
                  <wp:posOffset>1945640</wp:posOffset>
                </wp:positionV>
                <wp:extent cx="2536825" cy="279400"/>
                <wp:effectExtent l="13970" t="13970" r="20955" b="30480"/>
                <wp:wrapNone/>
                <wp:docPr id="1095812872" name="文本框 5"/>
                <wp:cNvGraphicFramePr/>
                <a:graphic xmlns:a="http://schemas.openxmlformats.org/drawingml/2006/main">
                  <a:graphicData uri="http://schemas.microsoft.com/office/word/2010/wordprocessingShape">
                    <wps:wsp>
                      <wps:cNvSpPr txBox="1"/>
                      <wps:spPr>
                        <a:xfrm>
                          <a:off x="0" y="0"/>
                          <a:ext cx="2537114" cy="279400"/>
                        </a:xfrm>
                        <a:prstGeom prst="rect">
                          <a:avLst/>
                        </a:prstGeom>
                        <a:noFill/>
                        <a:ln w="28575">
                          <a:solidFill>
                            <a:srgbClr val="FF0000"/>
                          </a:solidFill>
                        </a:ln>
                      </wps:spPr>
                      <wps:txbx>
                        <w:txbxContent>
                          <w:p w14:paraId="331CC97D">
                            <w:pPr>
                              <w:ind w:firstLine="0" w:firstLineChars="0"/>
                              <w:rPr>
                                <w:b/>
                                <w:bCs/>
                                <w:color w:val="4D10F8"/>
                                <w:sz w:val="20"/>
                                <w:szCs w:val="16"/>
                              </w:rPr>
                            </w:pPr>
                            <w:r>
                              <w:rPr>
                                <w:rFonts w:hint="eastAsia"/>
                                <w:b/>
                                <w:bCs/>
                                <w:color w:val="FF0000"/>
                                <w:sz w:val="20"/>
                                <w:szCs w:val="16"/>
                              </w:rPr>
                              <w:t>H</w:t>
                            </w:r>
                            <w:r>
                              <w:rPr>
                                <w:b/>
                                <w:bCs/>
                                <w:color w:val="FF0000"/>
                                <w:sz w:val="20"/>
                                <w:szCs w:val="16"/>
                              </w:rPr>
                              <w:t>WZQ-4</w:t>
                            </w:r>
                            <w:r>
                              <w:rPr>
                                <w:rFonts w:hint="eastAsia"/>
                                <w:b/>
                                <w:bCs/>
                                <w:color w:val="FF0000"/>
                                <w:sz w:val="20"/>
                                <w:szCs w:val="16"/>
                              </w:rPr>
                              <w:t>标：</w:t>
                            </w:r>
                            <w:r>
                              <w:rPr>
                                <w:b/>
                                <w:bCs/>
                                <w:color w:val="FF0000"/>
                                <w:sz w:val="20"/>
                                <w:szCs w:val="16"/>
                              </w:rPr>
                              <w:t>DK303+283.975～DK334+723.215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 o:spid="_x0000_s1026" o:spt="202" type="#_x0000_t202" style="position:absolute;left:0pt;margin-left:177.1pt;margin-top:153.2pt;height:22pt;width:199.75pt;z-index:251666432;mso-width-relative:page;mso-height-relative:page;" filled="f" stroked="t" coordsize="21600,21600" o:gfxdata="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ZTMrpNoAAAALAQAADwAAAAAAAAABACAAAAAiAAAAZHJzL2Rvd25yZXYueG1sUEsBAhQAFAAAAAgA&#10;h07iQDUKBDFcAgAAmQQAAA4AAAAAAAAAAQAgAAAAKQEAAGRycy9lMm9Eb2MueG1sUEsFBgAAAAAG&#10;AAYAWQEAAPcFAAAAAA==&#10;">
                <v:fill on="f" focussize="0,0"/>
                <v:stroke weight="2.25pt" color="#FF0000" joinstyle="round"/>
                <v:imagedata o:title=""/>
                <o:lock v:ext="edit" aspectratio="f"/>
                <v:textbox>
                  <w:txbxContent>
                    <w:p w14:paraId="331CC97D">
                      <w:pPr>
                        <w:ind w:firstLine="0" w:firstLineChars="0"/>
                        <w:rPr>
                          <w:b/>
                          <w:bCs/>
                          <w:color w:val="4D10F8"/>
                          <w:sz w:val="20"/>
                          <w:szCs w:val="16"/>
                        </w:rPr>
                      </w:pPr>
                      <w:r>
                        <w:rPr>
                          <w:rFonts w:hint="eastAsia"/>
                          <w:b/>
                          <w:bCs/>
                          <w:color w:val="FF0000"/>
                          <w:sz w:val="20"/>
                          <w:szCs w:val="16"/>
                        </w:rPr>
                        <w:t>H</w:t>
                      </w:r>
                      <w:r>
                        <w:rPr>
                          <w:b/>
                          <w:bCs/>
                          <w:color w:val="FF0000"/>
                          <w:sz w:val="20"/>
                          <w:szCs w:val="16"/>
                        </w:rPr>
                        <w:t>WZQ-4</w:t>
                      </w:r>
                      <w:r>
                        <w:rPr>
                          <w:rFonts w:hint="eastAsia"/>
                          <w:b/>
                          <w:bCs/>
                          <w:color w:val="FF0000"/>
                          <w:sz w:val="20"/>
                          <w:szCs w:val="16"/>
                        </w:rPr>
                        <w:t>标：</w:t>
                      </w:r>
                      <w:r>
                        <w:rPr>
                          <w:b/>
                          <w:bCs/>
                          <w:color w:val="FF0000"/>
                          <w:sz w:val="20"/>
                          <w:szCs w:val="16"/>
                        </w:rPr>
                        <w:t>DK303+283.975～DK334+723.215</w:t>
                      </w:r>
                    </w:p>
                  </w:txbxContent>
                </v:textbox>
              </v:shape>
            </w:pict>
          </mc:Fallback>
        </mc:AlternateContent>
      </w:r>
      <w:r>
        <w:rPr>
          <w:rFonts w:hint="eastAsia"/>
          <w:szCs w:val="32"/>
        </w:rPr>
        <mc:AlternateContent>
          <mc:Choice Requires="wps">
            <w:drawing>
              <wp:anchor distT="0" distB="0" distL="114300" distR="114300" simplePos="0" relativeHeight="251664384" behindDoc="0" locked="0" layoutInCell="1" allowOverlap="1">
                <wp:simplePos x="0" y="0"/>
                <wp:positionH relativeFrom="column">
                  <wp:posOffset>826135</wp:posOffset>
                </wp:positionH>
                <wp:positionV relativeFrom="paragraph">
                  <wp:posOffset>1165860</wp:posOffset>
                </wp:positionV>
                <wp:extent cx="785495" cy="302260"/>
                <wp:effectExtent l="4445" t="13335" r="10160" b="27305"/>
                <wp:wrapNone/>
                <wp:docPr id="153177170" name="任意多边形: 形状 9"/>
                <wp:cNvGraphicFramePr/>
                <a:graphic xmlns:a="http://schemas.openxmlformats.org/drawingml/2006/main">
                  <a:graphicData uri="http://schemas.microsoft.com/office/word/2010/wordprocessingShape">
                    <wps:wsp>
                      <wps:cNvSpPr/>
                      <wps:spPr>
                        <a:xfrm>
                          <a:off x="0" y="0"/>
                          <a:ext cx="785706" cy="302125"/>
                        </a:xfrm>
                        <a:custGeom>
                          <a:avLst/>
                          <a:gdLst>
                            <a:gd name="connsiteX0" fmla="*/ 0 w 785706"/>
                            <a:gd name="connsiteY0" fmla="*/ 0 h 302125"/>
                            <a:gd name="connsiteX1" fmla="*/ 79586 w 785706"/>
                            <a:gd name="connsiteY1" fmla="*/ 28787 h 302125"/>
                            <a:gd name="connsiteX2" fmla="*/ 160866 w 785706"/>
                            <a:gd name="connsiteY2" fmla="*/ 74507 h 302125"/>
                            <a:gd name="connsiteX3" fmla="*/ 237066 w 785706"/>
                            <a:gd name="connsiteY3" fmla="*/ 128694 h 302125"/>
                            <a:gd name="connsiteX4" fmla="*/ 333586 w 785706"/>
                            <a:gd name="connsiteY4" fmla="*/ 194734 h 302125"/>
                            <a:gd name="connsiteX5" fmla="*/ 458893 w 785706"/>
                            <a:gd name="connsiteY5" fmla="*/ 260774 h 302125"/>
                            <a:gd name="connsiteX6" fmla="*/ 563880 w 785706"/>
                            <a:gd name="connsiteY6" fmla="*/ 299720 h 302125"/>
                            <a:gd name="connsiteX7" fmla="*/ 679026 w 785706"/>
                            <a:gd name="connsiteY7" fmla="*/ 294640 h 302125"/>
                            <a:gd name="connsiteX8" fmla="*/ 734906 w 785706"/>
                            <a:gd name="connsiteY8" fmla="*/ 267547 h 302125"/>
                            <a:gd name="connsiteX9" fmla="*/ 785706 w 785706"/>
                            <a:gd name="connsiteY9" fmla="*/ 242147 h 30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85706" h="302125">
                              <a:moveTo>
                                <a:pt x="0" y="0"/>
                              </a:moveTo>
                              <a:cubicBezTo>
                                <a:pt x="26387" y="8184"/>
                                <a:pt x="52775" y="16369"/>
                                <a:pt x="79586" y="28787"/>
                              </a:cubicBezTo>
                              <a:cubicBezTo>
                                <a:pt x="106397" y="41205"/>
                                <a:pt x="134619" y="57856"/>
                                <a:pt x="160866" y="74507"/>
                              </a:cubicBezTo>
                              <a:cubicBezTo>
                                <a:pt x="187113" y="91158"/>
                                <a:pt x="208279" y="108656"/>
                                <a:pt x="237066" y="128694"/>
                              </a:cubicBezTo>
                              <a:cubicBezTo>
                                <a:pt x="265853" y="148732"/>
                                <a:pt x="296615" y="172721"/>
                                <a:pt x="333586" y="194734"/>
                              </a:cubicBezTo>
                              <a:cubicBezTo>
                                <a:pt x="370557" y="216747"/>
                                <a:pt x="420511" y="243276"/>
                                <a:pt x="458893" y="260774"/>
                              </a:cubicBezTo>
                              <a:cubicBezTo>
                                <a:pt x="497275" y="278272"/>
                                <a:pt x="527191" y="294076"/>
                                <a:pt x="563880" y="299720"/>
                              </a:cubicBezTo>
                              <a:cubicBezTo>
                                <a:pt x="600569" y="305364"/>
                                <a:pt x="650522" y="300002"/>
                                <a:pt x="679026" y="294640"/>
                              </a:cubicBezTo>
                              <a:cubicBezTo>
                                <a:pt x="707530" y="289278"/>
                                <a:pt x="734906" y="267547"/>
                                <a:pt x="734906" y="267547"/>
                              </a:cubicBezTo>
                              <a:lnTo>
                                <a:pt x="785706" y="242147"/>
                              </a:lnTo>
                            </a:path>
                          </a:pathLst>
                        </a:custGeom>
                        <a:noFill/>
                        <a:ln w="28575">
                          <a:solidFill>
                            <a:srgbClr val="4D10F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9" o:spid="_x0000_s1026" o:spt="100" style="position:absolute;left:0pt;margin-left:65.05pt;margin-top:91.8pt;height:23.8pt;width:61.85pt;z-index:251664384;v-text-anchor:middle;mso-width-relative:page;mso-height-relative:page;" filled="f" stroked="t" coordsize="785706,302125" o:gfxdata="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bugVw9kAAAALAQAADwAAAAAAAAABACAAAAAiAAAAZHJzL2Rvd25yZXYueG1s&#10;UEsBAhQAFAAAAAgAh07iQMGHP30VBQAAjQ8AAA4AAAAAAAAAAQAgAAAAKAEAAGRycy9lMm9Eb2Mu&#10;eG1sUEsFBgAAAAAGAAYAWQEAAK8IAAAAAA==&#10;" path="m0,0c26387,8184,52775,16369,79586,28787c106397,41205,134619,57856,160866,74507c187113,91158,208279,108656,237066,128694c265853,148732,296615,172721,333586,194734c370557,216747,420511,243276,458893,260774c497275,278272,527191,294076,563880,299720c600569,305364,650522,300002,679026,294640c707530,289278,734906,267547,734906,267547l785706,242147e">
                <v:path o:connectlocs="0,0;79586,28787;160866,74507;237066,128694;333586,194734;458893,260774;563880,299720;679026,294640;734906,267547;785706,242147" o:connectangles="0,0,0,0,0,0,0,0,0,0"/>
                <v:fill on="f" focussize="0,0"/>
                <v:stroke weight="2.25pt" color="#4D10F8 [3204]" joinstyle="round"/>
                <v:imagedata o:title=""/>
                <o:lock v:ext="edit" aspectratio="f"/>
              </v:shape>
            </w:pict>
          </mc:Fallback>
        </mc:AlternateContent>
      </w:r>
      <w:r>
        <w:rPr>
          <w:rFonts w:hint="eastAsia"/>
          <w:szCs w:val="32"/>
        </w:rPr>
        <w:drawing>
          <wp:inline distT="0" distB="0" distL="0" distR="0">
            <wp:extent cx="5044440" cy="2800985"/>
            <wp:effectExtent l="0" t="0" r="3810" b="18415"/>
            <wp:docPr id="18798141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14146" name="图片 11"/>
                    <pic:cNvPicPr>
                      <a:picLocks noChangeAspect="1"/>
                    </pic:cNvPicPr>
                  </pic:nvPicPr>
                  <pic:blipFill>
                    <a:blip r:embed="rId10"/>
                    <a:stretch>
                      <a:fillRect/>
                    </a:stretch>
                  </pic:blipFill>
                  <pic:spPr>
                    <a:xfrm>
                      <a:off x="0" y="0"/>
                      <a:ext cx="5044440" cy="2800985"/>
                    </a:xfrm>
                    <a:prstGeom prst="rect">
                      <a:avLst/>
                    </a:prstGeom>
                  </pic:spPr>
                </pic:pic>
              </a:graphicData>
            </a:graphic>
          </wp:inline>
        </w:drawing>
      </w:r>
    </w:p>
    <w:p w14:paraId="4363E3F0">
      <w:pPr>
        <w:pStyle w:val="16"/>
        <w:jc w:val="center"/>
      </w:pPr>
      <w:r>
        <w:t xml:space="preserve">图 </w:t>
      </w:r>
      <w:r>
        <w:fldChar w:fldCharType="begin"/>
      </w:r>
      <w:r>
        <w:instrText xml:space="preserve"> STYLEREF 3 \s </w:instrText>
      </w:r>
      <w:r>
        <w:fldChar w:fldCharType="separate"/>
      </w:r>
      <w:r>
        <w:t>2.1.2</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标段线路图</w:t>
      </w:r>
    </w:p>
    <w:p w14:paraId="6A2C4B65">
      <w:pPr>
        <w:ind w:firstLine="628"/>
      </w:pPr>
      <w:r>
        <w:t>HWZQ-4标</w:t>
      </w:r>
      <w:r>
        <w:rPr>
          <w:rFonts w:hint="eastAsia"/>
        </w:rPr>
        <w:t>主要工点如下表：</w:t>
      </w:r>
    </w:p>
    <w:p w14:paraId="37595300">
      <w:pPr>
        <w:pStyle w:val="16"/>
        <w:jc w:val="center"/>
      </w:pPr>
      <w:r>
        <w:t xml:space="preserve">表 </w:t>
      </w:r>
      <w:r>
        <w:fldChar w:fldCharType="begin"/>
      </w:r>
      <w:r>
        <w:instrText xml:space="preserve"> STYLEREF 3 \s </w:instrText>
      </w:r>
      <w:r>
        <w:fldChar w:fldCharType="separate"/>
      </w:r>
      <w:r>
        <w:t>2.1.2</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t>HWZQ-4标</w:t>
      </w:r>
      <w:r>
        <w:rPr>
          <w:rFonts w:hint="eastAsia"/>
        </w:rPr>
        <w:t>工点一览表</w:t>
      </w:r>
    </w:p>
    <w:tbl>
      <w:tblPr>
        <w:tblStyle w:val="186"/>
        <w:tblW w:w="5000" w:type="pct"/>
        <w:jc w:val="center"/>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Layout w:type="fixed"/>
        <w:tblCellMar>
          <w:top w:w="0" w:type="dxa"/>
          <w:left w:w="0" w:type="dxa"/>
          <w:bottom w:w="0" w:type="dxa"/>
          <w:right w:w="0" w:type="dxa"/>
        </w:tblCellMar>
      </w:tblPr>
      <w:tblGrid>
        <w:gridCol w:w="536"/>
        <w:gridCol w:w="1986"/>
        <w:gridCol w:w="1706"/>
        <w:gridCol w:w="1704"/>
        <w:gridCol w:w="1205"/>
        <w:gridCol w:w="1888"/>
      </w:tblGrid>
      <w:tr w14:paraId="2AB3C79F">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282" w:hRule="atLeast"/>
          <w:tblHeader/>
          <w:jc w:val="center"/>
        </w:trPr>
        <w:tc>
          <w:tcPr>
            <w:tcW w:w="297" w:type="pct"/>
            <w:shd w:val="clear" w:color="auto" w:fill="4472C4"/>
            <w:vAlign w:val="center"/>
          </w:tcPr>
          <w:p w14:paraId="265FE274">
            <w:pPr>
              <w:pStyle w:val="119"/>
              <w:adjustRightInd w:val="0"/>
              <w:snapToGrid w:val="0"/>
              <w:rPr>
                <w:b/>
                <w:bCs/>
                <w:i w:val="0"/>
                <w:snapToGrid w:val="0"/>
                <w:color w:val="F8F8F8"/>
              </w:rPr>
            </w:pPr>
            <w:r>
              <w:rPr>
                <w:rFonts w:hint="eastAsia"/>
                <w:b/>
                <w:bCs/>
                <w:i w:val="0"/>
                <w:snapToGrid w:val="0"/>
                <w:color w:val="F8F8F8"/>
              </w:rPr>
              <w:t>序号</w:t>
            </w:r>
          </w:p>
        </w:tc>
        <w:tc>
          <w:tcPr>
            <w:tcW w:w="1101" w:type="pct"/>
            <w:shd w:val="clear" w:color="auto" w:fill="4472C4"/>
            <w:noWrap/>
            <w:vAlign w:val="center"/>
          </w:tcPr>
          <w:p w14:paraId="477F34DC">
            <w:pPr>
              <w:pStyle w:val="119"/>
              <w:adjustRightInd w:val="0"/>
              <w:snapToGrid w:val="0"/>
              <w:rPr>
                <w:b/>
                <w:bCs/>
                <w:i w:val="0"/>
                <w:snapToGrid w:val="0"/>
                <w:color w:val="F8F8F8"/>
              </w:rPr>
            </w:pPr>
            <w:r>
              <w:rPr>
                <w:rFonts w:hint="eastAsia"/>
                <w:b/>
                <w:bCs/>
                <w:i w:val="0"/>
                <w:snapToGrid w:val="0"/>
                <w:color w:val="F8F8F8"/>
              </w:rPr>
              <w:t>工点名称</w:t>
            </w:r>
          </w:p>
        </w:tc>
        <w:tc>
          <w:tcPr>
            <w:tcW w:w="945" w:type="pct"/>
            <w:shd w:val="clear" w:color="auto" w:fill="4472C4"/>
            <w:noWrap/>
            <w:vAlign w:val="center"/>
          </w:tcPr>
          <w:p w14:paraId="761BC904">
            <w:pPr>
              <w:pStyle w:val="119"/>
              <w:adjustRightInd w:val="0"/>
              <w:snapToGrid w:val="0"/>
              <w:rPr>
                <w:b/>
                <w:bCs/>
                <w:i w:val="0"/>
                <w:snapToGrid w:val="0"/>
                <w:color w:val="F8F8F8"/>
              </w:rPr>
            </w:pPr>
            <w:r>
              <w:rPr>
                <w:rFonts w:hint="eastAsia"/>
                <w:b/>
                <w:bCs/>
                <w:i w:val="0"/>
                <w:snapToGrid w:val="0"/>
                <w:color w:val="F8F8F8"/>
              </w:rPr>
              <w:t>起点里程</w:t>
            </w:r>
          </w:p>
        </w:tc>
        <w:tc>
          <w:tcPr>
            <w:tcW w:w="944" w:type="pct"/>
            <w:shd w:val="clear" w:color="auto" w:fill="4472C4"/>
            <w:noWrap/>
            <w:vAlign w:val="center"/>
          </w:tcPr>
          <w:p w14:paraId="22FB8A47">
            <w:pPr>
              <w:pStyle w:val="119"/>
              <w:adjustRightInd w:val="0"/>
              <w:snapToGrid w:val="0"/>
              <w:rPr>
                <w:b/>
                <w:bCs/>
                <w:i w:val="0"/>
                <w:snapToGrid w:val="0"/>
                <w:color w:val="F8F8F8"/>
              </w:rPr>
            </w:pPr>
            <w:r>
              <w:rPr>
                <w:rFonts w:hint="eastAsia"/>
                <w:b/>
                <w:bCs/>
                <w:i w:val="0"/>
                <w:snapToGrid w:val="0"/>
                <w:color w:val="F8F8F8"/>
              </w:rPr>
              <w:t>终点里程</w:t>
            </w:r>
          </w:p>
        </w:tc>
        <w:tc>
          <w:tcPr>
            <w:tcW w:w="667" w:type="pct"/>
            <w:shd w:val="clear" w:color="auto" w:fill="4472C4"/>
            <w:noWrap/>
            <w:vAlign w:val="center"/>
          </w:tcPr>
          <w:p w14:paraId="26F487F5">
            <w:pPr>
              <w:pStyle w:val="119"/>
              <w:adjustRightInd w:val="0"/>
              <w:snapToGrid w:val="0"/>
              <w:rPr>
                <w:b/>
                <w:bCs/>
                <w:i w:val="0"/>
                <w:snapToGrid w:val="0"/>
                <w:color w:val="F8F8F8"/>
              </w:rPr>
            </w:pPr>
            <w:r>
              <w:rPr>
                <w:rFonts w:hint="eastAsia"/>
                <w:b/>
                <w:bCs/>
                <w:i w:val="0"/>
                <w:snapToGrid w:val="0"/>
                <w:color w:val="F8F8F8"/>
              </w:rPr>
              <w:t>长度（m）</w:t>
            </w:r>
          </w:p>
        </w:tc>
        <w:tc>
          <w:tcPr>
            <w:tcW w:w="1046" w:type="pct"/>
            <w:shd w:val="clear" w:color="auto" w:fill="4472C4"/>
            <w:vAlign w:val="center"/>
          </w:tcPr>
          <w:p w14:paraId="0E108465">
            <w:pPr>
              <w:pStyle w:val="119"/>
              <w:adjustRightInd w:val="0"/>
              <w:snapToGrid w:val="0"/>
              <w:rPr>
                <w:b/>
                <w:bCs/>
                <w:i w:val="0"/>
                <w:snapToGrid w:val="0"/>
                <w:color w:val="F8F8F8"/>
              </w:rPr>
            </w:pPr>
            <w:r>
              <w:rPr>
                <w:rFonts w:hint="eastAsia"/>
                <w:b/>
                <w:bCs/>
                <w:i w:val="0"/>
                <w:snapToGrid w:val="0"/>
                <w:color w:val="F8F8F8"/>
              </w:rPr>
              <w:t>备注</w:t>
            </w:r>
          </w:p>
        </w:tc>
      </w:tr>
      <w:tr w14:paraId="567E108C">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779" w:hRule="atLeast"/>
          <w:jc w:val="center"/>
        </w:trPr>
        <w:tc>
          <w:tcPr>
            <w:tcW w:w="297" w:type="pct"/>
            <w:shd w:val="clear" w:color="auto" w:fill="B4C6E7"/>
            <w:vAlign w:val="center"/>
          </w:tcPr>
          <w:p w14:paraId="4DFDE9B1">
            <w:pPr>
              <w:pStyle w:val="119"/>
              <w:adjustRightInd w:val="0"/>
              <w:snapToGrid w:val="0"/>
              <w:rPr>
                <w:snapToGrid w:val="0"/>
              </w:rPr>
            </w:pPr>
            <w:r>
              <w:rPr>
                <w:rFonts w:hint="eastAsia"/>
                <w:snapToGrid w:val="0"/>
              </w:rPr>
              <w:t>1</w:t>
            </w:r>
          </w:p>
        </w:tc>
        <w:tc>
          <w:tcPr>
            <w:tcW w:w="1101" w:type="pct"/>
            <w:shd w:val="clear" w:color="auto" w:fill="B4C6E7"/>
            <w:noWrap/>
            <w:vAlign w:val="center"/>
          </w:tcPr>
          <w:p w14:paraId="20FAF75B">
            <w:pPr>
              <w:pStyle w:val="119"/>
              <w:adjustRightInd w:val="0"/>
              <w:snapToGrid w:val="0"/>
              <w:rPr>
                <w:snapToGrid w:val="0"/>
              </w:rPr>
            </w:pPr>
            <w:r>
              <w:rPr>
                <w:rFonts w:hint="eastAsia"/>
                <w:snapToGrid w:val="0"/>
              </w:rPr>
              <w:t>黄花涝府河特大桥</w:t>
            </w:r>
          </w:p>
        </w:tc>
        <w:tc>
          <w:tcPr>
            <w:tcW w:w="945" w:type="pct"/>
            <w:shd w:val="clear" w:color="auto" w:fill="B4C6E7"/>
            <w:noWrap/>
            <w:vAlign w:val="center"/>
          </w:tcPr>
          <w:p w14:paraId="56F01F8B">
            <w:pPr>
              <w:pStyle w:val="119"/>
              <w:adjustRightInd w:val="0"/>
              <w:snapToGrid w:val="0"/>
              <w:rPr>
                <w:snapToGrid w:val="0"/>
              </w:rPr>
            </w:pPr>
            <w:r>
              <w:rPr>
                <w:rFonts w:hint="eastAsia"/>
                <w:snapToGrid w:val="0"/>
              </w:rPr>
              <w:t>DK</w:t>
            </w:r>
            <w:r>
              <w:rPr>
                <w:snapToGrid w:val="0"/>
              </w:rPr>
              <w:t>305+332.165</w:t>
            </w:r>
          </w:p>
        </w:tc>
        <w:tc>
          <w:tcPr>
            <w:tcW w:w="944" w:type="pct"/>
            <w:shd w:val="clear" w:color="auto" w:fill="B4C6E7"/>
            <w:noWrap/>
            <w:vAlign w:val="center"/>
          </w:tcPr>
          <w:p w14:paraId="54F70E42">
            <w:pPr>
              <w:pStyle w:val="119"/>
              <w:adjustRightInd w:val="0"/>
              <w:snapToGrid w:val="0"/>
              <w:rPr>
                <w:snapToGrid w:val="0"/>
              </w:rPr>
            </w:pPr>
            <w:r>
              <w:rPr>
                <w:rFonts w:hint="eastAsia"/>
                <w:snapToGrid w:val="0"/>
              </w:rPr>
              <w:t>DK</w:t>
            </w:r>
            <w:r>
              <w:rPr>
                <w:snapToGrid w:val="0"/>
              </w:rPr>
              <w:t>334+723.215</w:t>
            </w:r>
          </w:p>
        </w:tc>
        <w:tc>
          <w:tcPr>
            <w:tcW w:w="667" w:type="pct"/>
            <w:shd w:val="clear" w:color="auto" w:fill="B4C6E7"/>
            <w:noWrap/>
            <w:vAlign w:val="center"/>
          </w:tcPr>
          <w:p w14:paraId="24EACFFF">
            <w:pPr>
              <w:pStyle w:val="119"/>
              <w:adjustRightInd w:val="0"/>
              <w:snapToGrid w:val="0"/>
              <w:rPr>
                <w:snapToGrid w:val="0"/>
              </w:rPr>
            </w:pPr>
            <w:r>
              <w:rPr>
                <w:snapToGrid w:val="0"/>
              </w:rPr>
              <w:t>29709.66</w:t>
            </w:r>
          </w:p>
        </w:tc>
        <w:tc>
          <w:tcPr>
            <w:tcW w:w="1046" w:type="pct"/>
            <w:shd w:val="clear" w:color="auto" w:fill="B4C6E7"/>
            <w:vAlign w:val="center"/>
          </w:tcPr>
          <w:p w14:paraId="5F3A3131">
            <w:pPr>
              <w:pStyle w:val="119"/>
              <w:adjustRightInd w:val="0"/>
              <w:snapToGrid w:val="0"/>
              <w:rPr>
                <w:snapToGrid w:val="0"/>
              </w:rPr>
            </w:pPr>
            <w:r>
              <w:rPr>
                <w:rFonts w:hint="eastAsia"/>
                <w:snapToGrid w:val="0"/>
              </w:rPr>
              <w:t>预制简支箱梁</w:t>
            </w:r>
            <w:r>
              <w:rPr>
                <w:snapToGrid w:val="0"/>
              </w:rPr>
              <w:t>680孔、现浇简支箱梁14孔、连续梁</w:t>
            </w:r>
            <w:r>
              <w:rPr>
                <w:rFonts w:hint="eastAsia"/>
                <w:snapToGrid w:val="0"/>
              </w:rPr>
              <w:t>（刚构）</w:t>
            </w:r>
            <w:r>
              <w:rPr>
                <w:snapToGrid w:val="0"/>
              </w:rPr>
              <w:t>27联</w:t>
            </w:r>
            <w:r>
              <w:rPr>
                <w:rFonts w:hint="eastAsia"/>
                <w:snapToGrid w:val="0"/>
              </w:rPr>
              <w:t>、T构1联、移动模架2段（3</w:t>
            </w:r>
            <w:r>
              <w:rPr>
                <w:snapToGrid w:val="0"/>
              </w:rPr>
              <w:t>5</w:t>
            </w:r>
            <w:r>
              <w:rPr>
                <w:rFonts w:hint="eastAsia"/>
                <w:snapToGrid w:val="0"/>
              </w:rPr>
              <w:t>孔）</w:t>
            </w:r>
          </w:p>
        </w:tc>
      </w:tr>
      <w:tr w14:paraId="7D7D1D7A">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D9E2F3"/>
            <w:vAlign w:val="center"/>
          </w:tcPr>
          <w:p w14:paraId="3D4DAC57">
            <w:pPr>
              <w:pStyle w:val="119"/>
              <w:adjustRightInd w:val="0"/>
              <w:snapToGrid w:val="0"/>
              <w:rPr>
                <w:snapToGrid w:val="0"/>
              </w:rPr>
            </w:pPr>
            <w:r>
              <w:rPr>
                <w:rFonts w:hint="eastAsia"/>
                <w:snapToGrid w:val="0"/>
              </w:rPr>
              <w:t>2</w:t>
            </w:r>
          </w:p>
        </w:tc>
        <w:tc>
          <w:tcPr>
            <w:tcW w:w="1101" w:type="pct"/>
            <w:shd w:val="clear" w:color="auto" w:fill="D9E2F3"/>
            <w:noWrap/>
            <w:vAlign w:val="center"/>
          </w:tcPr>
          <w:p w14:paraId="67D96B81">
            <w:pPr>
              <w:pStyle w:val="119"/>
              <w:adjustRightInd w:val="0"/>
              <w:snapToGrid w:val="0"/>
              <w:rPr>
                <w:snapToGrid w:val="0"/>
              </w:rPr>
            </w:pPr>
            <w:r>
              <w:rPr>
                <w:rFonts w:hint="eastAsia"/>
                <w:snapToGrid w:val="0"/>
              </w:rPr>
              <w:t>新沟东南上行联络线特大桥</w:t>
            </w:r>
          </w:p>
        </w:tc>
        <w:tc>
          <w:tcPr>
            <w:tcW w:w="945" w:type="pct"/>
            <w:shd w:val="clear" w:color="auto" w:fill="D9E2F3"/>
            <w:noWrap/>
            <w:vAlign w:val="center"/>
          </w:tcPr>
          <w:p w14:paraId="1AFE3544">
            <w:pPr>
              <w:pStyle w:val="119"/>
              <w:adjustRightInd w:val="0"/>
              <w:snapToGrid w:val="0"/>
              <w:rPr>
                <w:snapToGrid w:val="0"/>
              </w:rPr>
            </w:pPr>
            <w:r>
              <w:rPr>
                <w:rFonts w:hint="eastAsia"/>
                <w:snapToGrid w:val="0"/>
              </w:rPr>
              <w:t>DNLYDK000+219.760</w:t>
            </w:r>
          </w:p>
        </w:tc>
        <w:tc>
          <w:tcPr>
            <w:tcW w:w="944" w:type="pct"/>
            <w:shd w:val="clear" w:color="auto" w:fill="D9E2F3"/>
            <w:noWrap/>
            <w:vAlign w:val="center"/>
          </w:tcPr>
          <w:p w14:paraId="254E3FC8">
            <w:pPr>
              <w:pStyle w:val="119"/>
              <w:adjustRightInd w:val="0"/>
              <w:snapToGrid w:val="0"/>
              <w:rPr>
                <w:snapToGrid w:val="0"/>
              </w:rPr>
            </w:pPr>
            <w:r>
              <w:rPr>
                <w:rFonts w:hint="eastAsia"/>
                <w:snapToGrid w:val="0"/>
              </w:rPr>
              <w:t>DNLYDK003+870.750</w:t>
            </w:r>
          </w:p>
        </w:tc>
        <w:tc>
          <w:tcPr>
            <w:tcW w:w="667" w:type="pct"/>
            <w:shd w:val="clear" w:color="auto" w:fill="D9E2F3"/>
            <w:noWrap/>
            <w:vAlign w:val="center"/>
          </w:tcPr>
          <w:p w14:paraId="45F19979">
            <w:pPr>
              <w:pStyle w:val="119"/>
              <w:adjustRightInd w:val="0"/>
              <w:snapToGrid w:val="0"/>
              <w:rPr>
                <w:snapToGrid w:val="0"/>
              </w:rPr>
            </w:pPr>
            <w:r>
              <w:rPr>
                <w:rFonts w:hint="eastAsia"/>
                <w:snapToGrid w:val="0"/>
              </w:rPr>
              <w:t>3650.99</w:t>
            </w:r>
          </w:p>
        </w:tc>
        <w:tc>
          <w:tcPr>
            <w:tcW w:w="1046" w:type="pct"/>
            <w:shd w:val="clear" w:color="auto" w:fill="D9E2F3"/>
            <w:vAlign w:val="center"/>
          </w:tcPr>
          <w:p w14:paraId="60998B2D">
            <w:pPr>
              <w:pStyle w:val="119"/>
              <w:adjustRightInd w:val="0"/>
              <w:snapToGrid w:val="0"/>
              <w:rPr>
                <w:snapToGrid w:val="0"/>
              </w:rPr>
            </w:pPr>
            <w:r>
              <w:rPr>
                <w:rFonts w:hint="eastAsia"/>
                <w:snapToGrid w:val="0"/>
              </w:rPr>
              <w:t>预制简支箱梁</w:t>
            </w:r>
            <w:r>
              <w:rPr>
                <w:snapToGrid w:val="0"/>
              </w:rPr>
              <w:t>66孔、现浇简支箱梁2孔、连续梁6联</w:t>
            </w:r>
          </w:p>
        </w:tc>
      </w:tr>
      <w:tr w14:paraId="27957176">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B4C6E7"/>
            <w:vAlign w:val="center"/>
          </w:tcPr>
          <w:p w14:paraId="43E0D33F">
            <w:pPr>
              <w:pStyle w:val="119"/>
              <w:adjustRightInd w:val="0"/>
              <w:snapToGrid w:val="0"/>
              <w:rPr>
                <w:snapToGrid w:val="0"/>
              </w:rPr>
            </w:pPr>
            <w:r>
              <w:rPr>
                <w:rFonts w:hint="eastAsia"/>
                <w:snapToGrid w:val="0"/>
              </w:rPr>
              <w:t>3</w:t>
            </w:r>
          </w:p>
        </w:tc>
        <w:tc>
          <w:tcPr>
            <w:tcW w:w="1101" w:type="pct"/>
            <w:shd w:val="clear" w:color="auto" w:fill="B4C6E7"/>
            <w:vAlign w:val="center"/>
          </w:tcPr>
          <w:p w14:paraId="2314F087">
            <w:pPr>
              <w:pStyle w:val="119"/>
              <w:adjustRightInd w:val="0"/>
              <w:snapToGrid w:val="0"/>
              <w:rPr>
                <w:snapToGrid w:val="0"/>
              </w:rPr>
            </w:pPr>
            <w:r>
              <w:rPr>
                <w:rFonts w:hint="eastAsia"/>
                <w:snapToGrid w:val="0"/>
              </w:rPr>
              <w:t>新沟东南下行联络线特大桥</w:t>
            </w:r>
          </w:p>
        </w:tc>
        <w:tc>
          <w:tcPr>
            <w:tcW w:w="945" w:type="pct"/>
            <w:shd w:val="clear" w:color="auto" w:fill="B4C6E7"/>
            <w:noWrap/>
            <w:vAlign w:val="center"/>
          </w:tcPr>
          <w:p w14:paraId="755C404F">
            <w:pPr>
              <w:pStyle w:val="119"/>
              <w:adjustRightInd w:val="0"/>
              <w:snapToGrid w:val="0"/>
              <w:rPr>
                <w:snapToGrid w:val="0"/>
              </w:rPr>
            </w:pPr>
            <w:r>
              <w:rPr>
                <w:rFonts w:hint="eastAsia"/>
                <w:snapToGrid w:val="0"/>
              </w:rPr>
              <w:t>DNLDK000+219.760</w:t>
            </w:r>
          </w:p>
        </w:tc>
        <w:tc>
          <w:tcPr>
            <w:tcW w:w="944" w:type="pct"/>
            <w:shd w:val="clear" w:color="auto" w:fill="B4C6E7"/>
            <w:noWrap/>
            <w:vAlign w:val="center"/>
          </w:tcPr>
          <w:p w14:paraId="6F1C0BA9">
            <w:pPr>
              <w:pStyle w:val="119"/>
              <w:adjustRightInd w:val="0"/>
              <w:snapToGrid w:val="0"/>
              <w:rPr>
                <w:snapToGrid w:val="0"/>
              </w:rPr>
            </w:pPr>
            <w:r>
              <w:rPr>
                <w:rFonts w:hint="eastAsia"/>
                <w:snapToGrid w:val="0"/>
              </w:rPr>
              <w:t>DNLDK004+172.610</w:t>
            </w:r>
          </w:p>
        </w:tc>
        <w:tc>
          <w:tcPr>
            <w:tcW w:w="667" w:type="pct"/>
            <w:shd w:val="clear" w:color="auto" w:fill="B4C6E7"/>
            <w:noWrap/>
            <w:vAlign w:val="center"/>
          </w:tcPr>
          <w:p w14:paraId="21F84111">
            <w:pPr>
              <w:pStyle w:val="119"/>
              <w:adjustRightInd w:val="0"/>
              <w:snapToGrid w:val="0"/>
              <w:rPr>
                <w:snapToGrid w:val="0"/>
              </w:rPr>
            </w:pPr>
            <w:r>
              <w:rPr>
                <w:rFonts w:hint="eastAsia"/>
                <w:snapToGrid w:val="0"/>
              </w:rPr>
              <w:t>3952.85</w:t>
            </w:r>
          </w:p>
        </w:tc>
        <w:tc>
          <w:tcPr>
            <w:tcW w:w="1046" w:type="pct"/>
            <w:shd w:val="clear" w:color="auto" w:fill="B4C6E7"/>
            <w:vAlign w:val="center"/>
          </w:tcPr>
          <w:p w14:paraId="4BE4E797">
            <w:pPr>
              <w:pStyle w:val="119"/>
              <w:adjustRightInd w:val="0"/>
              <w:snapToGrid w:val="0"/>
              <w:rPr>
                <w:snapToGrid w:val="0"/>
              </w:rPr>
            </w:pPr>
            <w:r>
              <w:rPr>
                <w:rFonts w:hint="eastAsia"/>
                <w:snapToGrid w:val="0"/>
              </w:rPr>
              <w:t>预制简支箱梁</w:t>
            </w:r>
            <w:r>
              <w:rPr>
                <w:snapToGrid w:val="0"/>
              </w:rPr>
              <w:t>71孔、现浇简支箱梁1孔、连续梁7联</w:t>
            </w:r>
          </w:p>
        </w:tc>
      </w:tr>
      <w:tr w14:paraId="1AA2F84F">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D9E2F3"/>
            <w:vAlign w:val="center"/>
          </w:tcPr>
          <w:p w14:paraId="2B2E7B09">
            <w:pPr>
              <w:pStyle w:val="119"/>
              <w:adjustRightInd w:val="0"/>
              <w:snapToGrid w:val="0"/>
              <w:rPr>
                <w:snapToGrid w:val="0"/>
              </w:rPr>
            </w:pPr>
            <w:r>
              <w:rPr>
                <w:rFonts w:hint="eastAsia"/>
                <w:snapToGrid w:val="0"/>
              </w:rPr>
              <w:t>4</w:t>
            </w:r>
          </w:p>
        </w:tc>
        <w:tc>
          <w:tcPr>
            <w:tcW w:w="1101" w:type="pct"/>
            <w:shd w:val="clear" w:color="auto" w:fill="D9E2F3"/>
            <w:noWrap/>
            <w:vAlign w:val="center"/>
          </w:tcPr>
          <w:p w14:paraId="3132C078">
            <w:pPr>
              <w:pStyle w:val="119"/>
              <w:adjustRightInd w:val="0"/>
              <w:snapToGrid w:val="0"/>
              <w:rPr>
                <w:snapToGrid w:val="0"/>
              </w:rPr>
            </w:pPr>
            <w:r>
              <w:rPr>
                <w:rFonts w:hint="eastAsia"/>
                <w:snapToGrid w:val="0"/>
              </w:rPr>
              <w:t>预留天河三四线工程下行线大桥</w:t>
            </w:r>
          </w:p>
        </w:tc>
        <w:tc>
          <w:tcPr>
            <w:tcW w:w="945" w:type="pct"/>
            <w:shd w:val="clear" w:color="auto" w:fill="D9E2F3"/>
            <w:noWrap/>
            <w:vAlign w:val="center"/>
          </w:tcPr>
          <w:p w14:paraId="030E77EA">
            <w:pPr>
              <w:pStyle w:val="119"/>
              <w:adjustRightInd w:val="0"/>
              <w:snapToGrid w:val="0"/>
              <w:rPr>
                <w:snapToGrid w:val="0"/>
              </w:rPr>
            </w:pPr>
            <w:r>
              <w:rPr>
                <w:rFonts w:hint="eastAsia"/>
                <w:snapToGrid w:val="0"/>
              </w:rPr>
              <w:t>SSIDK005+569.040</w:t>
            </w:r>
          </w:p>
        </w:tc>
        <w:tc>
          <w:tcPr>
            <w:tcW w:w="944" w:type="pct"/>
            <w:shd w:val="clear" w:color="auto" w:fill="D9E2F3"/>
            <w:noWrap/>
            <w:vAlign w:val="center"/>
          </w:tcPr>
          <w:p w14:paraId="5D1B07F3">
            <w:pPr>
              <w:pStyle w:val="119"/>
              <w:adjustRightInd w:val="0"/>
              <w:snapToGrid w:val="0"/>
              <w:rPr>
                <w:snapToGrid w:val="0"/>
              </w:rPr>
            </w:pPr>
            <w:r>
              <w:rPr>
                <w:rFonts w:hint="eastAsia"/>
                <w:snapToGrid w:val="0"/>
              </w:rPr>
              <w:t>SSIDK005+699.880</w:t>
            </w:r>
          </w:p>
        </w:tc>
        <w:tc>
          <w:tcPr>
            <w:tcW w:w="667" w:type="pct"/>
            <w:shd w:val="clear" w:color="auto" w:fill="D9E2F3"/>
            <w:noWrap/>
            <w:vAlign w:val="center"/>
          </w:tcPr>
          <w:p w14:paraId="710CDB1B">
            <w:pPr>
              <w:pStyle w:val="119"/>
              <w:adjustRightInd w:val="0"/>
              <w:snapToGrid w:val="0"/>
              <w:rPr>
                <w:snapToGrid w:val="0"/>
              </w:rPr>
            </w:pPr>
            <w:r>
              <w:rPr>
                <w:rFonts w:hint="eastAsia"/>
                <w:snapToGrid w:val="0"/>
              </w:rPr>
              <w:t>130.84</w:t>
            </w:r>
          </w:p>
        </w:tc>
        <w:tc>
          <w:tcPr>
            <w:tcW w:w="1046" w:type="pct"/>
            <w:shd w:val="clear" w:color="auto" w:fill="D9E2F3"/>
            <w:vAlign w:val="center"/>
          </w:tcPr>
          <w:p w14:paraId="153E85E2">
            <w:pPr>
              <w:pStyle w:val="119"/>
              <w:adjustRightInd w:val="0"/>
              <w:snapToGrid w:val="0"/>
              <w:rPr>
                <w:snapToGrid w:val="0"/>
              </w:rPr>
            </w:pPr>
            <w:r>
              <w:rPr>
                <w:snapToGrid w:val="0"/>
              </w:rPr>
              <w:t>现浇简支箱梁4孔</w:t>
            </w:r>
          </w:p>
        </w:tc>
      </w:tr>
      <w:tr w14:paraId="599B2A9D">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B4C6E7"/>
            <w:vAlign w:val="center"/>
          </w:tcPr>
          <w:p w14:paraId="791CB3EE">
            <w:pPr>
              <w:pStyle w:val="119"/>
              <w:adjustRightInd w:val="0"/>
              <w:snapToGrid w:val="0"/>
              <w:rPr>
                <w:snapToGrid w:val="0"/>
              </w:rPr>
            </w:pPr>
            <w:r>
              <w:rPr>
                <w:rFonts w:hint="eastAsia"/>
                <w:snapToGrid w:val="0"/>
              </w:rPr>
              <w:t>5</w:t>
            </w:r>
          </w:p>
        </w:tc>
        <w:tc>
          <w:tcPr>
            <w:tcW w:w="1101" w:type="pct"/>
            <w:shd w:val="clear" w:color="auto" w:fill="B4C6E7"/>
            <w:vAlign w:val="center"/>
          </w:tcPr>
          <w:p w14:paraId="5D2FAB5E">
            <w:pPr>
              <w:pStyle w:val="119"/>
              <w:adjustRightInd w:val="0"/>
              <w:snapToGrid w:val="0"/>
              <w:rPr>
                <w:snapToGrid w:val="0"/>
              </w:rPr>
            </w:pPr>
            <w:r>
              <w:rPr>
                <w:rFonts w:hint="eastAsia"/>
                <w:snapToGrid w:val="0"/>
              </w:rPr>
              <w:t>预留天河三四线工程上行线大桥</w:t>
            </w:r>
          </w:p>
        </w:tc>
        <w:tc>
          <w:tcPr>
            <w:tcW w:w="945" w:type="pct"/>
            <w:shd w:val="clear" w:color="auto" w:fill="B4C6E7"/>
            <w:noWrap/>
            <w:vAlign w:val="center"/>
          </w:tcPr>
          <w:p w14:paraId="08CE235F">
            <w:pPr>
              <w:pStyle w:val="119"/>
              <w:adjustRightInd w:val="0"/>
              <w:snapToGrid w:val="0"/>
              <w:rPr>
                <w:snapToGrid w:val="0"/>
              </w:rPr>
            </w:pPr>
            <w:r>
              <w:rPr>
                <w:rFonts w:hint="eastAsia"/>
                <w:snapToGrid w:val="0"/>
              </w:rPr>
              <w:t>SSIYDK005+566.800</w:t>
            </w:r>
          </w:p>
        </w:tc>
        <w:tc>
          <w:tcPr>
            <w:tcW w:w="944" w:type="pct"/>
            <w:shd w:val="clear" w:color="auto" w:fill="B4C6E7"/>
            <w:noWrap/>
            <w:vAlign w:val="center"/>
          </w:tcPr>
          <w:p w14:paraId="672FAE67">
            <w:pPr>
              <w:pStyle w:val="119"/>
              <w:adjustRightInd w:val="0"/>
              <w:snapToGrid w:val="0"/>
              <w:rPr>
                <w:snapToGrid w:val="0"/>
              </w:rPr>
            </w:pPr>
            <w:r>
              <w:rPr>
                <w:rFonts w:hint="eastAsia"/>
                <w:snapToGrid w:val="0"/>
              </w:rPr>
              <w:t>SSIYDK005+697.640</w:t>
            </w:r>
          </w:p>
        </w:tc>
        <w:tc>
          <w:tcPr>
            <w:tcW w:w="667" w:type="pct"/>
            <w:shd w:val="clear" w:color="auto" w:fill="B4C6E7"/>
            <w:noWrap/>
            <w:vAlign w:val="center"/>
          </w:tcPr>
          <w:p w14:paraId="2B429CC8">
            <w:pPr>
              <w:pStyle w:val="119"/>
              <w:adjustRightInd w:val="0"/>
              <w:snapToGrid w:val="0"/>
              <w:rPr>
                <w:snapToGrid w:val="0"/>
              </w:rPr>
            </w:pPr>
            <w:r>
              <w:rPr>
                <w:rFonts w:hint="eastAsia"/>
                <w:snapToGrid w:val="0"/>
              </w:rPr>
              <w:t>130.84</w:t>
            </w:r>
          </w:p>
        </w:tc>
        <w:tc>
          <w:tcPr>
            <w:tcW w:w="1046" w:type="pct"/>
            <w:shd w:val="clear" w:color="auto" w:fill="B4C6E7"/>
            <w:vAlign w:val="center"/>
          </w:tcPr>
          <w:p w14:paraId="358565B2">
            <w:pPr>
              <w:pStyle w:val="119"/>
              <w:adjustRightInd w:val="0"/>
              <w:snapToGrid w:val="0"/>
              <w:rPr>
                <w:snapToGrid w:val="0"/>
              </w:rPr>
            </w:pPr>
            <w:r>
              <w:rPr>
                <w:snapToGrid w:val="0"/>
              </w:rPr>
              <w:t>现浇简支箱梁4孔</w:t>
            </w:r>
          </w:p>
        </w:tc>
      </w:tr>
      <w:tr w14:paraId="030AC51C">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D9E2F3"/>
            <w:vAlign w:val="center"/>
          </w:tcPr>
          <w:p w14:paraId="30BEB7C8">
            <w:pPr>
              <w:pStyle w:val="119"/>
              <w:adjustRightInd w:val="0"/>
              <w:snapToGrid w:val="0"/>
              <w:rPr>
                <w:snapToGrid w:val="0"/>
              </w:rPr>
            </w:pPr>
            <w:r>
              <w:rPr>
                <w:rFonts w:hint="eastAsia"/>
                <w:snapToGrid w:val="0"/>
              </w:rPr>
              <w:t>6</w:t>
            </w:r>
          </w:p>
        </w:tc>
        <w:tc>
          <w:tcPr>
            <w:tcW w:w="1101" w:type="pct"/>
            <w:shd w:val="clear" w:color="auto" w:fill="D9E2F3"/>
            <w:noWrap/>
            <w:vAlign w:val="center"/>
          </w:tcPr>
          <w:p w14:paraId="1F9D38F8">
            <w:pPr>
              <w:pStyle w:val="119"/>
              <w:adjustRightInd w:val="0"/>
              <w:snapToGrid w:val="0"/>
              <w:rPr>
                <w:snapToGrid w:val="0"/>
              </w:rPr>
            </w:pPr>
            <w:r>
              <w:rPr>
                <w:rFonts w:hint="eastAsia"/>
                <w:snapToGrid w:val="0"/>
              </w:rPr>
              <w:t>路基</w:t>
            </w:r>
          </w:p>
        </w:tc>
        <w:tc>
          <w:tcPr>
            <w:tcW w:w="945" w:type="pct"/>
            <w:shd w:val="clear" w:color="auto" w:fill="D9E2F3"/>
            <w:noWrap/>
            <w:vAlign w:val="center"/>
          </w:tcPr>
          <w:p w14:paraId="6D9F363E">
            <w:pPr>
              <w:pStyle w:val="119"/>
              <w:adjustRightInd w:val="0"/>
              <w:snapToGrid w:val="0"/>
              <w:rPr>
                <w:snapToGrid w:val="0"/>
              </w:rPr>
            </w:pPr>
            <w:r>
              <w:rPr>
                <w:snapToGrid w:val="0"/>
              </w:rPr>
              <w:t>DK303+283.975</w:t>
            </w:r>
          </w:p>
        </w:tc>
        <w:tc>
          <w:tcPr>
            <w:tcW w:w="944" w:type="pct"/>
            <w:shd w:val="clear" w:color="auto" w:fill="D9E2F3"/>
            <w:noWrap/>
            <w:vAlign w:val="center"/>
          </w:tcPr>
          <w:p w14:paraId="0FF0D28D">
            <w:pPr>
              <w:pStyle w:val="119"/>
              <w:adjustRightInd w:val="0"/>
              <w:snapToGrid w:val="0"/>
              <w:rPr>
                <w:snapToGrid w:val="0"/>
              </w:rPr>
            </w:pPr>
            <w:r>
              <w:rPr>
                <w:snapToGrid w:val="0"/>
              </w:rPr>
              <w:t>DK305+332.165</w:t>
            </w:r>
          </w:p>
        </w:tc>
        <w:tc>
          <w:tcPr>
            <w:tcW w:w="667" w:type="pct"/>
            <w:shd w:val="clear" w:color="auto" w:fill="D9E2F3"/>
            <w:noWrap/>
            <w:vAlign w:val="center"/>
          </w:tcPr>
          <w:p w14:paraId="24CA1F99">
            <w:pPr>
              <w:pStyle w:val="119"/>
              <w:adjustRightInd w:val="0"/>
              <w:snapToGrid w:val="0"/>
              <w:rPr>
                <w:snapToGrid w:val="0"/>
              </w:rPr>
            </w:pPr>
            <w:r>
              <w:rPr>
                <w:snapToGrid w:val="0"/>
              </w:rPr>
              <w:t>15</w:t>
            </w:r>
            <w:r>
              <w:rPr>
                <w:rFonts w:hint="eastAsia"/>
                <w:snapToGrid w:val="0"/>
              </w:rPr>
              <w:t>48.19</w:t>
            </w:r>
          </w:p>
        </w:tc>
        <w:tc>
          <w:tcPr>
            <w:tcW w:w="1046" w:type="pct"/>
            <w:shd w:val="clear" w:color="auto" w:fill="D9E2F3"/>
            <w:vAlign w:val="center"/>
          </w:tcPr>
          <w:p w14:paraId="792B0925">
            <w:pPr>
              <w:pStyle w:val="119"/>
              <w:adjustRightInd w:val="0"/>
              <w:snapToGrid w:val="0"/>
              <w:rPr>
                <w:snapToGrid w:val="0"/>
              </w:rPr>
            </w:pPr>
            <w:r>
              <w:rPr>
                <w:rFonts w:hint="eastAsia"/>
                <w:snapToGrid w:val="0"/>
              </w:rPr>
              <w:t>不含天河站场范围5</w:t>
            </w:r>
            <w:r>
              <w:rPr>
                <w:snapToGrid w:val="0"/>
              </w:rPr>
              <w:t>00m</w:t>
            </w:r>
            <w:r>
              <w:rPr>
                <w:rFonts w:hint="eastAsia"/>
                <w:snapToGrid w:val="0"/>
              </w:rPr>
              <w:t>路基</w:t>
            </w:r>
          </w:p>
        </w:tc>
      </w:tr>
      <w:tr w14:paraId="6485A01C">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B4C6E7"/>
            <w:vAlign w:val="center"/>
          </w:tcPr>
          <w:p w14:paraId="4F386F9B">
            <w:pPr>
              <w:pStyle w:val="119"/>
              <w:adjustRightInd w:val="0"/>
              <w:snapToGrid w:val="0"/>
              <w:rPr>
                <w:snapToGrid w:val="0"/>
              </w:rPr>
            </w:pPr>
            <w:r>
              <w:rPr>
                <w:rFonts w:hint="eastAsia"/>
                <w:snapToGrid w:val="0"/>
              </w:rPr>
              <w:t>7</w:t>
            </w:r>
          </w:p>
        </w:tc>
        <w:tc>
          <w:tcPr>
            <w:tcW w:w="1101" w:type="pct"/>
            <w:shd w:val="clear" w:color="auto" w:fill="B4C6E7"/>
            <w:noWrap/>
            <w:vAlign w:val="center"/>
          </w:tcPr>
          <w:p w14:paraId="431E5C23">
            <w:pPr>
              <w:pStyle w:val="119"/>
              <w:adjustRightInd w:val="0"/>
              <w:snapToGrid w:val="0"/>
              <w:rPr>
                <w:snapToGrid w:val="0"/>
              </w:rPr>
            </w:pPr>
            <w:r>
              <w:rPr>
                <w:rFonts w:hint="eastAsia"/>
                <w:snapToGrid w:val="0"/>
              </w:rPr>
              <w:t>框架桥</w:t>
            </w:r>
          </w:p>
        </w:tc>
        <w:tc>
          <w:tcPr>
            <w:tcW w:w="945" w:type="pct"/>
            <w:shd w:val="clear" w:color="auto" w:fill="B4C6E7"/>
            <w:noWrap/>
            <w:vAlign w:val="center"/>
          </w:tcPr>
          <w:p w14:paraId="7EC1787D">
            <w:pPr>
              <w:pStyle w:val="119"/>
              <w:adjustRightInd w:val="0"/>
              <w:snapToGrid w:val="0"/>
              <w:rPr>
                <w:snapToGrid w:val="0"/>
              </w:rPr>
            </w:pPr>
          </w:p>
        </w:tc>
        <w:tc>
          <w:tcPr>
            <w:tcW w:w="944" w:type="pct"/>
            <w:shd w:val="clear" w:color="auto" w:fill="B4C6E7"/>
            <w:noWrap/>
            <w:vAlign w:val="center"/>
          </w:tcPr>
          <w:p w14:paraId="5F384214">
            <w:pPr>
              <w:pStyle w:val="119"/>
              <w:adjustRightInd w:val="0"/>
              <w:snapToGrid w:val="0"/>
              <w:rPr>
                <w:snapToGrid w:val="0"/>
              </w:rPr>
            </w:pPr>
          </w:p>
        </w:tc>
        <w:tc>
          <w:tcPr>
            <w:tcW w:w="667" w:type="pct"/>
            <w:shd w:val="clear" w:color="auto" w:fill="B4C6E7"/>
            <w:noWrap/>
            <w:vAlign w:val="center"/>
          </w:tcPr>
          <w:p w14:paraId="0C4BDE0C">
            <w:pPr>
              <w:pStyle w:val="119"/>
              <w:adjustRightInd w:val="0"/>
              <w:snapToGrid w:val="0"/>
              <w:rPr>
                <w:snapToGrid w:val="0"/>
              </w:rPr>
            </w:pPr>
            <w:r>
              <w:rPr>
                <w:snapToGrid w:val="0"/>
              </w:rPr>
              <w:t>94.75</w:t>
            </w:r>
          </w:p>
        </w:tc>
        <w:tc>
          <w:tcPr>
            <w:tcW w:w="1046" w:type="pct"/>
            <w:shd w:val="clear" w:color="auto" w:fill="B4C6E7"/>
            <w:vAlign w:val="center"/>
          </w:tcPr>
          <w:p w14:paraId="55923199">
            <w:pPr>
              <w:pStyle w:val="119"/>
              <w:adjustRightInd w:val="0"/>
              <w:snapToGrid w:val="0"/>
              <w:rPr>
                <w:snapToGrid w:val="0"/>
              </w:rPr>
            </w:pPr>
            <w:r>
              <w:rPr>
                <w:snapToGrid w:val="0"/>
              </w:rPr>
              <w:t>3</w:t>
            </w:r>
            <w:r>
              <w:rPr>
                <w:rFonts w:hint="eastAsia"/>
                <w:snapToGrid w:val="0"/>
              </w:rPr>
              <w:t>处</w:t>
            </w:r>
          </w:p>
        </w:tc>
      </w:tr>
      <w:tr w14:paraId="1B2D35D8">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D9E2F3"/>
            <w:vAlign w:val="center"/>
          </w:tcPr>
          <w:p w14:paraId="755C30BA">
            <w:pPr>
              <w:pStyle w:val="119"/>
              <w:adjustRightInd w:val="0"/>
              <w:snapToGrid w:val="0"/>
              <w:rPr>
                <w:snapToGrid w:val="0"/>
              </w:rPr>
            </w:pPr>
            <w:r>
              <w:rPr>
                <w:rFonts w:hint="eastAsia"/>
                <w:snapToGrid w:val="0"/>
              </w:rPr>
              <w:t>8</w:t>
            </w:r>
          </w:p>
        </w:tc>
        <w:tc>
          <w:tcPr>
            <w:tcW w:w="1101" w:type="pct"/>
            <w:shd w:val="clear" w:color="auto" w:fill="D9E2F3"/>
            <w:noWrap/>
            <w:vAlign w:val="center"/>
          </w:tcPr>
          <w:p w14:paraId="6CC6589D">
            <w:pPr>
              <w:pStyle w:val="119"/>
              <w:adjustRightInd w:val="0"/>
              <w:snapToGrid w:val="0"/>
              <w:rPr>
                <w:snapToGrid w:val="0"/>
              </w:rPr>
            </w:pPr>
            <w:r>
              <w:rPr>
                <w:rFonts w:hint="eastAsia"/>
                <w:snapToGrid w:val="0"/>
              </w:rPr>
              <w:t>涵洞</w:t>
            </w:r>
          </w:p>
        </w:tc>
        <w:tc>
          <w:tcPr>
            <w:tcW w:w="945" w:type="pct"/>
            <w:shd w:val="clear" w:color="auto" w:fill="D9E2F3"/>
            <w:noWrap/>
            <w:vAlign w:val="center"/>
          </w:tcPr>
          <w:p w14:paraId="1042616B">
            <w:pPr>
              <w:pStyle w:val="119"/>
              <w:adjustRightInd w:val="0"/>
              <w:snapToGrid w:val="0"/>
              <w:rPr>
                <w:snapToGrid w:val="0"/>
              </w:rPr>
            </w:pPr>
          </w:p>
        </w:tc>
        <w:tc>
          <w:tcPr>
            <w:tcW w:w="944" w:type="pct"/>
            <w:shd w:val="clear" w:color="auto" w:fill="D9E2F3"/>
            <w:noWrap/>
            <w:vAlign w:val="center"/>
          </w:tcPr>
          <w:p w14:paraId="5DA00C61">
            <w:pPr>
              <w:pStyle w:val="119"/>
              <w:adjustRightInd w:val="0"/>
              <w:snapToGrid w:val="0"/>
              <w:rPr>
                <w:snapToGrid w:val="0"/>
              </w:rPr>
            </w:pPr>
          </w:p>
        </w:tc>
        <w:tc>
          <w:tcPr>
            <w:tcW w:w="667" w:type="pct"/>
            <w:shd w:val="clear" w:color="auto" w:fill="D9E2F3"/>
            <w:noWrap/>
            <w:vAlign w:val="center"/>
          </w:tcPr>
          <w:p w14:paraId="6007BC27">
            <w:pPr>
              <w:pStyle w:val="119"/>
              <w:adjustRightInd w:val="0"/>
              <w:snapToGrid w:val="0"/>
              <w:rPr>
                <w:snapToGrid w:val="0"/>
              </w:rPr>
            </w:pPr>
            <w:r>
              <w:rPr>
                <w:snapToGrid w:val="0"/>
              </w:rPr>
              <w:t>23.10</w:t>
            </w:r>
          </w:p>
        </w:tc>
        <w:tc>
          <w:tcPr>
            <w:tcW w:w="1046" w:type="pct"/>
            <w:shd w:val="clear" w:color="auto" w:fill="D9E2F3"/>
            <w:vAlign w:val="center"/>
          </w:tcPr>
          <w:p w14:paraId="23CA18FC">
            <w:pPr>
              <w:pStyle w:val="119"/>
              <w:adjustRightInd w:val="0"/>
              <w:snapToGrid w:val="0"/>
              <w:rPr>
                <w:snapToGrid w:val="0"/>
              </w:rPr>
            </w:pPr>
            <w:r>
              <w:rPr>
                <w:snapToGrid w:val="0"/>
              </w:rPr>
              <w:t>1</w:t>
            </w:r>
            <w:r>
              <w:rPr>
                <w:rFonts w:hint="eastAsia"/>
                <w:snapToGrid w:val="0"/>
              </w:rPr>
              <w:t>处</w:t>
            </w:r>
          </w:p>
        </w:tc>
      </w:tr>
      <w:tr w14:paraId="3106AB2E">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B4C6E7"/>
            <w:vAlign w:val="center"/>
          </w:tcPr>
          <w:p w14:paraId="30775F16">
            <w:pPr>
              <w:pStyle w:val="119"/>
              <w:adjustRightInd w:val="0"/>
              <w:snapToGrid w:val="0"/>
              <w:rPr>
                <w:snapToGrid w:val="0"/>
              </w:rPr>
            </w:pPr>
            <w:r>
              <w:rPr>
                <w:rFonts w:hint="eastAsia"/>
                <w:snapToGrid w:val="0"/>
              </w:rPr>
              <w:t>9</w:t>
            </w:r>
          </w:p>
        </w:tc>
        <w:tc>
          <w:tcPr>
            <w:tcW w:w="1101" w:type="pct"/>
            <w:shd w:val="clear" w:color="auto" w:fill="B4C6E7"/>
            <w:noWrap/>
            <w:vAlign w:val="center"/>
          </w:tcPr>
          <w:p w14:paraId="6E878AA2">
            <w:pPr>
              <w:pStyle w:val="119"/>
              <w:adjustRightInd w:val="0"/>
              <w:snapToGrid w:val="0"/>
              <w:rPr>
                <w:snapToGrid w:val="0"/>
              </w:rPr>
            </w:pPr>
            <w:r>
              <w:rPr>
                <w:rFonts w:hint="eastAsia"/>
                <w:snapToGrid w:val="0"/>
              </w:rPr>
              <w:t>无砟轨道</w:t>
            </w:r>
          </w:p>
        </w:tc>
        <w:tc>
          <w:tcPr>
            <w:tcW w:w="945" w:type="pct"/>
            <w:shd w:val="clear" w:color="auto" w:fill="B4C6E7"/>
            <w:noWrap/>
            <w:vAlign w:val="center"/>
          </w:tcPr>
          <w:p w14:paraId="60DE592B">
            <w:pPr>
              <w:pStyle w:val="119"/>
              <w:adjustRightInd w:val="0"/>
              <w:snapToGrid w:val="0"/>
              <w:rPr>
                <w:snapToGrid w:val="0"/>
              </w:rPr>
            </w:pPr>
            <w:r>
              <w:rPr>
                <w:snapToGrid w:val="0"/>
              </w:rPr>
              <w:t>DK303+283.975</w:t>
            </w:r>
          </w:p>
        </w:tc>
        <w:tc>
          <w:tcPr>
            <w:tcW w:w="944" w:type="pct"/>
            <w:shd w:val="clear" w:color="auto" w:fill="B4C6E7"/>
            <w:noWrap/>
            <w:vAlign w:val="center"/>
          </w:tcPr>
          <w:p w14:paraId="4D0FAB40">
            <w:pPr>
              <w:pStyle w:val="119"/>
              <w:adjustRightInd w:val="0"/>
              <w:snapToGrid w:val="0"/>
              <w:rPr>
                <w:snapToGrid w:val="0"/>
              </w:rPr>
            </w:pPr>
            <w:r>
              <w:rPr>
                <w:snapToGrid w:val="0"/>
              </w:rPr>
              <w:t>DK334+723.215</w:t>
            </w:r>
          </w:p>
        </w:tc>
        <w:tc>
          <w:tcPr>
            <w:tcW w:w="667" w:type="pct"/>
            <w:shd w:val="clear" w:color="auto" w:fill="B4C6E7"/>
            <w:noWrap/>
            <w:vAlign w:val="center"/>
          </w:tcPr>
          <w:p w14:paraId="6D298DEA">
            <w:pPr>
              <w:pStyle w:val="119"/>
              <w:adjustRightInd w:val="0"/>
              <w:snapToGrid w:val="0"/>
              <w:rPr>
                <w:snapToGrid w:val="0"/>
              </w:rPr>
            </w:pPr>
            <w:r>
              <w:rPr>
                <w:rFonts w:hint="eastAsia"/>
                <w:snapToGrid w:val="0"/>
              </w:rPr>
              <w:t>7</w:t>
            </w:r>
            <w:r>
              <w:rPr>
                <w:snapToGrid w:val="0"/>
              </w:rPr>
              <w:t>1389</w:t>
            </w:r>
          </w:p>
        </w:tc>
        <w:tc>
          <w:tcPr>
            <w:tcW w:w="1046" w:type="pct"/>
            <w:shd w:val="clear" w:color="auto" w:fill="B4C6E7"/>
            <w:vAlign w:val="center"/>
          </w:tcPr>
          <w:p w14:paraId="6E3637C6">
            <w:pPr>
              <w:pStyle w:val="119"/>
              <w:adjustRightInd w:val="0"/>
              <w:snapToGrid w:val="0"/>
              <w:rPr>
                <w:snapToGrid w:val="0"/>
              </w:rPr>
            </w:pPr>
            <w:r>
              <w:rPr>
                <w:snapToGrid w:val="0"/>
              </w:rPr>
              <w:t>CRTS型双块式</w:t>
            </w:r>
          </w:p>
        </w:tc>
      </w:tr>
      <w:tr w14:paraId="1CFF6EFB">
        <w:tblPrEx>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CellMar>
            <w:top w:w="0" w:type="dxa"/>
            <w:left w:w="0" w:type="dxa"/>
            <w:bottom w:w="0" w:type="dxa"/>
            <w:right w:w="0" w:type="dxa"/>
          </w:tblCellMar>
        </w:tblPrEx>
        <w:trPr>
          <w:trHeight w:val="340" w:hRule="atLeast"/>
          <w:jc w:val="center"/>
        </w:trPr>
        <w:tc>
          <w:tcPr>
            <w:tcW w:w="297" w:type="pct"/>
            <w:shd w:val="clear" w:color="auto" w:fill="D9E2F3"/>
            <w:vAlign w:val="center"/>
          </w:tcPr>
          <w:p w14:paraId="67E1CE1D">
            <w:pPr>
              <w:pStyle w:val="119"/>
              <w:adjustRightInd w:val="0"/>
              <w:snapToGrid w:val="0"/>
              <w:rPr>
                <w:snapToGrid w:val="0"/>
              </w:rPr>
            </w:pPr>
            <w:r>
              <w:rPr>
                <w:rFonts w:hint="eastAsia"/>
                <w:snapToGrid w:val="0"/>
              </w:rPr>
              <w:t>1</w:t>
            </w:r>
            <w:r>
              <w:rPr>
                <w:snapToGrid w:val="0"/>
              </w:rPr>
              <w:t>0</w:t>
            </w:r>
          </w:p>
        </w:tc>
        <w:tc>
          <w:tcPr>
            <w:tcW w:w="1101" w:type="pct"/>
            <w:shd w:val="clear" w:color="auto" w:fill="D9E2F3"/>
            <w:noWrap/>
            <w:vAlign w:val="center"/>
          </w:tcPr>
          <w:p w14:paraId="5CAD1689">
            <w:pPr>
              <w:pStyle w:val="119"/>
              <w:adjustRightInd w:val="0"/>
              <w:snapToGrid w:val="0"/>
              <w:rPr>
                <w:snapToGrid w:val="0"/>
              </w:rPr>
            </w:pPr>
            <w:r>
              <w:rPr>
                <w:rFonts w:hint="eastAsia"/>
                <w:snapToGrid w:val="0"/>
              </w:rPr>
              <w:t>房屋建筑</w:t>
            </w:r>
          </w:p>
        </w:tc>
        <w:tc>
          <w:tcPr>
            <w:tcW w:w="945" w:type="pct"/>
            <w:shd w:val="clear" w:color="auto" w:fill="D9E2F3"/>
            <w:noWrap/>
            <w:vAlign w:val="center"/>
          </w:tcPr>
          <w:p w14:paraId="7746641A">
            <w:pPr>
              <w:pStyle w:val="119"/>
              <w:adjustRightInd w:val="0"/>
              <w:snapToGrid w:val="0"/>
              <w:rPr>
                <w:snapToGrid w:val="0"/>
              </w:rPr>
            </w:pPr>
          </w:p>
        </w:tc>
        <w:tc>
          <w:tcPr>
            <w:tcW w:w="944" w:type="pct"/>
            <w:shd w:val="clear" w:color="auto" w:fill="D9E2F3"/>
            <w:noWrap/>
            <w:vAlign w:val="center"/>
          </w:tcPr>
          <w:p w14:paraId="627B2D95">
            <w:pPr>
              <w:pStyle w:val="119"/>
              <w:adjustRightInd w:val="0"/>
              <w:snapToGrid w:val="0"/>
              <w:rPr>
                <w:snapToGrid w:val="0"/>
              </w:rPr>
            </w:pPr>
          </w:p>
        </w:tc>
        <w:tc>
          <w:tcPr>
            <w:tcW w:w="667" w:type="pct"/>
            <w:shd w:val="clear" w:color="auto" w:fill="D9E2F3"/>
            <w:noWrap/>
            <w:vAlign w:val="center"/>
          </w:tcPr>
          <w:p w14:paraId="2A909BF3">
            <w:pPr>
              <w:pStyle w:val="119"/>
              <w:adjustRightInd w:val="0"/>
              <w:snapToGrid w:val="0"/>
              <w:rPr>
                <w:snapToGrid w:val="0"/>
              </w:rPr>
            </w:pPr>
            <w:r>
              <w:rPr>
                <w:rFonts w:hint="eastAsia"/>
                <w:snapToGrid w:val="0"/>
              </w:rPr>
              <w:t>2</w:t>
            </w:r>
            <w:r>
              <w:rPr>
                <w:snapToGrid w:val="0"/>
              </w:rPr>
              <w:t>247m</w:t>
            </w:r>
            <w:r>
              <w:rPr>
                <w:snapToGrid w:val="0"/>
                <w:vertAlign w:val="superscript"/>
              </w:rPr>
              <w:t>2</w:t>
            </w:r>
          </w:p>
        </w:tc>
        <w:tc>
          <w:tcPr>
            <w:tcW w:w="1046" w:type="pct"/>
            <w:shd w:val="clear" w:color="auto" w:fill="D9E2F3"/>
            <w:vAlign w:val="center"/>
          </w:tcPr>
          <w:p w14:paraId="08BB858F">
            <w:pPr>
              <w:pStyle w:val="119"/>
              <w:adjustRightInd w:val="0"/>
              <w:snapToGrid w:val="0"/>
              <w:rPr>
                <w:snapToGrid w:val="0"/>
              </w:rPr>
            </w:pPr>
            <w:r>
              <w:rPr>
                <w:rFonts w:hint="eastAsia"/>
                <w:snapToGrid w:val="0"/>
              </w:rPr>
              <w:t>四电配套房屋、区间警务区及岗亭等房屋工程</w:t>
            </w:r>
          </w:p>
        </w:tc>
      </w:tr>
      <w:bookmarkEnd w:id="110"/>
      <w:bookmarkEnd w:id="111"/>
    </w:tbl>
    <w:p w14:paraId="319E15EA">
      <w:pPr>
        <w:pStyle w:val="3"/>
        <w:bidi w:val="0"/>
        <w:ind w:left="575" w:leftChars="0" w:hanging="575" w:firstLineChars="0"/>
      </w:pPr>
      <w:bookmarkStart w:id="112" w:name="_Toc8370"/>
      <w:r>
        <w:rPr>
          <w:rFonts w:hint="eastAsia"/>
        </w:rPr>
        <w:t>塔机布置</w:t>
      </w:r>
      <w:bookmarkEnd w:id="112"/>
    </w:p>
    <w:p w14:paraId="46D3B43C">
      <w:pPr>
        <w:spacing w:line="240" w:lineRule="auto"/>
        <w:ind w:firstLine="560"/>
        <w:jc w:val="left"/>
        <w:rPr>
          <w:rFonts w:hint="default"/>
          <w:highlight w:val="none"/>
          <w:lang w:val="en-US" w:eastAsia="zh-CN"/>
        </w:rPr>
      </w:pPr>
      <w:r>
        <w:rPr>
          <w:rFonts w:hint="eastAsia"/>
          <w:lang w:val="en-US" w:eastAsia="zh-CN"/>
        </w:rPr>
        <w:t>本工程计划在9#、676#、11#、13#墩各安装一台塔式起重机，9#墩塔机型号为徐工建机</w:t>
      </w:r>
      <w:r>
        <w:rPr>
          <w:rFonts w:hint="eastAsia"/>
          <w:color w:val="000000"/>
          <w:lang w:val="en-US" w:eastAsia="zh-CN"/>
        </w:rPr>
        <w:t>XGT6015A-8S</w:t>
      </w:r>
      <w:r>
        <w:rPr>
          <w:rFonts w:hint="eastAsia"/>
          <w:lang w:val="en-US" w:eastAsia="zh-CN"/>
        </w:rPr>
        <w:t>、676#墩塔机型号为虎霸建机T7020-12、11#墩塔机型号为徐工建机</w:t>
      </w:r>
      <w:r>
        <w:rPr>
          <w:rFonts w:hint="eastAsia"/>
          <w:color w:val="000000"/>
          <w:lang w:val="en-US" w:eastAsia="zh-CN"/>
        </w:rPr>
        <w:t>XGT6015A-8S</w:t>
      </w:r>
      <w:r>
        <w:rPr>
          <w:rFonts w:hint="eastAsia"/>
          <w:lang w:val="en-US" w:eastAsia="zh-CN"/>
        </w:rPr>
        <w:t>、13#墩塔机型号为徐工建机</w:t>
      </w:r>
      <w:r>
        <w:rPr>
          <w:rFonts w:hint="eastAsia"/>
          <w:color w:val="000000"/>
          <w:lang w:val="en-US" w:eastAsia="zh-CN"/>
        </w:rPr>
        <w:t>XGT6515D-10S</w:t>
      </w:r>
      <w:r>
        <w:rPr>
          <w:rFonts w:hint="eastAsia"/>
          <w:lang w:val="en-US" w:eastAsia="zh-CN"/>
        </w:rPr>
        <w:t>，编号1#-4#塔。</w:t>
      </w:r>
      <w:r>
        <w:rPr>
          <w:rFonts w:hint="eastAsia"/>
          <w:highlight w:val="none"/>
          <w:lang w:val="en-US" w:eastAsia="zh-CN"/>
        </w:rPr>
        <w:t>1#-3#基础采用独立混凝土基础形式，4#基础采用与承台连接的整体式基础形式。</w:t>
      </w:r>
    </w:p>
    <w:p w14:paraId="649B0C4B">
      <w:pPr>
        <w:spacing w:line="240" w:lineRule="auto"/>
        <w:ind w:left="0" w:leftChars="0" w:firstLine="0" w:firstLineChars="0"/>
        <w:jc w:val="center"/>
      </w:pPr>
      <w:r>
        <w:drawing>
          <wp:inline distT="0" distB="0" distL="114300" distR="114300">
            <wp:extent cx="5719445" cy="2098040"/>
            <wp:effectExtent l="0" t="0" r="14605" b="16510"/>
            <wp:docPr id="1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
                    <pic:cNvPicPr>
                      <a:picLocks noChangeAspect="1"/>
                    </pic:cNvPicPr>
                  </pic:nvPicPr>
                  <pic:blipFill>
                    <a:blip r:embed="rId11"/>
                    <a:stretch>
                      <a:fillRect/>
                    </a:stretch>
                  </pic:blipFill>
                  <pic:spPr>
                    <a:xfrm>
                      <a:off x="0" y="0"/>
                      <a:ext cx="5719445" cy="2098040"/>
                    </a:xfrm>
                    <a:prstGeom prst="rect">
                      <a:avLst/>
                    </a:prstGeom>
                    <a:noFill/>
                    <a:ln>
                      <a:noFill/>
                    </a:ln>
                  </pic:spPr>
                </pic:pic>
              </a:graphicData>
            </a:graphic>
          </wp:inline>
        </w:drawing>
      </w:r>
    </w:p>
    <w:p w14:paraId="56653EB4">
      <w:pPr>
        <w:pStyle w:val="16"/>
        <w:spacing w:line="240" w:lineRule="auto"/>
        <w:ind w:left="0" w:leftChars="0" w:firstLine="0" w:firstLineChars="0"/>
        <w:jc w:val="center"/>
      </w:pPr>
      <w:r>
        <w:t xml:space="preserve">图 </w:t>
      </w:r>
      <w:r>
        <w:fldChar w:fldCharType="begin"/>
      </w:r>
      <w:r>
        <w:instrText xml:space="preserve"> STYLEREF 2 \s </w:instrText>
      </w:r>
      <w:r>
        <w:fldChar w:fldCharType="separate"/>
      </w:r>
      <w:r>
        <w:t>2.2</w:t>
      </w:r>
      <w:r>
        <w:fldChar w:fldCharType="end"/>
      </w:r>
      <w:r>
        <w:rPr>
          <w:rFonts w:hint="eastAsia"/>
          <w:lang w:eastAsia="zh-CN"/>
        </w:rPr>
        <w:t>-</w:t>
      </w:r>
      <w:r>
        <w:fldChar w:fldCharType="begin"/>
      </w:r>
      <w:r>
        <w:instrText xml:space="preserve"> SEQ 图 \* ARABIC \s 2 </w:instrText>
      </w:r>
      <w:r>
        <w:fldChar w:fldCharType="separate"/>
      </w:r>
      <w:r>
        <w:t>1</w:t>
      </w:r>
      <w:r>
        <w:fldChar w:fldCharType="end"/>
      </w:r>
      <w:r>
        <w:rPr>
          <w:rFonts w:hint="eastAsia"/>
        </w:rPr>
        <w:t xml:space="preserve"> 塔机</w:t>
      </w:r>
      <w:r>
        <w:rPr>
          <w:rFonts w:hint="eastAsia"/>
          <w:lang w:val="en-US" w:eastAsia="zh-CN"/>
        </w:rPr>
        <w:t>平</w:t>
      </w:r>
      <w:r>
        <w:rPr>
          <w:rFonts w:hint="eastAsia"/>
        </w:rPr>
        <w:t>面布置图</w:t>
      </w:r>
    </w:p>
    <w:p w14:paraId="2D313520">
      <w:pPr>
        <w:spacing w:line="240" w:lineRule="auto"/>
        <w:ind w:left="0" w:leftChars="0" w:firstLine="0" w:firstLineChars="0"/>
        <w:jc w:val="center"/>
        <w:rPr>
          <w:rFonts w:hint="eastAsia" w:eastAsia="仿宋"/>
          <w:highlight w:val="none"/>
          <w:lang w:eastAsia="zh-CN"/>
        </w:rPr>
      </w:pPr>
      <w:r>
        <w:drawing>
          <wp:inline distT="0" distB="0" distL="114300" distR="114300">
            <wp:extent cx="5718175" cy="1478280"/>
            <wp:effectExtent l="0" t="0" r="15875" b="7620"/>
            <wp:docPr id="1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
                    <pic:cNvPicPr>
                      <a:picLocks noChangeAspect="1"/>
                    </pic:cNvPicPr>
                  </pic:nvPicPr>
                  <pic:blipFill>
                    <a:blip r:embed="rId12"/>
                    <a:stretch>
                      <a:fillRect/>
                    </a:stretch>
                  </pic:blipFill>
                  <pic:spPr>
                    <a:xfrm>
                      <a:off x="0" y="0"/>
                      <a:ext cx="5718175" cy="1478280"/>
                    </a:xfrm>
                    <a:prstGeom prst="rect">
                      <a:avLst/>
                    </a:prstGeom>
                    <a:noFill/>
                    <a:ln>
                      <a:noFill/>
                    </a:ln>
                  </pic:spPr>
                </pic:pic>
              </a:graphicData>
            </a:graphic>
          </wp:inline>
        </w:drawing>
      </w:r>
    </w:p>
    <w:p w14:paraId="28AD1CD4">
      <w:pPr>
        <w:pStyle w:val="16"/>
        <w:spacing w:line="240" w:lineRule="auto"/>
        <w:ind w:left="0" w:leftChars="0" w:firstLine="0" w:firstLineChars="0"/>
        <w:jc w:val="center"/>
        <w:rPr>
          <w:rFonts w:hint="eastAsia"/>
        </w:rPr>
      </w:pPr>
      <w:r>
        <w:t xml:space="preserve">图 </w:t>
      </w:r>
      <w:r>
        <w:fldChar w:fldCharType="begin"/>
      </w:r>
      <w:r>
        <w:instrText xml:space="preserve"> STYLEREF 2 \s </w:instrText>
      </w:r>
      <w:r>
        <w:fldChar w:fldCharType="separate"/>
      </w:r>
      <w:r>
        <w:t>2.2</w:t>
      </w:r>
      <w:r>
        <w:fldChar w:fldCharType="end"/>
      </w:r>
      <w:r>
        <w:rPr>
          <w:rFonts w:hint="eastAsia"/>
          <w:lang w:eastAsia="zh-CN"/>
        </w:rPr>
        <w:t>-</w:t>
      </w:r>
      <w:r>
        <w:fldChar w:fldCharType="begin"/>
      </w:r>
      <w:r>
        <w:instrText xml:space="preserve"> SEQ 图 \* ARABIC \s 2 </w:instrText>
      </w:r>
      <w:r>
        <w:fldChar w:fldCharType="separate"/>
      </w:r>
      <w:r>
        <w:t>2</w:t>
      </w:r>
      <w:r>
        <w:fldChar w:fldCharType="end"/>
      </w:r>
      <w:r>
        <w:rPr>
          <w:rFonts w:hint="eastAsia"/>
        </w:rPr>
        <w:t xml:space="preserve"> 塔机立面布置图</w:t>
      </w:r>
    </w:p>
    <w:bookmarkEnd w:id="102"/>
    <w:bookmarkEnd w:id="103"/>
    <w:bookmarkEnd w:id="104"/>
    <w:bookmarkEnd w:id="105"/>
    <w:bookmarkEnd w:id="106"/>
    <w:bookmarkEnd w:id="107"/>
    <w:p w14:paraId="688FE2FF">
      <w:pPr>
        <w:pStyle w:val="2"/>
        <w:bidi w:val="0"/>
        <w:ind w:left="432" w:leftChars="0" w:hanging="432" w:firstLineChars="0"/>
      </w:pPr>
      <w:bookmarkStart w:id="113" w:name="_Toc28843"/>
      <w:bookmarkStart w:id="114" w:name="_Toc23197"/>
      <w:bookmarkStart w:id="115" w:name="_Toc21514"/>
      <w:bookmarkStart w:id="116" w:name="_Toc1640"/>
      <w:bookmarkStart w:id="117" w:name="_Toc8727"/>
      <w:bookmarkStart w:id="118" w:name="_Toc5190"/>
      <w:bookmarkStart w:id="119" w:name="_Toc12715"/>
      <w:r>
        <w:rPr>
          <w:rFonts w:hint="eastAsia"/>
        </w:rPr>
        <w:t>所选用塔式起重机型号与性能</w:t>
      </w:r>
      <w:bookmarkEnd w:id="113"/>
    </w:p>
    <w:bookmarkEnd w:id="114"/>
    <w:bookmarkEnd w:id="115"/>
    <w:bookmarkEnd w:id="116"/>
    <w:bookmarkEnd w:id="117"/>
    <w:bookmarkEnd w:id="118"/>
    <w:bookmarkEnd w:id="119"/>
    <w:p w14:paraId="36AC3F99">
      <w:pPr>
        <w:pStyle w:val="3"/>
        <w:bidi w:val="0"/>
        <w:ind w:left="575" w:leftChars="0" w:hanging="575" w:firstLineChars="0"/>
        <w:rPr>
          <w:rFonts w:hint="eastAsia"/>
          <w:lang w:val="en-US" w:eastAsia="zh-CN"/>
        </w:rPr>
      </w:pPr>
      <w:bookmarkStart w:id="120" w:name="_Toc22279"/>
      <w:r>
        <w:rPr>
          <w:rFonts w:hint="eastAsia"/>
          <w:lang w:val="en-US" w:eastAsia="zh-CN"/>
        </w:rPr>
        <w:t>塔机型号</w:t>
      </w:r>
      <w:bookmarkEnd w:id="120"/>
    </w:p>
    <w:p w14:paraId="3A4457BB">
      <w:pPr>
        <w:ind w:firstLine="480"/>
        <w:rPr>
          <w:rFonts w:hint="eastAsia"/>
          <w:lang w:val="en-US" w:eastAsia="zh-CN"/>
        </w:rPr>
      </w:pPr>
      <w:r>
        <w:rPr>
          <w:rFonts w:hint="eastAsia"/>
          <w:lang w:val="en-US" w:eastAsia="zh-CN"/>
        </w:rPr>
        <w:t>本工程1#塔机型号为徐工建机XGT6015A-8S、2#塔机型号为虎霸建机T7020-12、3#塔机型号为徐工建机XGT6015A-8S、4#塔机型号为徐工建机XGT6515D-10S。</w:t>
      </w:r>
    </w:p>
    <w:p w14:paraId="3352D6BF">
      <w:pPr>
        <w:ind w:firstLine="480"/>
        <w:rPr>
          <w:rFonts w:hint="eastAsia"/>
          <w:lang w:val="en-US" w:eastAsia="zh-CN"/>
        </w:rPr>
      </w:pPr>
      <w:r>
        <w:rPr>
          <w:rFonts w:hint="eastAsia"/>
          <w:lang w:val="en-US" w:eastAsia="zh-CN"/>
        </w:rPr>
        <w:t>XGT6015A-8S塔机</w:t>
      </w:r>
      <w:r>
        <w:rPr>
          <w:rFonts w:hint="eastAsia" w:ascii="Times New Roman" w:hAnsi="Times New Roman" w:cs="Times New Roman"/>
        </w:rPr>
        <w:t>由</w:t>
      </w:r>
      <w:r>
        <w:rPr>
          <w:rFonts w:hint="eastAsia" w:cs="Times New Roman"/>
          <w:lang w:val="en-US" w:eastAsia="zh-CN"/>
        </w:rPr>
        <w:t>徐工建机</w:t>
      </w:r>
      <w:r>
        <w:rPr>
          <w:rFonts w:hint="eastAsia" w:ascii="Times New Roman" w:hAnsi="Times New Roman" w:cs="Times New Roman"/>
        </w:rPr>
        <w:t>设计制造。该塔机为水平臂架、小车变幅、上回转、自升式多用途塔机。最大工作幅度</w:t>
      </w:r>
      <w:r>
        <w:rPr>
          <w:rFonts w:hint="eastAsia" w:cs="Times New Roman"/>
          <w:lang w:val="en-US" w:eastAsia="zh-CN"/>
        </w:rPr>
        <w:t>60</w:t>
      </w:r>
      <w:r>
        <w:rPr>
          <w:rFonts w:hint="eastAsia" w:ascii="Times New Roman" w:hAnsi="Times New Roman" w:cs="Times New Roman"/>
        </w:rPr>
        <w:t>米，独立起升高度</w:t>
      </w:r>
      <w:r>
        <w:rPr>
          <w:rFonts w:hint="eastAsia" w:cs="Times New Roman"/>
          <w:lang w:val="en-US" w:eastAsia="zh-CN"/>
        </w:rPr>
        <w:t>40</w:t>
      </w:r>
      <w:r>
        <w:rPr>
          <w:rFonts w:hint="eastAsia" w:ascii="Times New Roman" w:hAnsi="Times New Roman" w:cs="Times New Roman"/>
        </w:rPr>
        <w:t>米，最大额定起重量为</w:t>
      </w:r>
      <w:r>
        <w:rPr>
          <w:rFonts w:hint="eastAsia" w:cs="Times New Roman"/>
          <w:lang w:val="en-US" w:eastAsia="zh-CN"/>
        </w:rPr>
        <w:t>8</w:t>
      </w:r>
      <w:r>
        <w:rPr>
          <w:rFonts w:hint="eastAsia" w:ascii="Times New Roman" w:hAnsi="Times New Roman" w:cs="Times New Roman"/>
        </w:rPr>
        <w:t>t。主要的参数见表</w:t>
      </w:r>
      <w:r>
        <w:rPr>
          <w:rFonts w:hint="eastAsia" w:cs="Times New Roman"/>
          <w:lang w:val="en-US" w:eastAsia="zh-CN"/>
        </w:rPr>
        <w:t>3.2-1</w:t>
      </w:r>
      <w:r>
        <w:rPr>
          <w:rFonts w:hint="eastAsia" w:ascii="Times New Roman" w:hAnsi="Times New Roman" w:cs="Times New Roman"/>
          <w:lang w:eastAsia="zh-CN"/>
        </w:rPr>
        <w:t>。</w:t>
      </w:r>
    </w:p>
    <w:p w14:paraId="67AEE2A5">
      <w:pPr>
        <w:ind w:firstLine="480"/>
        <w:rPr>
          <w:rFonts w:hint="eastAsia" w:ascii="Times New Roman" w:hAnsi="Times New Roman" w:cs="Times New Roman"/>
          <w:lang w:eastAsia="zh-CN"/>
        </w:rPr>
      </w:pPr>
      <w:r>
        <w:rPr>
          <w:rFonts w:hint="eastAsia"/>
          <w:lang w:val="en-US" w:eastAsia="zh-CN"/>
        </w:rPr>
        <w:t>T7020-12塔机</w:t>
      </w:r>
      <w:r>
        <w:rPr>
          <w:rFonts w:hint="eastAsia" w:ascii="Times New Roman" w:hAnsi="Times New Roman" w:cs="Times New Roman"/>
        </w:rPr>
        <w:t>由</w:t>
      </w:r>
      <w:r>
        <w:rPr>
          <w:rFonts w:hint="eastAsia" w:cs="Times New Roman"/>
          <w:lang w:val="en-US" w:eastAsia="zh-CN"/>
        </w:rPr>
        <w:t>虎霸建机</w:t>
      </w:r>
      <w:r>
        <w:rPr>
          <w:rFonts w:hint="eastAsia" w:ascii="Times New Roman" w:hAnsi="Times New Roman" w:cs="Times New Roman"/>
        </w:rPr>
        <w:t>设计制造。该塔机为水平臂架、小车变幅、上回转、自升式多用途塔机。最大工作幅度</w:t>
      </w:r>
      <w:r>
        <w:rPr>
          <w:rFonts w:hint="eastAsia" w:cs="Times New Roman"/>
          <w:lang w:val="en-US" w:eastAsia="zh-CN"/>
        </w:rPr>
        <w:t>70</w:t>
      </w:r>
      <w:r>
        <w:rPr>
          <w:rFonts w:hint="eastAsia" w:ascii="Times New Roman" w:hAnsi="Times New Roman" w:cs="Times New Roman"/>
        </w:rPr>
        <w:t>米，独立起升高度</w:t>
      </w:r>
      <w:r>
        <w:rPr>
          <w:rFonts w:hint="eastAsia" w:cs="Times New Roman"/>
          <w:lang w:val="en-US" w:eastAsia="zh-CN"/>
        </w:rPr>
        <w:t>60.7</w:t>
      </w:r>
      <w:r>
        <w:rPr>
          <w:rFonts w:hint="eastAsia" w:ascii="Times New Roman" w:hAnsi="Times New Roman" w:cs="Times New Roman"/>
        </w:rPr>
        <w:t>米，最大额定起重量为</w:t>
      </w:r>
      <w:r>
        <w:rPr>
          <w:rFonts w:hint="eastAsia" w:cs="Times New Roman"/>
          <w:lang w:val="en-US" w:eastAsia="zh-CN"/>
        </w:rPr>
        <w:t>12</w:t>
      </w:r>
      <w:r>
        <w:rPr>
          <w:rFonts w:hint="eastAsia" w:ascii="Times New Roman" w:hAnsi="Times New Roman" w:cs="Times New Roman"/>
        </w:rPr>
        <w:t>t。主要的参数见表</w:t>
      </w:r>
      <w:r>
        <w:rPr>
          <w:rFonts w:hint="eastAsia" w:cs="Times New Roman"/>
          <w:lang w:val="en-US" w:eastAsia="zh-CN"/>
        </w:rPr>
        <w:t>3.2-2</w:t>
      </w:r>
      <w:r>
        <w:rPr>
          <w:rFonts w:hint="eastAsia" w:ascii="Times New Roman" w:hAnsi="Times New Roman" w:cs="Times New Roman"/>
          <w:lang w:eastAsia="zh-CN"/>
        </w:rPr>
        <w:t>。</w:t>
      </w:r>
    </w:p>
    <w:p w14:paraId="45FD38AE">
      <w:pPr>
        <w:ind w:firstLine="480"/>
        <w:rPr>
          <w:rFonts w:hint="eastAsia" w:ascii="Times New Roman" w:hAnsi="Times New Roman" w:cs="Times New Roman"/>
          <w:lang w:val="en-US" w:eastAsia="zh-CN"/>
        </w:rPr>
      </w:pPr>
      <w:r>
        <w:rPr>
          <w:rFonts w:hint="eastAsia"/>
          <w:lang w:val="en-US" w:eastAsia="zh-CN"/>
        </w:rPr>
        <w:t>XGT6515D-10S塔机</w:t>
      </w:r>
      <w:r>
        <w:rPr>
          <w:rFonts w:hint="eastAsia" w:ascii="Times New Roman" w:hAnsi="Times New Roman" w:cs="Times New Roman"/>
        </w:rPr>
        <w:t>由</w:t>
      </w:r>
      <w:r>
        <w:rPr>
          <w:rFonts w:hint="eastAsia" w:cs="Times New Roman"/>
          <w:lang w:val="en-US" w:eastAsia="zh-CN"/>
        </w:rPr>
        <w:t>徐工建机</w:t>
      </w:r>
      <w:r>
        <w:rPr>
          <w:rFonts w:hint="eastAsia" w:ascii="Times New Roman" w:hAnsi="Times New Roman" w:cs="Times New Roman"/>
        </w:rPr>
        <w:t>设计制造。该塔机为水平臂架、小车变幅、上回转、自升式多用途塔机。最大工作幅度</w:t>
      </w:r>
      <w:r>
        <w:rPr>
          <w:rFonts w:hint="eastAsia" w:cs="Times New Roman"/>
          <w:lang w:val="en-US" w:eastAsia="zh-CN"/>
        </w:rPr>
        <w:t>65</w:t>
      </w:r>
      <w:r>
        <w:rPr>
          <w:rFonts w:hint="eastAsia" w:ascii="Times New Roman" w:hAnsi="Times New Roman" w:cs="Times New Roman"/>
        </w:rPr>
        <w:t>米，独立起升高度</w:t>
      </w:r>
      <w:r>
        <w:rPr>
          <w:rFonts w:hint="eastAsia" w:cs="Times New Roman"/>
          <w:lang w:val="en-US" w:eastAsia="zh-CN"/>
        </w:rPr>
        <w:t>50</w:t>
      </w:r>
      <w:r>
        <w:rPr>
          <w:rFonts w:hint="eastAsia" w:ascii="Times New Roman" w:hAnsi="Times New Roman" w:cs="Times New Roman"/>
        </w:rPr>
        <w:t>米，最大额定起重量为</w:t>
      </w:r>
      <w:r>
        <w:rPr>
          <w:rFonts w:hint="eastAsia" w:cs="Times New Roman"/>
          <w:lang w:val="en-US" w:eastAsia="zh-CN"/>
        </w:rPr>
        <w:t>10</w:t>
      </w:r>
      <w:r>
        <w:rPr>
          <w:rFonts w:hint="eastAsia" w:ascii="Times New Roman" w:hAnsi="Times New Roman" w:cs="Times New Roman"/>
        </w:rPr>
        <w:t>t。主要的参数见表</w:t>
      </w:r>
      <w:r>
        <w:rPr>
          <w:rFonts w:hint="eastAsia" w:cs="Times New Roman"/>
          <w:lang w:val="en-US" w:eastAsia="zh-CN"/>
        </w:rPr>
        <w:t>3.2-3</w:t>
      </w:r>
      <w:r>
        <w:rPr>
          <w:rFonts w:hint="eastAsia" w:ascii="Times New Roman" w:hAnsi="Times New Roman" w:cs="Times New Roman"/>
          <w:lang w:eastAsia="zh-CN"/>
        </w:rPr>
        <w:t>。</w:t>
      </w:r>
    </w:p>
    <w:p w14:paraId="5B011AF1">
      <w:pPr>
        <w:ind w:firstLine="480"/>
        <w:rPr>
          <w:rFonts w:hint="default" w:ascii="Times New Roman" w:hAnsi="Times New Roman" w:cs="Times New Roman"/>
          <w:lang w:val="en-US" w:eastAsia="zh-CN"/>
        </w:rPr>
      </w:pPr>
      <w:r>
        <w:rPr>
          <w:rFonts w:hint="default" w:ascii="Times New Roman" w:hAnsi="Times New Roman" w:cs="Times New Roman"/>
        </w:rPr>
        <w:t>本工程根据实际施工需要，</w:t>
      </w:r>
      <w:r>
        <w:rPr>
          <w:rFonts w:hint="eastAsia" w:cs="Times New Roman"/>
          <w:lang w:val="en-US" w:eastAsia="zh-CN"/>
        </w:rPr>
        <w:t>1#、3#、4#</w:t>
      </w:r>
      <w:r>
        <w:rPr>
          <w:rFonts w:hint="default" w:ascii="Times New Roman" w:hAnsi="Times New Roman" w:cs="Times New Roman"/>
        </w:rPr>
        <w:t>塔机</w:t>
      </w:r>
      <w:r>
        <w:rPr>
          <w:rFonts w:hint="eastAsia" w:cs="Times New Roman"/>
          <w:lang w:val="en-US" w:eastAsia="zh-CN"/>
        </w:rPr>
        <w:t>均采用60m起重臂长,2#塔机采用70m起重臂长</w:t>
      </w:r>
      <w:r>
        <w:rPr>
          <w:rFonts w:hint="eastAsia" w:cs="Times New Roman"/>
          <w:lang w:eastAsia="zh-CN"/>
        </w:rPr>
        <w:t>。</w:t>
      </w:r>
      <w:r>
        <w:rPr>
          <w:rFonts w:hint="eastAsia" w:cs="Times New Roman"/>
          <w:lang w:val="en-US" w:eastAsia="zh-CN"/>
        </w:rPr>
        <w:t>1</w:t>
      </w:r>
      <w:r>
        <w:rPr>
          <w:rFonts w:hint="default" w:ascii="Times New Roman" w:hAnsi="Times New Roman" w:cs="Times New Roman"/>
          <w:lang w:val="en-US" w:eastAsia="zh-CN"/>
        </w:rPr>
        <w:t>#</w:t>
      </w:r>
      <w:r>
        <w:rPr>
          <w:rFonts w:hint="eastAsia" w:cs="Times New Roman"/>
          <w:lang w:val="en-US" w:eastAsia="zh-CN"/>
        </w:rPr>
        <w:t>塔</w:t>
      </w:r>
      <w:r>
        <w:rPr>
          <w:rFonts w:hint="eastAsia"/>
          <w:lang w:val="en-US" w:eastAsia="zh-CN"/>
        </w:rPr>
        <w:t>XGT6015A-8S</w:t>
      </w:r>
      <w:r>
        <w:rPr>
          <w:rFonts w:hint="eastAsia" w:cs="Times New Roman"/>
          <w:lang w:val="en-US" w:eastAsia="zh-CN"/>
        </w:rPr>
        <w:t>塔机最终安装</w:t>
      </w:r>
      <w:r>
        <w:rPr>
          <w:rFonts w:hint="default" w:ascii="Times New Roman" w:hAnsi="Times New Roman" w:cs="Times New Roman"/>
        </w:rPr>
        <w:t>高度</w:t>
      </w:r>
      <w:r>
        <w:rPr>
          <w:rFonts w:hint="default" w:ascii="Times New Roman" w:hAnsi="Times New Roman" w:cs="Times New Roman"/>
          <w:lang w:val="en-US" w:eastAsia="zh-CN"/>
        </w:rPr>
        <w:t>为</w:t>
      </w:r>
      <w:r>
        <w:rPr>
          <w:rFonts w:hint="eastAsia" w:cs="Times New Roman"/>
          <w:lang w:val="en-US" w:eastAsia="zh-CN"/>
        </w:rPr>
        <w:t>34.4</w:t>
      </w:r>
      <w:r>
        <w:rPr>
          <w:rFonts w:hint="default" w:ascii="Times New Roman" w:hAnsi="Times New Roman" w:cs="Times New Roman"/>
          <w:lang w:val="en-US" w:eastAsia="zh-CN"/>
        </w:rPr>
        <w:t>m</w:t>
      </w:r>
      <w:r>
        <w:rPr>
          <w:rFonts w:hint="default" w:ascii="Times New Roman" w:hAnsi="Times New Roman" w:cs="Times New Roman"/>
        </w:rPr>
        <w:t>（</w:t>
      </w:r>
      <w:r>
        <w:rPr>
          <w:rFonts w:hint="eastAsia" w:cs="Times New Roman"/>
          <w:lang w:val="en-US" w:eastAsia="zh-CN"/>
        </w:rPr>
        <w:t>9</w:t>
      </w:r>
      <w:r>
        <w:rPr>
          <w:rFonts w:hint="default" w:ascii="Times New Roman" w:hAnsi="Times New Roman" w:cs="Times New Roman"/>
        </w:rPr>
        <w:t>节标准节</w:t>
      </w:r>
      <w:r>
        <w:rPr>
          <w:rFonts w:hint="default" w:ascii="Times New Roman" w:hAnsi="Times New Roman" w:cs="Times New Roman"/>
          <w:lang w:eastAsia="zh-CN"/>
        </w:rPr>
        <w:t>和</w:t>
      </w:r>
      <w:r>
        <w:rPr>
          <w:rFonts w:hint="eastAsia" w:cs="Times New Roman"/>
          <w:lang w:val="en-US" w:eastAsia="zh-CN"/>
        </w:rPr>
        <w:t>1</w:t>
      </w:r>
      <w:r>
        <w:rPr>
          <w:rFonts w:hint="default" w:ascii="Times New Roman" w:hAnsi="Times New Roman" w:cs="Times New Roman"/>
          <w:lang w:val="en-US" w:eastAsia="zh-CN"/>
        </w:rPr>
        <w:t>节基础节</w:t>
      </w:r>
      <w:r>
        <w:rPr>
          <w:rFonts w:hint="default" w:ascii="Times New Roman" w:hAnsi="Times New Roman" w:cs="Times New Roman"/>
        </w:rPr>
        <w:t>），无附墙设置</w:t>
      </w:r>
      <w:r>
        <w:rPr>
          <w:rFonts w:hint="default" w:ascii="Times New Roman" w:hAnsi="Times New Roman" w:cs="Times New Roman"/>
          <w:lang w:val="en-US" w:eastAsia="zh-CN"/>
        </w:rPr>
        <w:t>。</w:t>
      </w:r>
      <w:r>
        <w:rPr>
          <w:rFonts w:hint="eastAsia" w:cs="Times New Roman"/>
          <w:lang w:val="en-US" w:eastAsia="zh-CN"/>
        </w:rPr>
        <w:t>2</w:t>
      </w:r>
      <w:r>
        <w:rPr>
          <w:rFonts w:hint="default" w:ascii="Times New Roman" w:hAnsi="Times New Roman" w:cs="Times New Roman"/>
          <w:lang w:val="en-US" w:eastAsia="zh-CN"/>
        </w:rPr>
        <w:t>#</w:t>
      </w:r>
      <w:r>
        <w:rPr>
          <w:rFonts w:hint="eastAsia" w:cs="Times New Roman"/>
          <w:lang w:val="en-US" w:eastAsia="zh-CN"/>
        </w:rPr>
        <w:t>塔</w:t>
      </w:r>
      <w:r>
        <w:rPr>
          <w:rFonts w:hint="eastAsia"/>
          <w:lang w:val="en-US" w:eastAsia="zh-CN"/>
        </w:rPr>
        <w:t>T7020-12</w:t>
      </w:r>
      <w:r>
        <w:rPr>
          <w:rFonts w:hint="eastAsia" w:cs="Times New Roman"/>
          <w:lang w:val="en-US" w:eastAsia="zh-CN"/>
        </w:rPr>
        <w:t>塔机最终安装</w:t>
      </w:r>
      <w:r>
        <w:rPr>
          <w:rFonts w:hint="default" w:ascii="Times New Roman" w:hAnsi="Times New Roman" w:cs="Times New Roman"/>
        </w:rPr>
        <w:t>高度</w:t>
      </w:r>
      <w:r>
        <w:rPr>
          <w:rFonts w:hint="default" w:ascii="Times New Roman" w:hAnsi="Times New Roman" w:cs="Times New Roman"/>
          <w:lang w:val="en-US" w:eastAsia="zh-CN"/>
        </w:rPr>
        <w:t>为</w:t>
      </w:r>
      <w:r>
        <w:rPr>
          <w:rFonts w:hint="eastAsia" w:cs="Times New Roman"/>
          <w:lang w:val="en-US" w:eastAsia="zh-CN"/>
        </w:rPr>
        <w:t>45.7</w:t>
      </w:r>
      <w:r>
        <w:rPr>
          <w:rFonts w:hint="default" w:ascii="Times New Roman" w:hAnsi="Times New Roman" w:cs="Times New Roman"/>
          <w:lang w:val="en-US" w:eastAsia="zh-CN"/>
        </w:rPr>
        <w:t>m</w:t>
      </w:r>
      <w:r>
        <w:rPr>
          <w:rFonts w:hint="default" w:ascii="Times New Roman" w:hAnsi="Times New Roman" w:cs="Times New Roman"/>
        </w:rPr>
        <w:t>（</w:t>
      </w:r>
      <w:r>
        <w:rPr>
          <w:rFonts w:hint="eastAsia" w:cs="Times New Roman"/>
          <w:lang w:val="en-US" w:eastAsia="zh-CN"/>
        </w:rPr>
        <w:t>12</w:t>
      </w:r>
      <w:r>
        <w:rPr>
          <w:rFonts w:hint="default" w:ascii="Times New Roman" w:hAnsi="Times New Roman" w:cs="Times New Roman"/>
        </w:rPr>
        <w:t>节标准节</w:t>
      </w:r>
      <w:r>
        <w:rPr>
          <w:rFonts w:hint="default" w:ascii="Times New Roman" w:hAnsi="Times New Roman" w:cs="Times New Roman"/>
          <w:lang w:eastAsia="zh-CN"/>
        </w:rPr>
        <w:t>和</w:t>
      </w:r>
      <w:r>
        <w:rPr>
          <w:rFonts w:hint="eastAsia" w:cs="Times New Roman"/>
          <w:lang w:val="en-US" w:eastAsia="zh-CN"/>
        </w:rPr>
        <w:t>1</w:t>
      </w:r>
      <w:r>
        <w:rPr>
          <w:rFonts w:hint="default" w:ascii="Times New Roman" w:hAnsi="Times New Roman" w:cs="Times New Roman"/>
          <w:lang w:val="en-US" w:eastAsia="zh-CN"/>
        </w:rPr>
        <w:t>节基础节</w:t>
      </w:r>
      <w:r>
        <w:rPr>
          <w:rFonts w:hint="default" w:ascii="Times New Roman" w:hAnsi="Times New Roman" w:cs="Times New Roman"/>
        </w:rPr>
        <w:t>），无附墙设置</w:t>
      </w:r>
      <w:r>
        <w:rPr>
          <w:rFonts w:hint="default" w:ascii="Times New Roman" w:hAnsi="Times New Roman" w:cs="Times New Roman"/>
          <w:lang w:val="en-US" w:eastAsia="zh-CN"/>
        </w:rPr>
        <w:t>。</w:t>
      </w:r>
      <w:r>
        <w:rPr>
          <w:rFonts w:hint="eastAsia" w:cs="Times New Roman"/>
          <w:lang w:val="en-US" w:eastAsia="zh-CN"/>
        </w:rPr>
        <w:t>3</w:t>
      </w:r>
      <w:r>
        <w:rPr>
          <w:rFonts w:hint="default" w:ascii="Times New Roman" w:hAnsi="Times New Roman" w:cs="Times New Roman"/>
          <w:lang w:val="en-US" w:eastAsia="zh-CN"/>
        </w:rPr>
        <w:t>#</w:t>
      </w:r>
      <w:r>
        <w:rPr>
          <w:rFonts w:hint="eastAsia" w:cs="Times New Roman"/>
          <w:lang w:val="en-US" w:eastAsia="zh-CN"/>
        </w:rPr>
        <w:t>塔</w:t>
      </w:r>
      <w:r>
        <w:rPr>
          <w:rFonts w:hint="eastAsia"/>
          <w:lang w:val="en-US" w:eastAsia="zh-CN"/>
        </w:rPr>
        <w:t>XGT6015A-8S</w:t>
      </w:r>
      <w:r>
        <w:rPr>
          <w:rFonts w:hint="eastAsia" w:cs="Times New Roman"/>
          <w:lang w:val="en-US" w:eastAsia="zh-CN"/>
        </w:rPr>
        <w:t>塔机最终安装</w:t>
      </w:r>
      <w:r>
        <w:rPr>
          <w:rFonts w:hint="default" w:ascii="Times New Roman" w:hAnsi="Times New Roman" w:cs="Times New Roman"/>
        </w:rPr>
        <w:t>高度</w:t>
      </w:r>
      <w:r>
        <w:rPr>
          <w:rFonts w:hint="default" w:ascii="Times New Roman" w:hAnsi="Times New Roman" w:cs="Times New Roman"/>
          <w:lang w:val="en-US" w:eastAsia="zh-CN"/>
        </w:rPr>
        <w:t>为</w:t>
      </w:r>
      <w:r>
        <w:rPr>
          <w:rFonts w:hint="eastAsia" w:cs="Times New Roman"/>
          <w:lang w:val="en-US" w:eastAsia="zh-CN"/>
        </w:rPr>
        <w:t>31.6</w:t>
      </w:r>
      <w:r>
        <w:rPr>
          <w:rFonts w:hint="default" w:ascii="Times New Roman" w:hAnsi="Times New Roman" w:cs="Times New Roman"/>
          <w:lang w:val="en-US" w:eastAsia="zh-CN"/>
        </w:rPr>
        <w:t>m</w:t>
      </w:r>
      <w:r>
        <w:rPr>
          <w:rFonts w:hint="default" w:ascii="Times New Roman" w:hAnsi="Times New Roman" w:cs="Times New Roman"/>
        </w:rPr>
        <w:t>（</w:t>
      </w:r>
      <w:r>
        <w:rPr>
          <w:rFonts w:hint="eastAsia" w:cs="Times New Roman"/>
          <w:lang w:val="en-US" w:eastAsia="zh-CN"/>
        </w:rPr>
        <w:t>8</w:t>
      </w:r>
      <w:r>
        <w:rPr>
          <w:rFonts w:hint="default" w:ascii="Times New Roman" w:hAnsi="Times New Roman" w:cs="Times New Roman"/>
        </w:rPr>
        <w:t>节标准节</w:t>
      </w:r>
      <w:r>
        <w:rPr>
          <w:rFonts w:hint="default" w:ascii="Times New Roman" w:hAnsi="Times New Roman" w:cs="Times New Roman"/>
          <w:lang w:eastAsia="zh-CN"/>
        </w:rPr>
        <w:t>和</w:t>
      </w:r>
      <w:r>
        <w:rPr>
          <w:rFonts w:hint="eastAsia" w:cs="Times New Roman"/>
          <w:lang w:val="en-US" w:eastAsia="zh-CN"/>
        </w:rPr>
        <w:t>1</w:t>
      </w:r>
      <w:r>
        <w:rPr>
          <w:rFonts w:hint="default" w:ascii="Times New Roman" w:hAnsi="Times New Roman" w:cs="Times New Roman"/>
          <w:lang w:val="en-US" w:eastAsia="zh-CN"/>
        </w:rPr>
        <w:t>节基础节</w:t>
      </w:r>
      <w:r>
        <w:rPr>
          <w:rFonts w:hint="default" w:ascii="Times New Roman" w:hAnsi="Times New Roman" w:cs="Times New Roman"/>
        </w:rPr>
        <w:t>），无附墙设置</w:t>
      </w:r>
      <w:r>
        <w:rPr>
          <w:rFonts w:hint="default" w:ascii="Times New Roman" w:hAnsi="Times New Roman" w:cs="Times New Roman"/>
          <w:lang w:val="en-US" w:eastAsia="zh-CN"/>
        </w:rPr>
        <w:t>。</w:t>
      </w:r>
      <w:r>
        <w:rPr>
          <w:rFonts w:hint="eastAsia" w:cs="Times New Roman"/>
          <w:lang w:val="en-US" w:eastAsia="zh-CN"/>
        </w:rPr>
        <w:t>4</w:t>
      </w:r>
      <w:r>
        <w:rPr>
          <w:rFonts w:hint="default" w:ascii="Times New Roman" w:hAnsi="Times New Roman" w:cs="Times New Roman"/>
          <w:lang w:val="en-US" w:eastAsia="zh-CN"/>
        </w:rPr>
        <w:t>#</w:t>
      </w:r>
      <w:r>
        <w:rPr>
          <w:rFonts w:hint="eastAsia" w:cs="Times New Roman"/>
          <w:lang w:val="en-US" w:eastAsia="zh-CN"/>
        </w:rPr>
        <w:t>塔</w:t>
      </w:r>
      <w:r>
        <w:rPr>
          <w:rFonts w:hint="eastAsia"/>
          <w:lang w:val="en-US" w:eastAsia="zh-CN"/>
        </w:rPr>
        <w:t>XGT6515D-10S</w:t>
      </w:r>
      <w:r>
        <w:rPr>
          <w:rFonts w:hint="eastAsia" w:cs="Times New Roman"/>
          <w:lang w:val="en-US" w:eastAsia="zh-CN"/>
        </w:rPr>
        <w:t>塔机最终安装</w:t>
      </w:r>
      <w:r>
        <w:rPr>
          <w:rFonts w:hint="default" w:ascii="Times New Roman" w:hAnsi="Times New Roman" w:cs="Times New Roman"/>
        </w:rPr>
        <w:t>高度</w:t>
      </w:r>
      <w:r>
        <w:rPr>
          <w:rFonts w:hint="default" w:ascii="Times New Roman" w:hAnsi="Times New Roman" w:cs="Times New Roman"/>
          <w:lang w:val="en-US" w:eastAsia="zh-CN"/>
        </w:rPr>
        <w:t>为</w:t>
      </w:r>
      <w:r>
        <w:rPr>
          <w:rFonts w:hint="eastAsia" w:cs="Times New Roman"/>
          <w:lang w:val="en-US" w:eastAsia="zh-CN"/>
        </w:rPr>
        <w:t>47</w:t>
      </w:r>
      <w:r>
        <w:rPr>
          <w:rFonts w:hint="default" w:ascii="Times New Roman" w:hAnsi="Times New Roman" w:cs="Times New Roman"/>
          <w:lang w:val="en-US" w:eastAsia="zh-CN"/>
        </w:rPr>
        <w:t>m</w:t>
      </w:r>
      <w:r>
        <w:rPr>
          <w:rFonts w:hint="default" w:ascii="Times New Roman" w:hAnsi="Times New Roman" w:cs="Times New Roman"/>
        </w:rPr>
        <w:t>（</w:t>
      </w:r>
      <w:r>
        <w:rPr>
          <w:rFonts w:hint="eastAsia" w:cs="Times New Roman"/>
          <w:lang w:val="en-US" w:eastAsia="zh-CN"/>
        </w:rPr>
        <w:t>10</w:t>
      </w:r>
      <w:r>
        <w:rPr>
          <w:rFonts w:hint="default" w:ascii="Times New Roman" w:hAnsi="Times New Roman" w:cs="Times New Roman"/>
        </w:rPr>
        <w:t>节标准节</w:t>
      </w:r>
      <w:r>
        <w:rPr>
          <w:rFonts w:hint="default" w:ascii="Times New Roman" w:hAnsi="Times New Roman" w:cs="Times New Roman"/>
          <w:lang w:eastAsia="zh-CN"/>
        </w:rPr>
        <w:t>和</w:t>
      </w:r>
      <w:r>
        <w:rPr>
          <w:rFonts w:hint="eastAsia" w:cs="Times New Roman"/>
          <w:lang w:val="en-US" w:eastAsia="zh-CN"/>
        </w:rPr>
        <w:t>2</w:t>
      </w:r>
      <w:r>
        <w:rPr>
          <w:rFonts w:hint="default" w:ascii="Times New Roman" w:hAnsi="Times New Roman" w:cs="Times New Roman"/>
          <w:lang w:val="en-US" w:eastAsia="zh-CN"/>
        </w:rPr>
        <w:t>节基础节</w:t>
      </w:r>
      <w:r>
        <w:rPr>
          <w:rFonts w:hint="default" w:ascii="Times New Roman" w:hAnsi="Times New Roman" w:cs="Times New Roman"/>
        </w:rPr>
        <w:t>），无附墙设置</w:t>
      </w:r>
      <w:r>
        <w:rPr>
          <w:rFonts w:hint="default" w:ascii="Times New Roman" w:hAnsi="Times New Roman" w:cs="Times New Roman"/>
          <w:lang w:val="en-US" w:eastAsia="zh-CN"/>
        </w:rPr>
        <w:t>。</w:t>
      </w:r>
    </w:p>
    <w:p w14:paraId="2A6E183E">
      <w:pPr>
        <w:pStyle w:val="3"/>
        <w:bidi w:val="0"/>
        <w:ind w:left="575" w:leftChars="0" w:hanging="575" w:firstLineChars="0"/>
      </w:pPr>
      <w:bookmarkStart w:id="121" w:name="_Toc591"/>
      <w:r>
        <w:rPr>
          <w:rFonts w:hint="eastAsia"/>
        </w:rPr>
        <w:t>塔机性能与参数</w:t>
      </w:r>
      <w:bookmarkEnd w:id="121"/>
    </w:p>
    <w:p w14:paraId="36222DD5">
      <w:pPr>
        <w:pStyle w:val="16"/>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t xml:space="preserve">表 </w:t>
      </w:r>
      <w:r>
        <w:fldChar w:fldCharType="begin"/>
      </w:r>
      <w:r>
        <w:instrText xml:space="preserve"> STYLEREF 2 \s </w:instrText>
      </w:r>
      <w:r>
        <w:fldChar w:fldCharType="separate"/>
      </w:r>
      <w:r>
        <w:t>3.2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XGT6015A-8S塔机主要技术参数</w:t>
      </w:r>
    </w:p>
    <w:p w14:paraId="741F1240">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Cambria" w:hAnsi="Cambria" w:eastAsia="黑体" w:cs="Times New Roman"/>
          <w:kern w:val="2"/>
          <w:sz w:val="20"/>
          <w:szCs w:val="20"/>
          <w:lang w:val="en-US" w:eastAsia="zh-CN" w:bidi="ar-SA"/>
        </w:rPr>
      </w:pPr>
      <w:r>
        <w:drawing>
          <wp:inline distT="0" distB="0" distL="114300" distR="114300">
            <wp:extent cx="5038725" cy="619125"/>
            <wp:effectExtent l="0" t="0" r="9525" b="9525"/>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13"/>
                    <a:stretch>
                      <a:fillRect/>
                    </a:stretch>
                  </pic:blipFill>
                  <pic:spPr>
                    <a:xfrm>
                      <a:off x="0" y="0"/>
                      <a:ext cx="5038725" cy="619125"/>
                    </a:xfrm>
                    <a:prstGeom prst="rect">
                      <a:avLst/>
                    </a:prstGeom>
                    <a:noFill/>
                    <a:ln>
                      <a:noFill/>
                    </a:ln>
                  </pic:spPr>
                </pic:pic>
              </a:graphicData>
            </a:graphic>
          </wp:inline>
        </w:drawing>
      </w:r>
      <w:r>
        <w:drawing>
          <wp:inline distT="0" distB="0" distL="114300" distR="114300">
            <wp:extent cx="4933950" cy="7324725"/>
            <wp:effectExtent l="0" t="0" r="0" b="9525"/>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14"/>
                    <a:stretch>
                      <a:fillRect/>
                    </a:stretch>
                  </pic:blipFill>
                  <pic:spPr>
                    <a:xfrm>
                      <a:off x="0" y="0"/>
                      <a:ext cx="4933950" cy="7324725"/>
                    </a:xfrm>
                    <a:prstGeom prst="rect">
                      <a:avLst/>
                    </a:prstGeom>
                    <a:noFill/>
                    <a:ln>
                      <a:noFill/>
                    </a:ln>
                  </pic:spPr>
                </pic:pic>
              </a:graphicData>
            </a:graphic>
          </wp:inline>
        </w:drawing>
      </w:r>
      <w:r>
        <w:rPr>
          <w:rFonts w:ascii="Cambria" w:hAnsi="Cambria" w:eastAsia="黑体" w:cs="Times New Roman"/>
          <w:kern w:val="2"/>
          <w:sz w:val="20"/>
          <w:szCs w:val="20"/>
          <w:lang w:val="en-US" w:eastAsia="zh-CN" w:bidi="ar-SA"/>
        </w:rPr>
        <w:drawing>
          <wp:inline distT="0" distB="0" distL="114300" distR="114300">
            <wp:extent cx="4953000" cy="1228725"/>
            <wp:effectExtent l="0" t="0" r="0" b="952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15"/>
                    <a:stretch>
                      <a:fillRect/>
                    </a:stretch>
                  </pic:blipFill>
                  <pic:spPr>
                    <a:xfrm>
                      <a:off x="0" y="0"/>
                      <a:ext cx="4953000" cy="1228725"/>
                    </a:xfrm>
                    <a:prstGeom prst="rect">
                      <a:avLst/>
                    </a:prstGeom>
                    <a:noFill/>
                    <a:ln>
                      <a:noFill/>
                    </a:ln>
                  </pic:spPr>
                </pic:pic>
              </a:graphicData>
            </a:graphic>
          </wp:inline>
        </w:drawing>
      </w:r>
      <w:bookmarkStart w:id="122" w:name="_Toc522109871"/>
      <w:bookmarkStart w:id="123" w:name="_Toc525053747"/>
      <w:bookmarkStart w:id="124" w:name="_Toc521920693"/>
      <w:bookmarkStart w:id="125" w:name="_Toc522109637"/>
      <w:bookmarkStart w:id="126" w:name="_Toc520882276"/>
      <w:bookmarkStart w:id="127" w:name="_Toc525111760"/>
    </w:p>
    <w:p w14:paraId="4D5C16A2">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center"/>
        <w:textAlignment w:val="auto"/>
        <w:rPr>
          <w:rFonts w:ascii="Cambria" w:hAnsi="Cambria" w:eastAsia="黑体" w:cs="Times New Roman"/>
          <w:kern w:val="2"/>
          <w:sz w:val="20"/>
          <w:szCs w:val="20"/>
          <w:lang w:val="en-US" w:eastAsia="zh-CN" w:bidi="ar-SA"/>
        </w:rPr>
      </w:pPr>
    </w:p>
    <w:p w14:paraId="286A7461">
      <w:pPr>
        <w:pStyle w:val="16"/>
        <w:keepNext w:val="0"/>
        <w:keepLines w:val="0"/>
        <w:pageBreakBefore w:val="0"/>
        <w:widowControl w:val="0"/>
        <w:kinsoku/>
        <w:wordWrap/>
        <w:overflowPunct/>
        <w:topLinePunct w:val="0"/>
        <w:autoSpaceDE/>
        <w:autoSpaceDN/>
        <w:bidi w:val="0"/>
        <w:adjustRightInd/>
        <w:snapToGrid w:val="0"/>
        <w:spacing w:line="240" w:lineRule="auto"/>
        <w:jc w:val="center"/>
        <w:textAlignment w:val="auto"/>
      </w:pPr>
      <w:r>
        <w:rPr>
          <w:rFonts w:ascii="Cambria" w:hAnsi="Cambria" w:eastAsia="黑体" w:cs="Times New Roman"/>
          <w:kern w:val="2"/>
          <w:sz w:val="20"/>
          <w:szCs w:val="20"/>
          <w:lang w:val="en-US" w:eastAsia="zh-CN" w:bidi="ar-SA"/>
        </w:rPr>
        <w:t xml:space="preserve">表 </w:t>
      </w:r>
      <w:r>
        <w:rPr>
          <w:rFonts w:ascii="Cambria" w:hAnsi="Cambria" w:eastAsia="黑体" w:cs="Times New Roman"/>
          <w:kern w:val="2"/>
          <w:sz w:val="20"/>
          <w:szCs w:val="20"/>
          <w:lang w:val="en-US" w:eastAsia="zh-CN" w:bidi="ar-SA"/>
        </w:rPr>
        <w:fldChar w:fldCharType="begin"/>
      </w:r>
      <w:r>
        <w:rPr>
          <w:rFonts w:ascii="Cambria" w:hAnsi="Cambria" w:eastAsia="黑体" w:cs="Times New Roman"/>
          <w:kern w:val="2"/>
          <w:sz w:val="20"/>
          <w:szCs w:val="20"/>
          <w:lang w:val="en-US" w:eastAsia="zh-CN" w:bidi="ar-SA"/>
        </w:rPr>
        <w:instrText xml:space="preserve"> STYLEREF 2 \s </w:instrText>
      </w:r>
      <w:r>
        <w:rPr>
          <w:rFonts w:ascii="Cambria" w:hAnsi="Cambria" w:eastAsia="黑体" w:cs="Times New Roman"/>
          <w:kern w:val="2"/>
          <w:sz w:val="20"/>
          <w:szCs w:val="20"/>
          <w:lang w:val="en-US" w:eastAsia="zh-CN" w:bidi="ar-SA"/>
        </w:rPr>
        <w:fldChar w:fldCharType="separate"/>
      </w:r>
      <w:r>
        <w:rPr>
          <w:rFonts w:ascii="Cambria" w:hAnsi="Cambria" w:eastAsia="黑体" w:cs="Times New Roman"/>
          <w:kern w:val="2"/>
          <w:sz w:val="20"/>
          <w:szCs w:val="20"/>
          <w:lang w:val="en-US" w:eastAsia="zh-CN" w:bidi="ar-SA"/>
        </w:rPr>
        <w:t>3.2</w:t>
      </w:r>
      <w:r>
        <w:rPr>
          <w:rFonts w:ascii="Cambria" w:hAnsi="Cambria" w:eastAsia="黑体" w:cs="Times New Roman"/>
          <w:kern w:val="2"/>
          <w:sz w:val="20"/>
          <w:szCs w:val="20"/>
          <w:lang w:val="en-US" w:eastAsia="zh-CN" w:bidi="ar-SA"/>
        </w:rPr>
        <w:fldChar w:fldCharType="end"/>
      </w:r>
      <w:r>
        <w:rPr>
          <w:rFonts w:hint="eastAsia" w:ascii="Cambria" w:hAnsi="Cambria" w:eastAsia="黑体" w:cs="Times New Roman"/>
          <w:kern w:val="2"/>
          <w:sz w:val="20"/>
          <w:szCs w:val="20"/>
          <w:lang w:val="en-US" w:eastAsia="zh-CN" w:bidi="ar-SA"/>
        </w:rPr>
        <w:t>-</w:t>
      </w:r>
      <w:r>
        <w:rPr>
          <w:rFonts w:ascii="Cambria" w:hAnsi="Cambria" w:eastAsia="黑体" w:cs="Times New Roman"/>
          <w:kern w:val="2"/>
          <w:sz w:val="20"/>
          <w:szCs w:val="20"/>
          <w:lang w:val="en-US" w:eastAsia="zh-CN" w:bidi="ar-SA"/>
        </w:rPr>
        <w:fldChar w:fldCharType="begin"/>
      </w:r>
      <w:r>
        <w:rPr>
          <w:rFonts w:ascii="Cambria" w:hAnsi="Cambria" w:eastAsia="黑体" w:cs="Times New Roman"/>
          <w:kern w:val="2"/>
          <w:sz w:val="20"/>
          <w:szCs w:val="20"/>
          <w:lang w:val="en-US" w:eastAsia="zh-CN" w:bidi="ar-SA"/>
        </w:rPr>
        <w:instrText xml:space="preserve"> SEQ 表 \* ARABIC \s 2 </w:instrText>
      </w:r>
      <w:r>
        <w:rPr>
          <w:rFonts w:ascii="Cambria" w:hAnsi="Cambria" w:eastAsia="黑体" w:cs="Times New Roman"/>
          <w:kern w:val="2"/>
          <w:sz w:val="20"/>
          <w:szCs w:val="20"/>
          <w:lang w:val="en-US" w:eastAsia="zh-CN" w:bidi="ar-SA"/>
        </w:rPr>
        <w:fldChar w:fldCharType="separate"/>
      </w:r>
      <w:r>
        <w:rPr>
          <w:rFonts w:ascii="Cambria" w:hAnsi="Cambria" w:eastAsia="黑体" w:cs="Times New Roman"/>
          <w:kern w:val="2"/>
          <w:sz w:val="20"/>
          <w:szCs w:val="20"/>
          <w:lang w:val="en-US" w:eastAsia="zh-CN" w:bidi="ar-SA"/>
        </w:rPr>
        <w:t>2</w:t>
      </w:r>
      <w:r>
        <w:rPr>
          <w:rFonts w:ascii="Cambria" w:hAnsi="Cambria" w:eastAsia="黑体" w:cs="Times New Roman"/>
          <w:kern w:val="2"/>
          <w:sz w:val="20"/>
          <w:szCs w:val="20"/>
          <w:lang w:val="en-US" w:eastAsia="zh-CN" w:bidi="ar-SA"/>
        </w:rPr>
        <w:fldChar w:fldCharType="end"/>
      </w:r>
      <w:r>
        <w:rPr>
          <w:rFonts w:hint="eastAsia" w:cs="Times New Roman"/>
          <w:kern w:val="2"/>
          <w:sz w:val="20"/>
          <w:szCs w:val="20"/>
          <w:lang w:val="en-US" w:eastAsia="zh-CN" w:bidi="ar-SA"/>
        </w:rPr>
        <w:t xml:space="preserve">  </w:t>
      </w:r>
      <w:r>
        <w:rPr>
          <w:rFonts w:hint="eastAsia" w:ascii="Cambria" w:hAnsi="Cambria" w:eastAsia="黑体" w:cs="Times New Roman"/>
          <w:kern w:val="2"/>
          <w:sz w:val="20"/>
          <w:szCs w:val="20"/>
          <w:lang w:val="en-US" w:eastAsia="zh-CN" w:bidi="ar-SA"/>
        </w:rPr>
        <w:t>T</w:t>
      </w:r>
      <w:r>
        <w:rPr>
          <w:rFonts w:hint="eastAsia" w:cs="Times New Roman"/>
          <w:kern w:val="2"/>
          <w:sz w:val="20"/>
          <w:szCs w:val="20"/>
          <w:lang w:val="en-US" w:eastAsia="zh-CN" w:bidi="ar-SA"/>
        </w:rPr>
        <w:t>7020</w:t>
      </w:r>
      <w:r>
        <w:rPr>
          <w:rFonts w:hint="eastAsia" w:ascii="Cambria" w:hAnsi="Cambria" w:eastAsia="黑体" w:cs="Times New Roman"/>
          <w:kern w:val="2"/>
          <w:sz w:val="20"/>
          <w:szCs w:val="20"/>
          <w:lang w:val="en-US" w:eastAsia="zh-CN" w:bidi="ar-SA"/>
        </w:rPr>
        <w:t>-</w:t>
      </w:r>
      <w:r>
        <w:rPr>
          <w:rFonts w:hint="eastAsia" w:cs="Times New Roman"/>
          <w:kern w:val="2"/>
          <w:sz w:val="20"/>
          <w:szCs w:val="20"/>
          <w:lang w:val="en-US" w:eastAsia="zh-CN" w:bidi="ar-SA"/>
        </w:rPr>
        <w:t>12</w:t>
      </w:r>
      <w:r>
        <w:rPr>
          <w:rFonts w:hint="eastAsia" w:ascii="Cambria" w:hAnsi="Cambria" w:eastAsia="黑体" w:cs="Times New Roman"/>
          <w:kern w:val="2"/>
          <w:sz w:val="20"/>
          <w:szCs w:val="20"/>
          <w:lang w:val="en-US" w:eastAsia="zh-CN" w:bidi="ar-SA"/>
        </w:rPr>
        <w:t>塔机主要技术参数</w:t>
      </w:r>
      <w:r>
        <w:drawing>
          <wp:inline distT="0" distB="0" distL="114300" distR="114300">
            <wp:extent cx="5958840" cy="8193405"/>
            <wp:effectExtent l="0" t="0" r="3810" b="1714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6"/>
                    <a:stretch>
                      <a:fillRect/>
                    </a:stretch>
                  </pic:blipFill>
                  <pic:spPr>
                    <a:xfrm>
                      <a:off x="0" y="0"/>
                      <a:ext cx="5958840" cy="8193405"/>
                    </a:xfrm>
                    <a:prstGeom prst="rect">
                      <a:avLst/>
                    </a:prstGeom>
                    <a:noFill/>
                    <a:ln>
                      <a:noFill/>
                    </a:ln>
                  </pic:spPr>
                </pic:pic>
              </a:graphicData>
            </a:graphic>
          </wp:inline>
        </w:drawing>
      </w:r>
    </w:p>
    <w:p w14:paraId="5C6EFA71">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p w14:paraId="74B1F6E2">
      <w:pPr>
        <w:pStyle w:val="16"/>
        <w:keepNext w:val="0"/>
        <w:keepLines w:val="0"/>
        <w:pageBreakBefore w:val="0"/>
        <w:widowControl w:val="0"/>
        <w:kinsoku/>
        <w:wordWrap/>
        <w:overflowPunct/>
        <w:topLinePunct w:val="0"/>
        <w:autoSpaceDE/>
        <w:autoSpaceDN/>
        <w:bidi w:val="0"/>
        <w:adjustRightInd/>
        <w:snapToGrid/>
        <w:spacing w:line="240" w:lineRule="auto"/>
        <w:textAlignment w:val="auto"/>
      </w:pPr>
    </w:p>
    <w:p w14:paraId="673F472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黑体"/>
          <w:lang w:val="en-US" w:eastAsia="zh-CN"/>
        </w:rPr>
      </w:pPr>
      <w:r>
        <w:t xml:space="preserve">表 </w:t>
      </w:r>
      <w:r>
        <w:fldChar w:fldCharType="begin"/>
      </w:r>
      <w:r>
        <w:instrText xml:space="preserve"> STYLEREF 2 \s </w:instrText>
      </w:r>
      <w:r>
        <w:fldChar w:fldCharType="separate"/>
      </w:r>
      <w:r>
        <w:t>3.2</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XGT6515D-10S</w:t>
      </w:r>
      <w:r>
        <w:rPr>
          <w:rFonts w:hint="eastAsia" w:ascii="Cambria" w:hAnsi="Cambria" w:eastAsia="黑体" w:cs="Times New Roman"/>
          <w:kern w:val="2"/>
          <w:sz w:val="20"/>
          <w:szCs w:val="20"/>
          <w:lang w:val="en-US" w:eastAsia="zh-CN" w:bidi="ar-SA"/>
        </w:rPr>
        <w:t>塔机主要技术参数</w:t>
      </w:r>
    </w:p>
    <w:p w14:paraId="248D5CDD">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rPr>
      </w:pPr>
      <w:r>
        <w:drawing>
          <wp:inline distT="0" distB="0" distL="114300" distR="114300">
            <wp:extent cx="5476875" cy="7372350"/>
            <wp:effectExtent l="0" t="0" r="9525" b="0"/>
            <wp:docPr id="1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pic:cNvPicPr>
                      <a:picLocks noChangeAspect="1"/>
                    </pic:cNvPicPr>
                  </pic:nvPicPr>
                  <pic:blipFill>
                    <a:blip r:embed="rId17"/>
                    <a:stretch>
                      <a:fillRect/>
                    </a:stretch>
                  </pic:blipFill>
                  <pic:spPr>
                    <a:xfrm>
                      <a:off x="0" y="0"/>
                      <a:ext cx="5476875" cy="7372350"/>
                    </a:xfrm>
                    <a:prstGeom prst="rect">
                      <a:avLst/>
                    </a:prstGeom>
                    <a:noFill/>
                    <a:ln>
                      <a:noFill/>
                    </a:ln>
                  </pic:spPr>
                </pic:pic>
              </a:graphicData>
            </a:graphic>
          </wp:inline>
        </w:drawing>
      </w:r>
    </w:p>
    <w:bookmarkEnd w:id="122"/>
    <w:bookmarkEnd w:id="123"/>
    <w:bookmarkEnd w:id="124"/>
    <w:bookmarkEnd w:id="125"/>
    <w:bookmarkEnd w:id="126"/>
    <w:bookmarkEnd w:id="127"/>
    <w:p w14:paraId="45D43BE9">
      <w:pPr>
        <w:pStyle w:val="16"/>
        <w:keepNext/>
        <w:keepLines w:val="0"/>
        <w:pageBreakBefore w:val="0"/>
        <w:widowControl w:val="0"/>
        <w:kinsoku/>
        <w:wordWrap/>
        <w:overflowPunct/>
        <w:topLinePunct w:val="0"/>
        <w:autoSpaceDE/>
        <w:autoSpaceDN/>
        <w:bidi w:val="0"/>
        <w:adjustRightInd/>
        <w:snapToGrid/>
        <w:spacing w:line="240" w:lineRule="auto"/>
        <w:jc w:val="center"/>
        <w:textAlignment w:val="auto"/>
        <w:rPr>
          <w:rFonts w:cs="Times New Roman"/>
        </w:rPr>
      </w:pPr>
      <w:r>
        <w:rPr>
          <w:rFonts w:cs="Times New Roman"/>
        </w:rPr>
        <w:t xml:space="preserve">表 </w:t>
      </w:r>
      <w:r>
        <w:rPr>
          <w:rFonts w:cs="Times New Roman"/>
        </w:rPr>
        <w:fldChar w:fldCharType="begin"/>
      </w:r>
      <w:r>
        <w:rPr>
          <w:rFonts w:cs="Times New Roman"/>
        </w:rPr>
        <w:instrText xml:space="preserve"> STYLEREF 2 \s </w:instrText>
      </w:r>
      <w:r>
        <w:rPr>
          <w:rFonts w:cs="Times New Roman"/>
        </w:rPr>
        <w:fldChar w:fldCharType="separate"/>
      </w:r>
      <w:r>
        <w:rPr>
          <w:rFonts w:cs="Times New Roman"/>
        </w:rPr>
        <w:t>3.2</w:t>
      </w:r>
      <w:r>
        <w:rPr>
          <w:rFonts w:cs="Times New Roman"/>
        </w:rPr>
        <w:fldChar w:fldCharType="end"/>
      </w:r>
      <w:r>
        <w:rPr>
          <w:rFonts w:hint="eastAsia" w:cs="Times New Roman"/>
          <w:lang w:eastAsia="zh-CN"/>
        </w:rPr>
        <w:t>-</w:t>
      </w:r>
      <w:r>
        <w:rPr>
          <w:rFonts w:cs="Times New Roman"/>
        </w:rPr>
        <w:fldChar w:fldCharType="begin"/>
      </w:r>
      <w:r>
        <w:rPr>
          <w:rFonts w:cs="Times New Roman"/>
        </w:rPr>
        <w:instrText xml:space="preserve"> SEQ 表 \* ARABIC \s 2 </w:instrText>
      </w:r>
      <w:r>
        <w:rPr>
          <w:rFonts w:cs="Times New Roman"/>
        </w:rPr>
        <w:fldChar w:fldCharType="separate"/>
      </w:r>
      <w:r>
        <w:rPr>
          <w:rFonts w:cs="Times New Roman"/>
        </w:rPr>
        <w:t>4</w:t>
      </w:r>
      <w:r>
        <w:rPr>
          <w:rFonts w:cs="Times New Roman"/>
        </w:rPr>
        <w:fldChar w:fldCharType="end"/>
      </w:r>
      <w:r>
        <w:rPr>
          <w:rFonts w:hint="eastAsia" w:cs="Times New Roman"/>
          <w:lang w:val="en-US" w:eastAsia="zh-CN"/>
        </w:rPr>
        <w:t xml:space="preserve"> </w:t>
      </w:r>
      <w:r>
        <w:rPr>
          <w:rFonts w:hint="eastAsia"/>
          <w:lang w:val="en-US" w:eastAsia="zh-CN"/>
        </w:rPr>
        <w:t>XGT6015A-8S</w:t>
      </w:r>
      <w:r>
        <w:rPr>
          <w:rFonts w:hint="eastAsia" w:cs="Times New Roman"/>
          <w:lang w:val="en-US" w:eastAsia="zh-CN"/>
        </w:rPr>
        <w:t>塔机起重特性一览表</w:t>
      </w:r>
    </w:p>
    <w:p w14:paraId="79079E38">
      <w:pPr>
        <w:keepNext w:val="0"/>
        <w:keepLines w:val="0"/>
        <w:pageBreakBefore w:val="0"/>
        <w:widowControl w:val="0"/>
        <w:kinsoku/>
        <w:wordWrap/>
        <w:overflowPunct/>
        <w:topLinePunct w:val="0"/>
        <w:autoSpaceDE/>
        <w:autoSpaceDN/>
        <w:bidi w:val="0"/>
        <w:adjustRightInd/>
        <w:snapToGrid/>
        <w:spacing w:line="240" w:lineRule="atLeast"/>
        <w:textAlignment w:val="auto"/>
      </w:pPr>
      <w:r>
        <w:drawing>
          <wp:inline distT="0" distB="0" distL="114300" distR="114300">
            <wp:extent cx="5271770" cy="2912110"/>
            <wp:effectExtent l="0" t="0" r="5080" b="2540"/>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18"/>
                    <a:stretch>
                      <a:fillRect/>
                    </a:stretch>
                  </pic:blipFill>
                  <pic:spPr>
                    <a:xfrm>
                      <a:off x="0" y="0"/>
                      <a:ext cx="5271770" cy="2912110"/>
                    </a:xfrm>
                    <a:prstGeom prst="rect">
                      <a:avLst/>
                    </a:prstGeom>
                    <a:noFill/>
                    <a:ln>
                      <a:noFill/>
                    </a:ln>
                  </pic:spPr>
                </pic:pic>
              </a:graphicData>
            </a:graphic>
          </wp:inline>
        </w:drawing>
      </w:r>
    </w:p>
    <w:p w14:paraId="708A7312">
      <w:pPr>
        <w:pStyle w:val="16"/>
        <w:keepNext w:val="0"/>
        <w:keepLines w:val="0"/>
        <w:pageBreakBefore w:val="0"/>
        <w:widowControl w:val="0"/>
        <w:kinsoku/>
        <w:wordWrap/>
        <w:overflowPunct/>
        <w:topLinePunct w:val="0"/>
        <w:autoSpaceDE/>
        <w:autoSpaceDN/>
        <w:bidi w:val="0"/>
        <w:adjustRightInd/>
        <w:snapToGrid/>
        <w:spacing w:line="240" w:lineRule="atLeast"/>
        <w:jc w:val="center"/>
        <w:textAlignment w:val="auto"/>
      </w:pPr>
      <w:r>
        <w:rPr>
          <w:rFonts w:cs="Times New Roman"/>
        </w:rPr>
        <w:t xml:space="preserve">表 </w:t>
      </w:r>
      <w:r>
        <w:rPr>
          <w:rFonts w:cs="Times New Roman"/>
        </w:rPr>
        <w:fldChar w:fldCharType="begin"/>
      </w:r>
      <w:r>
        <w:rPr>
          <w:rFonts w:cs="Times New Roman"/>
        </w:rPr>
        <w:instrText xml:space="preserve"> STYLEREF 2 \s </w:instrText>
      </w:r>
      <w:r>
        <w:rPr>
          <w:rFonts w:cs="Times New Roman"/>
        </w:rPr>
        <w:fldChar w:fldCharType="separate"/>
      </w:r>
      <w:r>
        <w:rPr>
          <w:rFonts w:cs="Times New Roman"/>
        </w:rPr>
        <w:t>3.2</w:t>
      </w:r>
      <w:r>
        <w:rPr>
          <w:rFonts w:cs="Times New Roman"/>
        </w:rPr>
        <w:fldChar w:fldCharType="end"/>
      </w:r>
      <w:r>
        <w:rPr>
          <w:rFonts w:hint="eastAsia" w:cs="Times New Roman"/>
          <w:lang w:eastAsia="zh-CN"/>
        </w:rPr>
        <w:t>-</w:t>
      </w:r>
      <w:r>
        <w:rPr>
          <w:rFonts w:cs="Times New Roman"/>
        </w:rPr>
        <w:fldChar w:fldCharType="begin"/>
      </w:r>
      <w:r>
        <w:rPr>
          <w:rFonts w:cs="Times New Roman"/>
        </w:rPr>
        <w:instrText xml:space="preserve"> SEQ 表 \* ARABIC \s 2 </w:instrText>
      </w:r>
      <w:r>
        <w:rPr>
          <w:rFonts w:cs="Times New Roman"/>
        </w:rPr>
        <w:fldChar w:fldCharType="separate"/>
      </w:r>
      <w:r>
        <w:rPr>
          <w:rFonts w:cs="Times New Roman"/>
        </w:rPr>
        <w:t>5</w:t>
      </w:r>
      <w:r>
        <w:rPr>
          <w:rFonts w:cs="Times New Roman"/>
        </w:rPr>
        <w:fldChar w:fldCharType="end"/>
      </w:r>
      <w:r>
        <w:rPr>
          <w:rFonts w:hint="eastAsia" w:cs="Times New Roman"/>
          <w:lang w:val="en-US" w:eastAsia="zh-CN"/>
        </w:rPr>
        <w:t xml:space="preserve"> </w:t>
      </w:r>
      <w:r>
        <w:rPr>
          <w:rFonts w:hint="eastAsia" w:ascii="Cambria" w:hAnsi="Cambria" w:eastAsia="黑体" w:cs="Times New Roman"/>
          <w:kern w:val="2"/>
          <w:sz w:val="20"/>
          <w:szCs w:val="20"/>
          <w:lang w:val="en-US" w:eastAsia="zh-CN" w:bidi="ar-SA"/>
        </w:rPr>
        <w:t>T</w:t>
      </w:r>
      <w:r>
        <w:rPr>
          <w:rFonts w:hint="eastAsia" w:cs="Times New Roman"/>
          <w:kern w:val="2"/>
          <w:sz w:val="20"/>
          <w:szCs w:val="20"/>
          <w:lang w:val="en-US" w:eastAsia="zh-CN" w:bidi="ar-SA"/>
        </w:rPr>
        <w:t>7020</w:t>
      </w:r>
      <w:r>
        <w:rPr>
          <w:rFonts w:hint="eastAsia" w:ascii="Cambria" w:hAnsi="Cambria" w:eastAsia="黑体" w:cs="Times New Roman"/>
          <w:kern w:val="2"/>
          <w:sz w:val="20"/>
          <w:szCs w:val="20"/>
          <w:lang w:val="en-US" w:eastAsia="zh-CN" w:bidi="ar-SA"/>
        </w:rPr>
        <w:t>-</w:t>
      </w:r>
      <w:r>
        <w:rPr>
          <w:rFonts w:hint="eastAsia" w:cs="Times New Roman"/>
          <w:kern w:val="2"/>
          <w:sz w:val="20"/>
          <w:szCs w:val="20"/>
          <w:lang w:val="en-US" w:eastAsia="zh-CN" w:bidi="ar-SA"/>
        </w:rPr>
        <w:t>12</w:t>
      </w:r>
      <w:r>
        <w:rPr>
          <w:rFonts w:hint="eastAsia" w:cs="Times New Roman"/>
          <w:lang w:val="en-US" w:eastAsia="zh-CN"/>
        </w:rPr>
        <w:t>塔机起-重特性一览表</w:t>
      </w:r>
      <w:r>
        <w:drawing>
          <wp:inline distT="0" distB="0" distL="114300" distR="114300">
            <wp:extent cx="5721350" cy="2367280"/>
            <wp:effectExtent l="0" t="0" r="12700" b="1397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9"/>
                    <a:stretch>
                      <a:fillRect/>
                    </a:stretch>
                  </pic:blipFill>
                  <pic:spPr>
                    <a:xfrm>
                      <a:off x="0" y="0"/>
                      <a:ext cx="5721350" cy="2367280"/>
                    </a:xfrm>
                    <a:prstGeom prst="rect">
                      <a:avLst/>
                    </a:prstGeom>
                    <a:noFill/>
                    <a:ln>
                      <a:noFill/>
                    </a:ln>
                  </pic:spPr>
                </pic:pic>
              </a:graphicData>
            </a:graphic>
          </wp:inline>
        </w:drawing>
      </w:r>
    </w:p>
    <w:p w14:paraId="781782E0">
      <w:pPr>
        <w:pStyle w:val="16"/>
        <w:keepNext w:val="0"/>
        <w:keepLines w:val="0"/>
        <w:pageBreakBefore w:val="0"/>
        <w:widowControl w:val="0"/>
        <w:kinsoku/>
        <w:wordWrap/>
        <w:overflowPunct/>
        <w:topLinePunct w:val="0"/>
        <w:autoSpaceDE/>
        <w:autoSpaceDN/>
        <w:bidi w:val="0"/>
        <w:adjustRightInd/>
        <w:snapToGrid/>
        <w:spacing w:line="240" w:lineRule="atLeast"/>
        <w:jc w:val="center"/>
        <w:textAlignment w:val="auto"/>
      </w:pPr>
      <w:r>
        <w:rPr>
          <w:rFonts w:cs="Times New Roman"/>
        </w:rPr>
        <w:t xml:space="preserve">表 </w:t>
      </w:r>
      <w:r>
        <w:rPr>
          <w:rFonts w:cs="Times New Roman"/>
        </w:rPr>
        <w:fldChar w:fldCharType="begin"/>
      </w:r>
      <w:r>
        <w:rPr>
          <w:rFonts w:cs="Times New Roman"/>
        </w:rPr>
        <w:instrText xml:space="preserve"> STYLEREF 2 \s </w:instrText>
      </w:r>
      <w:r>
        <w:rPr>
          <w:rFonts w:cs="Times New Roman"/>
        </w:rPr>
        <w:fldChar w:fldCharType="separate"/>
      </w:r>
      <w:r>
        <w:rPr>
          <w:rFonts w:cs="Times New Roman"/>
        </w:rPr>
        <w:t>3.2</w:t>
      </w:r>
      <w:r>
        <w:rPr>
          <w:rFonts w:cs="Times New Roman"/>
        </w:rPr>
        <w:fldChar w:fldCharType="end"/>
      </w:r>
      <w:r>
        <w:rPr>
          <w:rFonts w:hint="eastAsia" w:cs="Times New Roman"/>
          <w:lang w:eastAsia="zh-CN"/>
        </w:rPr>
        <w:t>-</w:t>
      </w:r>
      <w:r>
        <w:rPr>
          <w:rFonts w:cs="Times New Roman"/>
        </w:rPr>
        <w:fldChar w:fldCharType="begin"/>
      </w:r>
      <w:r>
        <w:rPr>
          <w:rFonts w:cs="Times New Roman"/>
        </w:rPr>
        <w:instrText xml:space="preserve"> SEQ 表 \* ARABIC \s 2 </w:instrText>
      </w:r>
      <w:r>
        <w:rPr>
          <w:rFonts w:cs="Times New Roman"/>
        </w:rPr>
        <w:fldChar w:fldCharType="separate"/>
      </w:r>
      <w:r>
        <w:rPr>
          <w:rFonts w:cs="Times New Roman"/>
        </w:rPr>
        <w:t>6</w:t>
      </w:r>
      <w:r>
        <w:rPr>
          <w:rFonts w:cs="Times New Roman"/>
        </w:rPr>
        <w:fldChar w:fldCharType="end"/>
      </w:r>
      <w:r>
        <w:rPr>
          <w:rFonts w:hint="eastAsia" w:cs="Times New Roman"/>
          <w:lang w:val="en-US" w:eastAsia="zh-CN"/>
        </w:rPr>
        <w:t xml:space="preserve">  </w:t>
      </w:r>
      <w:r>
        <w:rPr>
          <w:rFonts w:hint="eastAsia"/>
          <w:lang w:val="en-US" w:eastAsia="zh-CN"/>
        </w:rPr>
        <w:t>XGT6515D-10S</w:t>
      </w:r>
      <w:r>
        <w:rPr>
          <w:rFonts w:hint="eastAsia" w:cs="Times New Roman"/>
          <w:lang w:val="en-US" w:eastAsia="zh-CN"/>
        </w:rPr>
        <w:t>塔机起重特性一览表</w:t>
      </w:r>
      <w:r>
        <w:drawing>
          <wp:inline distT="0" distB="0" distL="114300" distR="114300">
            <wp:extent cx="5151120" cy="2602865"/>
            <wp:effectExtent l="0" t="0" r="11430" b="6985"/>
            <wp:docPr id="1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
                    <pic:cNvPicPr>
                      <a:picLocks noChangeAspect="1"/>
                    </pic:cNvPicPr>
                  </pic:nvPicPr>
                  <pic:blipFill>
                    <a:blip r:embed="rId20"/>
                    <a:srcRect t="2714" b="3276"/>
                    <a:stretch>
                      <a:fillRect/>
                    </a:stretch>
                  </pic:blipFill>
                  <pic:spPr>
                    <a:xfrm>
                      <a:off x="0" y="0"/>
                      <a:ext cx="5151120" cy="2602865"/>
                    </a:xfrm>
                    <a:prstGeom prst="rect">
                      <a:avLst/>
                    </a:prstGeom>
                    <a:noFill/>
                    <a:ln>
                      <a:noFill/>
                    </a:ln>
                  </pic:spPr>
                </pic:pic>
              </a:graphicData>
            </a:graphic>
          </wp:inline>
        </w:drawing>
      </w:r>
    </w:p>
    <w:p w14:paraId="75B154E3">
      <w:pPr>
        <w:pStyle w:val="3"/>
        <w:bidi w:val="0"/>
        <w:ind w:left="575" w:leftChars="0" w:hanging="575" w:firstLineChars="0"/>
      </w:pPr>
      <w:bookmarkStart w:id="128" w:name="_Toc464"/>
      <w:bookmarkStart w:id="129" w:name="_Toc129361802"/>
      <w:bookmarkStart w:id="130" w:name="_Toc25420"/>
      <w:bookmarkStart w:id="131" w:name="_Toc11503"/>
      <w:bookmarkStart w:id="132" w:name="_Toc20157"/>
      <w:bookmarkStart w:id="133" w:name="_Toc29369"/>
      <w:bookmarkStart w:id="134" w:name="_Toc19646"/>
      <w:r>
        <w:rPr>
          <w:rFonts w:hint="eastAsia"/>
        </w:rPr>
        <w:t>防雷接地</w:t>
      </w:r>
      <w:bookmarkEnd w:id="128"/>
      <w:bookmarkEnd w:id="129"/>
    </w:p>
    <w:p w14:paraId="0AEACBE3">
      <w:pPr>
        <w:ind w:firstLine="560"/>
        <w:rPr>
          <w:color w:val="000000"/>
          <w:szCs w:val="28"/>
        </w:rPr>
      </w:pPr>
      <w:r>
        <w:rPr>
          <w:color w:val="000000"/>
          <w:szCs w:val="28"/>
        </w:rPr>
        <w:t>依照现行国家标准《塔式起重机安全规程》 GB5144-2006的要求，塔机主体机构、电动机基座和所有电气设备金属外壳均应可靠接地。</w:t>
      </w:r>
    </w:p>
    <w:p w14:paraId="3A2E15EC">
      <w:pPr>
        <w:ind w:firstLine="560"/>
        <w:rPr>
          <w:color w:val="000000"/>
          <w:szCs w:val="28"/>
        </w:rPr>
      </w:pPr>
      <w:r>
        <w:rPr>
          <w:color w:val="000000"/>
          <w:szCs w:val="28"/>
        </w:rPr>
        <w:t>依据《施工现场临时用电安全技术规范》JGJ46-2005中防雷要求，塔机可不另设避雷针（接闪器），防雷引下线可利用设备金属结构体，并保证电气连接。</w:t>
      </w:r>
    </w:p>
    <w:p w14:paraId="67261AE6">
      <w:pPr>
        <w:pStyle w:val="176"/>
        <w:spacing w:line="240" w:lineRule="auto"/>
        <w:ind w:firstLine="560" w:firstLineChars="0"/>
        <w:jc w:val="left"/>
        <w:rPr>
          <w:rFonts w:ascii="仿宋" w:hAnsi="仿宋" w:eastAsia="仿宋" w:cs="仿宋"/>
          <w:color w:val="000000"/>
          <w:sz w:val="28"/>
          <w:szCs w:val="28"/>
        </w:rPr>
      </w:pPr>
      <w:r>
        <w:rPr>
          <w:rFonts w:hint="eastAsia" w:ascii="仿宋" w:hAnsi="仿宋" w:eastAsia="仿宋" w:cs="仿宋"/>
          <w:color w:val="000000"/>
          <w:sz w:val="28"/>
          <w:szCs w:val="28"/>
        </w:rPr>
        <w:t>为了更好地形成雷电通路，塔机电气重复节点应单独接多股铜线，防雷的多股铜线的截面积必须大于25mm</w:t>
      </w:r>
      <w:r>
        <w:rPr>
          <w:rFonts w:hint="eastAsia" w:ascii="仿宋" w:hAnsi="仿宋" w:eastAsia="仿宋" w:cs="仿宋"/>
          <w:color w:val="000000"/>
          <w:sz w:val="28"/>
          <w:szCs w:val="28"/>
          <w:vertAlign w:val="superscript"/>
        </w:rPr>
        <w:t>2</w:t>
      </w:r>
      <w:r>
        <w:rPr>
          <w:rFonts w:hint="eastAsia" w:ascii="仿宋" w:hAnsi="仿宋" w:eastAsia="仿宋" w:cs="仿宋"/>
          <w:color w:val="000000"/>
          <w:sz w:val="28"/>
          <w:szCs w:val="28"/>
        </w:rPr>
        <w:t>。塔机主体结构、电机机座和所有电气设备的金属外壳、导线的金属保护管均应可靠接地，其接地电阻应不大于4Ω。采用多处重复接地时，其接地电阻应不大于10Ω。</w:t>
      </w:r>
    </w:p>
    <w:p w14:paraId="084BEC3A">
      <w:pPr>
        <w:pStyle w:val="3"/>
        <w:bidi w:val="0"/>
        <w:ind w:left="575" w:leftChars="0" w:hanging="575" w:firstLineChars="0"/>
      </w:pPr>
      <w:bookmarkStart w:id="135" w:name="_Toc27118"/>
      <w:r>
        <w:rPr>
          <w:rFonts w:hint="eastAsia"/>
        </w:rPr>
        <w:t>塔机基础</w:t>
      </w:r>
      <w:bookmarkEnd w:id="135"/>
    </w:p>
    <w:p w14:paraId="508FA1C2">
      <w:pPr>
        <w:pStyle w:val="176"/>
        <w:spacing w:line="240" w:lineRule="auto"/>
        <w:ind w:firstLine="560" w:firstLineChars="0"/>
        <w:jc w:val="left"/>
        <w:rPr>
          <w:rFonts w:hint="eastAsia" w:ascii="仿宋" w:hAnsi="仿宋" w:eastAsia="仿宋" w:cs="仿宋"/>
          <w:color w:val="000000"/>
          <w:sz w:val="28"/>
          <w:szCs w:val="28"/>
          <w:lang w:eastAsia="zh-CN"/>
        </w:rPr>
      </w:pPr>
      <w:r>
        <w:rPr>
          <w:rFonts w:hint="eastAsia" w:ascii="仿宋" w:hAnsi="仿宋" w:eastAsia="仿宋" w:cs="仿宋"/>
          <w:color w:val="000000"/>
          <w:sz w:val="28"/>
          <w:szCs w:val="28"/>
        </w:rPr>
        <w:t>根据现场实际情况，塔机基础</w:t>
      </w:r>
      <w:r>
        <w:rPr>
          <w:rFonts w:hint="eastAsia" w:ascii="仿宋" w:hAnsi="仿宋" w:eastAsia="仿宋" w:cs="仿宋"/>
          <w:color w:val="000000"/>
          <w:sz w:val="28"/>
          <w:szCs w:val="28"/>
          <w:lang w:val="en-US" w:eastAsia="zh-CN"/>
        </w:rPr>
        <w:t>位于13#墩处塔机基础采用与承台连接的整体式基础形式，9#、676#、11#墩处塔机</w:t>
      </w:r>
      <w:r>
        <w:rPr>
          <w:rFonts w:hint="eastAsia" w:ascii="仿宋" w:hAnsi="仿宋" w:eastAsia="仿宋" w:cs="仿宋"/>
          <w:color w:val="000000"/>
          <w:sz w:val="28"/>
          <w:szCs w:val="28"/>
        </w:rPr>
        <w:t>基础采用</w:t>
      </w:r>
      <w:r>
        <w:rPr>
          <w:rFonts w:hint="eastAsia" w:ascii="仿宋" w:hAnsi="仿宋" w:eastAsia="仿宋" w:cs="仿宋"/>
          <w:color w:val="000000"/>
          <w:sz w:val="28"/>
          <w:szCs w:val="28"/>
          <w:lang w:val="en-US" w:eastAsia="zh-CN"/>
        </w:rPr>
        <w:t>独立混凝土基础形式</w:t>
      </w:r>
      <w:r>
        <w:rPr>
          <w:rFonts w:hint="eastAsia" w:ascii="仿宋" w:hAnsi="仿宋" w:eastAsia="仿宋" w:cs="仿宋"/>
          <w:color w:val="000000"/>
          <w:sz w:val="28"/>
          <w:szCs w:val="28"/>
          <w:lang w:eastAsia="zh-CN"/>
        </w:rPr>
        <w:t>，</w:t>
      </w:r>
      <w:r>
        <w:rPr>
          <w:rFonts w:hint="eastAsia" w:ascii="仿宋" w:hAnsi="仿宋" w:eastAsia="仿宋" w:cs="仿宋"/>
          <w:color w:val="000000"/>
          <w:sz w:val="28"/>
          <w:szCs w:val="28"/>
          <w:lang w:val="en-US" w:eastAsia="zh-CN"/>
        </w:rPr>
        <w:t>基础定位</w:t>
      </w:r>
      <w:r>
        <w:rPr>
          <w:rFonts w:hint="eastAsia" w:ascii="仿宋" w:hAnsi="仿宋" w:eastAsia="仿宋" w:cs="仿宋"/>
          <w:color w:val="000000"/>
          <w:sz w:val="28"/>
          <w:szCs w:val="28"/>
          <w:lang w:eastAsia="zh-CN"/>
        </w:rPr>
        <w:t>如下图：</w:t>
      </w:r>
    </w:p>
    <w:p w14:paraId="31C02014">
      <w:pPr>
        <w:pStyle w:val="176"/>
        <w:spacing w:line="240" w:lineRule="auto"/>
        <w:ind w:left="0" w:leftChars="0" w:firstLine="0" w:firstLineChars="0"/>
        <w:jc w:val="center"/>
      </w:pPr>
      <w:r>
        <w:drawing>
          <wp:inline distT="0" distB="0" distL="114300" distR="114300">
            <wp:extent cx="3609975" cy="3041650"/>
            <wp:effectExtent l="0" t="0" r="9525" b="6350"/>
            <wp:docPr id="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pic:cNvPicPr>
                      <a:picLocks noChangeAspect="1"/>
                    </pic:cNvPicPr>
                  </pic:nvPicPr>
                  <pic:blipFill>
                    <a:blip r:embed="rId21"/>
                    <a:stretch>
                      <a:fillRect/>
                    </a:stretch>
                  </pic:blipFill>
                  <pic:spPr>
                    <a:xfrm>
                      <a:off x="0" y="0"/>
                      <a:ext cx="3609975" cy="3041650"/>
                    </a:xfrm>
                    <a:prstGeom prst="rect">
                      <a:avLst/>
                    </a:prstGeom>
                    <a:noFill/>
                    <a:ln>
                      <a:noFill/>
                    </a:ln>
                  </pic:spPr>
                </pic:pic>
              </a:graphicData>
            </a:graphic>
          </wp:inline>
        </w:drawing>
      </w:r>
    </w:p>
    <w:p w14:paraId="6BD1AA0A">
      <w:pPr>
        <w:pStyle w:val="16"/>
        <w:spacing w:line="240" w:lineRule="auto"/>
        <w:ind w:firstLine="560" w:firstLineChars="0"/>
        <w:jc w:val="center"/>
        <w:rPr>
          <w:rFonts w:hint="default" w:cs="Times New Roman"/>
          <w:lang w:val="en-US" w:eastAsia="zh-CN"/>
        </w:rPr>
      </w:pPr>
      <w:r>
        <w:rPr>
          <w:rFonts w:cs="Times New Roman"/>
        </w:rPr>
        <w:t xml:space="preserve">图 </w:t>
      </w:r>
      <w:r>
        <w:rPr>
          <w:rFonts w:cs="Times New Roman"/>
        </w:rPr>
        <w:fldChar w:fldCharType="begin"/>
      </w:r>
      <w:r>
        <w:rPr>
          <w:rFonts w:cs="Times New Roman"/>
        </w:rPr>
        <w:instrText xml:space="preserve"> STYLEREF 2 \s </w:instrText>
      </w:r>
      <w:r>
        <w:rPr>
          <w:rFonts w:cs="Times New Roman"/>
        </w:rPr>
        <w:fldChar w:fldCharType="separate"/>
      </w:r>
      <w:r>
        <w:rPr>
          <w:rFonts w:cs="Times New Roman"/>
        </w:rPr>
        <w:t>3.4</w:t>
      </w:r>
      <w:r>
        <w:rPr>
          <w:rFonts w:cs="Times New Roman"/>
        </w:rPr>
        <w:fldChar w:fldCharType="end"/>
      </w:r>
      <w:r>
        <w:rPr>
          <w:rFonts w:hint="eastAsia" w:cs="Times New Roman"/>
          <w:lang w:eastAsia="zh-CN"/>
        </w:rPr>
        <w:t>-</w:t>
      </w:r>
      <w:r>
        <w:rPr>
          <w:rFonts w:cs="Times New Roman"/>
        </w:rPr>
        <w:fldChar w:fldCharType="begin"/>
      </w:r>
      <w:r>
        <w:rPr>
          <w:rFonts w:cs="Times New Roman"/>
        </w:rPr>
        <w:instrText xml:space="preserve"> SEQ 图 \* ARABIC \s 2 </w:instrText>
      </w:r>
      <w:r>
        <w:rPr>
          <w:rFonts w:cs="Times New Roman"/>
        </w:rPr>
        <w:fldChar w:fldCharType="separate"/>
      </w:r>
      <w:r>
        <w:rPr>
          <w:rFonts w:cs="Times New Roman"/>
        </w:rPr>
        <w:t>1</w:t>
      </w:r>
      <w:r>
        <w:rPr>
          <w:rFonts w:cs="Times New Roman"/>
        </w:rPr>
        <w:fldChar w:fldCharType="end"/>
      </w:r>
      <w:r>
        <w:rPr>
          <w:rFonts w:hint="eastAsia" w:cs="Times New Roman"/>
          <w:lang w:val="en-US" w:eastAsia="zh-CN"/>
        </w:rPr>
        <w:t xml:space="preserve"> 9#墩塔机基础定位图</w:t>
      </w:r>
    </w:p>
    <w:p w14:paraId="2FF1A9AB">
      <w:pPr>
        <w:pStyle w:val="176"/>
        <w:spacing w:line="240" w:lineRule="auto"/>
        <w:ind w:left="0" w:leftChars="0" w:firstLine="0" w:firstLineChars="0"/>
        <w:jc w:val="center"/>
      </w:pPr>
      <w:r>
        <w:drawing>
          <wp:inline distT="0" distB="0" distL="114300" distR="114300">
            <wp:extent cx="4248785" cy="2861945"/>
            <wp:effectExtent l="0" t="0" r="18415" b="1460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2"/>
                    <a:stretch>
                      <a:fillRect/>
                    </a:stretch>
                  </pic:blipFill>
                  <pic:spPr>
                    <a:xfrm>
                      <a:off x="0" y="0"/>
                      <a:ext cx="4248785" cy="2861945"/>
                    </a:xfrm>
                    <a:prstGeom prst="rect">
                      <a:avLst/>
                    </a:prstGeom>
                    <a:noFill/>
                    <a:ln>
                      <a:noFill/>
                    </a:ln>
                  </pic:spPr>
                </pic:pic>
              </a:graphicData>
            </a:graphic>
          </wp:inline>
        </w:drawing>
      </w:r>
    </w:p>
    <w:p w14:paraId="7F34CB3D">
      <w:pPr>
        <w:pStyle w:val="16"/>
        <w:spacing w:line="240" w:lineRule="auto"/>
        <w:ind w:firstLine="560" w:firstLineChars="0"/>
        <w:jc w:val="center"/>
        <w:rPr>
          <w:rFonts w:hint="default" w:cs="Times New Roman"/>
          <w:lang w:val="en-US" w:eastAsia="zh-CN"/>
        </w:rPr>
      </w:pPr>
      <w:r>
        <w:t xml:space="preserve">图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图 \* ARABIC \s 2 </w:instrText>
      </w:r>
      <w:r>
        <w:fldChar w:fldCharType="separate"/>
      </w:r>
      <w:r>
        <w:t>2</w:t>
      </w:r>
      <w:r>
        <w:fldChar w:fldCharType="end"/>
      </w:r>
      <w:r>
        <w:rPr>
          <w:rFonts w:hint="eastAsia"/>
          <w:lang w:val="en-US" w:eastAsia="zh-CN"/>
        </w:rPr>
        <w:t xml:space="preserve"> </w:t>
      </w:r>
      <w:r>
        <w:rPr>
          <w:rFonts w:hint="eastAsia" w:cs="Times New Roman"/>
          <w:lang w:val="en-US" w:eastAsia="zh-CN"/>
        </w:rPr>
        <w:t>676#墩塔机基础定位图</w:t>
      </w:r>
    </w:p>
    <w:p w14:paraId="12572E56">
      <w:pPr>
        <w:pStyle w:val="16"/>
        <w:spacing w:line="240" w:lineRule="auto"/>
        <w:ind w:left="0" w:leftChars="0" w:firstLine="0" w:firstLineChars="0"/>
        <w:jc w:val="center"/>
      </w:pPr>
      <w:r>
        <w:drawing>
          <wp:inline distT="0" distB="0" distL="114300" distR="114300">
            <wp:extent cx="4481830" cy="3479800"/>
            <wp:effectExtent l="0" t="0" r="13970" b="635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23"/>
                    <a:stretch>
                      <a:fillRect/>
                    </a:stretch>
                  </pic:blipFill>
                  <pic:spPr>
                    <a:xfrm>
                      <a:off x="0" y="0"/>
                      <a:ext cx="4481830" cy="3479800"/>
                    </a:xfrm>
                    <a:prstGeom prst="rect">
                      <a:avLst/>
                    </a:prstGeom>
                    <a:noFill/>
                    <a:ln>
                      <a:noFill/>
                    </a:ln>
                  </pic:spPr>
                </pic:pic>
              </a:graphicData>
            </a:graphic>
          </wp:inline>
        </w:drawing>
      </w:r>
    </w:p>
    <w:p w14:paraId="1F98B186">
      <w:pPr>
        <w:pStyle w:val="16"/>
        <w:spacing w:line="240" w:lineRule="auto"/>
        <w:ind w:firstLine="560" w:firstLineChars="0"/>
        <w:jc w:val="center"/>
        <w:rPr>
          <w:rFonts w:hint="eastAsia" w:cs="Times New Roman"/>
          <w:lang w:val="en-US" w:eastAsia="zh-CN"/>
        </w:rPr>
      </w:pPr>
      <w:r>
        <w:t xml:space="preserve">图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图 \* ARABIC \s 2 </w:instrText>
      </w:r>
      <w:r>
        <w:fldChar w:fldCharType="separate"/>
      </w:r>
      <w:r>
        <w:t>3</w:t>
      </w:r>
      <w:r>
        <w:fldChar w:fldCharType="end"/>
      </w:r>
      <w:r>
        <w:rPr>
          <w:rFonts w:hint="eastAsia"/>
          <w:lang w:val="en-US" w:eastAsia="zh-CN"/>
        </w:rPr>
        <w:t xml:space="preserve"> </w:t>
      </w:r>
      <w:r>
        <w:rPr>
          <w:rFonts w:hint="eastAsia" w:cs="Times New Roman"/>
          <w:lang w:val="en-US" w:eastAsia="zh-CN"/>
        </w:rPr>
        <w:t>11#墩塔机基础定位图</w:t>
      </w:r>
    </w:p>
    <w:p w14:paraId="38F1F2C4">
      <w:pPr>
        <w:pStyle w:val="16"/>
        <w:spacing w:line="240" w:lineRule="auto"/>
        <w:ind w:firstLine="560" w:firstLineChars="0"/>
        <w:jc w:val="center"/>
      </w:pPr>
      <w:r>
        <w:drawing>
          <wp:inline distT="0" distB="0" distL="114300" distR="114300">
            <wp:extent cx="4729480" cy="3826510"/>
            <wp:effectExtent l="0" t="0" r="13970" b="2540"/>
            <wp:docPr id="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
                    <pic:cNvPicPr>
                      <a:picLocks noChangeAspect="1"/>
                    </pic:cNvPicPr>
                  </pic:nvPicPr>
                  <pic:blipFill>
                    <a:blip r:embed="rId24"/>
                    <a:stretch>
                      <a:fillRect/>
                    </a:stretch>
                  </pic:blipFill>
                  <pic:spPr>
                    <a:xfrm>
                      <a:off x="0" y="0"/>
                      <a:ext cx="4729480" cy="3826510"/>
                    </a:xfrm>
                    <a:prstGeom prst="rect">
                      <a:avLst/>
                    </a:prstGeom>
                    <a:noFill/>
                    <a:ln>
                      <a:noFill/>
                    </a:ln>
                  </pic:spPr>
                </pic:pic>
              </a:graphicData>
            </a:graphic>
          </wp:inline>
        </w:drawing>
      </w:r>
    </w:p>
    <w:p w14:paraId="49E744D9">
      <w:pPr>
        <w:pStyle w:val="16"/>
        <w:spacing w:line="240" w:lineRule="auto"/>
        <w:ind w:firstLine="560" w:firstLineChars="0"/>
        <w:jc w:val="center"/>
      </w:pPr>
      <w:r>
        <w:t xml:space="preserve">图 </w:t>
      </w:r>
      <w:r>
        <w:fldChar w:fldCharType="begin"/>
      </w:r>
      <w:r>
        <w:instrText xml:space="preserve"> STYLEREF 2 \s </w:instrText>
      </w:r>
      <w:r>
        <w:fldChar w:fldCharType="separate"/>
      </w:r>
      <w:r>
        <w:t>3.4</w:t>
      </w:r>
      <w:r>
        <w:fldChar w:fldCharType="end"/>
      </w:r>
      <w:r>
        <w:rPr>
          <w:rFonts w:hint="eastAsia"/>
          <w:lang w:eastAsia="zh-CN"/>
        </w:rPr>
        <w:t>-</w:t>
      </w:r>
      <w:r>
        <w:fldChar w:fldCharType="begin"/>
      </w:r>
      <w:r>
        <w:instrText xml:space="preserve"> SEQ 图 \* ARABIC \s 2 </w:instrText>
      </w:r>
      <w:r>
        <w:fldChar w:fldCharType="separate"/>
      </w:r>
      <w:r>
        <w:t>4</w:t>
      </w:r>
      <w:r>
        <w:fldChar w:fldCharType="end"/>
      </w:r>
      <w:r>
        <w:rPr>
          <w:rFonts w:hint="eastAsia"/>
          <w:lang w:val="en-US" w:eastAsia="zh-CN"/>
        </w:rPr>
        <w:t xml:space="preserve"> </w:t>
      </w:r>
      <w:r>
        <w:rPr>
          <w:rFonts w:hint="eastAsia" w:cs="Times New Roman"/>
          <w:lang w:val="en-US" w:eastAsia="zh-CN"/>
        </w:rPr>
        <w:t>13#墩塔机基础定位图</w:t>
      </w:r>
    </w:p>
    <w:p w14:paraId="08E34B72">
      <w:pPr>
        <w:pStyle w:val="16"/>
        <w:spacing w:line="240" w:lineRule="auto"/>
        <w:ind w:firstLine="560" w:firstLineChars="0"/>
        <w:jc w:val="center"/>
      </w:pPr>
    </w:p>
    <w:bookmarkEnd w:id="108"/>
    <w:bookmarkEnd w:id="109"/>
    <w:bookmarkEnd w:id="130"/>
    <w:bookmarkEnd w:id="131"/>
    <w:bookmarkEnd w:id="132"/>
    <w:bookmarkEnd w:id="133"/>
    <w:bookmarkEnd w:id="134"/>
    <w:p w14:paraId="6A2CC5E2">
      <w:pPr>
        <w:pStyle w:val="2"/>
        <w:bidi w:val="0"/>
        <w:ind w:left="432" w:leftChars="0" w:hanging="432" w:firstLineChars="0"/>
      </w:pPr>
      <w:bookmarkStart w:id="136" w:name="_Toc526402030"/>
      <w:bookmarkStart w:id="137" w:name="_Toc24480"/>
      <w:bookmarkStart w:id="138" w:name="_Toc18875"/>
      <w:bookmarkStart w:id="139" w:name="_Toc28258"/>
      <w:bookmarkStart w:id="140" w:name="_Toc20180"/>
      <w:bookmarkStart w:id="141" w:name="_Toc15182"/>
      <w:bookmarkStart w:id="142" w:name="_Toc10066"/>
      <w:bookmarkStart w:id="143" w:name="_Toc531896369"/>
      <w:bookmarkStart w:id="144" w:name="_Toc8163"/>
      <w:bookmarkStart w:id="145" w:name="_Toc32314"/>
      <w:bookmarkStart w:id="146" w:name="_Toc11396"/>
      <w:bookmarkStart w:id="147" w:name="_Toc12526"/>
      <w:bookmarkStart w:id="148" w:name="_Toc19228"/>
      <w:bookmarkStart w:id="149" w:name="_Toc5939"/>
      <w:bookmarkStart w:id="150" w:name="_Toc22146"/>
      <w:bookmarkStart w:id="151" w:name="_Toc24545"/>
      <w:bookmarkStart w:id="152" w:name="_Toc32165"/>
      <w:bookmarkStart w:id="153" w:name="_Toc25516"/>
      <w:bookmarkStart w:id="154" w:name="_Toc9049"/>
      <w:bookmarkStart w:id="155" w:name="_Toc32091"/>
      <w:r>
        <w:rPr>
          <w:rFonts w:hint="eastAsia"/>
        </w:rPr>
        <w:t>施工</w:t>
      </w:r>
      <w:bookmarkEnd w:id="136"/>
      <w:bookmarkEnd w:id="137"/>
      <w:bookmarkEnd w:id="138"/>
      <w:bookmarkEnd w:id="139"/>
      <w:bookmarkEnd w:id="140"/>
      <w:bookmarkEnd w:id="141"/>
      <w:bookmarkEnd w:id="142"/>
      <w:bookmarkEnd w:id="143"/>
      <w:bookmarkEnd w:id="144"/>
      <w:bookmarkEnd w:id="145"/>
      <w:bookmarkEnd w:id="146"/>
      <w:bookmarkEnd w:id="147"/>
      <w:bookmarkEnd w:id="148"/>
      <w:r>
        <w:rPr>
          <w:rFonts w:hint="eastAsia"/>
        </w:rPr>
        <w:t>技术方案</w:t>
      </w:r>
      <w:bookmarkEnd w:id="149"/>
      <w:bookmarkEnd w:id="150"/>
      <w:bookmarkEnd w:id="151"/>
      <w:bookmarkEnd w:id="152"/>
      <w:bookmarkEnd w:id="153"/>
      <w:bookmarkEnd w:id="154"/>
      <w:bookmarkEnd w:id="155"/>
    </w:p>
    <w:p w14:paraId="52B06064">
      <w:pPr>
        <w:pStyle w:val="3"/>
        <w:bidi w:val="0"/>
        <w:ind w:left="575" w:leftChars="0" w:hanging="575" w:firstLineChars="0"/>
      </w:pPr>
      <w:bookmarkStart w:id="156" w:name="_Toc13514"/>
      <w:bookmarkStart w:id="157" w:name="_Toc10614"/>
      <w:bookmarkStart w:id="158" w:name="_Toc31565"/>
      <w:bookmarkStart w:id="159" w:name="_Toc30976"/>
      <w:bookmarkStart w:id="160" w:name="_Toc23852"/>
      <w:bookmarkStart w:id="161" w:name="_Toc18626"/>
      <w:bookmarkStart w:id="162" w:name="_Toc20690"/>
      <w:bookmarkStart w:id="163" w:name="_Toc22300"/>
      <w:bookmarkStart w:id="164" w:name="_Toc20207"/>
      <w:bookmarkStart w:id="165" w:name="_Toc22610"/>
      <w:bookmarkStart w:id="166" w:name="_Toc5459"/>
      <w:bookmarkStart w:id="167" w:name="_Toc7312"/>
      <w:bookmarkStart w:id="168" w:name="_Toc7801"/>
      <w:bookmarkStart w:id="169" w:name="_Toc24903"/>
      <w:r>
        <w:rPr>
          <w:rFonts w:hint="eastAsia"/>
        </w:rPr>
        <w:t>组织机构</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14:paraId="36A60CD3">
      <w:pPr>
        <w:ind w:firstLine="560"/>
        <w:rPr>
          <w:rStyle w:val="128"/>
          <w:rFonts w:hint="eastAsia" w:ascii="黑体" w:hAnsi="黑体" w:eastAsia="黑体" w:cs="黑体"/>
          <w:b w:val="0"/>
          <w:color w:val="000000"/>
          <w:sz w:val="21"/>
          <w:szCs w:val="21"/>
        </w:rPr>
      </w:pPr>
      <w:bookmarkStart w:id="170" w:name="_Toc1909"/>
      <w:bookmarkStart w:id="171" w:name="_Toc23518"/>
      <w:bookmarkStart w:id="172" w:name="_Toc29878"/>
      <w:bookmarkStart w:id="173" w:name="_Toc26147"/>
      <w:bookmarkStart w:id="174" w:name="_Toc2774"/>
      <w:bookmarkStart w:id="175" w:name="_Toc29716"/>
      <w:bookmarkStart w:id="176" w:name="_Toc31708"/>
      <w:bookmarkStart w:id="177" w:name="_Toc356"/>
      <w:bookmarkStart w:id="178" w:name="_Toc531896370"/>
      <w:bookmarkStart w:id="179" w:name="_Toc10279"/>
      <w:bookmarkStart w:id="180" w:name="_Toc514922752"/>
      <w:bookmarkStart w:id="181" w:name="_Toc28912"/>
      <w:bookmarkStart w:id="182" w:name="_Toc514412681"/>
      <w:bookmarkStart w:id="183" w:name="_Toc4571"/>
      <w:bookmarkStart w:id="184" w:name="_Toc30832"/>
      <w:bookmarkStart w:id="185" w:name="_Toc24476"/>
      <w:bookmarkStart w:id="186" w:name="_Toc28673"/>
      <w:bookmarkStart w:id="187" w:name="_Toc10000"/>
      <w:bookmarkStart w:id="188" w:name="_Toc526402036"/>
      <w:bookmarkStart w:id="189" w:name="_Toc10433"/>
      <w:bookmarkStart w:id="190" w:name="_Toc31779"/>
      <w:bookmarkStart w:id="191" w:name="_Toc441657861"/>
      <w:r>
        <w:rPr>
          <w:rFonts w:hint="eastAsia"/>
        </w:rPr>
        <w:t>根据本工程实际情况，为全面落实施工生产安排，对塔机安装、拆卸、运输全过程进行管理和监控，确保质量目标、工期目标、环境管理目标和职业健康安全管理目标的实现，确定如下施工组织机构，并明确分工职责。</w:t>
      </w:r>
      <w:r>
        <w:rPr>
          <w:rStyle w:val="128"/>
          <w:rFonts w:hint="eastAsia" w:ascii="黑体" w:hAnsi="黑体" w:eastAsia="黑体" w:cs="黑体"/>
          <w:b w:val="0"/>
          <w:color w:val="000000"/>
          <w:sz w:val="21"/>
          <w:szCs w:val="21"/>
        </w:rPr>
        <w:drawing>
          <wp:anchor distT="0" distB="0" distL="114300" distR="114300" simplePos="0" relativeHeight="251660288" behindDoc="0" locked="0" layoutInCell="1" allowOverlap="1">
            <wp:simplePos x="0" y="0"/>
            <wp:positionH relativeFrom="column">
              <wp:posOffset>241935</wp:posOffset>
            </wp:positionH>
            <wp:positionV relativeFrom="page">
              <wp:posOffset>2621915</wp:posOffset>
            </wp:positionV>
            <wp:extent cx="5224145" cy="2447290"/>
            <wp:effectExtent l="0" t="0" r="14605" b="10160"/>
            <wp:wrapSquare wrapText="bothSides"/>
            <wp:docPr id="7" name="图片 5" descr="绘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绘图1"/>
                    <pic:cNvPicPr>
                      <a:picLocks noChangeAspect="1"/>
                    </pic:cNvPicPr>
                  </pic:nvPicPr>
                  <pic:blipFill>
                    <a:blip r:embed="rId25"/>
                    <a:stretch>
                      <a:fillRect/>
                    </a:stretch>
                  </pic:blipFill>
                  <pic:spPr>
                    <a:xfrm>
                      <a:off x="0" y="0"/>
                      <a:ext cx="5224145" cy="2447290"/>
                    </a:xfrm>
                    <a:prstGeom prst="rect">
                      <a:avLst/>
                    </a:prstGeom>
                    <a:noFill/>
                    <a:ln>
                      <a:noFill/>
                    </a:ln>
                  </pic:spPr>
                </pic:pic>
              </a:graphicData>
            </a:graphic>
          </wp:anchor>
        </w:drawing>
      </w:r>
    </w:p>
    <w:p w14:paraId="0A236D9F">
      <w:pPr>
        <w:pStyle w:val="16"/>
        <w:jc w:val="center"/>
        <w:rPr>
          <w:rFonts w:hint="eastAsia"/>
        </w:rPr>
      </w:pPr>
      <w:r>
        <w:t xml:space="preserve">图 </w:t>
      </w:r>
      <w:r>
        <w:fldChar w:fldCharType="begin"/>
      </w:r>
      <w:r>
        <w:instrText xml:space="preserve"> STYLEREF 2 \s </w:instrText>
      </w:r>
      <w:r>
        <w:fldChar w:fldCharType="separate"/>
      </w:r>
      <w:r>
        <w:t>4.1</w:t>
      </w:r>
      <w:r>
        <w:fldChar w:fldCharType="end"/>
      </w:r>
      <w:r>
        <w:rPr>
          <w:rFonts w:hint="eastAsia"/>
          <w:lang w:eastAsia="zh-CN"/>
        </w:rPr>
        <w:t>-</w:t>
      </w:r>
      <w:r>
        <w:fldChar w:fldCharType="begin"/>
      </w:r>
      <w:r>
        <w:instrText xml:space="preserve"> SEQ 图 \* ARABIC \s 2 </w:instrText>
      </w:r>
      <w:r>
        <w:fldChar w:fldCharType="separate"/>
      </w:r>
      <w:r>
        <w:t>1</w:t>
      </w:r>
      <w:r>
        <w:fldChar w:fldCharType="end"/>
      </w:r>
      <w:r>
        <w:rPr>
          <w:rStyle w:val="128"/>
          <w:rFonts w:hint="eastAsia" w:ascii="黑体" w:hAnsi="黑体" w:eastAsia="黑体" w:cs="黑体"/>
          <w:b w:val="0"/>
          <w:color w:val="000000"/>
          <w:sz w:val="21"/>
          <w:szCs w:val="21"/>
        </w:rPr>
        <w:t xml:space="preserve"> </w:t>
      </w:r>
      <w:r>
        <w:rPr>
          <w:rFonts w:hint="eastAsia" w:ascii="Cambria" w:hAnsi="Cambria" w:eastAsia="黑体" w:cs="Times New Roman"/>
          <w:b w:val="0"/>
          <w:color w:val="auto"/>
          <w:kern w:val="2"/>
          <w:sz w:val="20"/>
          <w:szCs w:val="20"/>
          <w:lang w:val="en-US" w:eastAsia="zh-CN" w:bidi="ar-SA"/>
        </w:rPr>
        <w:t>塔式起重机安拆组织机构图</w:t>
      </w:r>
    </w:p>
    <w:p w14:paraId="766A562E">
      <w:pPr>
        <w:pStyle w:val="4"/>
        <w:bidi w:val="0"/>
        <w:ind w:left="720" w:leftChars="0" w:hanging="720" w:firstLineChars="0"/>
      </w:pPr>
      <w:r>
        <w:rPr>
          <w:rFonts w:hint="eastAsia"/>
        </w:rPr>
        <w:t>施工人员职责分工</w:t>
      </w:r>
    </w:p>
    <w:p w14:paraId="69751472">
      <w:pPr>
        <w:bidi w:val="0"/>
        <w:jc w:val="center"/>
        <w:rPr>
          <w:rFonts w:hint="eastAsia"/>
          <w:sz w:val="21"/>
          <w:szCs w:val="21"/>
        </w:rPr>
      </w:pPr>
      <w:r>
        <w:rPr>
          <w:rFonts w:hint="eastAsia"/>
          <w:sz w:val="21"/>
          <w:szCs w:val="21"/>
        </w:rPr>
        <w:t>表4.1-1塔机安装施工管理人员配置表</w:t>
      </w:r>
    </w:p>
    <w:tbl>
      <w:tblPr>
        <w:tblStyle w:val="44"/>
        <w:tblW w:w="878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0"/>
        <w:gridCol w:w="1262"/>
        <w:gridCol w:w="1637"/>
        <w:gridCol w:w="4100"/>
      </w:tblGrid>
      <w:tr w14:paraId="200DCB9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Align w:val="center"/>
          </w:tcPr>
          <w:p w14:paraId="67E1E820">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单位</w:t>
            </w:r>
          </w:p>
        </w:tc>
        <w:tc>
          <w:tcPr>
            <w:tcW w:w="1262" w:type="dxa"/>
            <w:vAlign w:val="center"/>
          </w:tcPr>
          <w:p w14:paraId="6092F51B">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姓名</w:t>
            </w:r>
          </w:p>
        </w:tc>
        <w:tc>
          <w:tcPr>
            <w:tcW w:w="1637" w:type="dxa"/>
            <w:vAlign w:val="center"/>
          </w:tcPr>
          <w:p w14:paraId="00D1F2B7">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岗位</w:t>
            </w:r>
          </w:p>
        </w:tc>
        <w:tc>
          <w:tcPr>
            <w:tcW w:w="4100" w:type="dxa"/>
            <w:vAlign w:val="center"/>
          </w:tcPr>
          <w:p w14:paraId="11590B29">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岗位职责</w:t>
            </w:r>
          </w:p>
        </w:tc>
      </w:tr>
      <w:tr w14:paraId="117F01D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restart"/>
            <w:vAlign w:val="center"/>
          </w:tcPr>
          <w:p w14:paraId="4C48E8FD">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重庆桥渝工程机械租赁有限公司</w:t>
            </w:r>
          </w:p>
        </w:tc>
        <w:tc>
          <w:tcPr>
            <w:tcW w:w="1262" w:type="dxa"/>
            <w:vAlign w:val="center"/>
          </w:tcPr>
          <w:p w14:paraId="241F14C8">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张腾万</w:t>
            </w:r>
          </w:p>
        </w:tc>
        <w:tc>
          <w:tcPr>
            <w:tcW w:w="1637" w:type="dxa"/>
            <w:vAlign w:val="center"/>
          </w:tcPr>
          <w:p w14:paraId="576CF6CD">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安拆负责人</w:t>
            </w:r>
          </w:p>
        </w:tc>
        <w:tc>
          <w:tcPr>
            <w:tcW w:w="4100" w:type="dxa"/>
          </w:tcPr>
          <w:p w14:paraId="0A44EE84">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对塔机安装的全过程进行管理、监控，合理的组织生产，确保安全施工。</w:t>
            </w:r>
          </w:p>
        </w:tc>
      </w:tr>
      <w:tr w14:paraId="3F6D7C5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90" w:type="dxa"/>
            <w:vMerge w:val="continue"/>
            <w:vAlign w:val="center"/>
          </w:tcPr>
          <w:p w14:paraId="50765E4F">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680CE84B">
            <w:pPr>
              <w:widowControl/>
              <w:adjustRightInd w:val="0"/>
              <w:spacing w:line="240" w:lineRule="auto"/>
              <w:ind w:firstLine="0" w:firstLineChars="0"/>
              <w:jc w:val="center"/>
              <w:textAlignment w:val="center"/>
              <w:rPr>
                <w:rFonts w:ascii="仿宋" w:hAnsi="仿宋"/>
                <w:kern w:val="0"/>
                <w:sz w:val="24"/>
                <w:szCs w:val="24"/>
              </w:rPr>
            </w:pPr>
            <w:r>
              <w:rPr>
                <w:rFonts w:hint="eastAsia" w:ascii="仿宋" w:hAnsi="仿宋" w:eastAsia="仿宋"/>
                <w:kern w:val="0"/>
                <w:sz w:val="24"/>
                <w:szCs w:val="24"/>
              </w:rPr>
              <w:t>温  涛</w:t>
            </w:r>
          </w:p>
        </w:tc>
        <w:tc>
          <w:tcPr>
            <w:tcW w:w="1637" w:type="dxa"/>
            <w:vAlign w:val="center"/>
          </w:tcPr>
          <w:p w14:paraId="52387F27">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技术总工</w:t>
            </w:r>
          </w:p>
        </w:tc>
        <w:tc>
          <w:tcPr>
            <w:tcW w:w="4100" w:type="dxa"/>
          </w:tcPr>
          <w:p w14:paraId="5C72E950">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现场勘察，编制塔机的安装技术方案，负责安装技术指导，汇编整理技术资料，监管设备检验。</w:t>
            </w:r>
          </w:p>
        </w:tc>
      </w:tr>
      <w:tr w14:paraId="0D1CEAC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66485DD0">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0143DB98">
            <w:pPr>
              <w:widowControl/>
              <w:adjustRightInd w:val="0"/>
              <w:spacing w:line="240" w:lineRule="auto"/>
              <w:ind w:firstLine="33" w:firstLineChars="14"/>
              <w:jc w:val="center"/>
              <w:textAlignment w:val="center"/>
              <w:rPr>
                <w:rFonts w:hint="default" w:ascii="仿宋" w:hAnsi="仿宋" w:eastAsia="仿宋"/>
                <w:kern w:val="0"/>
                <w:sz w:val="24"/>
                <w:szCs w:val="24"/>
                <w:lang w:val="en-US" w:eastAsia="zh-CN"/>
              </w:rPr>
            </w:pPr>
            <w:r>
              <w:rPr>
                <w:rFonts w:hint="eastAsia" w:ascii="仿宋" w:hAnsi="仿宋" w:eastAsia="仿宋"/>
                <w:kern w:val="0"/>
                <w:sz w:val="24"/>
                <w:szCs w:val="24"/>
                <w:lang w:val="en-US" w:eastAsia="zh-CN"/>
              </w:rPr>
              <w:t>方柳</w:t>
            </w:r>
          </w:p>
        </w:tc>
        <w:tc>
          <w:tcPr>
            <w:tcW w:w="1637" w:type="dxa"/>
            <w:vAlign w:val="center"/>
          </w:tcPr>
          <w:p w14:paraId="234C0055">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施工工长</w:t>
            </w:r>
          </w:p>
        </w:tc>
        <w:tc>
          <w:tcPr>
            <w:tcW w:w="4100" w:type="dxa"/>
          </w:tcPr>
          <w:p w14:paraId="35B57381">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负责现场塔机按照安装方案安装，以及组织现场安装人员施工。</w:t>
            </w:r>
          </w:p>
        </w:tc>
      </w:tr>
      <w:tr w14:paraId="50842A1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29688ED8">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2B3CBC2D">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张腾万</w:t>
            </w:r>
          </w:p>
        </w:tc>
        <w:tc>
          <w:tcPr>
            <w:tcW w:w="1637" w:type="dxa"/>
            <w:vAlign w:val="center"/>
          </w:tcPr>
          <w:p w14:paraId="540BDDAB">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安全员</w:t>
            </w:r>
          </w:p>
        </w:tc>
        <w:tc>
          <w:tcPr>
            <w:tcW w:w="4100" w:type="dxa"/>
          </w:tcPr>
          <w:p w14:paraId="6643C25C">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检查施工中安全保护措施的监督执行，监督执行作业前安全技术交底，负责现场施工安全监督。</w:t>
            </w:r>
          </w:p>
        </w:tc>
      </w:tr>
      <w:tr w14:paraId="3000F10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794EEEE5">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642FB8C8">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贺中兵</w:t>
            </w:r>
          </w:p>
        </w:tc>
        <w:tc>
          <w:tcPr>
            <w:tcW w:w="1637" w:type="dxa"/>
            <w:vAlign w:val="center"/>
          </w:tcPr>
          <w:p w14:paraId="15D0B896">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起重指挥</w:t>
            </w:r>
          </w:p>
        </w:tc>
        <w:tc>
          <w:tcPr>
            <w:tcW w:w="4100" w:type="dxa"/>
          </w:tcPr>
          <w:p w14:paraId="03460380">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负责地面起重指挥，做好作业人员的协调工作。</w:t>
            </w:r>
          </w:p>
        </w:tc>
      </w:tr>
      <w:tr w14:paraId="3332869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2F2BAE34">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39C6D9C2">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吴强</w:t>
            </w:r>
          </w:p>
        </w:tc>
        <w:tc>
          <w:tcPr>
            <w:tcW w:w="1637" w:type="dxa"/>
            <w:vAlign w:val="center"/>
          </w:tcPr>
          <w:p w14:paraId="1C9CAB4A">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安拆电工</w:t>
            </w:r>
          </w:p>
        </w:tc>
        <w:tc>
          <w:tcPr>
            <w:tcW w:w="4100" w:type="dxa"/>
          </w:tcPr>
          <w:p w14:paraId="4163F81F">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负责塔机电控柜、电阻箱等电气元件接线</w:t>
            </w:r>
          </w:p>
        </w:tc>
      </w:tr>
      <w:tr w14:paraId="7FF370A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34632E92">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5BFE6257">
            <w:pPr>
              <w:widowControl/>
              <w:adjustRightInd w:val="0"/>
              <w:spacing w:line="240" w:lineRule="auto"/>
              <w:ind w:firstLine="33" w:firstLineChars="14"/>
              <w:jc w:val="center"/>
              <w:textAlignment w:val="center"/>
              <w:rPr>
                <w:kern w:val="0"/>
                <w:sz w:val="24"/>
                <w:szCs w:val="24"/>
                <w:highlight w:val="none"/>
              </w:rPr>
            </w:pPr>
            <w:r>
              <w:rPr>
                <w:rFonts w:hint="eastAsia" w:ascii="仿宋" w:hAnsi="仿宋" w:eastAsia="仿宋"/>
                <w:kern w:val="0"/>
                <w:sz w:val="24"/>
                <w:szCs w:val="24"/>
                <w:highlight w:val="none"/>
                <w:lang w:val="en-US" w:eastAsia="zh-CN"/>
              </w:rPr>
              <w:t xml:space="preserve">方柳  </w:t>
            </w:r>
            <w:r>
              <w:rPr>
                <w:rFonts w:hint="eastAsia" w:ascii="仿宋" w:hAnsi="仿宋" w:eastAsia="仿宋"/>
                <w:kern w:val="0"/>
                <w:sz w:val="24"/>
                <w:szCs w:val="24"/>
                <w:highlight w:val="none"/>
              </w:rPr>
              <w:t xml:space="preserve"> </w:t>
            </w:r>
            <w:r>
              <w:rPr>
                <w:rFonts w:hint="eastAsia" w:ascii="仿宋" w:hAnsi="仿宋"/>
                <w:kern w:val="0"/>
                <w:sz w:val="24"/>
                <w:szCs w:val="24"/>
                <w:highlight w:val="none"/>
                <w:lang w:val="en-US" w:eastAsia="zh-CN"/>
              </w:rPr>
              <w:t>孔令波</w:t>
            </w:r>
            <w:r>
              <w:rPr>
                <w:rFonts w:hint="eastAsia" w:ascii="仿宋" w:hAnsi="仿宋" w:eastAsia="仿宋"/>
                <w:kern w:val="0"/>
                <w:sz w:val="24"/>
                <w:szCs w:val="24"/>
                <w:highlight w:val="none"/>
              </w:rPr>
              <w:t xml:space="preserve"> </w:t>
            </w:r>
            <w:r>
              <w:rPr>
                <w:rFonts w:hint="eastAsia" w:ascii="仿宋" w:hAnsi="仿宋"/>
                <w:kern w:val="0"/>
                <w:sz w:val="24"/>
                <w:szCs w:val="24"/>
                <w:highlight w:val="none"/>
                <w:lang w:val="en-US" w:eastAsia="zh-CN"/>
              </w:rPr>
              <w:t>何小兵</w:t>
            </w:r>
            <w:r>
              <w:rPr>
                <w:rFonts w:hint="eastAsia" w:eastAsia="仿宋"/>
                <w:kern w:val="0"/>
                <w:sz w:val="24"/>
                <w:szCs w:val="24"/>
                <w:highlight w:val="none"/>
              </w:rPr>
              <w:t xml:space="preserve"> 胡杰</w:t>
            </w:r>
          </w:p>
        </w:tc>
        <w:tc>
          <w:tcPr>
            <w:tcW w:w="1637" w:type="dxa"/>
            <w:vAlign w:val="center"/>
          </w:tcPr>
          <w:p w14:paraId="490F9280">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塔机安拆工</w:t>
            </w:r>
          </w:p>
        </w:tc>
        <w:tc>
          <w:tcPr>
            <w:tcW w:w="4100" w:type="dxa"/>
          </w:tcPr>
          <w:p w14:paraId="75740BBE">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所有作业人员进入施工现场必须持有效操作证件上岗，接受塔机安装作业前的安全技术交底危险源辨识。服从班组指挥分工，严格执行作业程序，精力集中，做好自我防护，正确配带和使用安全防护用品，不违章作业。</w:t>
            </w:r>
          </w:p>
        </w:tc>
      </w:tr>
      <w:tr w14:paraId="0FAE742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3935C7F4">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5F44BD45">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万元</w:t>
            </w:r>
          </w:p>
        </w:tc>
        <w:tc>
          <w:tcPr>
            <w:tcW w:w="1637" w:type="dxa"/>
            <w:vAlign w:val="center"/>
          </w:tcPr>
          <w:p w14:paraId="6B1DF3E7">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塔机司机</w:t>
            </w:r>
          </w:p>
        </w:tc>
        <w:tc>
          <w:tcPr>
            <w:tcW w:w="4100" w:type="dxa"/>
          </w:tcPr>
          <w:p w14:paraId="7722DE13">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负责顶升期间操作塔机</w:t>
            </w:r>
          </w:p>
        </w:tc>
      </w:tr>
      <w:tr w14:paraId="02EB03E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restart"/>
            <w:vAlign w:val="center"/>
          </w:tcPr>
          <w:p w14:paraId="32AB5370">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项目部</w:t>
            </w:r>
          </w:p>
        </w:tc>
        <w:tc>
          <w:tcPr>
            <w:tcW w:w="1262" w:type="dxa"/>
            <w:vAlign w:val="center"/>
          </w:tcPr>
          <w:p w14:paraId="71ACC3E7">
            <w:pPr>
              <w:widowControl/>
              <w:adjustRightInd w:val="0"/>
              <w:spacing w:line="240" w:lineRule="auto"/>
              <w:ind w:firstLine="33" w:firstLineChars="14"/>
              <w:jc w:val="center"/>
              <w:textAlignment w:val="center"/>
              <w:rPr>
                <w:rFonts w:ascii="仿宋" w:hAnsi="仿宋"/>
                <w:kern w:val="0"/>
                <w:sz w:val="24"/>
                <w:szCs w:val="24"/>
              </w:rPr>
            </w:pPr>
            <w:r>
              <w:rPr>
                <w:rFonts w:ascii="仿宋" w:hAnsi="仿宋" w:eastAsia="仿宋"/>
                <w:kern w:val="0"/>
                <w:sz w:val="24"/>
                <w:szCs w:val="24"/>
              </w:rPr>
              <w:t>/</w:t>
            </w:r>
          </w:p>
        </w:tc>
        <w:tc>
          <w:tcPr>
            <w:tcW w:w="1637" w:type="dxa"/>
            <w:vAlign w:val="center"/>
          </w:tcPr>
          <w:p w14:paraId="0BE47B6B">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汽车吊操作工</w:t>
            </w:r>
          </w:p>
        </w:tc>
        <w:tc>
          <w:tcPr>
            <w:tcW w:w="4100" w:type="dxa"/>
          </w:tcPr>
          <w:p w14:paraId="575F6D25">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在安装前一天必须到现场查看场地参加技术安全、危险源交底。</w:t>
            </w:r>
          </w:p>
        </w:tc>
      </w:tr>
      <w:tr w14:paraId="273406D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0D017822">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0C6A6136">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w:t>
            </w:r>
          </w:p>
        </w:tc>
        <w:tc>
          <w:tcPr>
            <w:tcW w:w="1637" w:type="dxa"/>
            <w:vAlign w:val="center"/>
          </w:tcPr>
          <w:p w14:paraId="68200935">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起重指挥司索工</w:t>
            </w:r>
          </w:p>
        </w:tc>
        <w:tc>
          <w:tcPr>
            <w:tcW w:w="4100" w:type="dxa"/>
          </w:tcPr>
          <w:p w14:paraId="300E1478">
            <w:pPr>
              <w:widowControl/>
              <w:adjustRightInd w:val="0"/>
              <w:spacing w:line="240" w:lineRule="auto"/>
              <w:ind w:firstLine="33" w:firstLineChars="14"/>
              <w:textAlignment w:val="center"/>
              <w:rPr>
                <w:rFonts w:ascii="仿宋" w:hAnsi="仿宋"/>
                <w:kern w:val="0"/>
                <w:sz w:val="24"/>
                <w:szCs w:val="24"/>
              </w:rPr>
            </w:pPr>
            <w:r>
              <w:rPr>
                <w:rFonts w:hint="eastAsia" w:ascii="仿宋" w:hAnsi="仿宋" w:eastAsia="仿宋"/>
                <w:kern w:val="0"/>
                <w:sz w:val="24"/>
                <w:szCs w:val="24"/>
              </w:rPr>
              <w:t>塔吊指挥要严格执行塔吊起重吊运方案及技术、安全要求和措施</w:t>
            </w:r>
          </w:p>
        </w:tc>
      </w:tr>
      <w:tr w14:paraId="40A633F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11F7A912">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651DE324">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李骏</w:t>
            </w:r>
          </w:p>
        </w:tc>
        <w:tc>
          <w:tcPr>
            <w:tcW w:w="1637" w:type="dxa"/>
            <w:vAlign w:val="center"/>
          </w:tcPr>
          <w:p w14:paraId="469FC07B">
            <w:pPr>
              <w:widowControl/>
              <w:adjustRightInd w:val="0"/>
              <w:spacing w:line="240" w:lineRule="auto"/>
              <w:ind w:firstLine="33" w:firstLineChars="14"/>
              <w:jc w:val="center"/>
              <w:textAlignment w:val="center"/>
              <w:rPr>
                <w:rFonts w:ascii="仿宋" w:hAnsi="仿宋" w:cs="宋体"/>
                <w:kern w:val="0"/>
                <w:sz w:val="24"/>
                <w:szCs w:val="24"/>
              </w:rPr>
            </w:pPr>
            <w:r>
              <w:rPr>
                <w:rFonts w:hint="eastAsia" w:ascii="仿宋" w:hAnsi="仿宋" w:eastAsia="仿宋" w:cs="宋体"/>
                <w:kern w:val="0"/>
                <w:sz w:val="24"/>
                <w:szCs w:val="24"/>
              </w:rPr>
              <w:t>现场负责人</w:t>
            </w:r>
          </w:p>
        </w:tc>
        <w:tc>
          <w:tcPr>
            <w:tcW w:w="4100" w:type="dxa"/>
            <w:vAlign w:val="center"/>
          </w:tcPr>
          <w:p w14:paraId="79A817CE">
            <w:pPr>
              <w:widowControl/>
              <w:adjustRightInd w:val="0"/>
              <w:spacing w:line="240" w:lineRule="auto"/>
              <w:ind w:firstLine="33" w:firstLineChars="14"/>
              <w:textAlignment w:val="center"/>
              <w:rPr>
                <w:rFonts w:ascii="仿宋" w:hAnsi="仿宋" w:cs="宋体"/>
                <w:kern w:val="0"/>
                <w:sz w:val="24"/>
                <w:szCs w:val="24"/>
              </w:rPr>
            </w:pPr>
            <w:r>
              <w:rPr>
                <w:rFonts w:hint="eastAsia" w:ascii="仿宋" w:hAnsi="仿宋" w:eastAsia="仿宋" w:cs="宋体"/>
                <w:kern w:val="0"/>
                <w:sz w:val="24"/>
                <w:szCs w:val="24"/>
              </w:rPr>
              <w:t>对塔机安拆的全过程进行统筹、协调，确保安全施工。</w:t>
            </w:r>
          </w:p>
        </w:tc>
      </w:tr>
      <w:tr w14:paraId="54D8001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61057AA7">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2A3F4D1C">
            <w:pPr>
              <w:widowControl/>
              <w:adjustRightInd w:val="0"/>
              <w:spacing w:line="240" w:lineRule="auto"/>
              <w:ind w:firstLine="33" w:firstLineChars="14"/>
              <w:jc w:val="center"/>
              <w:textAlignment w:val="center"/>
              <w:rPr>
                <w:rFonts w:hint="eastAsia" w:ascii="仿宋" w:hAnsi="仿宋"/>
                <w:kern w:val="0"/>
                <w:sz w:val="24"/>
                <w:szCs w:val="24"/>
              </w:rPr>
            </w:pPr>
            <w:r>
              <w:rPr>
                <w:rFonts w:hint="eastAsia" w:ascii="仿宋" w:hAnsi="仿宋" w:eastAsia="仿宋"/>
                <w:kern w:val="0"/>
                <w:sz w:val="24"/>
                <w:szCs w:val="24"/>
              </w:rPr>
              <w:t>傅燕平</w:t>
            </w:r>
          </w:p>
        </w:tc>
        <w:tc>
          <w:tcPr>
            <w:tcW w:w="1637" w:type="dxa"/>
            <w:vAlign w:val="center"/>
          </w:tcPr>
          <w:p w14:paraId="597DE8FD">
            <w:pPr>
              <w:widowControl/>
              <w:adjustRightInd w:val="0"/>
              <w:spacing w:line="240" w:lineRule="auto"/>
              <w:ind w:firstLine="33" w:firstLineChars="14"/>
              <w:jc w:val="center"/>
              <w:textAlignment w:val="center"/>
              <w:rPr>
                <w:rFonts w:hint="eastAsia" w:ascii="仿宋" w:hAnsi="仿宋" w:cs="宋体"/>
                <w:kern w:val="0"/>
                <w:sz w:val="24"/>
                <w:szCs w:val="24"/>
              </w:rPr>
            </w:pPr>
            <w:r>
              <w:rPr>
                <w:rFonts w:hint="eastAsia" w:ascii="仿宋" w:hAnsi="仿宋" w:eastAsia="仿宋" w:cs="宋体"/>
                <w:kern w:val="0"/>
                <w:sz w:val="24"/>
                <w:szCs w:val="24"/>
              </w:rPr>
              <w:t>技术负责人</w:t>
            </w:r>
          </w:p>
        </w:tc>
        <w:tc>
          <w:tcPr>
            <w:tcW w:w="4100" w:type="dxa"/>
            <w:vAlign w:val="center"/>
          </w:tcPr>
          <w:p w14:paraId="4E600621">
            <w:pPr>
              <w:widowControl/>
              <w:adjustRightInd w:val="0"/>
              <w:spacing w:line="240" w:lineRule="auto"/>
              <w:ind w:firstLine="33" w:firstLineChars="14"/>
              <w:textAlignment w:val="center"/>
              <w:rPr>
                <w:rFonts w:hint="eastAsia" w:ascii="仿宋" w:hAnsi="仿宋" w:cs="宋体"/>
                <w:kern w:val="0"/>
                <w:sz w:val="24"/>
                <w:szCs w:val="24"/>
              </w:rPr>
            </w:pPr>
            <w:r>
              <w:rPr>
                <w:rFonts w:hint="eastAsia" w:ascii="仿宋" w:hAnsi="仿宋" w:eastAsia="仿宋" w:cs="宋体"/>
                <w:kern w:val="0"/>
                <w:sz w:val="24"/>
                <w:szCs w:val="24"/>
              </w:rPr>
              <w:t>进行安全技术交底、负责技术管理工作。</w:t>
            </w:r>
          </w:p>
        </w:tc>
      </w:tr>
      <w:tr w14:paraId="6B946B7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43248DEE">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6C65BF52">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刘平</w:t>
            </w:r>
          </w:p>
        </w:tc>
        <w:tc>
          <w:tcPr>
            <w:tcW w:w="1637" w:type="dxa"/>
            <w:vAlign w:val="center"/>
          </w:tcPr>
          <w:p w14:paraId="1669A128">
            <w:pPr>
              <w:widowControl/>
              <w:adjustRightInd w:val="0"/>
              <w:spacing w:line="240" w:lineRule="auto"/>
              <w:ind w:firstLine="33" w:firstLineChars="14"/>
              <w:jc w:val="center"/>
              <w:textAlignment w:val="center"/>
              <w:rPr>
                <w:rFonts w:ascii="仿宋" w:hAnsi="仿宋" w:cs="宋体"/>
                <w:kern w:val="0"/>
                <w:sz w:val="24"/>
                <w:szCs w:val="24"/>
              </w:rPr>
            </w:pPr>
            <w:r>
              <w:rPr>
                <w:rFonts w:hint="eastAsia" w:ascii="仿宋" w:hAnsi="仿宋" w:eastAsia="仿宋" w:cs="宋体"/>
                <w:kern w:val="0"/>
                <w:sz w:val="24"/>
                <w:szCs w:val="24"/>
              </w:rPr>
              <w:t>安全员</w:t>
            </w:r>
          </w:p>
        </w:tc>
        <w:tc>
          <w:tcPr>
            <w:tcW w:w="4100" w:type="dxa"/>
            <w:vAlign w:val="center"/>
          </w:tcPr>
          <w:p w14:paraId="6D583274">
            <w:pPr>
              <w:widowControl/>
              <w:adjustRightInd w:val="0"/>
              <w:spacing w:line="240" w:lineRule="auto"/>
              <w:ind w:firstLine="33" w:firstLineChars="14"/>
              <w:textAlignment w:val="center"/>
              <w:rPr>
                <w:rFonts w:ascii="仿宋" w:hAnsi="仿宋" w:cs="宋体"/>
                <w:kern w:val="0"/>
                <w:sz w:val="24"/>
                <w:szCs w:val="24"/>
              </w:rPr>
            </w:pPr>
            <w:r>
              <w:rPr>
                <w:rFonts w:hint="eastAsia" w:ascii="仿宋" w:hAnsi="仿宋" w:eastAsia="仿宋" w:cs="宋体"/>
                <w:kern w:val="0"/>
                <w:sz w:val="24"/>
                <w:szCs w:val="24"/>
              </w:rPr>
              <w:t>检查施工中安全保护措施的监督执行，监督执行作业前安全技术交底，负责现场施工安全监督。</w:t>
            </w:r>
          </w:p>
        </w:tc>
      </w:tr>
      <w:tr w14:paraId="24B216C0">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37EAF66A">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4BFC200A">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周文亮</w:t>
            </w:r>
          </w:p>
        </w:tc>
        <w:tc>
          <w:tcPr>
            <w:tcW w:w="1637" w:type="dxa"/>
            <w:vAlign w:val="center"/>
          </w:tcPr>
          <w:p w14:paraId="2266102D">
            <w:pPr>
              <w:widowControl/>
              <w:adjustRightInd w:val="0"/>
              <w:spacing w:line="240" w:lineRule="auto"/>
              <w:ind w:firstLine="33" w:firstLineChars="14"/>
              <w:jc w:val="center"/>
              <w:textAlignment w:val="center"/>
              <w:rPr>
                <w:rFonts w:ascii="仿宋" w:hAnsi="仿宋" w:cs="宋体"/>
                <w:kern w:val="0"/>
                <w:sz w:val="24"/>
                <w:szCs w:val="24"/>
              </w:rPr>
            </w:pPr>
            <w:r>
              <w:rPr>
                <w:rFonts w:hint="eastAsia" w:ascii="仿宋" w:hAnsi="仿宋" w:eastAsia="仿宋" w:cs="宋体"/>
                <w:kern w:val="0"/>
                <w:sz w:val="24"/>
                <w:szCs w:val="24"/>
              </w:rPr>
              <w:t>机管员</w:t>
            </w:r>
          </w:p>
        </w:tc>
        <w:tc>
          <w:tcPr>
            <w:tcW w:w="4100" w:type="dxa"/>
            <w:vAlign w:val="center"/>
          </w:tcPr>
          <w:p w14:paraId="40876172">
            <w:pPr>
              <w:widowControl/>
              <w:adjustRightInd w:val="0"/>
              <w:spacing w:line="240" w:lineRule="auto"/>
              <w:ind w:firstLine="33" w:firstLineChars="14"/>
              <w:textAlignment w:val="center"/>
              <w:rPr>
                <w:rFonts w:ascii="仿宋" w:hAnsi="仿宋" w:cs="宋体"/>
                <w:kern w:val="0"/>
                <w:sz w:val="24"/>
                <w:szCs w:val="24"/>
              </w:rPr>
            </w:pPr>
            <w:r>
              <w:rPr>
                <w:rFonts w:hint="eastAsia" w:ascii="仿宋" w:hAnsi="仿宋" w:eastAsia="仿宋" w:cs="宋体"/>
                <w:kern w:val="0"/>
                <w:sz w:val="24"/>
                <w:szCs w:val="24"/>
              </w:rPr>
              <w:t>配合汇编整理技术资料，监管设备检验，塔机安装完毕后自检。</w:t>
            </w:r>
          </w:p>
        </w:tc>
      </w:tr>
      <w:tr w14:paraId="1957A70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5F1F9066">
            <w:pPr>
              <w:widowControl/>
              <w:adjustRightInd w:val="0"/>
              <w:spacing w:line="240" w:lineRule="auto"/>
              <w:ind w:firstLine="33" w:firstLineChars="14"/>
              <w:jc w:val="center"/>
              <w:textAlignment w:val="center"/>
              <w:rPr>
                <w:rFonts w:ascii="仿宋" w:hAnsi="仿宋"/>
                <w:kern w:val="0"/>
                <w:sz w:val="24"/>
                <w:szCs w:val="24"/>
              </w:rPr>
            </w:pPr>
          </w:p>
        </w:tc>
        <w:tc>
          <w:tcPr>
            <w:tcW w:w="1262" w:type="dxa"/>
          </w:tcPr>
          <w:p w14:paraId="58F3924A">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伍启</w:t>
            </w:r>
          </w:p>
        </w:tc>
        <w:tc>
          <w:tcPr>
            <w:tcW w:w="1637" w:type="dxa"/>
            <w:vAlign w:val="center"/>
          </w:tcPr>
          <w:p w14:paraId="133FF6AE">
            <w:pPr>
              <w:widowControl/>
              <w:adjustRightInd w:val="0"/>
              <w:spacing w:line="240" w:lineRule="auto"/>
              <w:ind w:firstLine="33" w:firstLineChars="14"/>
              <w:jc w:val="center"/>
              <w:textAlignment w:val="center"/>
              <w:rPr>
                <w:rFonts w:ascii="仿宋" w:hAnsi="仿宋" w:cs="宋体"/>
                <w:kern w:val="0"/>
                <w:sz w:val="24"/>
                <w:szCs w:val="24"/>
              </w:rPr>
            </w:pPr>
            <w:r>
              <w:rPr>
                <w:rFonts w:hint="eastAsia" w:ascii="仿宋" w:hAnsi="仿宋" w:eastAsia="仿宋" w:cs="宋体"/>
                <w:kern w:val="0"/>
                <w:sz w:val="24"/>
                <w:szCs w:val="24"/>
              </w:rPr>
              <w:t>测量人员</w:t>
            </w:r>
          </w:p>
        </w:tc>
        <w:tc>
          <w:tcPr>
            <w:tcW w:w="4100" w:type="dxa"/>
            <w:vAlign w:val="center"/>
          </w:tcPr>
          <w:p w14:paraId="17E723DE">
            <w:pPr>
              <w:widowControl/>
              <w:adjustRightInd w:val="0"/>
              <w:spacing w:line="240" w:lineRule="auto"/>
              <w:ind w:firstLine="33" w:firstLineChars="14"/>
              <w:textAlignment w:val="center"/>
              <w:rPr>
                <w:rFonts w:ascii="仿宋" w:hAnsi="仿宋" w:cs="宋体"/>
                <w:kern w:val="0"/>
                <w:sz w:val="24"/>
                <w:szCs w:val="24"/>
              </w:rPr>
            </w:pPr>
            <w:r>
              <w:rPr>
                <w:rFonts w:hint="eastAsia" w:ascii="仿宋" w:hAnsi="仿宋" w:eastAsia="仿宋" w:cs="宋体"/>
                <w:kern w:val="0"/>
                <w:sz w:val="24"/>
                <w:szCs w:val="24"/>
              </w:rPr>
              <w:t>配合塔吊垂直度测量</w:t>
            </w:r>
          </w:p>
        </w:tc>
      </w:tr>
      <w:tr w14:paraId="54C05BB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90" w:type="dxa"/>
            <w:vMerge w:val="continue"/>
            <w:vAlign w:val="center"/>
          </w:tcPr>
          <w:p w14:paraId="52AFBE43">
            <w:pPr>
              <w:widowControl/>
              <w:adjustRightInd w:val="0"/>
              <w:spacing w:line="240" w:lineRule="auto"/>
              <w:ind w:firstLine="33" w:firstLineChars="14"/>
              <w:jc w:val="center"/>
              <w:textAlignment w:val="center"/>
              <w:rPr>
                <w:rFonts w:ascii="仿宋" w:hAnsi="仿宋"/>
                <w:kern w:val="0"/>
                <w:sz w:val="24"/>
                <w:szCs w:val="24"/>
              </w:rPr>
            </w:pPr>
          </w:p>
        </w:tc>
        <w:tc>
          <w:tcPr>
            <w:tcW w:w="1262" w:type="dxa"/>
            <w:vAlign w:val="center"/>
          </w:tcPr>
          <w:p w14:paraId="3B2300CF">
            <w:pPr>
              <w:widowControl/>
              <w:adjustRightInd w:val="0"/>
              <w:spacing w:line="240" w:lineRule="auto"/>
              <w:ind w:firstLine="33" w:firstLineChars="14"/>
              <w:jc w:val="center"/>
              <w:textAlignment w:val="center"/>
              <w:rPr>
                <w:rFonts w:ascii="仿宋" w:hAnsi="仿宋"/>
                <w:kern w:val="0"/>
                <w:sz w:val="24"/>
                <w:szCs w:val="24"/>
              </w:rPr>
            </w:pPr>
            <w:r>
              <w:rPr>
                <w:rFonts w:hint="eastAsia" w:ascii="仿宋" w:hAnsi="仿宋" w:eastAsia="仿宋"/>
                <w:kern w:val="0"/>
                <w:sz w:val="24"/>
                <w:szCs w:val="24"/>
              </w:rPr>
              <w:t>袁康林</w:t>
            </w:r>
          </w:p>
        </w:tc>
        <w:tc>
          <w:tcPr>
            <w:tcW w:w="1637" w:type="dxa"/>
            <w:vAlign w:val="center"/>
          </w:tcPr>
          <w:p w14:paraId="48E2D153">
            <w:pPr>
              <w:widowControl/>
              <w:adjustRightInd w:val="0"/>
              <w:spacing w:line="240" w:lineRule="auto"/>
              <w:ind w:firstLine="33" w:firstLineChars="14"/>
              <w:jc w:val="center"/>
              <w:textAlignment w:val="center"/>
              <w:rPr>
                <w:rFonts w:ascii="仿宋" w:hAnsi="仿宋" w:cs="宋体"/>
                <w:kern w:val="0"/>
                <w:sz w:val="24"/>
                <w:szCs w:val="24"/>
              </w:rPr>
            </w:pPr>
            <w:r>
              <w:rPr>
                <w:rFonts w:hint="eastAsia" w:ascii="仿宋" w:hAnsi="仿宋" w:eastAsia="仿宋" w:cs="宋体"/>
                <w:kern w:val="0"/>
                <w:sz w:val="24"/>
                <w:szCs w:val="24"/>
              </w:rPr>
              <w:t>特种设备管理人员</w:t>
            </w:r>
          </w:p>
        </w:tc>
        <w:tc>
          <w:tcPr>
            <w:tcW w:w="4100" w:type="dxa"/>
            <w:vAlign w:val="center"/>
          </w:tcPr>
          <w:p w14:paraId="40854BF9">
            <w:pPr>
              <w:widowControl/>
              <w:adjustRightInd w:val="0"/>
              <w:spacing w:line="240" w:lineRule="auto"/>
              <w:ind w:firstLine="33" w:firstLineChars="14"/>
              <w:textAlignment w:val="center"/>
              <w:rPr>
                <w:rFonts w:ascii="仿宋" w:hAnsi="仿宋" w:cs="宋体"/>
                <w:kern w:val="0"/>
                <w:sz w:val="24"/>
                <w:szCs w:val="24"/>
              </w:rPr>
            </w:pPr>
            <w:r>
              <w:rPr>
                <w:rFonts w:hint="eastAsia" w:ascii="仿宋" w:hAnsi="仿宋" w:eastAsia="仿宋" w:cs="宋体"/>
                <w:kern w:val="0"/>
                <w:sz w:val="24"/>
                <w:szCs w:val="24"/>
              </w:rPr>
              <w:t>塔吊安拆过程全过程盯控</w:t>
            </w:r>
          </w:p>
        </w:tc>
      </w:tr>
    </w:tbl>
    <w:p w14:paraId="728C11B0">
      <w:pPr>
        <w:pStyle w:val="3"/>
        <w:bidi w:val="0"/>
        <w:ind w:left="575" w:leftChars="0" w:hanging="575" w:firstLineChars="0"/>
      </w:pPr>
      <w:bookmarkStart w:id="192" w:name="_Toc10114"/>
      <w:r>
        <w:rPr>
          <w:rFonts w:hint="eastAsia"/>
        </w:rPr>
        <w:t>工期计划</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92"/>
    </w:p>
    <w:p w14:paraId="7286506C">
      <w:pPr>
        <w:ind w:firstLine="560"/>
      </w:pPr>
      <w:r>
        <w:rPr>
          <w:rFonts w:hint="eastAsia"/>
          <w:lang w:eastAsia="zh-CN"/>
        </w:rPr>
        <w:t>XGT6</w:t>
      </w:r>
      <w:r>
        <w:rPr>
          <w:rFonts w:hint="eastAsia"/>
          <w:lang w:val="en-US" w:eastAsia="zh-CN"/>
        </w:rPr>
        <w:t>0</w:t>
      </w:r>
      <w:r>
        <w:rPr>
          <w:rFonts w:hint="eastAsia"/>
          <w:lang w:eastAsia="zh-CN"/>
        </w:rPr>
        <w:t>15</w:t>
      </w:r>
      <w:r>
        <w:rPr>
          <w:rFonts w:hint="eastAsia"/>
          <w:lang w:val="en-US" w:eastAsia="zh-CN"/>
        </w:rPr>
        <w:t>A</w:t>
      </w:r>
      <w:r>
        <w:rPr>
          <w:rFonts w:hint="eastAsia"/>
          <w:lang w:eastAsia="zh-CN"/>
        </w:rPr>
        <w:t>-</w:t>
      </w:r>
      <w:r>
        <w:rPr>
          <w:rFonts w:hint="eastAsia"/>
          <w:lang w:val="en-US" w:eastAsia="zh-CN"/>
        </w:rPr>
        <w:t>8</w:t>
      </w:r>
      <w:r>
        <w:rPr>
          <w:rFonts w:hint="eastAsia"/>
          <w:lang w:eastAsia="zh-CN"/>
        </w:rPr>
        <w:t>S</w:t>
      </w:r>
      <w:r>
        <w:rPr>
          <w:rFonts w:hint="eastAsia"/>
        </w:rPr>
        <w:t>塔机安装顶升到使用高度用时约</w:t>
      </w:r>
      <w:r>
        <w:rPr>
          <w:rFonts w:hint="eastAsia"/>
          <w:lang w:val="en-US" w:eastAsia="zh-CN"/>
        </w:rPr>
        <w:t>4</w:t>
      </w:r>
      <w:r>
        <w:rPr>
          <w:rFonts w:hint="eastAsia"/>
        </w:rPr>
        <w:t>天，其中包含塔机预拼组件时间。</w:t>
      </w:r>
    </w:p>
    <w:p w14:paraId="483E5445">
      <w:pPr>
        <w:pStyle w:val="16"/>
        <w:jc w:val="center"/>
        <w:rPr>
          <w:rFonts w:hint="default" w:eastAsia="黑体"/>
          <w:lang w:val="en-US" w:eastAsia="zh-CN"/>
        </w:rPr>
      </w:pPr>
      <w:r>
        <w:t xml:space="preserve">表 </w:t>
      </w:r>
      <w:r>
        <w:fldChar w:fldCharType="begin"/>
      </w:r>
      <w:r>
        <w:instrText xml:space="preserve"> STYLEREF 2 \s </w:instrText>
      </w:r>
      <w:r>
        <w:fldChar w:fldCharType="separate"/>
      </w:r>
      <w:r>
        <w:t>4.2</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XGT6015A-8S塔机施工进度表</w:t>
      </w:r>
    </w:p>
    <w:tbl>
      <w:tblPr>
        <w:tblStyle w:val="44"/>
        <w:tblW w:w="9160" w:type="dxa"/>
        <w:tblInd w:w="0" w:type="dxa"/>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Layout w:type="fixed"/>
        <w:tblCellMar>
          <w:top w:w="0" w:type="dxa"/>
          <w:left w:w="108" w:type="dxa"/>
          <w:bottom w:w="0" w:type="dxa"/>
          <w:right w:w="108" w:type="dxa"/>
        </w:tblCellMar>
      </w:tblPr>
      <w:tblGrid>
        <w:gridCol w:w="978"/>
        <w:gridCol w:w="5831"/>
        <w:gridCol w:w="1114"/>
        <w:gridCol w:w="1237"/>
      </w:tblGrid>
      <w:tr w14:paraId="2639E3BF">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0A402B72">
            <w:pPr>
              <w:ind w:firstLine="0" w:firstLineChars="0"/>
              <w:jc w:val="center"/>
              <w:rPr>
                <w:rFonts w:ascii="仿宋" w:hAnsi="仿宋" w:cs="宋体"/>
                <w:b/>
                <w:bCs/>
                <w:sz w:val="24"/>
                <w:szCs w:val="24"/>
              </w:rPr>
            </w:pPr>
            <w:r>
              <w:rPr>
                <w:rFonts w:hint="eastAsia" w:ascii="仿宋" w:hAnsi="仿宋" w:cs="宋体"/>
                <w:b/>
                <w:bCs/>
                <w:sz w:val="24"/>
                <w:szCs w:val="24"/>
              </w:rPr>
              <w:t>序号</w:t>
            </w:r>
          </w:p>
        </w:tc>
        <w:tc>
          <w:tcPr>
            <w:tcW w:w="5831" w:type="dxa"/>
            <w:tcBorders>
              <w:tl2br w:val="nil"/>
              <w:tr2bl w:val="nil"/>
            </w:tcBorders>
            <w:vAlign w:val="center"/>
          </w:tcPr>
          <w:p w14:paraId="32DABC4E">
            <w:pPr>
              <w:ind w:firstLine="0" w:firstLineChars="0"/>
              <w:jc w:val="center"/>
              <w:rPr>
                <w:rFonts w:ascii="仿宋" w:hAnsi="仿宋" w:cs="宋体"/>
                <w:b/>
                <w:bCs/>
                <w:sz w:val="24"/>
                <w:szCs w:val="24"/>
              </w:rPr>
            </w:pPr>
            <w:r>
              <w:rPr>
                <w:rFonts w:hint="eastAsia" w:ascii="仿宋" w:hAnsi="仿宋" w:cs="宋体"/>
                <w:b/>
                <w:bCs/>
                <w:sz w:val="24"/>
                <w:szCs w:val="24"/>
              </w:rPr>
              <w:t>工作项目</w:t>
            </w:r>
          </w:p>
        </w:tc>
        <w:tc>
          <w:tcPr>
            <w:tcW w:w="1114" w:type="dxa"/>
            <w:tcBorders>
              <w:tl2br w:val="nil"/>
              <w:tr2bl w:val="nil"/>
            </w:tcBorders>
            <w:vAlign w:val="center"/>
          </w:tcPr>
          <w:p w14:paraId="0616A9CB">
            <w:pPr>
              <w:ind w:firstLine="0" w:firstLineChars="0"/>
              <w:jc w:val="center"/>
              <w:rPr>
                <w:rFonts w:ascii="仿宋" w:hAnsi="仿宋" w:cs="宋体"/>
                <w:b/>
                <w:bCs/>
                <w:sz w:val="24"/>
                <w:szCs w:val="24"/>
              </w:rPr>
            </w:pPr>
            <w:r>
              <w:rPr>
                <w:rFonts w:hint="eastAsia" w:ascii="仿宋" w:hAnsi="仿宋" w:cs="宋体"/>
                <w:b/>
                <w:bCs/>
                <w:sz w:val="24"/>
                <w:szCs w:val="24"/>
              </w:rPr>
              <w:t>时间（天）</w:t>
            </w:r>
          </w:p>
        </w:tc>
        <w:tc>
          <w:tcPr>
            <w:tcW w:w="1237" w:type="dxa"/>
            <w:tcBorders>
              <w:tl2br w:val="nil"/>
              <w:tr2bl w:val="nil"/>
            </w:tcBorders>
            <w:vAlign w:val="center"/>
          </w:tcPr>
          <w:p w14:paraId="214E37A7">
            <w:pPr>
              <w:ind w:firstLine="0" w:firstLineChars="0"/>
              <w:jc w:val="center"/>
              <w:rPr>
                <w:rFonts w:ascii="仿宋" w:hAnsi="仿宋" w:cs="宋体"/>
                <w:b/>
                <w:bCs/>
                <w:sz w:val="24"/>
                <w:szCs w:val="24"/>
              </w:rPr>
            </w:pPr>
            <w:r>
              <w:rPr>
                <w:rFonts w:hint="eastAsia" w:ascii="仿宋" w:hAnsi="仿宋" w:cs="宋体"/>
                <w:b/>
                <w:bCs/>
                <w:sz w:val="24"/>
                <w:szCs w:val="24"/>
              </w:rPr>
              <w:t>备注</w:t>
            </w:r>
          </w:p>
        </w:tc>
      </w:tr>
      <w:tr w14:paraId="355BABA3">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74FBBD93">
            <w:pPr>
              <w:ind w:firstLine="0" w:firstLineChars="0"/>
              <w:jc w:val="center"/>
              <w:rPr>
                <w:rFonts w:ascii="仿宋" w:hAnsi="仿宋" w:cs="宋体"/>
                <w:sz w:val="24"/>
                <w:szCs w:val="24"/>
              </w:rPr>
            </w:pPr>
            <w:r>
              <w:rPr>
                <w:rFonts w:ascii="仿宋" w:hAnsi="仿宋" w:cs="宋体"/>
                <w:sz w:val="24"/>
                <w:szCs w:val="24"/>
              </w:rPr>
              <w:t>1</w:t>
            </w:r>
          </w:p>
        </w:tc>
        <w:tc>
          <w:tcPr>
            <w:tcW w:w="5831" w:type="dxa"/>
            <w:tcBorders>
              <w:tl2br w:val="nil"/>
              <w:tr2bl w:val="nil"/>
            </w:tcBorders>
            <w:vAlign w:val="center"/>
          </w:tcPr>
          <w:p w14:paraId="20200ECC">
            <w:pPr>
              <w:ind w:firstLine="0" w:firstLineChars="0"/>
              <w:jc w:val="center"/>
              <w:rPr>
                <w:rFonts w:ascii="仿宋" w:hAnsi="仿宋" w:cs="宋体"/>
                <w:sz w:val="24"/>
                <w:szCs w:val="24"/>
              </w:rPr>
            </w:pPr>
            <w:r>
              <w:rPr>
                <w:rFonts w:hint="eastAsia" w:ascii="仿宋" w:hAnsi="仿宋" w:cs="宋体"/>
                <w:sz w:val="24"/>
                <w:szCs w:val="24"/>
              </w:rPr>
              <w:t>施工队伍进场，工具准备，现场勘查，协调</w:t>
            </w:r>
          </w:p>
        </w:tc>
        <w:tc>
          <w:tcPr>
            <w:tcW w:w="1114" w:type="dxa"/>
            <w:tcBorders>
              <w:tl2br w:val="nil"/>
              <w:tr2bl w:val="nil"/>
            </w:tcBorders>
            <w:vAlign w:val="center"/>
          </w:tcPr>
          <w:p w14:paraId="227A6F42">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0.5</w:t>
            </w:r>
          </w:p>
        </w:tc>
        <w:tc>
          <w:tcPr>
            <w:tcW w:w="1237" w:type="dxa"/>
            <w:tcBorders>
              <w:tl2br w:val="nil"/>
              <w:tr2bl w:val="nil"/>
            </w:tcBorders>
            <w:vAlign w:val="center"/>
          </w:tcPr>
          <w:p w14:paraId="0BD9A362">
            <w:pPr>
              <w:ind w:firstLine="480"/>
              <w:jc w:val="center"/>
              <w:rPr>
                <w:rFonts w:ascii="仿宋" w:hAnsi="仿宋" w:cs="宋体"/>
                <w:sz w:val="24"/>
                <w:szCs w:val="24"/>
              </w:rPr>
            </w:pPr>
          </w:p>
        </w:tc>
      </w:tr>
      <w:tr w14:paraId="3E0CA88C">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FCF16EB">
            <w:pPr>
              <w:ind w:firstLine="0" w:firstLineChars="0"/>
              <w:jc w:val="center"/>
              <w:rPr>
                <w:rFonts w:ascii="仿宋" w:hAnsi="仿宋" w:cs="宋体"/>
                <w:sz w:val="24"/>
                <w:szCs w:val="24"/>
              </w:rPr>
            </w:pPr>
            <w:r>
              <w:rPr>
                <w:rFonts w:ascii="仿宋" w:hAnsi="仿宋" w:cs="宋体"/>
                <w:sz w:val="24"/>
                <w:szCs w:val="24"/>
              </w:rPr>
              <w:t>2</w:t>
            </w:r>
          </w:p>
        </w:tc>
        <w:tc>
          <w:tcPr>
            <w:tcW w:w="5831" w:type="dxa"/>
            <w:tcBorders>
              <w:tl2br w:val="nil"/>
              <w:tr2bl w:val="nil"/>
            </w:tcBorders>
            <w:vAlign w:val="center"/>
          </w:tcPr>
          <w:p w14:paraId="3BFAB2B1">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rPr>
              <w:t>安装塔机</w:t>
            </w:r>
            <w:r>
              <w:rPr>
                <w:rFonts w:hint="eastAsia" w:ascii="仿宋" w:hAnsi="仿宋" w:cs="宋体"/>
                <w:sz w:val="24"/>
                <w:szCs w:val="24"/>
                <w:lang w:val="en-US" w:eastAsia="zh-CN"/>
              </w:rPr>
              <w:t>1</w:t>
            </w:r>
            <w:r>
              <w:rPr>
                <w:rFonts w:hint="eastAsia" w:ascii="仿宋" w:hAnsi="仿宋" w:cs="宋体"/>
                <w:sz w:val="24"/>
                <w:szCs w:val="24"/>
              </w:rPr>
              <w:t>节基础节，</w:t>
            </w:r>
            <w:r>
              <w:rPr>
                <w:rFonts w:hint="eastAsia" w:ascii="仿宋" w:hAnsi="仿宋" w:cs="宋体"/>
                <w:sz w:val="24"/>
                <w:szCs w:val="24"/>
                <w:lang w:val="en-US" w:eastAsia="zh-CN"/>
              </w:rPr>
              <w:t>1节标准节，</w:t>
            </w:r>
            <w:r>
              <w:rPr>
                <w:rFonts w:hint="eastAsia" w:ascii="仿宋" w:hAnsi="仿宋" w:cs="宋体"/>
                <w:sz w:val="24"/>
                <w:szCs w:val="24"/>
              </w:rPr>
              <w:t>安装爬升架</w:t>
            </w:r>
            <w:r>
              <w:rPr>
                <w:rFonts w:hint="eastAsia" w:ascii="仿宋" w:hAnsi="仿宋" w:cs="宋体"/>
                <w:sz w:val="24"/>
                <w:szCs w:val="24"/>
                <w:lang w:eastAsia="zh-CN"/>
              </w:rPr>
              <w:t>，</w:t>
            </w:r>
            <w:r>
              <w:rPr>
                <w:rFonts w:hint="eastAsia" w:ascii="仿宋" w:hAnsi="仿宋" w:cs="宋体"/>
                <w:sz w:val="24"/>
                <w:szCs w:val="24"/>
                <w:lang w:val="en-US" w:eastAsia="zh-CN"/>
              </w:rPr>
              <w:t>特殊节，回转总成</w:t>
            </w:r>
          </w:p>
        </w:tc>
        <w:tc>
          <w:tcPr>
            <w:tcW w:w="1114" w:type="dxa"/>
            <w:tcBorders>
              <w:tl2br w:val="nil"/>
              <w:tr2bl w:val="nil"/>
            </w:tcBorders>
            <w:vAlign w:val="center"/>
          </w:tcPr>
          <w:p w14:paraId="076D5BF2">
            <w:pPr>
              <w:ind w:firstLine="0" w:firstLineChars="0"/>
              <w:jc w:val="center"/>
              <w:rPr>
                <w:rFonts w:ascii="仿宋" w:hAnsi="仿宋" w:cs="宋体"/>
                <w:sz w:val="24"/>
                <w:szCs w:val="24"/>
              </w:rPr>
            </w:pPr>
            <w:r>
              <w:rPr>
                <w:rFonts w:ascii="仿宋" w:hAnsi="仿宋" w:cs="宋体"/>
                <w:sz w:val="24"/>
                <w:szCs w:val="24"/>
              </w:rPr>
              <w:t>1</w:t>
            </w:r>
          </w:p>
        </w:tc>
        <w:tc>
          <w:tcPr>
            <w:tcW w:w="1237" w:type="dxa"/>
            <w:tcBorders>
              <w:tl2br w:val="nil"/>
              <w:tr2bl w:val="nil"/>
            </w:tcBorders>
            <w:vAlign w:val="center"/>
          </w:tcPr>
          <w:p w14:paraId="0F83EE0E">
            <w:pPr>
              <w:ind w:firstLine="480"/>
              <w:jc w:val="center"/>
              <w:rPr>
                <w:rFonts w:ascii="仿宋" w:hAnsi="仿宋" w:cs="宋体"/>
                <w:sz w:val="24"/>
                <w:szCs w:val="24"/>
              </w:rPr>
            </w:pPr>
          </w:p>
        </w:tc>
      </w:tr>
      <w:tr w14:paraId="5E437E1F">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063435A">
            <w:pPr>
              <w:ind w:firstLine="0" w:firstLineChars="0"/>
              <w:jc w:val="center"/>
              <w:rPr>
                <w:rFonts w:ascii="仿宋" w:hAnsi="仿宋" w:cs="宋体"/>
                <w:sz w:val="24"/>
                <w:szCs w:val="24"/>
              </w:rPr>
            </w:pPr>
            <w:r>
              <w:rPr>
                <w:rFonts w:ascii="仿宋" w:hAnsi="仿宋" w:cs="宋体"/>
                <w:sz w:val="24"/>
                <w:szCs w:val="24"/>
              </w:rPr>
              <w:t>3</w:t>
            </w:r>
          </w:p>
        </w:tc>
        <w:tc>
          <w:tcPr>
            <w:tcW w:w="5831" w:type="dxa"/>
            <w:tcBorders>
              <w:tl2br w:val="nil"/>
              <w:tr2bl w:val="nil"/>
            </w:tcBorders>
            <w:vAlign w:val="center"/>
          </w:tcPr>
          <w:p w14:paraId="237B6F59">
            <w:pPr>
              <w:ind w:firstLine="0" w:firstLineChars="0"/>
              <w:jc w:val="center"/>
              <w:rPr>
                <w:rFonts w:ascii="仿宋" w:hAnsi="仿宋" w:cs="宋体"/>
                <w:sz w:val="24"/>
                <w:szCs w:val="24"/>
              </w:rPr>
            </w:pPr>
            <w:r>
              <w:rPr>
                <w:rFonts w:hint="eastAsia" w:ascii="仿宋" w:hAnsi="仿宋" w:cs="宋体"/>
                <w:sz w:val="24"/>
                <w:szCs w:val="24"/>
              </w:rPr>
              <w:t>安装</w:t>
            </w:r>
            <w:r>
              <w:rPr>
                <w:rFonts w:hint="eastAsia" w:ascii="仿宋" w:hAnsi="仿宋" w:cs="宋体"/>
                <w:sz w:val="24"/>
                <w:szCs w:val="24"/>
                <w:lang w:val="en-US" w:eastAsia="zh-CN"/>
              </w:rPr>
              <w:t>臂根节</w:t>
            </w:r>
            <w:r>
              <w:rPr>
                <w:rFonts w:hint="eastAsia" w:ascii="仿宋" w:hAnsi="仿宋" w:cs="宋体"/>
                <w:sz w:val="24"/>
                <w:szCs w:val="24"/>
              </w:rPr>
              <w:t>、平衡臂、</w:t>
            </w:r>
            <w:r>
              <w:rPr>
                <w:rFonts w:hint="eastAsia" w:ascii="仿宋" w:hAnsi="仿宋" w:cs="宋体"/>
                <w:sz w:val="24"/>
                <w:szCs w:val="24"/>
                <w:lang w:val="en-US" w:eastAsia="zh-CN"/>
              </w:rPr>
              <w:t>平衡重、</w:t>
            </w:r>
            <w:r>
              <w:rPr>
                <w:rFonts w:hint="eastAsia" w:ascii="仿宋" w:hAnsi="仿宋" w:cs="宋体"/>
                <w:sz w:val="24"/>
                <w:szCs w:val="24"/>
              </w:rPr>
              <w:t>起重臂</w:t>
            </w:r>
          </w:p>
        </w:tc>
        <w:tc>
          <w:tcPr>
            <w:tcW w:w="1114" w:type="dxa"/>
            <w:tcBorders>
              <w:tl2br w:val="nil"/>
              <w:tr2bl w:val="nil"/>
            </w:tcBorders>
            <w:vAlign w:val="center"/>
          </w:tcPr>
          <w:p w14:paraId="682A72F7">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1</w:t>
            </w:r>
          </w:p>
        </w:tc>
        <w:tc>
          <w:tcPr>
            <w:tcW w:w="1237" w:type="dxa"/>
            <w:tcBorders>
              <w:tl2br w:val="nil"/>
              <w:tr2bl w:val="nil"/>
            </w:tcBorders>
            <w:vAlign w:val="center"/>
          </w:tcPr>
          <w:p w14:paraId="10F499EA">
            <w:pPr>
              <w:ind w:firstLine="480"/>
              <w:jc w:val="center"/>
              <w:rPr>
                <w:rFonts w:ascii="仿宋" w:hAnsi="仿宋" w:cs="宋体"/>
                <w:sz w:val="24"/>
                <w:szCs w:val="24"/>
              </w:rPr>
            </w:pPr>
          </w:p>
        </w:tc>
      </w:tr>
      <w:tr w14:paraId="1C80F306">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81B17C7">
            <w:pPr>
              <w:ind w:firstLine="0" w:firstLineChars="0"/>
              <w:jc w:val="center"/>
              <w:rPr>
                <w:rFonts w:ascii="仿宋" w:hAnsi="仿宋" w:cs="宋体"/>
                <w:sz w:val="24"/>
                <w:szCs w:val="24"/>
              </w:rPr>
            </w:pPr>
            <w:r>
              <w:rPr>
                <w:rFonts w:ascii="仿宋" w:hAnsi="仿宋" w:cs="宋体"/>
                <w:sz w:val="24"/>
                <w:szCs w:val="24"/>
              </w:rPr>
              <w:t>4</w:t>
            </w:r>
          </w:p>
        </w:tc>
        <w:tc>
          <w:tcPr>
            <w:tcW w:w="5831" w:type="dxa"/>
            <w:tcBorders>
              <w:tl2br w:val="nil"/>
              <w:tr2bl w:val="nil"/>
            </w:tcBorders>
            <w:vAlign w:val="center"/>
          </w:tcPr>
          <w:p w14:paraId="51FE78F9">
            <w:pPr>
              <w:ind w:firstLine="0" w:firstLineChars="0"/>
              <w:jc w:val="center"/>
              <w:rPr>
                <w:rFonts w:ascii="仿宋" w:hAnsi="仿宋" w:cs="宋体"/>
                <w:sz w:val="24"/>
                <w:szCs w:val="24"/>
              </w:rPr>
            </w:pPr>
            <w:r>
              <w:rPr>
                <w:rFonts w:hint="eastAsia" w:ascii="仿宋" w:hAnsi="仿宋" w:cs="宋体"/>
                <w:sz w:val="24"/>
                <w:szCs w:val="24"/>
              </w:rPr>
              <w:t>穿钩，调试，顶升到使用高度</w:t>
            </w:r>
          </w:p>
        </w:tc>
        <w:tc>
          <w:tcPr>
            <w:tcW w:w="1114" w:type="dxa"/>
            <w:tcBorders>
              <w:tl2br w:val="nil"/>
              <w:tr2bl w:val="nil"/>
            </w:tcBorders>
            <w:vAlign w:val="center"/>
          </w:tcPr>
          <w:p w14:paraId="118915C6">
            <w:pPr>
              <w:ind w:firstLine="0" w:firstLineChars="0"/>
              <w:jc w:val="center"/>
              <w:rPr>
                <w:rFonts w:ascii="仿宋" w:hAnsi="仿宋" w:cs="宋体"/>
                <w:sz w:val="24"/>
                <w:szCs w:val="24"/>
              </w:rPr>
            </w:pPr>
            <w:r>
              <w:rPr>
                <w:rFonts w:ascii="仿宋" w:hAnsi="仿宋" w:cs="宋体"/>
                <w:sz w:val="24"/>
                <w:szCs w:val="24"/>
              </w:rPr>
              <w:t>1</w:t>
            </w:r>
          </w:p>
        </w:tc>
        <w:tc>
          <w:tcPr>
            <w:tcW w:w="1237" w:type="dxa"/>
            <w:tcBorders>
              <w:tl2br w:val="nil"/>
              <w:tr2bl w:val="nil"/>
            </w:tcBorders>
            <w:vAlign w:val="center"/>
          </w:tcPr>
          <w:p w14:paraId="405692BD">
            <w:pPr>
              <w:ind w:firstLine="480"/>
              <w:jc w:val="center"/>
              <w:rPr>
                <w:rFonts w:ascii="仿宋" w:hAnsi="仿宋" w:cs="宋体"/>
                <w:sz w:val="24"/>
                <w:szCs w:val="24"/>
              </w:rPr>
            </w:pPr>
          </w:p>
        </w:tc>
      </w:tr>
      <w:tr w14:paraId="54838681">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41585064">
            <w:pPr>
              <w:ind w:firstLine="0" w:firstLineChars="0"/>
              <w:jc w:val="center"/>
              <w:rPr>
                <w:rFonts w:hint="eastAsia" w:ascii="仿宋" w:hAnsi="仿宋" w:eastAsia="仿宋" w:cs="宋体"/>
                <w:sz w:val="24"/>
                <w:szCs w:val="24"/>
                <w:lang w:val="en-US" w:eastAsia="zh-CN"/>
              </w:rPr>
            </w:pPr>
            <w:r>
              <w:rPr>
                <w:rFonts w:hint="eastAsia" w:ascii="仿宋" w:hAnsi="仿宋" w:cs="宋体"/>
                <w:sz w:val="24"/>
                <w:szCs w:val="24"/>
                <w:lang w:val="en-US" w:eastAsia="zh-CN"/>
              </w:rPr>
              <w:t>5</w:t>
            </w:r>
          </w:p>
        </w:tc>
        <w:tc>
          <w:tcPr>
            <w:tcW w:w="5831" w:type="dxa"/>
            <w:tcBorders>
              <w:tl2br w:val="nil"/>
              <w:tr2bl w:val="nil"/>
            </w:tcBorders>
            <w:vAlign w:val="center"/>
          </w:tcPr>
          <w:p w14:paraId="48CBE389">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验收，交付使用</w:t>
            </w:r>
          </w:p>
        </w:tc>
        <w:tc>
          <w:tcPr>
            <w:tcW w:w="1114" w:type="dxa"/>
            <w:tcBorders>
              <w:tl2br w:val="nil"/>
              <w:tr2bl w:val="nil"/>
            </w:tcBorders>
            <w:vAlign w:val="center"/>
          </w:tcPr>
          <w:p w14:paraId="3D2191DE">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0.5</w:t>
            </w:r>
          </w:p>
        </w:tc>
        <w:tc>
          <w:tcPr>
            <w:tcW w:w="1237" w:type="dxa"/>
            <w:tcBorders>
              <w:tl2br w:val="nil"/>
              <w:tr2bl w:val="nil"/>
            </w:tcBorders>
            <w:vAlign w:val="center"/>
          </w:tcPr>
          <w:p w14:paraId="0E0199AB">
            <w:pPr>
              <w:ind w:firstLine="480"/>
              <w:jc w:val="center"/>
              <w:rPr>
                <w:rFonts w:ascii="仿宋" w:hAnsi="仿宋" w:cs="宋体"/>
                <w:sz w:val="24"/>
                <w:szCs w:val="24"/>
              </w:rPr>
            </w:pPr>
          </w:p>
        </w:tc>
      </w:tr>
      <w:tr w14:paraId="3BBB91DB">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6809" w:type="dxa"/>
            <w:gridSpan w:val="2"/>
            <w:tcBorders>
              <w:tl2br w:val="nil"/>
              <w:tr2bl w:val="nil"/>
            </w:tcBorders>
            <w:vAlign w:val="center"/>
          </w:tcPr>
          <w:p w14:paraId="22AA37C0">
            <w:pPr>
              <w:ind w:firstLine="0" w:firstLineChars="0"/>
              <w:jc w:val="center"/>
              <w:rPr>
                <w:rFonts w:ascii="仿宋" w:hAnsi="仿宋" w:cs="宋体"/>
                <w:sz w:val="24"/>
                <w:szCs w:val="24"/>
              </w:rPr>
            </w:pPr>
            <w:r>
              <w:rPr>
                <w:rFonts w:hint="eastAsia" w:ascii="仿宋" w:hAnsi="仿宋" w:cs="宋体"/>
                <w:sz w:val="24"/>
                <w:szCs w:val="24"/>
              </w:rPr>
              <w:t>总计时间</w:t>
            </w:r>
          </w:p>
        </w:tc>
        <w:tc>
          <w:tcPr>
            <w:tcW w:w="1114" w:type="dxa"/>
            <w:tcBorders>
              <w:tl2br w:val="nil"/>
              <w:tr2bl w:val="nil"/>
            </w:tcBorders>
            <w:vAlign w:val="center"/>
          </w:tcPr>
          <w:p w14:paraId="58EAE7ED">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4</w:t>
            </w:r>
          </w:p>
        </w:tc>
        <w:tc>
          <w:tcPr>
            <w:tcW w:w="1237" w:type="dxa"/>
            <w:tcBorders>
              <w:tl2br w:val="nil"/>
              <w:tr2bl w:val="nil"/>
            </w:tcBorders>
            <w:vAlign w:val="center"/>
          </w:tcPr>
          <w:p w14:paraId="0561D527">
            <w:pPr>
              <w:ind w:firstLine="480"/>
              <w:jc w:val="center"/>
              <w:rPr>
                <w:rFonts w:ascii="仿宋" w:hAnsi="仿宋" w:cs="宋体"/>
                <w:sz w:val="24"/>
                <w:szCs w:val="24"/>
              </w:rPr>
            </w:pPr>
          </w:p>
        </w:tc>
      </w:tr>
    </w:tbl>
    <w:p w14:paraId="028F7757">
      <w:pPr>
        <w:ind w:firstLine="560"/>
      </w:pPr>
      <w:r>
        <w:rPr>
          <w:rFonts w:hint="eastAsia"/>
          <w:lang w:val="en-US" w:eastAsia="zh-CN"/>
        </w:rPr>
        <w:t>T7020-12</w:t>
      </w:r>
      <w:r>
        <w:rPr>
          <w:rFonts w:hint="eastAsia"/>
        </w:rPr>
        <w:t>塔机安装顶升到使用高度用时约</w:t>
      </w:r>
      <w:r>
        <w:rPr>
          <w:rFonts w:hint="eastAsia"/>
          <w:lang w:val="en-US" w:eastAsia="zh-CN"/>
        </w:rPr>
        <w:t>6</w:t>
      </w:r>
      <w:r>
        <w:rPr>
          <w:rFonts w:hint="eastAsia"/>
        </w:rPr>
        <w:t>天，其中包含塔机预拼组件时间。</w:t>
      </w:r>
    </w:p>
    <w:p w14:paraId="7358D641">
      <w:pPr>
        <w:pStyle w:val="16"/>
        <w:jc w:val="center"/>
      </w:pPr>
      <w:r>
        <w:t xml:space="preserve">表 </w:t>
      </w:r>
      <w:r>
        <w:fldChar w:fldCharType="begin"/>
      </w:r>
      <w:r>
        <w:instrText xml:space="preserve"> STYLEREF 2 \s </w:instrText>
      </w:r>
      <w:r>
        <w:fldChar w:fldCharType="separate"/>
      </w:r>
      <w:r>
        <w:t>4.2</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T7020-12塔机施工进度表</w:t>
      </w:r>
    </w:p>
    <w:tbl>
      <w:tblPr>
        <w:tblStyle w:val="44"/>
        <w:tblW w:w="9160" w:type="dxa"/>
        <w:tblInd w:w="0" w:type="dxa"/>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Layout w:type="fixed"/>
        <w:tblCellMar>
          <w:top w:w="0" w:type="dxa"/>
          <w:left w:w="108" w:type="dxa"/>
          <w:bottom w:w="0" w:type="dxa"/>
          <w:right w:w="108" w:type="dxa"/>
        </w:tblCellMar>
      </w:tblPr>
      <w:tblGrid>
        <w:gridCol w:w="978"/>
        <w:gridCol w:w="5831"/>
        <w:gridCol w:w="1114"/>
        <w:gridCol w:w="1237"/>
      </w:tblGrid>
      <w:tr w14:paraId="1E26D211">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7B8F93F5">
            <w:pPr>
              <w:ind w:firstLine="0" w:firstLineChars="0"/>
              <w:jc w:val="center"/>
              <w:rPr>
                <w:rFonts w:ascii="仿宋" w:hAnsi="仿宋" w:cs="宋体"/>
                <w:b/>
                <w:bCs/>
                <w:sz w:val="24"/>
                <w:szCs w:val="24"/>
              </w:rPr>
            </w:pPr>
            <w:r>
              <w:rPr>
                <w:rFonts w:hint="eastAsia" w:ascii="仿宋" w:hAnsi="仿宋" w:cs="宋体"/>
                <w:b/>
                <w:bCs/>
                <w:sz w:val="24"/>
                <w:szCs w:val="24"/>
              </w:rPr>
              <w:t>序号</w:t>
            </w:r>
          </w:p>
        </w:tc>
        <w:tc>
          <w:tcPr>
            <w:tcW w:w="5831" w:type="dxa"/>
            <w:tcBorders>
              <w:tl2br w:val="nil"/>
              <w:tr2bl w:val="nil"/>
            </w:tcBorders>
            <w:vAlign w:val="center"/>
          </w:tcPr>
          <w:p w14:paraId="4E2C094D">
            <w:pPr>
              <w:ind w:firstLine="0" w:firstLineChars="0"/>
              <w:jc w:val="center"/>
              <w:rPr>
                <w:rFonts w:ascii="仿宋" w:hAnsi="仿宋" w:cs="宋体"/>
                <w:b/>
                <w:bCs/>
                <w:sz w:val="24"/>
                <w:szCs w:val="24"/>
              </w:rPr>
            </w:pPr>
            <w:r>
              <w:rPr>
                <w:rFonts w:hint="eastAsia" w:ascii="仿宋" w:hAnsi="仿宋" w:cs="宋体"/>
                <w:b/>
                <w:bCs/>
                <w:sz w:val="24"/>
                <w:szCs w:val="24"/>
              </w:rPr>
              <w:t>工作项目</w:t>
            </w:r>
          </w:p>
        </w:tc>
        <w:tc>
          <w:tcPr>
            <w:tcW w:w="1114" w:type="dxa"/>
            <w:tcBorders>
              <w:tl2br w:val="nil"/>
              <w:tr2bl w:val="nil"/>
            </w:tcBorders>
            <w:vAlign w:val="center"/>
          </w:tcPr>
          <w:p w14:paraId="0A6DAD03">
            <w:pPr>
              <w:ind w:firstLine="0" w:firstLineChars="0"/>
              <w:jc w:val="center"/>
              <w:rPr>
                <w:rFonts w:ascii="仿宋" w:hAnsi="仿宋" w:cs="宋体"/>
                <w:b/>
                <w:bCs/>
                <w:sz w:val="24"/>
                <w:szCs w:val="24"/>
              </w:rPr>
            </w:pPr>
            <w:r>
              <w:rPr>
                <w:rFonts w:hint="eastAsia" w:ascii="仿宋" w:hAnsi="仿宋" w:cs="宋体"/>
                <w:b/>
                <w:bCs/>
                <w:sz w:val="24"/>
                <w:szCs w:val="24"/>
              </w:rPr>
              <w:t>时间（天）</w:t>
            </w:r>
          </w:p>
        </w:tc>
        <w:tc>
          <w:tcPr>
            <w:tcW w:w="1237" w:type="dxa"/>
            <w:tcBorders>
              <w:tl2br w:val="nil"/>
              <w:tr2bl w:val="nil"/>
            </w:tcBorders>
            <w:vAlign w:val="center"/>
          </w:tcPr>
          <w:p w14:paraId="2C92FDFE">
            <w:pPr>
              <w:ind w:firstLine="0" w:firstLineChars="0"/>
              <w:jc w:val="center"/>
              <w:rPr>
                <w:rFonts w:ascii="仿宋" w:hAnsi="仿宋" w:cs="宋体"/>
                <w:b/>
                <w:bCs/>
                <w:sz w:val="24"/>
                <w:szCs w:val="24"/>
              </w:rPr>
            </w:pPr>
            <w:r>
              <w:rPr>
                <w:rFonts w:hint="eastAsia" w:ascii="仿宋" w:hAnsi="仿宋" w:cs="宋体"/>
                <w:b/>
                <w:bCs/>
                <w:sz w:val="24"/>
                <w:szCs w:val="24"/>
              </w:rPr>
              <w:t>备注</w:t>
            </w:r>
          </w:p>
        </w:tc>
      </w:tr>
      <w:tr w14:paraId="2F750A3D">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2559304">
            <w:pPr>
              <w:ind w:firstLine="0" w:firstLineChars="0"/>
              <w:jc w:val="center"/>
              <w:rPr>
                <w:rFonts w:ascii="仿宋" w:hAnsi="仿宋" w:cs="宋体"/>
                <w:sz w:val="24"/>
                <w:szCs w:val="24"/>
              </w:rPr>
            </w:pPr>
            <w:r>
              <w:rPr>
                <w:rFonts w:ascii="仿宋" w:hAnsi="仿宋" w:cs="宋体"/>
                <w:sz w:val="24"/>
                <w:szCs w:val="24"/>
              </w:rPr>
              <w:t>1</w:t>
            </w:r>
          </w:p>
        </w:tc>
        <w:tc>
          <w:tcPr>
            <w:tcW w:w="5831" w:type="dxa"/>
            <w:tcBorders>
              <w:tl2br w:val="nil"/>
              <w:tr2bl w:val="nil"/>
            </w:tcBorders>
            <w:vAlign w:val="center"/>
          </w:tcPr>
          <w:p w14:paraId="37F5ED2D">
            <w:pPr>
              <w:ind w:firstLine="0" w:firstLineChars="0"/>
              <w:jc w:val="center"/>
              <w:rPr>
                <w:rFonts w:ascii="仿宋" w:hAnsi="仿宋" w:cs="宋体"/>
                <w:sz w:val="24"/>
                <w:szCs w:val="24"/>
              </w:rPr>
            </w:pPr>
            <w:r>
              <w:rPr>
                <w:rFonts w:hint="eastAsia" w:ascii="仿宋" w:hAnsi="仿宋" w:cs="宋体"/>
                <w:sz w:val="24"/>
                <w:szCs w:val="24"/>
              </w:rPr>
              <w:t>施工队伍进场，工具准备，现场勘查，协调</w:t>
            </w:r>
          </w:p>
        </w:tc>
        <w:tc>
          <w:tcPr>
            <w:tcW w:w="1114" w:type="dxa"/>
            <w:tcBorders>
              <w:tl2br w:val="nil"/>
              <w:tr2bl w:val="nil"/>
            </w:tcBorders>
            <w:vAlign w:val="center"/>
          </w:tcPr>
          <w:p w14:paraId="7098A053">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1</w:t>
            </w:r>
          </w:p>
        </w:tc>
        <w:tc>
          <w:tcPr>
            <w:tcW w:w="1237" w:type="dxa"/>
            <w:tcBorders>
              <w:tl2br w:val="nil"/>
              <w:tr2bl w:val="nil"/>
            </w:tcBorders>
            <w:vAlign w:val="center"/>
          </w:tcPr>
          <w:p w14:paraId="2A4B8D36">
            <w:pPr>
              <w:ind w:firstLine="480"/>
              <w:jc w:val="center"/>
              <w:rPr>
                <w:rFonts w:ascii="仿宋" w:hAnsi="仿宋" w:cs="宋体"/>
                <w:sz w:val="24"/>
                <w:szCs w:val="24"/>
              </w:rPr>
            </w:pPr>
          </w:p>
        </w:tc>
      </w:tr>
      <w:tr w14:paraId="4CC3CD8D">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381693C9">
            <w:pPr>
              <w:ind w:firstLine="0" w:firstLineChars="0"/>
              <w:jc w:val="center"/>
              <w:rPr>
                <w:rFonts w:ascii="仿宋" w:hAnsi="仿宋" w:cs="宋体"/>
                <w:sz w:val="24"/>
                <w:szCs w:val="24"/>
              </w:rPr>
            </w:pPr>
            <w:r>
              <w:rPr>
                <w:rFonts w:ascii="仿宋" w:hAnsi="仿宋" w:cs="宋体"/>
                <w:sz w:val="24"/>
                <w:szCs w:val="24"/>
              </w:rPr>
              <w:t>2</w:t>
            </w:r>
          </w:p>
        </w:tc>
        <w:tc>
          <w:tcPr>
            <w:tcW w:w="5831" w:type="dxa"/>
            <w:tcBorders>
              <w:tl2br w:val="nil"/>
              <w:tr2bl w:val="nil"/>
            </w:tcBorders>
            <w:vAlign w:val="center"/>
          </w:tcPr>
          <w:p w14:paraId="553066C0">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rPr>
              <w:t>安装塔机</w:t>
            </w:r>
            <w:r>
              <w:rPr>
                <w:rFonts w:hint="eastAsia" w:ascii="仿宋" w:hAnsi="仿宋" w:cs="宋体"/>
                <w:sz w:val="24"/>
                <w:szCs w:val="24"/>
                <w:lang w:val="en-US" w:eastAsia="zh-CN"/>
              </w:rPr>
              <w:t>1</w:t>
            </w:r>
            <w:r>
              <w:rPr>
                <w:rFonts w:hint="eastAsia" w:ascii="仿宋" w:hAnsi="仿宋" w:cs="宋体"/>
                <w:sz w:val="24"/>
                <w:szCs w:val="24"/>
              </w:rPr>
              <w:t>节</w:t>
            </w:r>
            <w:r>
              <w:rPr>
                <w:rFonts w:hint="eastAsia" w:ascii="仿宋" w:hAnsi="仿宋" w:cs="宋体"/>
                <w:sz w:val="24"/>
                <w:szCs w:val="24"/>
                <w:lang w:val="en-US" w:eastAsia="zh-CN"/>
              </w:rPr>
              <w:t>过渡</w:t>
            </w:r>
            <w:r>
              <w:rPr>
                <w:rFonts w:hint="eastAsia" w:ascii="仿宋" w:hAnsi="仿宋" w:cs="宋体"/>
                <w:sz w:val="24"/>
                <w:szCs w:val="24"/>
              </w:rPr>
              <w:t>节，安装爬升架</w:t>
            </w:r>
            <w:r>
              <w:rPr>
                <w:rFonts w:hint="eastAsia" w:ascii="仿宋" w:hAnsi="仿宋" w:cs="宋体"/>
                <w:sz w:val="24"/>
                <w:szCs w:val="24"/>
                <w:lang w:eastAsia="zh-CN"/>
              </w:rPr>
              <w:t>，</w:t>
            </w:r>
            <w:r>
              <w:rPr>
                <w:rFonts w:hint="eastAsia" w:ascii="仿宋" w:hAnsi="仿宋" w:cs="宋体"/>
                <w:sz w:val="24"/>
                <w:szCs w:val="24"/>
                <w:lang w:val="en-US" w:eastAsia="zh-CN"/>
              </w:rPr>
              <w:t>回转总成</w:t>
            </w:r>
          </w:p>
        </w:tc>
        <w:tc>
          <w:tcPr>
            <w:tcW w:w="1114" w:type="dxa"/>
            <w:tcBorders>
              <w:tl2br w:val="nil"/>
              <w:tr2bl w:val="nil"/>
            </w:tcBorders>
            <w:vAlign w:val="center"/>
          </w:tcPr>
          <w:p w14:paraId="3CE2C0B2">
            <w:pPr>
              <w:ind w:firstLine="0" w:firstLineChars="0"/>
              <w:jc w:val="center"/>
              <w:rPr>
                <w:rFonts w:hint="eastAsia" w:ascii="仿宋" w:hAnsi="仿宋" w:eastAsia="仿宋" w:cs="宋体"/>
                <w:sz w:val="24"/>
                <w:szCs w:val="24"/>
                <w:lang w:eastAsia="zh-CN"/>
              </w:rPr>
            </w:pPr>
            <w:r>
              <w:rPr>
                <w:rFonts w:hint="eastAsia" w:ascii="仿宋" w:hAnsi="仿宋" w:cs="宋体"/>
                <w:sz w:val="24"/>
                <w:szCs w:val="24"/>
                <w:lang w:val="en-US" w:eastAsia="zh-CN"/>
              </w:rPr>
              <w:t>2</w:t>
            </w:r>
          </w:p>
        </w:tc>
        <w:tc>
          <w:tcPr>
            <w:tcW w:w="1237" w:type="dxa"/>
            <w:tcBorders>
              <w:tl2br w:val="nil"/>
              <w:tr2bl w:val="nil"/>
            </w:tcBorders>
            <w:vAlign w:val="center"/>
          </w:tcPr>
          <w:p w14:paraId="62074A8C">
            <w:pPr>
              <w:ind w:firstLine="480"/>
              <w:jc w:val="center"/>
              <w:rPr>
                <w:rFonts w:ascii="仿宋" w:hAnsi="仿宋" w:cs="宋体"/>
                <w:sz w:val="24"/>
                <w:szCs w:val="24"/>
              </w:rPr>
            </w:pPr>
          </w:p>
        </w:tc>
      </w:tr>
      <w:tr w14:paraId="0B374330">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0EB17B42">
            <w:pPr>
              <w:ind w:firstLine="0" w:firstLineChars="0"/>
              <w:jc w:val="center"/>
              <w:rPr>
                <w:rFonts w:ascii="仿宋" w:hAnsi="仿宋" w:cs="宋体"/>
                <w:sz w:val="24"/>
                <w:szCs w:val="24"/>
              </w:rPr>
            </w:pPr>
            <w:r>
              <w:rPr>
                <w:rFonts w:ascii="仿宋" w:hAnsi="仿宋" w:cs="宋体"/>
                <w:sz w:val="24"/>
                <w:szCs w:val="24"/>
              </w:rPr>
              <w:t>3</w:t>
            </w:r>
          </w:p>
        </w:tc>
        <w:tc>
          <w:tcPr>
            <w:tcW w:w="5831" w:type="dxa"/>
            <w:tcBorders>
              <w:tl2br w:val="nil"/>
              <w:tr2bl w:val="nil"/>
            </w:tcBorders>
            <w:vAlign w:val="center"/>
          </w:tcPr>
          <w:p w14:paraId="49D24F12">
            <w:pPr>
              <w:ind w:firstLine="0" w:firstLineChars="0"/>
              <w:jc w:val="center"/>
              <w:rPr>
                <w:rFonts w:ascii="仿宋" w:hAnsi="仿宋" w:cs="宋体"/>
                <w:sz w:val="24"/>
                <w:szCs w:val="24"/>
              </w:rPr>
            </w:pPr>
            <w:r>
              <w:rPr>
                <w:rFonts w:hint="eastAsia" w:ascii="仿宋" w:hAnsi="仿宋" w:cs="宋体"/>
                <w:sz w:val="24"/>
                <w:szCs w:val="24"/>
              </w:rPr>
              <w:t>安装回转</w:t>
            </w:r>
            <w:r>
              <w:rPr>
                <w:rFonts w:hint="eastAsia" w:ascii="仿宋" w:hAnsi="仿宋" w:cs="宋体"/>
                <w:sz w:val="24"/>
                <w:szCs w:val="24"/>
                <w:lang w:val="en-US" w:eastAsia="zh-CN"/>
              </w:rPr>
              <w:t>塔身</w:t>
            </w:r>
            <w:r>
              <w:rPr>
                <w:rFonts w:hint="eastAsia" w:ascii="仿宋" w:hAnsi="仿宋" w:cs="宋体"/>
                <w:sz w:val="24"/>
                <w:szCs w:val="24"/>
              </w:rPr>
              <w:t>、平衡臂根节、平衡臂</w:t>
            </w:r>
            <w:r>
              <w:rPr>
                <w:rFonts w:hint="eastAsia" w:ascii="仿宋" w:hAnsi="仿宋" w:cs="宋体"/>
                <w:sz w:val="24"/>
                <w:szCs w:val="24"/>
                <w:lang w:eastAsia="zh-CN"/>
              </w:rPr>
              <w:t>、</w:t>
            </w:r>
            <w:r>
              <w:rPr>
                <w:rFonts w:hint="eastAsia" w:ascii="仿宋" w:hAnsi="仿宋" w:cs="宋体"/>
                <w:sz w:val="24"/>
                <w:szCs w:val="24"/>
                <w:lang w:val="en-US" w:eastAsia="zh-CN"/>
              </w:rPr>
              <w:t>配重</w:t>
            </w:r>
            <w:r>
              <w:rPr>
                <w:rFonts w:hint="eastAsia" w:ascii="仿宋" w:hAnsi="仿宋" w:cs="宋体"/>
                <w:sz w:val="24"/>
                <w:szCs w:val="24"/>
              </w:rPr>
              <w:t>、起重臂</w:t>
            </w:r>
          </w:p>
        </w:tc>
        <w:tc>
          <w:tcPr>
            <w:tcW w:w="1114" w:type="dxa"/>
            <w:tcBorders>
              <w:tl2br w:val="nil"/>
              <w:tr2bl w:val="nil"/>
            </w:tcBorders>
            <w:vAlign w:val="center"/>
          </w:tcPr>
          <w:p w14:paraId="243032F1">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2</w:t>
            </w:r>
          </w:p>
        </w:tc>
        <w:tc>
          <w:tcPr>
            <w:tcW w:w="1237" w:type="dxa"/>
            <w:tcBorders>
              <w:tl2br w:val="nil"/>
              <w:tr2bl w:val="nil"/>
            </w:tcBorders>
            <w:vAlign w:val="center"/>
          </w:tcPr>
          <w:p w14:paraId="681F1360">
            <w:pPr>
              <w:ind w:firstLine="480"/>
              <w:jc w:val="center"/>
              <w:rPr>
                <w:rFonts w:ascii="仿宋" w:hAnsi="仿宋" w:cs="宋体"/>
                <w:sz w:val="24"/>
                <w:szCs w:val="24"/>
              </w:rPr>
            </w:pPr>
          </w:p>
        </w:tc>
      </w:tr>
      <w:tr w14:paraId="42CA2E21">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62193ED5">
            <w:pPr>
              <w:ind w:firstLine="0" w:firstLineChars="0"/>
              <w:jc w:val="center"/>
              <w:rPr>
                <w:rFonts w:ascii="仿宋" w:hAnsi="仿宋" w:cs="宋体"/>
                <w:sz w:val="24"/>
                <w:szCs w:val="24"/>
              </w:rPr>
            </w:pPr>
            <w:r>
              <w:rPr>
                <w:rFonts w:ascii="仿宋" w:hAnsi="仿宋" w:cs="宋体"/>
                <w:sz w:val="24"/>
                <w:szCs w:val="24"/>
              </w:rPr>
              <w:t>4</w:t>
            </w:r>
          </w:p>
        </w:tc>
        <w:tc>
          <w:tcPr>
            <w:tcW w:w="5831" w:type="dxa"/>
            <w:tcBorders>
              <w:tl2br w:val="nil"/>
              <w:tr2bl w:val="nil"/>
            </w:tcBorders>
            <w:vAlign w:val="center"/>
          </w:tcPr>
          <w:p w14:paraId="7D8C6CA2">
            <w:pPr>
              <w:ind w:firstLine="0" w:firstLineChars="0"/>
              <w:jc w:val="center"/>
              <w:rPr>
                <w:rFonts w:ascii="仿宋" w:hAnsi="仿宋" w:cs="宋体"/>
                <w:sz w:val="24"/>
                <w:szCs w:val="24"/>
              </w:rPr>
            </w:pPr>
            <w:r>
              <w:rPr>
                <w:rFonts w:hint="eastAsia" w:ascii="仿宋" w:hAnsi="仿宋" w:cs="宋体"/>
                <w:sz w:val="24"/>
                <w:szCs w:val="24"/>
              </w:rPr>
              <w:t>穿钩，调试，顶升到使用高度</w:t>
            </w:r>
          </w:p>
        </w:tc>
        <w:tc>
          <w:tcPr>
            <w:tcW w:w="1114" w:type="dxa"/>
            <w:tcBorders>
              <w:tl2br w:val="nil"/>
              <w:tr2bl w:val="nil"/>
            </w:tcBorders>
            <w:vAlign w:val="center"/>
          </w:tcPr>
          <w:p w14:paraId="0F307B57">
            <w:pPr>
              <w:ind w:firstLine="0" w:firstLineChars="0"/>
              <w:jc w:val="center"/>
              <w:rPr>
                <w:rFonts w:ascii="仿宋" w:hAnsi="仿宋" w:cs="宋体"/>
                <w:sz w:val="24"/>
                <w:szCs w:val="24"/>
              </w:rPr>
            </w:pPr>
            <w:r>
              <w:rPr>
                <w:rFonts w:ascii="仿宋" w:hAnsi="仿宋" w:cs="宋体"/>
                <w:sz w:val="24"/>
                <w:szCs w:val="24"/>
              </w:rPr>
              <w:t>1</w:t>
            </w:r>
          </w:p>
        </w:tc>
        <w:tc>
          <w:tcPr>
            <w:tcW w:w="1237" w:type="dxa"/>
            <w:tcBorders>
              <w:tl2br w:val="nil"/>
              <w:tr2bl w:val="nil"/>
            </w:tcBorders>
            <w:vAlign w:val="center"/>
          </w:tcPr>
          <w:p w14:paraId="51F86F14">
            <w:pPr>
              <w:ind w:firstLine="480"/>
              <w:jc w:val="center"/>
              <w:rPr>
                <w:rFonts w:ascii="仿宋" w:hAnsi="仿宋" w:cs="宋体"/>
                <w:sz w:val="24"/>
                <w:szCs w:val="24"/>
              </w:rPr>
            </w:pPr>
          </w:p>
        </w:tc>
      </w:tr>
      <w:tr w14:paraId="199D76B3">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6809" w:type="dxa"/>
            <w:gridSpan w:val="2"/>
            <w:tcBorders>
              <w:tl2br w:val="nil"/>
              <w:tr2bl w:val="nil"/>
            </w:tcBorders>
            <w:vAlign w:val="center"/>
          </w:tcPr>
          <w:p w14:paraId="5E9E8B0D">
            <w:pPr>
              <w:ind w:firstLine="0" w:firstLineChars="0"/>
              <w:jc w:val="center"/>
              <w:rPr>
                <w:rFonts w:ascii="仿宋" w:hAnsi="仿宋" w:cs="宋体"/>
                <w:sz w:val="24"/>
                <w:szCs w:val="24"/>
              </w:rPr>
            </w:pPr>
            <w:r>
              <w:rPr>
                <w:rFonts w:hint="eastAsia" w:ascii="仿宋" w:hAnsi="仿宋" w:cs="宋体"/>
                <w:sz w:val="24"/>
                <w:szCs w:val="24"/>
              </w:rPr>
              <w:t>总计时间</w:t>
            </w:r>
          </w:p>
        </w:tc>
        <w:tc>
          <w:tcPr>
            <w:tcW w:w="1114" w:type="dxa"/>
            <w:tcBorders>
              <w:tl2br w:val="nil"/>
              <w:tr2bl w:val="nil"/>
            </w:tcBorders>
            <w:vAlign w:val="center"/>
          </w:tcPr>
          <w:p w14:paraId="03495D8C">
            <w:pPr>
              <w:ind w:firstLine="0" w:firstLineChars="0"/>
              <w:jc w:val="center"/>
              <w:rPr>
                <w:rFonts w:hint="eastAsia" w:ascii="仿宋" w:hAnsi="仿宋" w:eastAsia="仿宋" w:cs="宋体"/>
                <w:sz w:val="24"/>
                <w:szCs w:val="24"/>
                <w:lang w:eastAsia="zh-CN"/>
              </w:rPr>
            </w:pPr>
            <w:r>
              <w:rPr>
                <w:rFonts w:hint="eastAsia" w:ascii="仿宋" w:hAnsi="仿宋" w:cs="宋体"/>
                <w:sz w:val="24"/>
                <w:szCs w:val="24"/>
                <w:lang w:val="en-US" w:eastAsia="zh-CN"/>
              </w:rPr>
              <w:t>6</w:t>
            </w:r>
          </w:p>
        </w:tc>
        <w:tc>
          <w:tcPr>
            <w:tcW w:w="1237" w:type="dxa"/>
            <w:tcBorders>
              <w:tl2br w:val="nil"/>
              <w:tr2bl w:val="nil"/>
            </w:tcBorders>
            <w:vAlign w:val="center"/>
          </w:tcPr>
          <w:p w14:paraId="309685F3">
            <w:pPr>
              <w:ind w:firstLine="480"/>
              <w:jc w:val="center"/>
              <w:rPr>
                <w:rFonts w:ascii="仿宋" w:hAnsi="仿宋" w:cs="宋体"/>
                <w:sz w:val="24"/>
                <w:szCs w:val="24"/>
              </w:rPr>
            </w:pPr>
          </w:p>
        </w:tc>
      </w:tr>
      <w:bookmarkEnd w:id="187"/>
      <w:bookmarkEnd w:id="188"/>
      <w:bookmarkEnd w:id="189"/>
      <w:bookmarkEnd w:id="190"/>
      <w:bookmarkEnd w:id="191"/>
    </w:tbl>
    <w:p w14:paraId="72910D0A">
      <w:pPr>
        <w:ind w:firstLine="560"/>
        <w:rPr>
          <w:rFonts w:cs="Times New Roman"/>
        </w:rPr>
      </w:pPr>
      <w:bookmarkStart w:id="193" w:name="_Toc29824_WPSOffice_Level2"/>
      <w:bookmarkStart w:id="194" w:name="_Toc24122"/>
      <w:bookmarkStart w:id="195" w:name="_Toc21837"/>
      <w:bookmarkStart w:id="196" w:name="_Toc526402039"/>
      <w:bookmarkStart w:id="197" w:name="_Toc28230"/>
      <w:bookmarkStart w:id="198" w:name="_Toc15011"/>
      <w:bookmarkStart w:id="199" w:name="_Toc1868"/>
      <w:bookmarkStart w:id="200" w:name="_Toc28617"/>
      <w:bookmarkStart w:id="201" w:name="_Toc21013"/>
      <w:bookmarkStart w:id="202" w:name="_Toc16823"/>
      <w:bookmarkStart w:id="203" w:name="_Toc12738"/>
      <w:bookmarkStart w:id="204" w:name="_Toc991"/>
      <w:bookmarkStart w:id="205" w:name="_Toc6821"/>
      <w:bookmarkStart w:id="206" w:name="_Toc5878"/>
      <w:bookmarkStart w:id="207" w:name="_Toc1393"/>
      <w:bookmarkStart w:id="208" w:name="_Toc9594"/>
      <w:bookmarkStart w:id="209" w:name="_Toc25743"/>
      <w:bookmarkStart w:id="210" w:name="_Toc10289"/>
      <w:bookmarkStart w:id="211" w:name="_Toc531896372"/>
      <w:bookmarkStart w:id="212" w:name="_Toc13185"/>
      <w:r>
        <w:rPr>
          <w:rFonts w:hint="eastAsia"/>
          <w:lang w:eastAsia="zh-CN"/>
        </w:rPr>
        <w:t>XGT6515D-10S</w:t>
      </w:r>
      <w:r>
        <w:rPr>
          <w:rFonts w:hint="eastAsia"/>
        </w:rPr>
        <w:t>塔机安装顶升到使用高度用时约5天，其中包含塔机预拼组件时间。</w:t>
      </w:r>
    </w:p>
    <w:p w14:paraId="54E1F562">
      <w:pPr>
        <w:pStyle w:val="16"/>
        <w:jc w:val="center"/>
      </w:pPr>
      <w:r>
        <w:rPr>
          <w:rFonts w:cs="Times New Roman"/>
        </w:rPr>
        <w:t xml:space="preserve">表 </w:t>
      </w:r>
      <w:r>
        <w:rPr>
          <w:rFonts w:cs="Times New Roman"/>
        </w:rPr>
        <w:fldChar w:fldCharType="begin"/>
      </w:r>
      <w:r>
        <w:rPr>
          <w:rFonts w:cs="Times New Roman"/>
        </w:rPr>
        <w:instrText xml:space="preserve"> STYLEREF 2 \s </w:instrText>
      </w:r>
      <w:r>
        <w:rPr>
          <w:rFonts w:cs="Times New Roman"/>
        </w:rPr>
        <w:fldChar w:fldCharType="separate"/>
      </w:r>
      <w:r>
        <w:rPr>
          <w:rFonts w:cs="Times New Roman"/>
        </w:rPr>
        <w:t>4.2</w:t>
      </w:r>
      <w:r>
        <w:rPr>
          <w:rFonts w:cs="Times New Roman"/>
        </w:rPr>
        <w:fldChar w:fldCharType="end"/>
      </w:r>
      <w:r>
        <w:rPr>
          <w:rFonts w:hint="eastAsia" w:cs="Times New Roman"/>
          <w:lang w:eastAsia="zh-CN"/>
        </w:rPr>
        <w:t>-</w:t>
      </w:r>
      <w:r>
        <w:rPr>
          <w:rFonts w:cs="Times New Roman"/>
        </w:rPr>
        <w:fldChar w:fldCharType="begin"/>
      </w:r>
      <w:r>
        <w:rPr>
          <w:rFonts w:cs="Times New Roman"/>
        </w:rPr>
        <w:instrText xml:space="preserve"> SEQ 表 \* ARABIC \s 2 </w:instrText>
      </w:r>
      <w:r>
        <w:rPr>
          <w:rFonts w:cs="Times New Roman"/>
        </w:rPr>
        <w:fldChar w:fldCharType="separate"/>
      </w:r>
      <w:r>
        <w:rPr>
          <w:rFonts w:cs="Times New Roman"/>
        </w:rPr>
        <w:t>3</w:t>
      </w:r>
      <w:r>
        <w:rPr>
          <w:rFonts w:cs="Times New Roman"/>
        </w:rPr>
        <w:fldChar w:fldCharType="end"/>
      </w:r>
      <w:r>
        <w:rPr>
          <w:rFonts w:hint="eastAsia" w:cs="Times New Roman"/>
          <w:lang w:val="en-US" w:eastAsia="zh-CN"/>
        </w:rPr>
        <w:t xml:space="preserve">  </w:t>
      </w:r>
      <w:r>
        <w:rPr>
          <w:rFonts w:hint="eastAsia" w:cs="Times New Roman"/>
          <w:lang w:eastAsia="zh-CN"/>
        </w:rPr>
        <w:t>XGT6515D-10S</w:t>
      </w:r>
      <w:r>
        <w:rPr>
          <w:rFonts w:hint="eastAsia" w:cs="Times New Roman"/>
        </w:rPr>
        <w:t>施工进度表</w:t>
      </w:r>
      <w:bookmarkEnd w:id="193"/>
    </w:p>
    <w:tbl>
      <w:tblPr>
        <w:tblStyle w:val="44"/>
        <w:tblW w:w="9160" w:type="dxa"/>
        <w:tblInd w:w="0" w:type="dxa"/>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Layout w:type="fixed"/>
        <w:tblCellMar>
          <w:top w:w="0" w:type="dxa"/>
          <w:left w:w="108" w:type="dxa"/>
          <w:bottom w:w="0" w:type="dxa"/>
          <w:right w:w="108" w:type="dxa"/>
        </w:tblCellMar>
      </w:tblPr>
      <w:tblGrid>
        <w:gridCol w:w="978"/>
        <w:gridCol w:w="5831"/>
        <w:gridCol w:w="1114"/>
        <w:gridCol w:w="1237"/>
      </w:tblGrid>
      <w:tr w14:paraId="50FA3B74">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79E5D46">
            <w:pPr>
              <w:ind w:firstLine="0" w:firstLineChars="0"/>
              <w:jc w:val="center"/>
              <w:rPr>
                <w:rFonts w:ascii="仿宋" w:hAnsi="仿宋" w:cs="宋体"/>
                <w:b/>
                <w:bCs/>
                <w:sz w:val="24"/>
                <w:szCs w:val="24"/>
              </w:rPr>
            </w:pPr>
            <w:r>
              <w:rPr>
                <w:rFonts w:hint="eastAsia" w:ascii="仿宋" w:hAnsi="仿宋" w:cs="宋体"/>
                <w:b/>
                <w:bCs/>
                <w:sz w:val="24"/>
                <w:szCs w:val="24"/>
              </w:rPr>
              <w:t>序号</w:t>
            </w:r>
          </w:p>
        </w:tc>
        <w:tc>
          <w:tcPr>
            <w:tcW w:w="5831" w:type="dxa"/>
            <w:tcBorders>
              <w:tl2br w:val="nil"/>
              <w:tr2bl w:val="nil"/>
            </w:tcBorders>
            <w:vAlign w:val="center"/>
          </w:tcPr>
          <w:p w14:paraId="5D061A67">
            <w:pPr>
              <w:ind w:firstLine="0" w:firstLineChars="0"/>
              <w:jc w:val="center"/>
              <w:rPr>
                <w:rFonts w:ascii="仿宋" w:hAnsi="仿宋" w:cs="宋体"/>
                <w:b/>
                <w:bCs/>
                <w:sz w:val="24"/>
                <w:szCs w:val="24"/>
              </w:rPr>
            </w:pPr>
            <w:r>
              <w:rPr>
                <w:rFonts w:hint="eastAsia" w:ascii="仿宋" w:hAnsi="仿宋" w:cs="宋体"/>
                <w:b/>
                <w:bCs/>
                <w:sz w:val="24"/>
                <w:szCs w:val="24"/>
              </w:rPr>
              <w:t>工作项目</w:t>
            </w:r>
          </w:p>
        </w:tc>
        <w:tc>
          <w:tcPr>
            <w:tcW w:w="1114" w:type="dxa"/>
            <w:tcBorders>
              <w:tl2br w:val="nil"/>
              <w:tr2bl w:val="nil"/>
            </w:tcBorders>
            <w:vAlign w:val="center"/>
          </w:tcPr>
          <w:p w14:paraId="51CFAD36">
            <w:pPr>
              <w:ind w:firstLine="0" w:firstLineChars="0"/>
              <w:jc w:val="center"/>
              <w:rPr>
                <w:rFonts w:ascii="仿宋" w:hAnsi="仿宋" w:cs="宋体"/>
                <w:b/>
                <w:bCs/>
                <w:sz w:val="24"/>
                <w:szCs w:val="24"/>
              </w:rPr>
            </w:pPr>
            <w:r>
              <w:rPr>
                <w:rFonts w:hint="eastAsia" w:ascii="仿宋" w:hAnsi="仿宋" w:cs="宋体"/>
                <w:b/>
                <w:bCs/>
                <w:sz w:val="24"/>
                <w:szCs w:val="24"/>
              </w:rPr>
              <w:t>时间（天）</w:t>
            </w:r>
          </w:p>
        </w:tc>
        <w:tc>
          <w:tcPr>
            <w:tcW w:w="1237" w:type="dxa"/>
            <w:tcBorders>
              <w:tl2br w:val="nil"/>
              <w:tr2bl w:val="nil"/>
            </w:tcBorders>
            <w:vAlign w:val="center"/>
          </w:tcPr>
          <w:p w14:paraId="591729A1">
            <w:pPr>
              <w:ind w:firstLine="0" w:firstLineChars="0"/>
              <w:jc w:val="center"/>
              <w:rPr>
                <w:rFonts w:ascii="仿宋" w:hAnsi="仿宋" w:cs="宋体"/>
                <w:b/>
                <w:bCs/>
                <w:sz w:val="24"/>
                <w:szCs w:val="24"/>
              </w:rPr>
            </w:pPr>
            <w:r>
              <w:rPr>
                <w:rFonts w:hint="eastAsia" w:ascii="仿宋" w:hAnsi="仿宋" w:cs="宋体"/>
                <w:b/>
                <w:bCs/>
                <w:sz w:val="24"/>
                <w:szCs w:val="24"/>
              </w:rPr>
              <w:t>备注</w:t>
            </w:r>
          </w:p>
        </w:tc>
      </w:tr>
      <w:tr w14:paraId="5BAB8721">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5CA1E1F5">
            <w:pPr>
              <w:ind w:firstLine="0" w:firstLineChars="0"/>
              <w:jc w:val="center"/>
              <w:rPr>
                <w:rFonts w:ascii="仿宋" w:hAnsi="仿宋" w:cs="宋体"/>
                <w:sz w:val="24"/>
                <w:szCs w:val="24"/>
              </w:rPr>
            </w:pPr>
            <w:r>
              <w:rPr>
                <w:rFonts w:ascii="仿宋" w:hAnsi="仿宋" w:cs="宋体"/>
                <w:sz w:val="24"/>
                <w:szCs w:val="24"/>
              </w:rPr>
              <w:t>1</w:t>
            </w:r>
          </w:p>
        </w:tc>
        <w:tc>
          <w:tcPr>
            <w:tcW w:w="5831" w:type="dxa"/>
            <w:tcBorders>
              <w:tl2br w:val="nil"/>
              <w:tr2bl w:val="nil"/>
            </w:tcBorders>
            <w:vAlign w:val="center"/>
          </w:tcPr>
          <w:p w14:paraId="5DDD00DD">
            <w:pPr>
              <w:ind w:firstLine="0" w:firstLineChars="0"/>
              <w:jc w:val="center"/>
              <w:rPr>
                <w:rFonts w:ascii="仿宋" w:hAnsi="仿宋" w:cs="宋体"/>
                <w:sz w:val="24"/>
                <w:szCs w:val="24"/>
              </w:rPr>
            </w:pPr>
            <w:r>
              <w:rPr>
                <w:rFonts w:hint="eastAsia" w:ascii="仿宋" w:hAnsi="仿宋" w:cs="宋体"/>
                <w:sz w:val="24"/>
                <w:szCs w:val="24"/>
              </w:rPr>
              <w:t>施工队伍进场，工具准备，现场勘查，协调</w:t>
            </w:r>
          </w:p>
        </w:tc>
        <w:tc>
          <w:tcPr>
            <w:tcW w:w="1114" w:type="dxa"/>
            <w:tcBorders>
              <w:tl2br w:val="nil"/>
              <w:tr2bl w:val="nil"/>
            </w:tcBorders>
            <w:vAlign w:val="center"/>
          </w:tcPr>
          <w:p w14:paraId="3A061B8A">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0.5</w:t>
            </w:r>
          </w:p>
        </w:tc>
        <w:tc>
          <w:tcPr>
            <w:tcW w:w="1237" w:type="dxa"/>
            <w:tcBorders>
              <w:tl2br w:val="nil"/>
              <w:tr2bl w:val="nil"/>
            </w:tcBorders>
            <w:vAlign w:val="center"/>
          </w:tcPr>
          <w:p w14:paraId="2B0111D6">
            <w:pPr>
              <w:ind w:firstLine="480"/>
              <w:jc w:val="center"/>
              <w:rPr>
                <w:rFonts w:ascii="仿宋" w:hAnsi="仿宋" w:cs="宋体"/>
                <w:sz w:val="24"/>
                <w:szCs w:val="24"/>
              </w:rPr>
            </w:pPr>
          </w:p>
        </w:tc>
      </w:tr>
      <w:tr w14:paraId="291DA728">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6065382B">
            <w:pPr>
              <w:ind w:firstLine="0" w:firstLineChars="0"/>
              <w:jc w:val="center"/>
              <w:rPr>
                <w:rFonts w:ascii="仿宋" w:hAnsi="仿宋" w:cs="宋体"/>
                <w:sz w:val="24"/>
                <w:szCs w:val="24"/>
              </w:rPr>
            </w:pPr>
            <w:r>
              <w:rPr>
                <w:rFonts w:ascii="仿宋" w:hAnsi="仿宋" w:cs="宋体"/>
                <w:sz w:val="24"/>
                <w:szCs w:val="24"/>
              </w:rPr>
              <w:t>2</w:t>
            </w:r>
          </w:p>
        </w:tc>
        <w:tc>
          <w:tcPr>
            <w:tcW w:w="5831" w:type="dxa"/>
            <w:tcBorders>
              <w:tl2br w:val="nil"/>
              <w:tr2bl w:val="nil"/>
            </w:tcBorders>
            <w:vAlign w:val="center"/>
          </w:tcPr>
          <w:p w14:paraId="5DD2D254">
            <w:pPr>
              <w:ind w:firstLine="0" w:firstLineChars="0"/>
              <w:jc w:val="center"/>
              <w:rPr>
                <w:rFonts w:ascii="仿宋" w:hAnsi="仿宋" w:cs="宋体"/>
                <w:sz w:val="24"/>
                <w:szCs w:val="24"/>
              </w:rPr>
            </w:pPr>
            <w:r>
              <w:rPr>
                <w:rFonts w:hint="eastAsia" w:ascii="仿宋" w:hAnsi="仿宋" w:cs="宋体"/>
                <w:sz w:val="24"/>
                <w:szCs w:val="24"/>
              </w:rPr>
              <w:t>安装塔机</w:t>
            </w:r>
            <w:r>
              <w:rPr>
                <w:rFonts w:hint="eastAsia" w:ascii="仿宋" w:hAnsi="仿宋" w:cs="宋体"/>
                <w:sz w:val="24"/>
                <w:szCs w:val="24"/>
                <w:lang w:val="en-US" w:eastAsia="zh-CN"/>
              </w:rPr>
              <w:t>2</w:t>
            </w:r>
            <w:r>
              <w:rPr>
                <w:rFonts w:hint="eastAsia" w:ascii="仿宋" w:hAnsi="仿宋" w:cs="宋体"/>
                <w:sz w:val="24"/>
                <w:szCs w:val="24"/>
              </w:rPr>
              <w:t>节基础节，安装爬升架</w:t>
            </w:r>
          </w:p>
        </w:tc>
        <w:tc>
          <w:tcPr>
            <w:tcW w:w="1114" w:type="dxa"/>
            <w:tcBorders>
              <w:tl2br w:val="nil"/>
              <w:tr2bl w:val="nil"/>
            </w:tcBorders>
            <w:vAlign w:val="center"/>
          </w:tcPr>
          <w:p w14:paraId="2E5AAD22">
            <w:pPr>
              <w:ind w:firstLine="0" w:firstLineChars="0"/>
              <w:jc w:val="center"/>
              <w:rPr>
                <w:rFonts w:ascii="仿宋" w:hAnsi="仿宋" w:cs="宋体"/>
                <w:sz w:val="24"/>
                <w:szCs w:val="24"/>
              </w:rPr>
            </w:pPr>
            <w:r>
              <w:rPr>
                <w:rFonts w:ascii="仿宋" w:hAnsi="仿宋" w:cs="宋体"/>
                <w:sz w:val="24"/>
                <w:szCs w:val="24"/>
              </w:rPr>
              <w:t>1</w:t>
            </w:r>
          </w:p>
        </w:tc>
        <w:tc>
          <w:tcPr>
            <w:tcW w:w="1237" w:type="dxa"/>
            <w:tcBorders>
              <w:tl2br w:val="nil"/>
              <w:tr2bl w:val="nil"/>
            </w:tcBorders>
            <w:vAlign w:val="center"/>
          </w:tcPr>
          <w:p w14:paraId="36604392">
            <w:pPr>
              <w:ind w:firstLine="480"/>
              <w:jc w:val="center"/>
              <w:rPr>
                <w:rFonts w:ascii="仿宋" w:hAnsi="仿宋" w:cs="宋体"/>
                <w:sz w:val="24"/>
                <w:szCs w:val="24"/>
              </w:rPr>
            </w:pPr>
          </w:p>
        </w:tc>
      </w:tr>
      <w:tr w14:paraId="4592F937">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2217F8E3">
            <w:pPr>
              <w:ind w:firstLine="0" w:firstLineChars="0"/>
              <w:jc w:val="center"/>
              <w:rPr>
                <w:rFonts w:ascii="仿宋" w:hAnsi="仿宋" w:cs="宋体"/>
                <w:sz w:val="24"/>
                <w:szCs w:val="24"/>
              </w:rPr>
            </w:pPr>
            <w:r>
              <w:rPr>
                <w:rFonts w:ascii="仿宋" w:hAnsi="仿宋" w:cs="宋体"/>
                <w:sz w:val="24"/>
                <w:szCs w:val="24"/>
              </w:rPr>
              <w:t>3</w:t>
            </w:r>
          </w:p>
        </w:tc>
        <w:tc>
          <w:tcPr>
            <w:tcW w:w="5831" w:type="dxa"/>
            <w:tcBorders>
              <w:tl2br w:val="nil"/>
              <w:tr2bl w:val="nil"/>
            </w:tcBorders>
            <w:vAlign w:val="center"/>
          </w:tcPr>
          <w:p w14:paraId="1156C572">
            <w:pPr>
              <w:ind w:firstLine="0" w:firstLineChars="0"/>
              <w:jc w:val="center"/>
              <w:rPr>
                <w:rFonts w:ascii="仿宋" w:hAnsi="仿宋" w:cs="宋体"/>
                <w:sz w:val="24"/>
                <w:szCs w:val="24"/>
              </w:rPr>
            </w:pPr>
            <w:r>
              <w:rPr>
                <w:rFonts w:hint="eastAsia" w:ascii="仿宋" w:hAnsi="仿宋" w:cs="宋体"/>
                <w:sz w:val="24"/>
                <w:szCs w:val="24"/>
              </w:rPr>
              <w:t>安装回转总成、平衡臂根节、平衡臂、起重臂</w:t>
            </w:r>
          </w:p>
        </w:tc>
        <w:tc>
          <w:tcPr>
            <w:tcW w:w="1114" w:type="dxa"/>
            <w:tcBorders>
              <w:tl2br w:val="nil"/>
              <w:tr2bl w:val="nil"/>
            </w:tcBorders>
            <w:vAlign w:val="center"/>
          </w:tcPr>
          <w:p w14:paraId="6DAC052C">
            <w:pPr>
              <w:ind w:firstLine="0" w:firstLineChars="0"/>
              <w:jc w:val="center"/>
              <w:rPr>
                <w:rFonts w:hint="default" w:ascii="仿宋" w:hAnsi="仿宋" w:eastAsia="仿宋" w:cs="宋体"/>
                <w:sz w:val="24"/>
                <w:szCs w:val="24"/>
                <w:lang w:val="en-US" w:eastAsia="zh-CN"/>
              </w:rPr>
            </w:pPr>
            <w:r>
              <w:rPr>
                <w:rFonts w:hint="eastAsia" w:ascii="仿宋" w:hAnsi="仿宋" w:cs="宋体"/>
                <w:sz w:val="24"/>
                <w:szCs w:val="24"/>
                <w:lang w:val="en-US" w:eastAsia="zh-CN"/>
              </w:rPr>
              <w:t>0.5</w:t>
            </w:r>
          </w:p>
        </w:tc>
        <w:tc>
          <w:tcPr>
            <w:tcW w:w="1237" w:type="dxa"/>
            <w:tcBorders>
              <w:tl2br w:val="nil"/>
              <w:tr2bl w:val="nil"/>
            </w:tcBorders>
            <w:vAlign w:val="center"/>
          </w:tcPr>
          <w:p w14:paraId="5484D9FA">
            <w:pPr>
              <w:ind w:firstLine="480"/>
              <w:jc w:val="center"/>
              <w:rPr>
                <w:rFonts w:ascii="仿宋" w:hAnsi="仿宋" w:cs="宋体"/>
                <w:sz w:val="24"/>
                <w:szCs w:val="24"/>
              </w:rPr>
            </w:pPr>
          </w:p>
        </w:tc>
      </w:tr>
      <w:tr w14:paraId="1BBBF90C">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978" w:type="dxa"/>
            <w:tcBorders>
              <w:tl2br w:val="nil"/>
              <w:tr2bl w:val="nil"/>
            </w:tcBorders>
            <w:vAlign w:val="center"/>
          </w:tcPr>
          <w:p w14:paraId="4147ED21">
            <w:pPr>
              <w:ind w:firstLine="0" w:firstLineChars="0"/>
              <w:jc w:val="center"/>
              <w:rPr>
                <w:rFonts w:ascii="仿宋" w:hAnsi="仿宋" w:cs="宋体"/>
                <w:sz w:val="24"/>
                <w:szCs w:val="24"/>
              </w:rPr>
            </w:pPr>
            <w:r>
              <w:rPr>
                <w:rFonts w:ascii="仿宋" w:hAnsi="仿宋" w:cs="宋体"/>
                <w:sz w:val="24"/>
                <w:szCs w:val="24"/>
              </w:rPr>
              <w:t>4</w:t>
            </w:r>
          </w:p>
        </w:tc>
        <w:tc>
          <w:tcPr>
            <w:tcW w:w="5831" w:type="dxa"/>
            <w:tcBorders>
              <w:tl2br w:val="nil"/>
              <w:tr2bl w:val="nil"/>
            </w:tcBorders>
            <w:vAlign w:val="center"/>
          </w:tcPr>
          <w:p w14:paraId="6AB8BFAA">
            <w:pPr>
              <w:ind w:firstLine="0" w:firstLineChars="0"/>
              <w:jc w:val="center"/>
              <w:rPr>
                <w:rFonts w:ascii="仿宋" w:hAnsi="仿宋" w:cs="宋体"/>
                <w:sz w:val="24"/>
                <w:szCs w:val="24"/>
              </w:rPr>
            </w:pPr>
            <w:r>
              <w:rPr>
                <w:rFonts w:hint="eastAsia" w:ascii="仿宋" w:hAnsi="仿宋" w:cs="宋体"/>
                <w:sz w:val="24"/>
                <w:szCs w:val="24"/>
              </w:rPr>
              <w:t>穿钩，调试，顶升到使用高度</w:t>
            </w:r>
          </w:p>
        </w:tc>
        <w:tc>
          <w:tcPr>
            <w:tcW w:w="1114" w:type="dxa"/>
            <w:tcBorders>
              <w:tl2br w:val="nil"/>
              <w:tr2bl w:val="nil"/>
            </w:tcBorders>
            <w:vAlign w:val="center"/>
          </w:tcPr>
          <w:p w14:paraId="711A520D">
            <w:pPr>
              <w:ind w:firstLine="0" w:firstLineChars="0"/>
              <w:jc w:val="center"/>
              <w:rPr>
                <w:rFonts w:ascii="仿宋" w:hAnsi="仿宋" w:cs="宋体"/>
                <w:sz w:val="24"/>
                <w:szCs w:val="24"/>
              </w:rPr>
            </w:pPr>
            <w:r>
              <w:rPr>
                <w:rFonts w:ascii="仿宋" w:hAnsi="仿宋" w:cs="宋体"/>
                <w:sz w:val="24"/>
                <w:szCs w:val="24"/>
              </w:rPr>
              <w:t>1</w:t>
            </w:r>
          </w:p>
        </w:tc>
        <w:tc>
          <w:tcPr>
            <w:tcW w:w="1237" w:type="dxa"/>
            <w:tcBorders>
              <w:tl2br w:val="nil"/>
              <w:tr2bl w:val="nil"/>
            </w:tcBorders>
            <w:vAlign w:val="center"/>
          </w:tcPr>
          <w:p w14:paraId="518660BA">
            <w:pPr>
              <w:ind w:firstLine="480"/>
              <w:jc w:val="center"/>
              <w:rPr>
                <w:rFonts w:ascii="仿宋" w:hAnsi="仿宋" w:cs="宋体"/>
                <w:sz w:val="24"/>
                <w:szCs w:val="24"/>
              </w:rPr>
            </w:pPr>
          </w:p>
        </w:tc>
      </w:tr>
      <w:tr w14:paraId="6454AEF0">
        <w:tblPrEx>
          <w:tblBorders>
            <w:top w:val="double" w:color="000000" w:sz="4" w:space="0"/>
            <w:left w:val="double" w:color="000000" w:sz="4" w:space="0"/>
            <w:bottom w:val="double" w:color="000000" w:sz="4" w:space="0"/>
            <w:right w:val="double" w:color="000000" w:sz="4" w:space="0"/>
            <w:insideH w:val="single" w:color="000000" w:sz="8" w:space="0"/>
            <w:insideV w:val="single" w:color="000000" w:sz="8" w:space="0"/>
          </w:tblBorders>
          <w:tblCellMar>
            <w:top w:w="0" w:type="dxa"/>
            <w:left w:w="108" w:type="dxa"/>
            <w:bottom w:w="0" w:type="dxa"/>
            <w:right w:w="108" w:type="dxa"/>
          </w:tblCellMar>
        </w:tblPrEx>
        <w:trPr>
          <w:trHeight w:val="397" w:hRule="atLeast"/>
        </w:trPr>
        <w:tc>
          <w:tcPr>
            <w:tcW w:w="6809" w:type="dxa"/>
            <w:gridSpan w:val="2"/>
            <w:tcBorders>
              <w:tl2br w:val="nil"/>
              <w:tr2bl w:val="nil"/>
            </w:tcBorders>
            <w:vAlign w:val="center"/>
          </w:tcPr>
          <w:p w14:paraId="56CFD152">
            <w:pPr>
              <w:ind w:firstLine="0" w:firstLineChars="0"/>
              <w:jc w:val="center"/>
              <w:rPr>
                <w:rFonts w:ascii="仿宋" w:hAnsi="仿宋" w:cs="宋体"/>
                <w:sz w:val="24"/>
                <w:szCs w:val="24"/>
              </w:rPr>
            </w:pPr>
            <w:r>
              <w:rPr>
                <w:rFonts w:hint="eastAsia" w:ascii="仿宋" w:hAnsi="仿宋" w:cs="宋体"/>
                <w:sz w:val="24"/>
                <w:szCs w:val="24"/>
              </w:rPr>
              <w:t>总计时间</w:t>
            </w:r>
          </w:p>
        </w:tc>
        <w:tc>
          <w:tcPr>
            <w:tcW w:w="1114" w:type="dxa"/>
            <w:tcBorders>
              <w:tl2br w:val="nil"/>
              <w:tr2bl w:val="nil"/>
            </w:tcBorders>
            <w:vAlign w:val="center"/>
          </w:tcPr>
          <w:p w14:paraId="0AF43490">
            <w:pPr>
              <w:ind w:firstLine="0" w:firstLineChars="0"/>
              <w:jc w:val="center"/>
              <w:rPr>
                <w:rFonts w:hint="eastAsia" w:ascii="仿宋" w:hAnsi="仿宋" w:eastAsia="仿宋" w:cs="宋体"/>
                <w:sz w:val="24"/>
                <w:szCs w:val="24"/>
                <w:lang w:eastAsia="zh-CN"/>
              </w:rPr>
            </w:pPr>
            <w:r>
              <w:rPr>
                <w:rFonts w:hint="eastAsia" w:ascii="仿宋" w:hAnsi="仿宋" w:cs="宋体"/>
                <w:sz w:val="24"/>
                <w:szCs w:val="24"/>
                <w:lang w:val="en-US" w:eastAsia="zh-CN"/>
              </w:rPr>
              <w:t>3</w:t>
            </w:r>
          </w:p>
        </w:tc>
        <w:tc>
          <w:tcPr>
            <w:tcW w:w="1237" w:type="dxa"/>
            <w:tcBorders>
              <w:tl2br w:val="nil"/>
              <w:tr2bl w:val="nil"/>
            </w:tcBorders>
            <w:vAlign w:val="center"/>
          </w:tcPr>
          <w:p w14:paraId="58BFEC65">
            <w:pPr>
              <w:ind w:firstLine="480"/>
              <w:jc w:val="center"/>
              <w:rPr>
                <w:rFonts w:ascii="仿宋" w:hAnsi="仿宋" w:cs="宋体"/>
                <w:sz w:val="24"/>
                <w:szCs w:val="24"/>
              </w:rPr>
            </w:pPr>
          </w:p>
        </w:tc>
      </w:tr>
    </w:tbl>
    <w:p w14:paraId="48DF7D14">
      <w:pPr>
        <w:pStyle w:val="3"/>
        <w:bidi w:val="0"/>
        <w:ind w:left="575" w:leftChars="0" w:hanging="575" w:firstLineChars="0"/>
        <w:rPr>
          <w:rFonts w:hint="eastAsia"/>
        </w:rPr>
      </w:pPr>
      <w:bookmarkStart w:id="213" w:name="_Toc2953"/>
      <w:r>
        <w:rPr>
          <w:rFonts w:hint="eastAsia"/>
        </w:rPr>
        <w:t>资源配置</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14:paraId="40CE501E">
      <w:pPr>
        <w:pStyle w:val="16"/>
        <w:bidi w:val="0"/>
        <w:rPr>
          <w:rFonts w:hint="eastAsia"/>
        </w:rPr>
      </w:pPr>
      <w:bookmarkStart w:id="214" w:name="_Toc4731_WPSOffice_Level2"/>
      <w:bookmarkStart w:id="215" w:name="_Toc2682"/>
      <w:bookmarkStart w:id="216" w:name="_Toc13661"/>
      <w:bookmarkStart w:id="217" w:name="_Toc6657_WPSOffice_Level2"/>
      <w:bookmarkStart w:id="218" w:name="_Toc6157_WPSOffice_Level2"/>
      <w:bookmarkStart w:id="219" w:name="_Toc29702"/>
      <w:bookmarkStart w:id="220" w:name="_Toc19125_WPSOffice_Level2"/>
      <w:bookmarkStart w:id="221" w:name="_Toc451992411"/>
      <w:bookmarkStart w:id="222" w:name="_Toc526402042"/>
      <w:bookmarkStart w:id="223" w:name="_Toc31107"/>
      <w:bookmarkStart w:id="224" w:name="_Toc5510"/>
      <w:bookmarkStart w:id="225" w:name="_Toc19293"/>
      <w:r>
        <w:rPr>
          <w:rFonts w:hint="eastAsia"/>
        </w:rPr>
        <w:t xml:space="preserve">表4.3-1  </w:t>
      </w:r>
      <w:r>
        <w:rPr>
          <w:rFonts w:hint="eastAsia"/>
          <w:lang w:val="en-US" w:eastAsia="zh-CN"/>
        </w:rPr>
        <w:t>XGT6015A-8S</w:t>
      </w:r>
      <w:r>
        <w:rPr>
          <w:rFonts w:hint="eastAsia"/>
        </w:rPr>
        <w:t>塔机主要吊装单元划分与重量一览表</w:t>
      </w:r>
      <w:bookmarkEnd w:id="214"/>
      <w:bookmarkEnd w:id="215"/>
      <w:bookmarkEnd w:id="216"/>
      <w:bookmarkEnd w:id="217"/>
      <w:bookmarkEnd w:id="218"/>
      <w:bookmarkEnd w:id="219"/>
      <w:bookmarkEnd w:id="220"/>
    </w:p>
    <w:tbl>
      <w:tblPr>
        <w:tblStyle w:val="44"/>
        <w:tblW w:w="5000" w:type="pct"/>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640"/>
        <w:gridCol w:w="2966"/>
        <w:gridCol w:w="2316"/>
        <w:gridCol w:w="2309"/>
      </w:tblGrid>
      <w:tr w14:paraId="00E7DB8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8" w:type="pct"/>
            <w:vAlign w:val="center"/>
          </w:tcPr>
          <w:p w14:paraId="45E45F4C">
            <w:pPr>
              <w:ind w:firstLine="0" w:firstLineChars="0"/>
              <w:jc w:val="center"/>
              <w:rPr>
                <w:rFonts w:ascii="仿宋" w:hAnsi="仿宋"/>
                <w:sz w:val="24"/>
                <w:szCs w:val="24"/>
              </w:rPr>
            </w:pPr>
            <w:r>
              <w:rPr>
                <w:rFonts w:hint="eastAsia" w:ascii="仿宋" w:hAnsi="仿宋"/>
                <w:sz w:val="24"/>
                <w:szCs w:val="24"/>
              </w:rPr>
              <w:t>序 号</w:t>
            </w:r>
          </w:p>
        </w:tc>
        <w:tc>
          <w:tcPr>
            <w:tcW w:w="1606" w:type="pct"/>
            <w:vAlign w:val="center"/>
          </w:tcPr>
          <w:p w14:paraId="6528BCA0">
            <w:pPr>
              <w:ind w:firstLine="0" w:firstLineChars="0"/>
              <w:jc w:val="center"/>
              <w:rPr>
                <w:rFonts w:ascii="仿宋" w:hAnsi="仿宋"/>
                <w:sz w:val="24"/>
                <w:szCs w:val="24"/>
              </w:rPr>
            </w:pPr>
            <w:r>
              <w:rPr>
                <w:rFonts w:hint="eastAsia" w:ascii="仿宋" w:hAnsi="仿宋"/>
                <w:sz w:val="24"/>
                <w:szCs w:val="24"/>
              </w:rPr>
              <w:t>名称</w:t>
            </w:r>
          </w:p>
        </w:tc>
        <w:tc>
          <w:tcPr>
            <w:tcW w:w="1254" w:type="pct"/>
            <w:vAlign w:val="center"/>
          </w:tcPr>
          <w:p w14:paraId="66D9340B">
            <w:pPr>
              <w:ind w:firstLine="0" w:firstLineChars="0"/>
              <w:jc w:val="center"/>
              <w:rPr>
                <w:rFonts w:ascii="仿宋" w:hAnsi="仿宋"/>
                <w:sz w:val="24"/>
                <w:szCs w:val="24"/>
              </w:rPr>
            </w:pPr>
            <w:r>
              <w:rPr>
                <w:rFonts w:hint="eastAsia" w:ascii="仿宋" w:hAnsi="仿宋"/>
                <w:sz w:val="24"/>
                <w:szCs w:val="24"/>
              </w:rPr>
              <w:t>重量（</w:t>
            </w:r>
            <w:r>
              <w:rPr>
                <w:rFonts w:hint="eastAsia" w:ascii="仿宋" w:hAnsi="仿宋"/>
                <w:sz w:val="24"/>
                <w:szCs w:val="24"/>
                <w:lang w:val="en-US" w:eastAsia="zh-CN"/>
              </w:rPr>
              <w:t>kg</w:t>
            </w:r>
            <w:r>
              <w:rPr>
                <w:rFonts w:hint="eastAsia" w:ascii="仿宋" w:hAnsi="仿宋"/>
                <w:sz w:val="24"/>
                <w:szCs w:val="24"/>
              </w:rPr>
              <w:t>）</w:t>
            </w:r>
          </w:p>
        </w:tc>
        <w:tc>
          <w:tcPr>
            <w:tcW w:w="1250" w:type="pct"/>
            <w:vAlign w:val="center"/>
          </w:tcPr>
          <w:p w14:paraId="35AE75BE">
            <w:pPr>
              <w:ind w:firstLine="0" w:firstLineChars="0"/>
              <w:jc w:val="center"/>
              <w:rPr>
                <w:rFonts w:ascii="仿宋" w:hAnsi="仿宋"/>
                <w:sz w:val="24"/>
                <w:szCs w:val="24"/>
              </w:rPr>
            </w:pPr>
            <w:r>
              <w:rPr>
                <w:rFonts w:hint="eastAsia" w:ascii="仿宋" w:hAnsi="仿宋"/>
                <w:sz w:val="24"/>
                <w:szCs w:val="24"/>
              </w:rPr>
              <w:t>吊高 H(m)</w:t>
            </w:r>
          </w:p>
        </w:tc>
      </w:tr>
      <w:tr w14:paraId="519B5654">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59DCC9C4">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1</w:t>
            </w:r>
          </w:p>
        </w:tc>
        <w:tc>
          <w:tcPr>
            <w:tcW w:w="1606" w:type="pct"/>
            <w:vAlign w:val="center"/>
          </w:tcPr>
          <w:p w14:paraId="06353F3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基础节</w:t>
            </w:r>
          </w:p>
        </w:tc>
        <w:tc>
          <w:tcPr>
            <w:tcW w:w="1254" w:type="pct"/>
            <w:vAlign w:val="center"/>
          </w:tcPr>
          <w:p w14:paraId="43C8071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1598</w:t>
            </w:r>
          </w:p>
        </w:tc>
        <w:tc>
          <w:tcPr>
            <w:tcW w:w="1250" w:type="pct"/>
            <w:vAlign w:val="center"/>
          </w:tcPr>
          <w:p w14:paraId="6BC3CCF9">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9</w:t>
            </w:r>
          </w:p>
        </w:tc>
      </w:tr>
      <w:tr w14:paraId="11809EDD">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4F4BC7AE">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2</w:t>
            </w:r>
          </w:p>
        </w:tc>
        <w:tc>
          <w:tcPr>
            <w:tcW w:w="1606" w:type="pct"/>
            <w:vAlign w:val="center"/>
          </w:tcPr>
          <w:p w14:paraId="29383F05">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标准节</w:t>
            </w:r>
          </w:p>
        </w:tc>
        <w:tc>
          <w:tcPr>
            <w:tcW w:w="1254" w:type="pct"/>
            <w:vAlign w:val="center"/>
          </w:tcPr>
          <w:p w14:paraId="6DD6705D">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838</w:t>
            </w:r>
          </w:p>
        </w:tc>
        <w:tc>
          <w:tcPr>
            <w:tcW w:w="1250" w:type="pct"/>
            <w:vAlign w:val="center"/>
          </w:tcPr>
          <w:p w14:paraId="56A19FE9">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12</w:t>
            </w:r>
          </w:p>
        </w:tc>
      </w:tr>
      <w:tr w14:paraId="43C1FD9C">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0E5B495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3</w:t>
            </w:r>
          </w:p>
        </w:tc>
        <w:tc>
          <w:tcPr>
            <w:tcW w:w="1606" w:type="pct"/>
            <w:vAlign w:val="center"/>
          </w:tcPr>
          <w:p w14:paraId="5F1A871E">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顶升套架</w:t>
            </w:r>
          </w:p>
        </w:tc>
        <w:tc>
          <w:tcPr>
            <w:tcW w:w="1254" w:type="pct"/>
            <w:vAlign w:val="center"/>
          </w:tcPr>
          <w:p w14:paraId="17BE804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3381</w:t>
            </w:r>
          </w:p>
        </w:tc>
        <w:tc>
          <w:tcPr>
            <w:tcW w:w="1250" w:type="pct"/>
            <w:vAlign w:val="center"/>
          </w:tcPr>
          <w:p w14:paraId="024C4A1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18.5</w:t>
            </w:r>
          </w:p>
        </w:tc>
      </w:tr>
      <w:tr w14:paraId="5BAE38DC">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042B338D">
            <w:pPr>
              <w:spacing w:line="360" w:lineRule="auto"/>
              <w:ind w:firstLine="0" w:firstLineChars="0"/>
              <w:jc w:val="center"/>
              <w:rPr>
                <w:rFonts w:hint="eastAsia" w:ascii="仿宋" w:hAnsi="仿宋" w:eastAsia="仿宋"/>
                <w:color w:val="000000"/>
                <w:sz w:val="24"/>
                <w:szCs w:val="24"/>
                <w:lang w:val="en-US" w:eastAsia="zh-CN"/>
              </w:rPr>
            </w:pPr>
            <w:r>
              <w:rPr>
                <w:rFonts w:hint="eastAsia" w:ascii="仿宋" w:hAnsi="仿宋"/>
                <w:color w:val="000000"/>
                <w:sz w:val="24"/>
                <w:szCs w:val="24"/>
                <w:lang w:val="en-US" w:eastAsia="zh-CN"/>
              </w:rPr>
              <w:t>4</w:t>
            </w:r>
          </w:p>
        </w:tc>
        <w:tc>
          <w:tcPr>
            <w:tcW w:w="1606" w:type="pct"/>
            <w:vAlign w:val="center"/>
          </w:tcPr>
          <w:p w14:paraId="08656598">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特殊节</w:t>
            </w:r>
          </w:p>
        </w:tc>
        <w:tc>
          <w:tcPr>
            <w:tcW w:w="1254" w:type="pct"/>
            <w:vAlign w:val="center"/>
          </w:tcPr>
          <w:p w14:paraId="34F722A1">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1316</w:t>
            </w:r>
          </w:p>
        </w:tc>
        <w:tc>
          <w:tcPr>
            <w:tcW w:w="1250" w:type="pct"/>
            <w:vAlign w:val="center"/>
          </w:tcPr>
          <w:p w14:paraId="07F84CFD">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15</w:t>
            </w:r>
          </w:p>
        </w:tc>
      </w:tr>
      <w:tr w14:paraId="5949F550">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45C83D8B">
            <w:pPr>
              <w:spacing w:line="360" w:lineRule="auto"/>
              <w:ind w:firstLine="0" w:firstLineChars="0"/>
              <w:jc w:val="center"/>
              <w:rPr>
                <w:rFonts w:hint="eastAsia" w:ascii="仿宋" w:hAnsi="仿宋" w:eastAsia="仿宋"/>
                <w:color w:val="000000"/>
                <w:sz w:val="24"/>
                <w:szCs w:val="24"/>
                <w:lang w:eastAsia="zh-CN"/>
              </w:rPr>
            </w:pPr>
            <w:r>
              <w:rPr>
                <w:rFonts w:hint="eastAsia" w:ascii="仿宋" w:hAnsi="仿宋"/>
                <w:color w:val="000000"/>
                <w:sz w:val="24"/>
                <w:szCs w:val="24"/>
                <w:lang w:val="en-US" w:eastAsia="zh-CN"/>
              </w:rPr>
              <w:t>5</w:t>
            </w:r>
          </w:p>
        </w:tc>
        <w:tc>
          <w:tcPr>
            <w:tcW w:w="1606" w:type="pct"/>
            <w:vAlign w:val="center"/>
          </w:tcPr>
          <w:p w14:paraId="2DEDCD5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回转总成</w:t>
            </w:r>
          </w:p>
        </w:tc>
        <w:tc>
          <w:tcPr>
            <w:tcW w:w="1254" w:type="pct"/>
            <w:vAlign w:val="center"/>
          </w:tcPr>
          <w:p w14:paraId="16EC811E">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3983</w:t>
            </w:r>
          </w:p>
        </w:tc>
        <w:tc>
          <w:tcPr>
            <w:tcW w:w="1250" w:type="pct"/>
            <w:vAlign w:val="center"/>
          </w:tcPr>
          <w:p w14:paraId="0A2219F1">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18</w:t>
            </w:r>
          </w:p>
        </w:tc>
      </w:tr>
      <w:tr w14:paraId="1CF25E67">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0554D1D6">
            <w:pPr>
              <w:spacing w:line="360" w:lineRule="auto"/>
              <w:ind w:firstLine="0" w:firstLineChars="0"/>
              <w:jc w:val="center"/>
              <w:rPr>
                <w:rFonts w:hint="eastAsia" w:ascii="仿宋" w:hAnsi="仿宋" w:eastAsia="仿宋"/>
                <w:color w:val="000000"/>
                <w:sz w:val="24"/>
                <w:szCs w:val="24"/>
                <w:lang w:val="en-US" w:eastAsia="zh-CN"/>
              </w:rPr>
            </w:pPr>
            <w:r>
              <w:rPr>
                <w:rFonts w:hint="eastAsia" w:ascii="仿宋" w:hAnsi="仿宋"/>
                <w:color w:val="000000"/>
                <w:sz w:val="24"/>
                <w:szCs w:val="24"/>
                <w:lang w:val="en-US" w:eastAsia="zh-CN"/>
              </w:rPr>
              <w:t>6</w:t>
            </w:r>
          </w:p>
        </w:tc>
        <w:tc>
          <w:tcPr>
            <w:tcW w:w="1606" w:type="pct"/>
            <w:vAlign w:val="center"/>
          </w:tcPr>
          <w:p w14:paraId="2202B511">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起重臂根节</w:t>
            </w:r>
          </w:p>
        </w:tc>
        <w:tc>
          <w:tcPr>
            <w:tcW w:w="1254" w:type="pct"/>
            <w:vAlign w:val="center"/>
          </w:tcPr>
          <w:p w14:paraId="5CE91B1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2909</w:t>
            </w:r>
          </w:p>
        </w:tc>
        <w:tc>
          <w:tcPr>
            <w:tcW w:w="1250" w:type="pct"/>
            <w:vAlign w:val="center"/>
          </w:tcPr>
          <w:p w14:paraId="75C18AAF">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24.7</w:t>
            </w:r>
          </w:p>
        </w:tc>
      </w:tr>
      <w:tr w14:paraId="00A2C49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191C4E97">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7</w:t>
            </w:r>
          </w:p>
        </w:tc>
        <w:tc>
          <w:tcPr>
            <w:tcW w:w="1606" w:type="pct"/>
            <w:vAlign w:val="center"/>
          </w:tcPr>
          <w:p w14:paraId="6DFFC108">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平衡臂</w:t>
            </w:r>
          </w:p>
        </w:tc>
        <w:tc>
          <w:tcPr>
            <w:tcW w:w="1254" w:type="pct"/>
            <w:vAlign w:val="center"/>
          </w:tcPr>
          <w:p w14:paraId="079D495E">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5027</w:t>
            </w:r>
          </w:p>
        </w:tc>
        <w:tc>
          <w:tcPr>
            <w:tcW w:w="1250" w:type="pct"/>
            <w:vAlign w:val="center"/>
          </w:tcPr>
          <w:p w14:paraId="38145F8F">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24.7</w:t>
            </w:r>
          </w:p>
        </w:tc>
      </w:tr>
      <w:tr w14:paraId="7D7E22F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7F5BE3C9">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8</w:t>
            </w:r>
          </w:p>
        </w:tc>
        <w:tc>
          <w:tcPr>
            <w:tcW w:w="1606" w:type="pct"/>
            <w:vAlign w:val="center"/>
          </w:tcPr>
          <w:p w14:paraId="033E928E">
            <w:pPr>
              <w:spacing w:line="360" w:lineRule="auto"/>
              <w:ind w:firstLine="0" w:firstLineChars="0"/>
              <w:jc w:val="center"/>
              <w:rPr>
                <w:rFonts w:ascii="仿宋" w:hAnsi="仿宋"/>
                <w:color w:val="000000"/>
                <w:sz w:val="24"/>
                <w:szCs w:val="24"/>
              </w:rPr>
            </w:pPr>
            <w:r>
              <w:rPr>
                <w:rFonts w:hint="eastAsia" w:ascii="仿宋" w:hAnsi="仿宋"/>
                <w:color w:val="000000"/>
                <w:sz w:val="24"/>
                <w:szCs w:val="24"/>
                <w:lang w:val="en-US" w:eastAsia="zh-CN"/>
              </w:rPr>
              <w:t>两</w:t>
            </w:r>
            <w:r>
              <w:rPr>
                <w:rFonts w:hint="eastAsia" w:ascii="仿宋" w:hAnsi="仿宋"/>
                <w:color w:val="000000"/>
                <w:sz w:val="24"/>
                <w:szCs w:val="24"/>
              </w:rPr>
              <w:t>块平衡重</w:t>
            </w:r>
          </w:p>
        </w:tc>
        <w:tc>
          <w:tcPr>
            <w:tcW w:w="1254" w:type="pct"/>
            <w:vAlign w:val="center"/>
          </w:tcPr>
          <w:p w14:paraId="12890C42">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3200×2</w:t>
            </w:r>
          </w:p>
        </w:tc>
        <w:tc>
          <w:tcPr>
            <w:tcW w:w="1250" w:type="pct"/>
            <w:vAlign w:val="center"/>
          </w:tcPr>
          <w:p w14:paraId="2EA7FC1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21</w:t>
            </w:r>
          </w:p>
        </w:tc>
      </w:tr>
      <w:tr w14:paraId="29D356B5">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6B0F60AC">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9</w:t>
            </w:r>
          </w:p>
        </w:tc>
        <w:tc>
          <w:tcPr>
            <w:tcW w:w="1606" w:type="pct"/>
            <w:vAlign w:val="center"/>
          </w:tcPr>
          <w:p w14:paraId="47FCA0B1">
            <w:pPr>
              <w:spacing w:line="360" w:lineRule="auto"/>
              <w:ind w:firstLine="0" w:firstLineChars="0"/>
              <w:jc w:val="center"/>
              <w:rPr>
                <w:rFonts w:ascii="仿宋" w:hAnsi="仿宋"/>
                <w:color w:val="000000"/>
                <w:sz w:val="24"/>
                <w:szCs w:val="24"/>
                <w:highlight w:val="none"/>
              </w:rPr>
            </w:pPr>
            <w:r>
              <w:rPr>
                <w:rFonts w:hint="eastAsia" w:ascii="仿宋" w:hAnsi="仿宋"/>
                <w:color w:val="000000"/>
                <w:sz w:val="24"/>
                <w:szCs w:val="24"/>
                <w:highlight w:val="none"/>
              </w:rPr>
              <w:t>剩余起重臂总成</w:t>
            </w:r>
          </w:p>
        </w:tc>
        <w:tc>
          <w:tcPr>
            <w:tcW w:w="1254" w:type="pct"/>
            <w:vAlign w:val="center"/>
          </w:tcPr>
          <w:p w14:paraId="41AD8A08">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5391</w:t>
            </w:r>
          </w:p>
        </w:tc>
        <w:tc>
          <w:tcPr>
            <w:tcW w:w="1250" w:type="pct"/>
            <w:vAlign w:val="center"/>
          </w:tcPr>
          <w:p w14:paraId="399525AE">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lang w:val="en-US" w:eastAsia="zh-CN"/>
              </w:rPr>
              <w:t>24.7</w:t>
            </w:r>
          </w:p>
        </w:tc>
      </w:tr>
      <w:tr w14:paraId="51D1B5F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2BB23712">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10</w:t>
            </w:r>
          </w:p>
        </w:tc>
        <w:tc>
          <w:tcPr>
            <w:tcW w:w="1606" w:type="pct"/>
            <w:vAlign w:val="center"/>
          </w:tcPr>
          <w:p w14:paraId="6EF774CB">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剩余平衡重</w:t>
            </w:r>
          </w:p>
        </w:tc>
        <w:tc>
          <w:tcPr>
            <w:tcW w:w="1254" w:type="pct"/>
            <w:vAlign w:val="center"/>
          </w:tcPr>
          <w:p w14:paraId="264885FC">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3200×4+2300+1000</w:t>
            </w:r>
          </w:p>
        </w:tc>
        <w:tc>
          <w:tcPr>
            <w:tcW w:w="1250" w:type="pct"/>
            <w:vAlign w:val="center"/>
          </w:tcPr>
          <w:p w14:paraId="4748E04D">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24.7</w:t>
            </w:r>
          </w:p>
        </w:tc>
      </w:tr>
    </w:tbl>
    <w:p w14:paraId="4AF36E2F">
      <w:pPr>
        <w:pStyle w:val="16"/>
        <w:bidi w:val="0"/>
        <w:rPr>
          <w:rFonts w:hint="eastAsia"/>
        </w:rPr>
      </w:pPr>
      <w:r>
        <w:rPr>
          <w:rFonts w:hint="eastAsia"/>
        </w:rPr>
        <w:t>表4.3-</w:t>
      </w:r>
      <w:r>
        <w:rPr>
          <w:rFonts w:hint="eastAsia"/>
          <w:lang w:val="en-US" w:eastAsia="zh-CN"/>
        </w:rPr>
        <w:t>2</w:t>
      </w:r>
      <w:r>
        <w:rPr>
          <w:rFonts w:hint="eastAsia"/>
        </w:rPr>
        <w:t xml:space="preserve">  </w:t>
      </w:r>
      <w:r>
        <w:rPr>
          <w:rFonts w:hint="eastAsia"/>
          <w:lang w:val="en-US" w:eastAsia="zh-CN"/>
        </w:rPr>
        <w:t>T7020-12</w:t>
      </w:r>
      <w:r>
        <w:rPr>
          <w:rFonts w:hint="eastAsia"/>
        </w:rPr>
        <w:t>塔机主要吊装单元划分与重量一览表</w:t>
      </w:r>
    </w:p>
    <w:tbl>
      <w:tblPr>
        <w:tblStyle w:val="44"/>
        <w:tblW w:w="5000" w:type="pct"/>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20"/>
        <w:gridCol w:w="2746"/>
        <w:gridCol w:w="2976"/>
        <w:gridCol w:w="2089"/>
      </w:tblGrid>
      <w:tr w14:paraId="7E8EE7B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8" w:type="pct"/>
            <w:vAlign w:val="center"/>
          </w:tcPr>
          <w:p w14:paraId="0625D646">
            <w:pPr>
              <w:ind w:firstLine="0" w:firstLineChars="0"/>
              <w:jc w:val="center"/>
              <w:rPr>
                <w:rFonts w:ascii="仿宋" w:hAnsi="仿宋"/>
                <w:sz w:val="24"/>
                <w:szCs w:val="24"/>
              </w:rPr>
            </w:pPr>
            <w:r>
              <w:rPr>
                <w:rFonts w:hint="eastAsia" w:ascii="仿宋" w:hAnsi="仿宋"/>
                <w:sz w:val="24"/>
                <w:szCs w:val="24"/>
              </w:rPr>
              <w:t>序 号</w:t>
            </w:r>
          </w:p>
        </w:tc>
        <w:tc>
          <w:tcPr>
            <w:tcW w:w="1606" w:type="pct"/>
            <w:vAlign w:val="center"/>
          </w:tcPr>
          <w:p w14:paraId="426184D3">
            <w:pPr>
              <w:ind w:firstLine="0" w:firstLineChars="0"/>
              <w:jc w:val="center"/>
              <w:rPr>
                <w:rFonts w:ascii="仿宋" w:hAnsi="仿宋"/>
                <w:sz w:val="24"/>
                <w:szCs w:val="24"/>
              </w:rPr>
            </w:pPr>
            <w:r>
              <w:rPr>
                <w:rFonts w:hint="eastAsia" w:ascii="仿宋" w:hAnsi="仿宋"/>
                <w:sz w:val="24"/>
                <w:szCs w:val="24"/>
              </w:rPr>
              <w:t>名称</w:t>
            </w:r>
          </w:p>
        </w:tc>
        <w:tc>
          <w:tcPr>
            <w:tcW w:w="1254" w:type="pct"/>
            <w:vAlign w:val="center"/>
          </w:tcPr>
          <w:p w14:paraId="54DB998C">
            <w:pPr>
              <w:ind w:firstLine="0" w:firstLineChars="0"/>
              <w:jc w:val="center"/>
              <w:rPr>
                <w:rFonts w:ascii="仿宋" w:hAnsi="仿宋"/>
                <w:sz w:val="24"/>
                <w:szCs w:val="24"/>
              </w:rPr>
            </w:pPr>
            <w:r>
              <w:rPr>
                <w:rFonts w:hint="eastAsia" w:ascii="仿宋" w:hAnsi="仿宋"/>
                <w:sz w:val="24"/>
                <w:szCs w:val="24"/>
              </w:rPr>
              <w:t>重量（</w:t>
            </w:r>
            <w:r>
              <w:rPr>
                <w:rFonts w:hint="eastAsia" w:ascii="仿宋" w:hAnsi="仿宋"/>
                <w:sz w:val="24"/>
                <w:szCs w:val="24"/>
                <w:lang w:val="en-US" w:eastAsia="zh-CN"/>
              </w:rPr>
              <w:t>kg</w:t>
            </w:r>
            <w:r>
              <w:rPr>
                <w:rFonts w:hint="eastAsia" w:ascii="仿宋" w:hAnsi="仿宋"/>
                <w:sz w:val="24"/>
                <w:szCs w:val="24"/>
              </w:rPr>
              <w:t>）</w:t>
            </w:r>
          </w:p>
        </w:tc>
        <w:tc>
          <w:tcPr>
            <w:tcW w:w="1250" w:type="pct"/>
            <w:vAlign w:val="center"/>
          </w:tcPr>
          <w:p w14:paraId="355FC90B">
            <w:pPr>
              <w:ind w:firstLine="0" w:firstLineChars="0"/>
              <w:jc w:val="center"/>
              <w:rPr>
                <w:rFonts w:ascii="仿宋" w:hAnsi="仿宋"/>
                <w:sz w:val="24"/>
                <w:szCs w:val="24"/>
              </w:rPr>
            </w:pPr>
            <w:r>
              <w:rPr>
                <w:rFonts w:hint="eastAsia" w:ascii="仿宋" w:hAnsi="仿宋"/>
                <w:sz w:val="24"/>
                <w:szCs w:val="24"/>
              </w:rPr>
              <w:t>吊高 H(m)</w:t>
            </w:r>
          </w:p>
        </w:tc>
      </w:tr>
      <w:tr w14:paraId="685D1A2D">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4AB0C58B">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0C6AB95D">
            <w:pPr>
              <w:spacing w:line="360" w:lineRule="auto"/>
              <w:ind w:firstLine="0" w:firstLineChars="0"/>
              <w:jc w:val="center"/>
              <w:rPr>
                <w:rFonts w:hint="eastAsia" w:ascii="仿宋" w:hAnsi="仿宋" w:eastAsia="仿宋"/>
                <w:color w:val="000000"/>
                <w:sz w:val="24"/>
                <w:szCs w:val="24"/>
                <w:lang w:eastAsia="zh-CN"/>
              </w:rPr>
            </w:pPr>
            <w:r>
              <w:rPr>
                <w:rFonts w:hint="eastAsia" w:ascii="仿宋" w:hAnsi="仿宋"/>
                <w:color w:val="000000"/>
                <w:sz w:val="24"/>
                <w:szCs w:val="24"/>
                <w:lang w:val="en-US" w:eastAsia="zh-CN"/>
              </w:rPr>
              <w:t>过渡节</w:t>
            </w:r>
          </w:p>
        </w:tc>
        <w:tc>
          <w:tcPr>
            <w:tcW w:w="1254" w:type="pct"/>
            <w:vAlign w:val="center"/>
          </w:tcPr>
          <w:p w14:paraId="7E3245DB">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4086</w:t>
            </w:r>
          </w:p>
        </w:tc>
        <w:tc>
          <w:tcPr>
            <w:tcW w:w="1250" w:type="pct"/>
            <w:vAlign w:val="center"/>
          </w:tcPr>
          <w:p w14:paraId="07F413E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9.8</w:t>
            </w:r>
          </w:p>
        </w:tc>
      </w:tr>
      <w:tr w14:paraId="2055643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577A8C2C">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48D6540C">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套架</w:t>
            </w:r>
          </w:p>
        </w:tc>
        <w:tc>
          <w:tcPr>
            <w:tcW w:w="1254" w:type="pct"/>
            <w:vAlign w:val="center"/>
          </w:tcPr>
          <w:p w14:paraId="4587ACD6">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6471</w:t>
            </w:r>
          </w:p>
        </w:tc>
        <w:tc>
          <w:tcPr>
            <w:tcW w:w="1250" w:type="pct"/>
            <w:vAlign w:val="center"/>
          </w:tcPr>
          <w:p w14:paraId="16F1550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17.9</w:t>
            </w:r>
          </w:p>
        </w:tc>
      </w:tr>
      <w:tr w14:paraId="072FE124">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72" w:hRule="atLeast"/>
          <w:jc w:val="center"/>
        </w:trPr>
        <w:tc>
          <w:tcPr>
            <w:tcW w:w="888" w:type="pct"/>
            <w:vAlign w:val="center"/>
          </w:tcPr>
          <w:p w14:paraId="74AF6DE0">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0CD74F06">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回转总成</w:t>
            </w:r>
          </w:p>
        </w:tc>
        <w:tc>
          <w:tcPr>
            <w:tcW w:w="1254" w:type="pct"/>
            <w:vAlign w:val="center"/>
          </w:tcPr>
          <w:p w14:paraId="741EFAD7">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7022</w:t>
            </w:r>
          </w:p>
        </w:tc>
        <w:tc>
          <w:tcPr>
            <w:tcW w:w="1250" w:type="pct"/>
            <w:vAlign w:val="center"/>
          </w:tcPr>
          <w:p w14:paraId="78802997">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11.8</w:t>
            </w:r>
          </w:p>
        </w:tc>
      </w:tr>
      <w:tr w14:paraId="13A787ED">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165D9205">
            <w:pPr>
              <w:numPr>
                <w:ilvl w:val="0"/>
                <w:numId w:val="5"/>
              </w:numPr>
              <w:spacing w:line="360" w:lineRule="auto"/>
              <w:ind w:left="0" w:leftChars="0" w:firstLine="0" w:firstLineChars="0"/>
              <w:jc w:val="center"/>
              <w:rPr>
                <w:rFonts w:hint="eastAsia" w:ascii="仿宋" w:hAnsi="仿宋" w:eastAsia="仿宋"/>
                <w:color w:val="000000"/>
                <w:sz w:val="24"/>
                <w:szCs w:val="24"/>
                <w:lang w:val="en-US" w:eastAsia="zh-CN"/>
              </w:rPr>
            </w:pPr>
          </w:p>
        </w:tc>
        <w:tc>
          <w:tcPr>
            <w:tcW w:w="1606" w:type="pct"/>
            <w:vAlign w:val="center"/>
          </w:tcPr>
          <w:p w14:paraId="5574DD1F">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回转塔身</w:t>
            </w:r>
          </w:p>
        </w:tc>
        <w:tc>
          <w:tcPr>
            <w:tcW w:w="1254" w:type="pct"/>
            <w:vAlign w:val="center"/>
          </w:tcPr>
          <w:p w14:paraId="6726A23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3301</w:t>
            </w:r>
          </w:p>
        </w:tc>
        <w:tc>
          <w:tcPr>
            <w:tcW w:w="1250" w:type="pct"/>
            <w:vAlign w:val="center"/>
          </w:tcPr>
          <w:p w14:paraId="4B1E9832">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17.3</w:t>
            </w:r>
          </w:p>
        </w:tc>
      </w:tr>
      <w:tr w14:paraId="4FABC6E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55A52797">
            <w:pPr>
              <w:numPr>
                <w:ilvl w:val="0"/>
                <w:numId w:val="5"/>
              </w:numPr>
              <w:spacing w:line="360" w:lineRule="auto"/>
              <w:ind w:left="0" w:leftChars="0" w:firstLine="0" w:firstLineChars="0"/>
              <w:jc w:val="center"/>
              <w:rPr>
                <w:rFonts w:hint="eastAsia" w:ascii="仿宋" w:hAnsi="仿宋" w:eastAsia="仿宋"/>
                <w:color w:val="000000"/>
                <w:sz w:val="24"/>
                <w:szCs w:val="24"/>
                <w:lang w:eastAsia="zh-CN"/>
              </w:rPr>
            </w:pPr>
          </w:p>
        </w:tc>
        <w:tc>
          <w:tcPr>
            <w:tcW w:w="1606" w:type="pct"/>
            <w:vAlign w:val="center"/>
          </w:tcPr>
          <w:p w14:paraId="674CC08F">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平衡臂臂节一</w:t>
            </w:r>
          </w:p>
        </w:tc>
        <w:tc>
          <w:tcPr>
            <w:tcW w:w="1254" w:type="pct"/>
            <w:vAlign w:val="center"/>
          </w:tcPr>
          <w:p w14:paraId="49656C4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2701</w:t>
            </w:r>
          </w:p>
        </w:tc>
        <w:tc>
          <w:tcPr>
            <w:tcW w:w="1250" w:type="pct"/>
            <w:vAlign w:val="center"/>
          </w:tcPr>
          <w:p w14:paraId="37B1400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21.5</w:t>
            </w:r>
          </w:p>
        </w:tc>
      </w:tr>
      <w:tr w14:paraId="5C8D5A2C">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36B663AC">
            <w:pPr>
              <w:numPr>
                <w:ilvl w:val="0"/>
                <w:numId w:val="5"/>
              </w:numPr>
              <w:spacing w:line="360" w:lineRule="auto"/>
              <w:ind w:left="0" w:leftChars="0" w:firstLine="0" w:firstLineChars="0"/>
              <w:jc w:val="center"/>
              <w:rPr>
                <w:rFonts w:hint="eastAsia" w:ascii="仿宋" w:hAnsi="仿宋" w:eastAsia="仿宋"/>
                <w:color w:val="000000"/>
                <w:sz w:val="24"/>
                <w:szCs w:val="24"/>
                <w:lang w:val="en-US" w:eastAsia="zh-CN"/>
              </w:rPr>
            </w:pPr>
          </w:p>
        </w:tc>
        <w:tc>
          <w:tcPr>
            <w:tcW w:w="1606" w:type="pct"/>
            <w:vAlign w:val="center"/>
          </w:tcPr>
          <w:p w14:paraId="72E169CB">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平衡臂臂节二</w:t>
            </w:r>
          </w:p>
        </w:tc>
        <w:tc>
          <w:tcPr>
            <w:tcW w:w="1254" w:type="pct"/>
            <w:vAlign w:val="center"/>
          </w:tcPr>
          <w:p w14:paraId="763F8A42">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6578</w:t>
            </w:r>
          </w:p>
        </w:tc>
        <w:tc>
          <w:tcPr>
            <w:tcW w:w="1250" w:type="pct"/>
            <w:vAlign w:val="center"/>
          </w:tcPr>
          <w:p w14:paraId="52D2723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19.0</w:t>
            </w:r>
          </w:p>
        </w:tc>
      </w:tr>
      <w:tr w14:paraId="240334A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6DA15295">
            <w:pPr>
              <w:numPr>
                <w:ilvl w:val="0"/>
                <w:numId w:val="5"/>
              </w:numPr>
              <w:spacing w:line="360" w:lineRule="auto"/>
              <w:ind w:left="0" w:leftChars="0" w:firstLine="0" w:firstLineChars="0"/>
              <w:jc w:val="center"/>
              <w:rPr>
                <w:rFonts w:hint="eastAsia" w:ascii="仿宋" w:hAnsi="仿宋" w:eastAsia="仿宋"/>
                <w:color w:val="000000"/>
                <w:sz w:val="24"/>
                <w:szCs w:val="24"/>
                <w:lang w:val="en-US" w:eastAsia="zh-CN"/>
              </w:rPr>
            </w:pPr>
          </w:p>
        </w:tc>
        <w:tc>
          <w:tcPr>
            <w:tcW w:w="1606" w:type="pct"/>
            <w:vAlign w:val="center"/>
          </w:tcPr>
          <w:p w14:paraId="3332D78D">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起升机构</w:t>
            </w:r>
          </w:p>
        </w:tc>
        <w:tc>
          <w:tcPr>
            <w:tcW w:w="1254" w:type="pct"/>
            <w:vAlign w:val="center"/>
          </w:tcPr>
          <w:p w14:paraId="3DD92AEB">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2392</w:t>
            </w:r>
          </w:p>
        </w:tc>
        <w:tc>
          <w:tcPr>
            <w:tcW w:w="1250" w:type="pct"/>
            <w:vAlign w:val="center"/>
          </w:tcPr>
          <w:p w14:paraId="2833E457">
            <w:pPr>
              <w:spacing w:line="360" w:lineRule="auto"/>
              <w:ind w:firstLine="0" w:firstLineChars="0"/>
              <w:jc w:val="center"/>
              <w:rPr>
                <w:rFonts w:hint="eastAsia" w:ascii="仿宋" w:hAnsi="仿宋"/>
                <w:color w:val="000000"/>
                <w:sz w:val="24"/>
                <w:szCs w:val="24"/>
                <w:lang w:val="en-US" w:eastAsia="zh-CN"/>
              </w:rPr>
            </w:pPr>
            <w:r>
              <w:rPr>
                <w:rFonts w:hint="eastAsia" w:ascii="仿宋" w:hAnsi="仿宋"/>
                <w:color w:val="000000"/>
                <w:sz w:val="24"/>
                <w:szCs w:val="24"/>
                <w:lang w:val="en-US" w:eastAsia="zh-CN"/>
              </w:rPr>
              <w:t>19.0</w:t>
            </w:r>
          </w:p>
        </w:tc>
      </w:tr>
      <w:tr w14:paraId="53FF7B7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5EA24ADE">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1F3633A4">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两块平衡重</w:t>
            </w:r>
          </w:p>
        </w:tc>
        <w:tc>
          <w:tcPr>
            <w:tcW w:w="1254" w:type="pct"/>
            <w:vAlign w:val="center"/>
          </w:tcPr>
          <w:p w14:paraId="691FEE7F">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4000×2</w:t>
            </w:r>
          </w:p>
        </w:tc>
        <w:tc>
          <w:tcPr>
            <w:tcW w:w="1250" w:type="pct"/>
            <w:vAlign w:val="center"/>
          </w:tcPr>
          <w:p w14:paraId="0AA65D8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16.1</w:t>
            </w:r>
          </w:p>
        </w:tc>
      </w:tr>
      <w:tr w14:paraId="124FE04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888" w:type="pct"/>
            <w:vAlign w:val="center"/>
          </w:tcPr>
          <w:p w14:paraId="35867838">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3CD4C22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起重臂臂节一</w:t>
            </w:r>
          </w:p>
        </w:tc>
        <w:tc>
          <w:tcPr>
            <w:tcW w:w="1254" w:type="pct"/>
            <w:vAlign w:val="center"/>
          </w:tcPr>
          <w:p w14:paraId="21DB7D9E">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5118</w:t>
            </w:r>
          </w:p>
        </w:tc>
        <w:tc>
          <w:tcPr>
            <w:tcW w:w="1250" w:type="pct"/>
            <w:vAlign w:val="center"/>
          </w:tcPr>
          <w:p w14:paraId="36BB0AF7">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22.5</w:t>
            </w:r>
          </w:p>
        </w:tc>
      </w:tr>
      <w:tr w14:paraId="7E2F805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83" w:hRule="atLeast"/>
          <w:jc w:val="center"/>
        </w:trPr>
        <w:tc>
          <w:tcPr>
            <w:tcW w:w="888" w:type="pct"/>
            <w:vAlign w:val="center"/>
          </w:tcPr>
          <w:p w14:paraId="2CC5EB84">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1C9948DD">
            <w:pPr>
              <w:spacing w:line="360" w:lineRule="auto"/>
              <w:ind w:firstLine="0" w:firstLineChars="0"/>
              <w:jc w:val="center"/>
              <w:rPr>
                <w:rFonts w:ascii="仿宋" w:hAnsi="仿宋"/>
                <w:color w:val="000000"/>
                <w:sz w:val="24"/>
                <w:szCs w:val="24"/>
                <w:highlight w:val="none"/>
              </w:rPr>
            </w:pPr>
            <w:r>
              <w:rPr>
                <w:rFonts w:hint="eastAsia" w:ascii="仿宋" w:hAnsi="仿宋"/>
                <w:color w:val="000000"/>
                <w:sz w:val="24"/>
                <w:szCs w:val="24"/>
                <w:lang w:val="en-US" w:eastAsia="zh-CN"/>
              </w:rPr>
              <w:t>起重臂臂节二</w:t>
            </w:r>
          </w:p>
        </w:tc>
        <w:tc>
          <w:tcPr>
            <w:tcW w:w="1254" w:type="pct"/>
            <w:vAlign w:val="center"/>
          </w:tcPr>
          <w:p w14:paraId="1B4D0A06">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2684</w:t>
            </w:r>
          </w:p>
        </w:tc>
        <w:tc>
          <w:tcPr>
            <w:tcW w:w="1250" w:type="pct"/>
            <w:vAlign w:val="center"/>
          </w:tcPr>
          <w:p w14:paraId="2ABFDDF8">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22.5</w:t>
            </w:r>
          </w:p>
        </w:tc>
      </w:tr>
      <w:tr w14:paraId="36BACAB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4A7E6051">
            <w:pPr>
              <w:numPr>
                <w:ilvl w:val="0"/>
                <w:numId w:val="5"/>
              </w:numPr>
              <w:spacing w:line="360" w:lineRule="auto"/>
              <w:ind w:left="0" w:leftChars="0" w:firstLine="0" w:firstLineChars="0"/>
              <w:jc w:val="center"/>
              <w:rPr>
                <w:rFonts w:ascii="仿宋" w:hAnsi="仿宋"/>
                <w:color w:val="000000"/>
                <w:sz w:val="24"/>
                <w:szCs w:val="24"/>
              </w:rPr>
            </w:pPr>
          </w:p>
        </w:tc>
        <w:tc>
          <w:tcPr>
            <w:tcW w:w="1606" w:type="pct"/>
            <w:vAlign w:val="center"/>
          </w:tcPr>
          <w:p w14:paraId="242312A7">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起重臂臂节三</w:t>
            </w:r>
          </w:p>
        </w:tc>
        <w:tc>
          <w:tcPr>
            <w:tcW w:w="1254" w:type="pct"/>
            <w:vAlign w:val="center"/>
          </w:tcPr>
          <w:p w14:paraId="24BF882C">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2032</w:t>
            </w:r>
          </w:p>
        </w:tc>
        <w:tc>
          <w:tcPr>
            <w:tcW w:w="2089" w:type="dxa"/>
            <w:vAlign w:val="center"/>
          </w:tcPr>
          <w:p w14:paraId="2E4BDE1C">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22.5</w:t>
            </w:r>
          </w:p>
        </w:tc>
      </w:tr>
      <w:tr w14:paraId="649E3A1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6525F41A">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3E853A3F">
            <w:pPr>
              <w:spacing w:line="360" w:lineRule="auto"/>
              <w:ind w:firstLine="0" w:firstLineChars="0"/>
              <w:jc w:val="center"/>
              <w:rPr>
                <w:rFonts w:hint="eastAsia" w:ascii="仿宋" w:hAnsi="仿宋"/>
                <w:color w:val="000000"/>
                <w:sz w:val="24"/>
                <w:szCs w:val="24"/>
              </w:rPr>
            </w:pPr>
            <w:r>
              <w:rPr>
                <w:rFonts w:hint="eastAsia" w:ascii="仿宋" w:hAnsi="仿宋"/>
                <w:color w:val="000000"/>
                <w:sz w:val="24"/>
                <w:szCs w:val="24"/>
                <w:lang w:val="en-US" w:eastAsia="zh-CN"/>
              </w:rPr>
              <w:t>起重臂臂节四</w:t>
            </w:r>
          </w:p>
        </w:tc>
        <w:tc>
          <w:tcPr>
            <w:tcW w:w="1254" w:type="pct"/>
            <w:vAlign w:val="center"/>
          </w:tcPr>
          <w:p w14:paraId="58757CC5">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1649</w:t>
            </w:r>
          </w:p>
        </w:tc>
        <w:tc>
          <w:tcPr>
            <w:tcW w:w="2089" w:type="dxa"/>
            <w:vAlign w:val="center"/>
          </w:tcPr>
          <w:p w14:paraId="377E2014">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highlight w:val="none"/>
                <w:lang w:val="en-US" w:eastAsia="zh-CN"/>
              </w:rPr>
              <w:t>22.5</w:t>
            </w:r>
          </w:p>
        </w:tc>
      </w:tr>
      <w:tr w14:paraId="46AE3E7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0511F33B">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1B367E3F">
            <w:pPr>
              <w:spacing w:line="360" w:lineRule="auto"/>
              <w:ind w:firstLine="0" w:firstLineChars="0"/>
              <w:jc w:val="center"/>
              <w:rPr>
                <w:rFonts w:hint="eastAsia" w:ascii="仿宋" w:hAnsi="仿宋"/>
                <w:color w:val="000000"/>
                <w:sz w:val="24"/>
                <w:szCs w:val="24"/>
              </w:rPr>
            </w:pPr>
            <w:r>
              <w:rPr>
                <w:rFonts w:hint="eastAsia" w:ascii="仿宋" w:hAnsi="仿宋"/>
                <w:color w:val="000000"/>
                <w:sz w:val="24"/>
                <w:szCs w:val="24"/>
                <w:lang w:val="en-US" w:eastAsia="zh-CN"/>
              </w:rPr>
              <w:t>起重臂臂节五</w:t>
            </w:r>
          </w:p>
        </w:tc>
        <w:tc>
          <w:tcPr>
            <w:tcW w:w="1254" w:type="pct"/>
            <w:vAlign w:val="center"/>
          </w:tcPr>
          <w:p w14:paraId="7E433A92">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1280</w:t>
            </w:r>
          </w:p>
        </w:tc>
        <w:tc>
          <w:tcPr>
            <w:tcW w:w="2089" w:type="dxa"/>
            <w:vAlign w:val="center"/>
          </w:tcPr>
          <w:p w14:paraId="3A1F63E6">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22.5</w:t>
            </w:r>
          </w:p>
        </w:tc>
      </w:tr>
      <w:tr w14:paraId="372E1D0A">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4DC05565">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3B7A7F6B">
            <w:pPr>
              <w:spacing w:line="360" w:lineRule="auto"/>
              <w:ind w:firstLine="0" w:firstLineChars="0"/>
              <w:jc w:val="center"/>
              <w:rPr>
                <w:rFonts w:hint="eastAsia" w:ascii="仿宋" w:hAnsi="仿宋"/>
                <w:color w:val="000000"/>
                <w:sz w:val="24"/>
                <w:szCs w:val="24"/>
              </w:rPr>
            </w:pPr>
            <w:r>
              <w:rPr>
                <w:rFonts w:hint="eastAsia" w:ascii="仿宋" w:hAnsi="仿宋"/>
                <w:color w:val="000000"/>
                <w:sz w:val="24"/>
                <w:szCs w:val="24"/>
                <w:lang w:val="en-US" w:eastAsia="zh-CN"/>
              </w:rPr>
              <w:t>起重臂臂节六</w:t>
            </w:r>
          </w:p>
        </w:tc>
        <w:tc>
          <w:tcPr>
            <w:tcW w:w="1254" w:type="pct"/>
            <w:vAlign w:val="center"/>
          </w:tcPr>
          <w:p w14:paraId="42B99B4B">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598</w:t>
            </w:r>
          </w:p>
        </w:tc>
        <w:tc>
          <w:tcPr>
            <w:tcW w:w="2089" w:type="dxa"/>
            <w:vAlign w:val="center"/>
          </w:tcPr>
          <w:p w14:paraId="2E7A8192">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highlight w:val="none"/>
                <w:lang w:val="en-US" w:eastAsia="zh-CN"/>
              </w:rPr>
              <w:t>22.5</w:t>
            </w:r>
          </w:p>
        </w:tc>
      </w:tr>
      <w:tr w14:paraId="71A5BFE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283F0F89">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45AB3794">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起重臂臂节七</w:t>
            </w:r>
          </w:p>
        </w:tc>
        <w:tc>
          <w:tcPr>
            <w:tcW w:w="1254" w:type="pct"/>
            <w:vAlign w:val="center"/>
          </w:tcPr>
          <w:p w14:paraId="55C1754F">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884</w:t>
            </w:r>
          </w:p>
        </w:tc>
        <w:tc>
          <w:tcPr>
            <w:tcW w:w="2089" w:type="dxa"/>
            <w:vAlign w:val="center"/>
          </w:tcPr>
          <w:p w14:paraId="23188857">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22.5</w:t>
            </w:r>
          </w:p>
        </w:tc>
      </w:tr>
      <w:tr w14:paraId="4BD28266">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42082BD3">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37570BE9">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起重臂臂节八+臂尖</w:t>
            </w:r>
          </w:p>
        </w:tc>
        <w:tc>
          <w:tcPr>
            <w:tcW w:w="1254" w:type="pct"/>
            <w:vAlign w:val="center"/>
          </w:tcPr>
          <w:p w14:paraId="3C7A0128">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627</w:t>
            </w:r>
          </w:p>
        </w:tc>
        <w:tc>
          <w:tcPr>
            <w:tcW w:w="2089" w:type="dxa"/>
            <w:vAlign w:val="center"/>
          </w:tcPr>
          <w:p w14:paraId="316B445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highlight w:val="none"/>
                <w:lang w:val="en-US" w:eastAsia="zh-CN"/>
              </w:rPr>
              <w:t>22.5</w:t>
            </w:r>
          </w:p>
        </w:tc>
      </w:tr>
      <w:tr w14:paraId="2C5F879D">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158775BF">
            <w:pPr>
              <w:numPr>
                <w:ilvl w:val="0"/>
                <w:numId w:val="5"/>
              </w:numPr>
              <w:spacing w:line="360" w:lineRule="auto"/>
              <w:ind w:left="0" w:leftChars="0" w:firstLine="0" w:firstLineChars="0"/>
              <w:jc w:val="center"/>
              <w:rPr>
                <w:rFonts w:hint="eastAsia" w:ascii="仿宋" w:hAnsi="仿宋"/>
                <w:color w:val="000000"/>
                <w:sz w:val="24"/>
                <w:szCs w:val="24"/>
              </w:rPr>
            </w:pPr>
          </w:p>
        </w:tc>
        <w:tc>
          <w:tcPr>
            <w:tcW w:w="1606" w:type="pct"/>
            <w:vAlign w:val="center"/>
          </w:tcPr>
          <w:p w14:paraId="242A91E2">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剩余平衡重</w:t>
            </w:r>
          </w:p>
        </w:tc>
        <w:tc>
          <w:tcPr>
            <w:tcW w:w="1254" w:type="pct"/>
            <w:vAlign w:val="center"/>
          </w:tcPr>
          <w:p w14:paraId="41922871">
            <w:pPr>
              <w:spacing w:line="360" w:lineRule="auto"/>
              <w:ind w:firstLine="0" w:firstLineChars="0"/>
              <w:jc w:val="center"/>
              <w:rPr>
                <w:rFonts w:hint="default" w:ascii="仿宋" w:hAnsi="仿宋"/>
                <w:color w:val="000000"/>
                <w:sz w:val="24"/>
                <w:szCs w:val="24"/>
                <w:lang w:val="en-US" w:eastAsia="zh-CN"/>
              </w:rPr>
            </w:pPr>
            <w:r>
              <w:rPr>
                <w:rFonts w:hint="eastAsia" w:ascii="仿宋" w:hAnsi="仿宋"/>
                <w:color w:val="000000"/>
                <w:sz w:val="24"/>
                <w:szCs w:val="24"/>
                <w:lang w:val="en-US" w:eastAsia="zh-CN"/>
              </w:rPr>
              <w:t>4000×3+2200×2+1500×2</w:t>
            </w:r>
          </w:p>
        </w:tc>
        <w:tc>
          <w:tcPr>
            <w:tcW w:w="1250" w:type="pct"/>
            <w:vAlign w:val="center"/>
          </w:tcPr>
          <w:p w14:paraId="4B5FCFC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16.1</w:t>
            </w:r>
          </w:p>
        </w:tc>
      </w:tr>
    </w:tbl>
    <w:p w14:paraId="266C4AD0">
      <w:pPr>
        <w:pStyle w:val="16"/>
        <w:bidi w:val="0"/>
        <w:rPr>
          <w:rFonts w:hint="eastAsia" w:cs="Times New Roman"/>
        </w:rPr>
      </w:pPr>
      <w:r>
        <w:rPr>
          <w:rFonts w:hint="eastAsia" w:cs="Times New Roman"/>
        </w:rPr>
        <w:t>表4.3-</w:t>
      </w:r>
      <w:r>
        <w:rPr>
          <w:rFonts w:hint="eastAsia" w:cs="Times New Roman"/>
          <w:lang w:val="en-US" w:eastAsia="zh-CN"/>
        </w:rPr>
        <w:t>3</w:t>
      </w:r>
      <w:r>
        <w:rPr>
          <w:rFonts w:hint="eastAsia" w:cs="Times New Roman"/>
        </w:rPr>
        <w:t xml:space="preserve">  </w:t>
      </w:r>
      <w:r>
        <w:rPr>
          <w:rFonts w:hint="eastAsia" w:cs="Times New Roman"/>
          <w:lang w:eastAsia="zh-CN"/>
        </w:rPr>
        <w:t>XGT6515D-10S</w:t>
      </w:r>
      <w:r>
        <w:rPr>
          <w:rFonts w:hint="eastAsia" w:cs="Times New Roman"/>
        </w:rPr>
        <w:t>塔机主要吊装单元划分与重量一览表</w:t>
      </w:r>
    </w:p>
    <w:tbl>
      <w:tblPr>
        <w:tblStyle w:val="44"/>
        <w:tblW w:w="5000" w:type="pct"/>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640"/>
        <w:gridCol w:w="2966"/>
        <w:gridCol w:w="2316"/>
        <w:gridCol w:w="2309"/>
      </w:tblGrid>
      <w:tr w14:paraId="52DA4C5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888" w:type="pct"/>
            <w:vAlign w:val="center"/>
          </w:tcPr>
          <w:p w14:paraId="239C9947">
            <w:pPr>
              <w:ind w:firstLine="0" w:firstLineChars="0"/>
              <w:jc w:val="center"/>
              <w:rPr>
                <w:rFonts w:ascii="仿宋" w:hAnsi="仿宋"/>
                <w:sz w:val="24"/>
                <w:szCs w:val="24"/>
              </w:rPr>
            </w:pPr>
            <w:r>
              <w:rPr>
                <w:rFonts w:hint="eastAsia" w:ascii="仿宋" w:hAnsi="仿宋"/>
                <w:sz w:val="24"/>
                <w:szCs w:val="24"/>
              </w:rPr>
              <w:t>序 号</w:t>
            </w:r>
          </w:p>
        </w:tc>
        <w:tc>
          <w:tcPr>
            <w:tcW w:w="1606" w:type="pct"/>
            <w:vAlign w:val="center"/>
          </w:tcPr>
          <w:p w14:paraId="47220DE9">
            <w:pPr>
              <w:ind w:firstLine="0" w:firstLineChars="0"/>
              <w:jc w:val="center"/>
              <w:rPr>
                <w:rFonts w:ascii="仿宋" w:hAnsi="仿宋"/>
                <w:sz w:val="24"/>
                <w:szCs w:val="24"/>
              </w:rPr>
            </w:pPr>
            <w:r>
              <w:rPr>
                <w:rFonts w:hint="eastAsia" w:ascii="仿宋" w:hAnsi="仿宋"/>
                <w:sz w:val="24"/>
                <w:szCs w:val="24"/>
              </w:rPr>
              <w:t>名称</w:t>
            </w:r>
          </w:p>
        </w:tc>
        <w:tc>
          <w:tcPr>
            <w:tcW w:w="1254" w:type="pct"/>
            <w:vAlign w:val="center"/>
          </w:tcPr>
          <w:p w14:paraId="39DAEC71">
            <w:pPr>
              <w:ind w:firstLine="0" w:firstLineChars="0"/>
              <w:jc w:val="center"/>
              <w:rPr>
                <w:rFonts w:ascii="仿宋" w:hAnsi="仿宋"/>
                <w:sz w:val="24"/>
                <w:szCs w:val="24"/>
              </w:rPr>
            </w:pPr>
            <w:r>
              <w:rPr>
                <w:rFonts w:hint="eastAsia" w:ascii="仿宋" w:hAnsi="仿宋"/>
                <w:sz w:val="24"/>
                <w:szCs w:val="24"/>
              </w:rPr>
              <w:t>重量（</w:t>
            </w:r>
            <w:r>
              <w:rPr>
                <w:rFonts w:hint="eastAsia" w:ascii="仿宋" w:hAnsi="仿宋"/>
                <w:sz w:val="24"/>
                <w:szCs w:val="24"/>
                <w:lang w:val="en-US" w:eastAsia="zh-CN"/>
              </w:rPr>
              <w:t>kg</w:t>
            </w:r>
            <w:r>
              <w:rPr>
                <w:rFonts w:hint="eastAsia" w:ascii="仿宋" w:hAnsi="仿宋"/>
                <w:sz w:val="24"/>
                <w:szCs w:val="24"/>
              </w:rPr>
              <w:t>）</w:t>
            </w:r>
          </w:p>
        </w:tc>
        <w:tc>
          <w:tcPr>
            <w:tcW w:w="1250" w:type="pct"/>
            <w:vAlign w:val="center"/>
          </w:tcPr>
          <w:p w14:paraId="264A78D4">
            <w:pPr>
              <w:ind w:firstLine="0" w:firstLineChars="0"/>
              <w:jc w:val="center"/>
              <w:rPr>
                <w:rFonts w:ascii="仿宋" w:hAnsi="仿宋"/>
                <w:sz w:val="24"/>
                <w:szCs w:val="24"/>
              </w:rPr>
            </w:pPr>
            <w:r>
              <w:rPr>
                <w:rFonts w:hint="eastAsia" w:ascii="仿宋" w:hAnsi="仿宋"/>
                <w:sz w:val="24"/>
                <w:szCs w:val="24"/>
              </w:rPr>
              <w:t>吊高 H(m)</w:t>
            </w:r>
          </w:p>
        </w:tc>
      </w:tr>
      <w:tr w14:paraId="30B05B4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154E5B20">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1</w:t>
            </w:r>
          </w:p>
        </w:tc>
        <w:tc>
          <w:tcPr>
            <w:tcW w:w="1606" w:type="pct"/>
            <w:vAlign w:val="center"/>
          </w:tcPr>
          <w:p w14:paraId="104FA15B">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基础节</w:t>
            </w:r>
          </w:p>
        </w:tc>
        <w:tc>
          <w:tcPr>
            <w:tcW w:w="1254" w:type="pct"/>
            <w:vAlign w:val="center"/>
          </w:tcPr>
          <w:p w14:paraId="3878F428">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3928</w:t>
            </w:r>
          </w:p>
        </w:tc>
        <w:tc>
          <w:tcPr>
            <w:tcW w:w="1250" w:type="pct"/>
            <w:vAlign w:val="center"/>
          </w:tcPr>
          <w:p w14:paraId="714F4BF7">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9</w:t>
            </w:r>
          </w:p>
        </w:tc>
      </w:tr>
      <w:tr w14:paraId="57341E4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7DBB598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2</w:t>
            </w:r>
          </w:p>
        </w:tc>
        <w:tc>
          <w:tcPr>
            <w:tcW w:w="1606" w:type="pct"/>
            <w:vAlign w:val="center"/>
          </w:tcPr>
          <w:p w14:paraId="7CFE692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基础节1</w:t>
            </w:r>
          </w:p>
        </w:tc>
        <w:tc>
          <w:tcPr>
            <w:tcW w:w="1254" w:type="pct"/>
            <w:vAlign w:val="center"/>
          </w:tcPr>
          <w:p w14:paraId="67FDA79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2964</w:t>
            </w:r>
          </w:p>
        </w:tc>
        <w:tc>
          <w:tcPr>
            <w:tcW w:w="1250" w:type="pct"/>
            <w:vAlign w:val="center"/>
          </w:tcPr>
          <w:p w14:paraId="25A7FE66">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18</w:t>
            </w:r>
          </w:p>
        </w:tc>
      </w:tr>
      <w:tr w14:paraId="22CA1AF0">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72E03194">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3</w:t>
            </w:r>
          </w:p>
        </w:tc>
        <w:tc>
          <w:tcPr>
            <w:tcW w:w="1606" w:type="pct"/>
            <w:vAlign w:val="center"/>
          </w:tcPr>
          <w:p w14:paraId="7BB8E404">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顶升套架</w:t>
            </w:r>
          </w:p>
        </w:tc>
        <w:tc>
          <w:tcPr>
            <w:tcW w:w="1254" w:type="pct"/>
            <w:vAlign w:val="center"/>
          </w:tcPr>
          <w:p w14:paraId="5E5694D6">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4314</w:t>
            </w:r>
          </w:p>
        </w:tc>
        <w:tc>
          <w:tcPr>
            <w:tcW w:w="1250" w:type="pct"/>
            <w:vAlign w:val="center"/>
          </w:tcPr>
          <w:p w14:paraId="70D9736B">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27</w:t>
            </w:r>
          </w:p>
        </w:tc>
      </w:tr>
      <w:tr w14:paraId="7EF1765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5F1A0477">
            <w:pPr>
              <w:spacing w:line="360" w:lineRule="auto"/>
              <w:ind w:firstLine="0" w:firstLineChars="0"/>
              <w:jc w:val="center"/>
              <w:rPr>
                <w:rFonts w:hint="eastAsia" w:ascii="仿宋" w:hAnsi="仿宋" w:eastAsia="仿宋"/>
                <w:color w:val="000000"/>
                <w:sz w:val="24"/>
                <w:szCs w:val="24"/>
                <w:lang w:val="en-US" w:eastAsia="zh-CN"/>
              </w:rPr>
            </w:pPr>
            <w:r>
              <w:rPr>
                <w:rFonts w:hint="eastAsia" w:ascii="仿宋" w:hAnsi="仿宋"/>
                <w:color w:val="000000"/>
                <w:sz w:val="24"/>
                <w:szCs w:val="24"/>
                <w:lang w:val="en-US" w:eastAsia="zh-CN"/>
              </w:rPr>
              <w:t>4</w:t>
            </w:r>
          </w:p>
        </w:tc>
        <w:tc>
          <w:tcPr>
            <w:tcW w:w="1606" w:type="pct"/>
            <w:vAlign w:val="center"/>
          </w:tcPr>
          <w:p w14:paraId="7713153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安装特殊节</w:t>
            </w:r>
          </w:p>
        </w:tc>
        <w:tc>
          <w:tcPr>
            <w:tcW w:w="1254" w:type="pct"/>
            <w:vAlign w:val="center"/>
          </w:tcPr>
          <w:p w14:paraId="3AD61032">
            <w:pPr>
              <w:spacing w:line="360" w:lineRule="auto"/>
              <w:ind w:firstLine="0" w:firstLineChars="0"/>
              <w:jc w:val="center"/>
              <w:rPr>
                <w:rFonts w:hint="default" w:ascii="仿宋" w:hAnsi="仿宋"/>
                <w:color w:val="000000"/>
                <w:sz w:val="24"/>
                <w:szCs w:val="24"/>
                <w:lang w:val="en-US"/>
              </w:rPr>
            </w:pPr>
            <w:r>
              <w:rPr>
                <w:rFonts w:hint="eastAsia" w:ascii="仿宋" w:hAnsi="仿宋"/>
                <w:color w:val="000000"/>
                <w:sz w:val="24"/>
                <w:szCs w:val="24"/>
                <w:lang w:val="en-US" w:eastAsia="zh-CN"/>
              </w:rPr>
              <w:t>1716</w:t>
            </w:r>
          </w:p>
        </w:tc>
        <w:tc>
          <w:tcPr>
            <w:tcW w:w="1250" w:type="pct"/>
            <w:vAlign w:val="center"/>
          </w:tcPr>
          <w:p w14:paraId="3E17553B">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27</w:t>
            </w:r>
          </w:p>
        </w:tc>
      </w:tr>
      <w:tr w14:paraId="71DD3D4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31E58E4E">
            <w:pPr>
              <w:spacing w:line="360" w:lineRule="auto"/>
              <w:ind w:firstLine="0" w:firstLineChars="0"/>
              <w:jc w:val="center"/>
              <w:rPr>
                <w:rFonts w:hint="eastAsia" w:ascii="仿宋" w:hAnsi="仿宋" w:eastAsia="仿宋"/>
                <w:color w:val="000000"/>
                <w:sz w:val="24"/>
                <w:szCs w:val="24"/>
                <w:lang w:eastAsia="zh-CN"/>
              </w:rPr>
            </w:pPr>
            <w:r>
              <w:rPr>
                <w:rFonts w:hint="eastAsia" w:ascii="仿宋" w:hAnsi="仿宋"/>
                <w:color w:val="000000"/>
                <w:sz w:val="24"/>
                <w:szCs w:val="24"/>
                <w:lang w:val="en-US" w:eastAsia="zh-CN"/>
              </w:rPr>
              <w:t>5</w:t>
            </w:r>
          </w:p>
        </w:tc>
        <w:tc>
          <w:tcPr>
            <w:tcW w:w="1606" w:type="pct"/>
            <w:vAlign w:val="center"/>
          </w:tcPr>
          <w:p w14:paraId="0E04C53C">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回转总成</w:t>
            </w:r>
          </w:p>
        </w:tc>
        <w:tc>
          <w:tcPr>
            <w:tcW w:w="1254" w:type="pct"/>
            <w:vAlign w:val="center"/>
          </w:tcPr>
          <w:p w14:paraId="43513679">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4678</w:t>
            </w:r>
          </w:p>
        </w:tc>
        <w:tc>
          <w:tcPr>
            <w:tcW w:w="1250" w:type="pct"/>
            <w:vAlign w:val="center"/>
          </w:tcPr>
          <w:p w14:paraId="42966E2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27</w:t>
            </w:r>
          </w:p>
        </w:tc>
      </w:tr>
      <w:tr w14:paraId="719D0150">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cantSplit/>
          <w:trHeight w:val="454" w:hRule="atLeast"/>
          <w:jc w:val="center"/>
        </w:trPr>
        <w:tc>
          <w:tcPr>
            <w:tcW w:w="888" w:type="pct"/>
            <w:vAlign w:val="center"/>
          </w:tcPr>
          <w:p w14:paraId="6CD44B34">
            <w:pPr>
              <w:spacing w:line="360" w:lineRule="auto"/>
              <w:ind w:firstLine="0" w:firstLineChars="0"/>
              <w:jc w:val="center"/>
              <w:rPr>
                <w:rFonts w:hint="eastAsia" w:ascii="仿宋" w:hAnsi="仿宋" w:eastAsia="仿宋"/>
                <w:color w:val="000000"/>
                <w:sz w:val="24"/>
                <w:szCs w:val="24"/>
                <w:lang w:val="en-US" w:eastAsia="zh-CN"/>
              </w:rPr>
            </w:pPr>
            <w:r>
              <w:rPr>
                <w:rFonts w:hint="eastAsia" w:ascii="仿宋" w:hAnsi="仿宋"/>
                <w:color w:val="000000"/>
                <w:sz w:val="24"/>
                <w:szCs w:val="24"/>
                <w:lang w:val="en-US" w:eastAsia="zh-CN"/>
              </w:rPr>
              <w:t>6</w:t>
            </w:r>
          </w:p>
        </w:tc>
        <w:tc>
          <w:tcPr>
            <w:tcW w:w="1606" w:type="pct"/>
            <w:vAlign w:val="center"/>
          </w:tcPr>
          <w:p w14:paraId="4AA715D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起重臂根节</w:t>
            </w:r>
          </w:p>
        </w:tc>
        <w:tc>
          <w:tcPr>
            <w:tcW w:w="1254" w:type="pct"/>
            <w:vAlign w:val="center"/>
          </w:tcPr>
          <w:p w14:paraId="24E0BCEB">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3800</w:t>
            </w:r>
          </w:p>
        </w:tc>
        <w:tc>
          <w:tcPr>
            <w:tcW w:w="1250" w:type="pct"/>
            <w:vAlign w:val="center"/>
          </w:tcPr>
          <w:p w14:paraId="5E7345C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30</w:t>
            </w:r>
          </w:p>
        </w:tc>
      </w:tr>
      <w:tr w14:paraId="269541AD">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0D0DBE22">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7</w:t>
            </w:r>
          </w:p>
        </w:tc>
        <w:tc>
          <w:tcPr>
            <w:tcW w:w="1606" w:type="pct"/>
            <w:vAlign w:val="center"/>
          </w:tcPr>
          <w:p w14:paraId="514AC76F">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平衡臂总成</w:t>
            </w:r>
          </w:p>
        </w:tc>
        <w:tc>
          <w:tcPr>
            <w:tcW w:w="1254" w:type="pct"/>
            <w:vAlign w:val="center"/>
          </w:tcPr>
          <w:p w14:paraId="44A1348E">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5200</w:t>
            </w:r>
          </w:p>
        </w:tc>
        <w:tc>
          <w:tcPr>
            <w:tcW w:w="1250" w:type="pct"/>
            <w:vAlign w:val="center"/>
          </w:tcPr>
          <w:p w14:paraId="715F2710">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30</w:t>
            </w:r>
          </w:p>
        </w:tc>
      </w:tr>
      <w:tr w14:paraId="03A4CEDA">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44AE4046">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8</w:t>
            </w:r>
          </w:p>
        </w:tc>
        <w:tc>
          <w:tcPr>
            <w:tcW w:w="1606" w:type="pct"/>
            <w:vAlign w:val="center"/>
          </w:tcPr>
          <w:p w14:paraId="2460D76B">
            <w:pPr>
              <w:spacing w:line="360" w:lineRule="auto"/>
              <w:ind w:firstLine="0" w:firstLineChars="0"/>
              <w:jc w:val="center"/>
              <w:rPr>
                <w:rFonts w:ascii="仿宋" w:hAnsi="仿宋"/>
                <w:color w:val="000000"/>
                <w:sz w:val="24"/>
                <w:szCs w:val="24"/>
              </w:rPr>
            </w:pPr>
            <w:r>
              <w:rPr>
                <w:rFonts w:hint="eastAsia" w:ascii="仿宋" w:hAnsi="仿宋"/>
                <w:color w:val="000000"/>
                <w:sz w:val="24"/>
                <w:szCs w:val="24"/>
                <w:lang w:val="en-US" w:eastAsia="zh-CN"/>
              </w:rPr>
              <w:t>1</w:t>
            </w:r>
            <w:r>
              <w:rPr>
                <w:rFonts w:hint="eastAsia" w:ascii="仿宋" w:hAnsi="仿宋"/>
                <w:color w:val="000000"/>
                <w:sz w:val="24"/>
                <w:szCs w:val="24"/>
              </w:rPr>
              <w:t>块平衡重</w:t>
            </w:r>
          </w:p>
        </w:tc>
        <w:tc>
          <w:tcPr>
            <w:tcW w:w="1254" w:type="pct"/>
            <w:vAlign w:val="center"/>
          </w:tcPr>
          <w:p w14:paraId="330F1A4A">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3200</w:t>
            </w:r>
          </w:p>
        </w:tc>
        <w:tc>
          <w:tcPr>
            <w:tcW w:w="1250" w:type="pct"/>
            <w:vAlign w:val="center"/>
          </w:tcPr>
          <w:p w14:paraId="0CD062B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33</w:t>
            </w:r>
          </w:p>
        </w:tc>
      </w:tr>
      <w:tr w14:paraId="6BBA80A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3CA974FC">
            <w:pPr>
              <w:spacing w:line="360" w:lineRule="auto"/>
              <w:ind w:firstLine="0" w:firstLineChars="0"/>
              <w:jc w:val="center"/>
              <w:rPr>
                <w:rFonts w:ascii="仿宋" w:hAnsi="仿宋"/>
                <w:color w:val="000000"/>
                <w:sz w:val="24"/>
                <w:szCs w:val="24"/>
              </w:rPr>
            </w:pPr>
            <w:r>
              <w:rPr>
                <w:rFonts w:hint="eastAsia" w:ascii="仿宋" w:hAnsi="仿宋"/>
                <w:color w:val="000000"/>
                <w:sz w:val="24"/>
                <w:szCs w:val="24"/>
              </w:rPr>
              <w:t>9</w:t>
            </w:r>
          </w:p>
        </w:tc>
        <w:tc>
          <w:tcPr>
            <w:tcW w:w="1606" w:type="pct"/>
            <w:vAlign w:val="center"/>
          </w:tcPr>
          <w:p w14:paraId="517B00C7">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起重臂二</w:t>
            </w:r>
          </w:p>
        </w:tc>
        <w:tc>
          <w:tcPr>
            <w:tcW w:w="1254" w:type="pct"/>
            <w:vAlign w:val="center"/>
          </w:tcPr>
          <w:p w14:paraId="3AC44EBD">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1029</w:t>
            </w:r>
          </w:p>
        </w:tc>
        <w:tc>
          <w:tcPr>
            <w:tcW w:w="1250" w:type="pct"/>
            <w:vAlign w:val="center"/>
          </w:tcPr>
          <w:p w14:paraId="21C4012B">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4CE7F50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7E166634">
            <w:pPr>
              <w:spacing w:line="360" w:lineRule="auto"/>
              <w:ind w:firstLine="0" w:firstLineChars="0"/>
              <w:jc w:val="center"/>
              <w:rPr>
                <w:rFonts w:hint="eastAsia" w:ascii="仿宋" w:hAnsi="仿宋"/>
                <w:color w:val="000000"/>
                <w:sz w:val="24"/>
                <w:szCs w:val="24"/>
              </w:rPr>
            </w:pPr>
            <w:r>
              <w:rPr>
                <w:rFonts w:hint="eastAsia" w:ascii="仿宋" w:hAnsi="仿宋"/>
                <w:color w:val="000000"/>
                <w:sz w:val="24"/>
                <w:szCs w:val="24"/>
              </w:rPr>
              <w:t>10</w:t>
            </w:r>
          </w:p>
        </w:tc>
        <w:tc>
          <w:tcPr>
            <w:tcW w:w="1606" w:type="pct"/>
            <w:vAlign w:val="center"/>
          </w:tcPr>
          <w:p w14:paraId="28CF1830">
            <w:pPr>
              <w:spacing w:line="360" w:lineRule="auto"/>
              <w:ind w:firstLine="0" w:firstLineChars="0"/>
              <w:jc w:val="center"/>
              <w:rPr>
                <w:rFonts w:hint="default" w:ascii="仿宋" w:hAnsi="仿宋"/>
                <w:color w:val="000000"/>
                <w:sz w:val="24"/>
                <w:szCs w:val="24"/>
                <w:highlight w:val="none"/>
                <w:lang w:val="en-US"/>
              </w:rPr>
            </w:pPr>
            <w:r>
              <w:rPr>
                <w:rFonts w:hint="eastAsia" w:ascii="仿宋" w:hAnsi="仿宋"/>
                <w:color w:val="000000"/>
                <w:sz w:val="24"/>
                <w:szCs w:val="24"/>
                <w:highlight w:val="none"/>
                <w:lang w:val="en-US" w:eastAsia="zh-CN"/>
              </w:rPr>
              <w:t>起重臂三</w:t>
            </w:r>
          </w:p>
        </w:tc>
        <w:tc>
          <w:tcPr>
            <w:tcW w:w="1254" w:type="pct"/>
            <w:vAlign w:val="center"/>
          </w:tcPr>
          <w:p w14:paraId="0C086D3E">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1401</w:t>
            </w:r>
          </w:p>
        </w:tc>
        <w:tc>
          <w:tcPr>
            <w:tcW w:w="1250" w:type="pct"/>
            <w:vAlign w:val="center"/>
          </w:tcPr>
          <w:p w14:paraId="4BDE9ED2">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302937D8">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64C94334">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11</w:t>
            </w:r>
          </w:p>
        </w:tc>
        <w:tc>
          <w:tcPr>
            <w:tcW w:w="1606" w:type="pct"/>
            <w:vAlign w:val="center"/>
          </w:tcPr>
          <w:p w14:paraId="44E5A55A">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起重臂四</w:t>
            </w:r>
          </w:p>
        </w:tc>
        <w:tc>
          <w:tcPr>
            <w:tcW w:w="1254" w:type="pct"/>
            <w:vAlign w:val="center"/>
          </w:tcPr>
          <w:p w14:paraId="19F24315">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1148</w:t>
            </w:r>
          </w:p>
        </w:tc>
        <w:tc>
          <w:tcPr>
            <w:tcW w:w="1250" w:type="pct"/>
            <w:vAlign w:val="center"/>
          </w:tcPr>
          <w:p w14:paraId="6C6C1AEA">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7EC3838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3C43BF0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12</w:t>
            </w:r>
          </w:p>
        </w:tc>
        <w:tc>
          <w:tcPr>
            <w:tcW w:w="1606" w:type="pct"/>
            <w:vAlign w:val="center"/>
          </w:tcPr>
          <w:p w14:paraId="45401B9A">
            <w:pPr>
              <w:spacing w:line="360" w:lineRule="auto"/>
              <w:ind w:firstLine="0" w:firstLineChars="0"/>
              <w:jc w:val="center"/>
              <w:rPr>
                <w:rFonts w:hint="default" w:ascii="仿宋" w:hAnsi="仿宋"/>
                <w:color w:val="000000"/>
                <w:sz w:val="24"/>
                <w:szCs w:val="24"/>
                <w:highlight w:val="none"/>
                <w:lang w:val="en-US"/>
              </w:rPr>
            </w:pPr>
            <w:r>
              <w:rPr>
                <w:rFonts w:hint="eastAsia" w:ascii="仿宋" w:hAnsi="仿宋"/>
                <w:color w:val="000000"/>
                <w:sz w:val="24"/>
                <w:szCs w:val="24"/>
                <w:highlight w:val="none"/>
                <w:lang w:val="en-US" w:eastAsia="zh-CN"/>
              </w:rPr>
              <w:t>起重臂五</w:t>
            </w:r>
          </w:p>
        </w:tc>
        <w:tc>
          <w:tcPr>
            <w:tcW w:w="1254" w:type="pct"/>
            <w:vAlign w:val="center"/>
          </w:tcPr>
          <w:p w14:paraId="0D001594">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569</w:t>
            </w:r>
          </w:p>
        </w:tc>
        <w:tc>
          <w:tcPr>
            <w:tcW w:w="1250" w:type="pct"/>
            <w:vAlign w:val="center"/>
          </w:tcPr>
          <w:p w14:paraId="53D5674B">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4A90750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72550AC8">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13</w:t>
            </w:r>
          </w:p>
        </w:tc>
        <w:tc>
          <w:tcPr>
            <w:tcW w:w="1606" w:type="pct"/>
            <w:vAlign w:val="center"/>
          </w:tcPr>
          <w:p w14:paraId="2E95221D">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起重臂六</w:t>
            </w:r>
          </w:p>
        </w:tc>
        <w:tc>
          <w:tcPr>
            <w:tcW w:w="1254" w:type="pct"/>
            <w:vAlign w:val="center"/>
          </w:tcPr>
          <w:p w14:paraId="51CFFE90">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787</w:t>
            </w:r>
          </w:p>
        </w:tc>
        <w:tc>
          <w:tcPr>
            <w:tcW w:w="1250" w:type="pct"/>
            <w:vAlign w:val="center"/>
          </w:tcPr>
          <w:p w14:paraId="03FC9A5F">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2C5DFB2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35055311">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14</w:t>
            </w:r>
          </w:p>
        </w:tc>
        <w:tc>
          <w:tcPr>
            <w:tcW w:w="1606" w:type="pct"/>
            <w:vAlign w:val="center"/>
          </w:tcPr>
          <w:p w14:paraId="168FF06C">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起重臂七</w:t>
            </w:r>
          </w:p>
        </w:tc>
        <w:tc>
          <w:tcPr>
            <w:tcW w:w="1254" w:type="pct"/>
            <w:vAlign w:val="center"/>
          </w:tcPr>
          <w:p w14:paraId="30A547ED">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650</w:t>
            </w:r>
          </w:p>
        </w:tc>
        <w:tc>
          <w:tcPr>
            <w:tcW w:w="1250" w:type="pct"/>
            <w:vAlign w:val="center"/>
          </w:tcPr>
          <w:p w14:paraId="3D525D28">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6E9DD6E8">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6CE2D0CB">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15</w:t>
            </w:r>
          </w:p>
        </w:tc>
        <w:tc>
          <w:tcPr>
            <w:tcW w:w="1606" w:type="pct"/>
            <w:vAlign w:val="center"/>
          </w:tcPr>
          <w:p w14:paraId="71BEB4AD">
            <w:pPr>
              <w:spacing w:line="360" w:lineRule="auto"/>
              <w:ind w:firstLine="0" w:firstLineChars="0"/>
              <w:jc w:val="center"/>
              <w:rPr>
                <w:rFonts w:hint="default" w:ascii="仿宋" w:hAnsi="仿宋" w:eastAsia="仿宋"/>
                <w:color w:val="000000"/>
                <w:sz w:val="24"/>
                <w:szCs w:val="24"/>
                <w:highlight w:val="none"/>
                <w:lang w:val="en-US" w:eastAsia="zh-CN"/>
              </w:rPr>
            </w:pPr>
            <w:r>
              <w:rPr>
                <w:rFonts w:hint="eastAsia" w:ascii="仿宋" w:hAnsi="仿宋"/>
                <w:color w:val="000000"/>
                <w:sz w:val="24"/>
                <w:szCs w:val="24"/>
                <w:highlight w:val="none"/>
                <w:lang w:val="en-US" w:eastAsia="zh-CN"/>
              </w:rPr>
              <w:t>起重臂八+臂头</w:t>
            </w:r>
          </w:p>
        </w:tc>
        <w:tc>
          <w:tcPr>
            <w:tcW w:w="1254" w:type="pct"/>
            <w:vAlign w:val="center"/>
          </w:tcPr>
          <w:p w14:paraId="05915778">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341</w:t>
            </w:r>
          </w:p>
        </w:tc>
        <w:tc>
          <w:tcPr>
            <w:tcW w:w="1250" w:type="pct"/>
            <w:vAlign w:val="center"/>
          </w:tcPr>
          <w:p w14:paraId="589B8760">
            <w:pPr>
              <w:spacing w:line="360" w:lineRule="auto"/>
              <w:ind w:firstLine="0" w:firstLineChars="0"/>
              <w:jc w:val="center"/>
              <w:rPr>
                <w:rFonts w:hint="default" w:ascii="仿宋" w:hAnsi="仿宋"/>
                <w:color w:val="000000"/>
                <w:sz w:val="24"/>
                <w:szCs w:val="24"/>
                <w:highlight w:val="none"/>
                <w:lang w:val="en-US" w:eastAsia="zh-CN"/>
              </w:rPr>
            </w:pPr>
            <w:r>
              <w:rPr>
                <w:rFonts w:hint="eastAsia" w:ascii="仿宋" w:hAnsi="仿宋"/>
                <w:color w:val="000000"/>
                <w:sz w:val="24"/>
                <w:szCs w:val="24"/>
                <w:highlight w:val="none"/>
                <w:lang w:val="en-US" w:eastAsia="zh-CN"/>
              </w:rPr>
              <w:t>30</w:t>
            </w:r>
          </w:p>
        </w:tc>
      </w:tr>
      <w:tr w14:paraId="2C7848E6">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88" w:type="pct"/>
            <w:vAlign w:val="center"/>
          </w:tcPr>
          <w:p w14:paraId="0AA1AFD3">
            <w:pPr>
              <w:spacing w:line="360" w:lineRule="auto"/>
              <w:ind w:firstLine="0" w:firstLineChars="0"/>
              <w:jc w:val="center"/>
              <w:rPr>
                <w:rFonts w:hint="default" w:ascii="仿宋" w:hAnsi="仿宋" w:eastAsia="仿宋"/>
                <w:color w:val="000000"/>
                <w:sz w:val="24"/>
                <w:szCs w:val="24"/>
                <w:lang w:val="en-US" w:eastAsia="zh-CN"/>
              </w:rPr>
            </w:pPr>
            <w:r>
              <w:rPr>
                <w:rFonts w:hint="eastAsia" w:ascii="仿宋" w:hAnsi="仿宋"/>
                <w:color w:val="000000"/>
                <w:sz w:val="24"/>
                <w:szCs w:val="24"/>
                <w:lang w:val="en-US" w:eastAsia="zh-CN"/>
              </w:rPr>
              <w:t>16</w:t>
            </w:r>
          </w:p>
        </w:tc>
        <w:tc>
          <w:tcPr>
            <w:tcW w:w="1606" w:type="pct"/>
            <w:shd w:val="clear" w:color="auto" w:fill="auto"/>
            <w:vAlign w:val="center"/>
          </w:tcPr>
          <w:p w14:paraId="3776C950">
            <w:pPr>
              <w:spacing w:line="360" w:lineRule="auto"/>
              <w:ind w:firstLine="0" w:firstLineChars="0"/>
              <w:jc w:val="center"/>
              <w:rPr>
                <w:rFonts w:hint="eastAsia" w:ascii="仿宋" w:hAnsi="仿宋" w:eastAsia="仿宋" w:cs="Times New Roman"/>
                <w:color w:val="000000"/>
                <w:kern w:val="2"/>
                <w:sz w:val="24"/>
                <w:szCs w:val="24"/>
                <w:lang w:val="en-US" w:eastAsia="zh-CN" w:bidi="ar-SA"/>
              </w:rPr>
            </w:pPr>
            <w:r>
              <w:rPr>
                <w:rFonts w:hint="eastAsia" w:ascii="仿宋" w:hAnsi="仿宋"/>
                <w:color w:val="000000"/>
                <w:sz w:val="24"/>
                <w:szCs w:val="24"/>
              </w:rPr>
              <w:t>剩余平衡重</w:t>
            </w:r>
          </w:p>
        </w:tc>
        <w:tc>
          <w:tcPr>
            <w:tcW w:w="1254" w:type="pct"/>
            <w:shd w:val="clear" w:color="auto" w:fill="auto"/>
            <w:vAlign w:val="center"/>
          </w:tcPr>
          <w:p w14:paraId="27BCEC48">
            <w:pPr>
              <w:spacing w:line="360" w:lineRule="auto"/>
              <w:ind w:firstLine="0" w:firstLineChars="0"/>
              <w:jc w:val="center"/>
              <w:rPr>
                <w:rFonts w:hint="eastAsia" w:ascii="仿宋" w:hAnsi="仿宋" w:eastAsia="仿宋" w:cs="Times New Roman"/>
                <w:color w:val="000000"/>
                <w:kern w:val="2"/>
                <w:sz w:val="24"/>
                <w:szCs w:val="24"/>
                <w:lang w:val="en-US" w:eastAsia="zh-CN" w:bidi="ar-SA"/>
              </w:rPr>
            </w:pPr>
            <w:r>
              <w:rPr>
                <w:rFonts w:hint="eastAsia" w:ascii="仿宋" w:hAnsi="仿宋"/>
                <w:color w:val="000000"/>
                <w:sz w:val="24"/>
                <w:szCs w:val="24"/>
                <w:lang w:val="en-US" w:eastAsia="zh-CN"/>
              </w:rPr>
              <w:t>3200*2+2300*3</w:t>
            </w:r>
          </w:p>
        </w:tc>
        <w:tc>
          <w:tcPr>
            <w:tcW w:w="1250" w:type="pct"/>
            <w:shd w:val="clear" w:color="auto" w:fill="auto"/>
            <w:vAlign w:val="center"/>
          </w:tcPr>
          <w:p w14:paraId="0832D735">
            <w:pPr>
              <w:spacing w:line="360" w:lineRule="auto"/>
              <w:ind w:firstLine="0" w:firstLineChars="0"/>
              <w:jc w:val="center"/>
              <w:rPr>
                <w:rFonts w:hint="eastAsia" w:ascii="仿宋" w:hAnsi="仿宋" w:eastAsia="仿宋" w:cs="Times New Roman"/>
                <w:color w:val="000000"/>
                <w:kern w:val="2"/>
                <w:sz w:val="24"/>
                <w:szCs w:val="24"/>
                <w:lang w:val="en-US" w:eastAsia="zh-CN" w:bidi="ar-SA"/>
              </w:rPr>
            </w:pPr>
            <w:r>
              <w:rPr>
                <w:rFonts w:hint="eastAsia" w:ascii="仿宋" w:hAnsi="仿宋"/>
                <w:color w:val="000000"/>
                <w:sz w:val="24"/>
                <w:szCs w:val="24"/>
                <w:lang w:val="en-US" w:eastAsia="zh-CN"/>
              </w:rPr>
              <w:t>33</w:t>
            </w:r>
          </w:p>
        </w:tc>
      </w:tr>
    </w:tbl>
    <w:p w14:paraId="753E0C28">
      <w:pPr>
        <w:ind w:firstLine="562"/>
        <w:rPr>
          <w:rFonts w:ascii="宋体" w:hAnsi="宋体" w:cs="宋体"/>
          <w:b/>
          <w:color w:val="000000"/>
        </w:rPr>
      </w:pPr>
      <w:r>
        <w:rPr>
          <w:rFonts w:hint="eastAsia" w:ascii="宋体" w:hAnsi="宋体" w:cs="宋体"/>
          <w:b/>
          <w:color w:val="000000"/>
        </w:rPr>
        <w:t>注：以上吊高为吊耳高度，未计入吊装钢丝绳长度。</w:t>
      </w:r>
    </w:p>
    <w:p w14:paraId="68655569">
      <w:pPr>
        <w:pStyle w:val="16"/>
        <w:bidi w:val="0"/>
      </w:pPr>
      <w:r>
        <w:rPr>
          <w:rFonts w:hint="eastAsia"/>
        </w:rPr>
        <w:t>表4.</w:t>
      </w:r>
      <w:r>
        <w:t>3-</w:t>
      </w:r>
      <w:bookmarkStart w:id="226" w:name="_Toc14238_WPSOffice_Level1"/>
      <w:bookmarkStart w:id="227" w:name="_Toc680"/>
      <w:bookmarkStart w:id="228" w:name="_Toc31474"/>
      <w:bookmarkStart w:id="229" w:name="_Toc525111824"/>
      <w:bookmarkStart w:id="230" w:name="_Toc8783"/>
      <w:bookmarkStart w:id="231" w:name="_Toc8340"/>
      <w:bookmarkStart w:id="232" w:name="_Toc5216_WPSOffice_Level1"/>
      <w:bookmarkStart w:id="233" w:name="_Toc27331"/>
      <w:bookmarkStart w:id="234" w:name="_Toc29821"/>
      <w:bookmarkStart w:id="235" w:name="_Toc27213"/>
      <w:bookmarkStart w:id="236" w:name="_Toc87114061"/>
      <w:bookmarkStart w:id="237" w:name="_Toc87114060"/>
      <w:r>
        <w:rPr>
          <w:rFonts w:hint="eastAsia"/>
          <w:lang w:val="en-US" w:eastAsia="zh-CN"/>
        </w:rPr>
        <w:t>3</w:t>
      </w:r>
      <w:r>
        <w:rPr>
          <w:rFonts w:hint="eastAsia"/>
        </w:rPr>
        <w:t>吊索具与专用工具配备</w:t>
      </w:r>
      <w:bookmarkEnd w:id="226"/>
      <w:bookmarkEnd w:id="227"/>
      <w:bookmarkEnd w:id="228"/>
      <w:bookmarkEnd w:id="229"/>
      <w:bookmarkEnd w:id="230"/>
      <w:bookmarkEnd w:id="231"/>
      <w:bookmarkEnd w:id="232"/>
    </w:p>
    <w:tbl>
      <w:tblPr>
        <w:tblStyle w:val="44"/>
        <w:tblW w:w="9038" w:type="dxa"/>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shd w:val="clear" w:color="auto" w:fill="FFFFFF" w:themeFill="background1"/>
        <w:tblLayout w:type="fixed"/>
        <w:tblCellMar>
          <w:top w:w="0" w:type="dxa"/>
          <w:left w:w="108" w:type="dxa"/>
          <w:bottom w:w="0" w:type="dxa"/>
          <w:right w:w="108" w:type="dxa"/>
        </w:tblCellMar>
      </w:tblPr>
      <w:tblGrid>
        <w:gridCol w:w="644"/>
        <w:gridCol w:w="2584"/>
        <w:gridCol w:w="2519"/>
        <w:gridCol w:w="617"/>
        <w:gridCol w:w="909"/>
        <w:gridCol w:w="1765"/>
      </w:tblGrid>
      <w:tr w14:paraId="59E7AD49">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128A9927">
            <w:pPr>
              <w:widowControl/>
              <w:ind w:firstLine="0" w:firstLineChars="0"/>
              <w:jc w:val="center"/>
              <w:rPr>
                <w:rFonts w:ascii="仿宋" w:hAnsi="仿宋"/>
                <w:color w:val="1D1B11"/>
                <w:kern w:val="0"/>
                <w:sz w:val="24"/>
                <w:szCs w:val="24"/>
              </w:rPr>
            </w:pPr>
            <w:bookmarkStart w:id="238" w:name="_Toc25962"/>
            <w:bookmarkStart w:id="239" w:name="_Toc10343"/>
            <w:bookmarkStart w:id="240" w:name="_Toc2820"/>
            <w:bookmarkStart w:id="241" w:name="_Toc7349"/>
            <w:bookmarkStart w:id="242" w:name="_Toc4813"/>
            <w:r>
              <w:rPr>
                <w:rFonts w:hint="eastAsia" w:ascii="仿宋" w:hAnsi="仿宋"/>
                <w:color w:val="1D1B11"/>
                <w:kern w:val="0"/>
                <w:sz w:val="24"/>
                <w:szCs w:val="24"/>
              </w:rPr>
              <w:t>序号</w:t>
            </w:r>
          </w:p>
        </w:tc>
        <w:tc>
          <w:tcPr>
            <w:tcW w:w="2584" w:type="dxa"/>
            <w:shd w:val="clear" w:color="auto" w:fill="FFFFFF" w:themeFill="background1"/>
            <w:vAlign w:val="center"/>
          </w:tcPr>
          <w:p w14:paraId="6A22383E">
            <w:pPr>
              <w:widowControl/>
              <w:ind w:left="9" w:leftChars="-25" w:hanging="79" w:hangingChars="33"/>
              <w:jc w:val="center"/>
              <w:rPr>
                <w:rFonts w:ascii="仿宋" w:hAnsi="仿宋"/>
                <w:color w:val="1D1B11"/>
                <w:kern w:val="0"/>
                <w:sz w:val="24"/>
                <w:szCs w:val="24"/>
              </w:rPr>
            </w:pPr>
            <w:r>
              <w:rPr>
                <w:rFonts w:hint="eastAsia" w:ascii="仿宋" w:hAnsi="仿宋"/>
                <w:color w:val="1D1B11"/>
                <w:kern w:val="0"/>
                <w:sz w:val="24"/>
                <w:szCs w:val="24"/>
              </w:rPr>
              <w:t>机具名称</w:t>
            </w:r>
          </w:p>
        </w:tc>
        <w:tc>
          <w:tcPr>
            <w:tcW w:w="2519" w:type="dxa"/>
            <w:shd w:val="clear" w:color="auto" w:fill="FFFFFF" w:themeFill="background1"/>
            <w:vAlign w:val="center"/>
          </w:tcPr>
          <w:p w14:paraId="3DD4A2E0">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规格型号</w:t>
            </w:r>
          </w:p>
        </w:tc>
        <w:tc>
          <w:tcPr>
            <w:tcW w:w="617" w:type="dxa"/>
            <w:shd w:val="clear" w:color="auto" w:fill="FFFFFF" w:themeFill="background1"/>
            <w:vAlign w:val="center"/>
          </w:tcPr>
          <w:p w14:paraId="21794AFC">
            <w:pPr>
              <w:widowControl/>
              <w:ind w:firstLine="24" w:firstLineChars="10"/>
              <w:jc w:val="center"/>
              <w:rPr>
                <w:rFonts w:ascii="仿宋" w:hAnsi="仿宋"/>
                <w:color w:val="1D1B11"/>
                <w:kern w:val="0"/>
                <w:sz w:val="24"/>
                <w:szCs w:val="24"/>
              </w:rPr>
            </w:pPr>
            <w:r>
              <w:rPr>
                <w:rFonts w:hint="eastAsia" w:ascii="仿宋" w:hAnsi="仿宋"/>
                <w:color w:val="1D1B11"/>
                <w:kern w:val="0"/>
                <w:sz w:val="24"/>
                <w:szCs w:val="24"/>
              </w:rPr>
              <w:t>单位</w:t>
            </w:r>
          </w:p>
        </w:tc>
        <w:tc>
          <w:tcPr>
            <w:tcW w:w="909" w:type="dxa"/>
            <w:shd w:val="clear" w:color="auto" w:fill="FFFFFF" w:themeFill="background1"/>
            <w:vAlign w:val="center"/>
          </w:tcPr>
          <w:p w14:paraId="453E76B2">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数量</w:t>
            </w:r>
          </w:p>
        </w:tc>
        <w:tc>
          <w:tcPr>
            <w:tcW w:w="1765" w:type="dxa"/>
            <w:shd w:val="clear" w:color="auto" w:fill="FFFFFF" w:themeFill="background1"/>
            <w:vAlign w:val="center"/>
          </w:tcPr>
          <w:p w14:paraId="085C59A4">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备注</w:t>
            </w:r>
          </w:p>
        </w:tc>
      </w:tr>
      <w:tr w14:paraId="682DA8D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27EFB904">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32998CB8">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链条葫芦</w:t>
            </w:r>
          </w:p>
        </w:tc>
        <w:tc>
          <w:tcPr>
            <w:tcW w:w="2519" w:type="dxa"/>
            <w:shd w:val="clear" w:color="auto" w:fill="FFFFFF" w:themeFill="background1"/>
            <w:vAlign w:val="center"/>
          </w:tcPr>
          <w:p w14:paraId="47B84682">
            <w:pPr>
              <w:widowControl/>
              <w:ind w:firstLine="0" w:firstLineChars="0"/>
              <w:jc w:val="center"/>
              <w:rPr>
                <w:rFonts w:ascii="仿宋" w:hAnsi="仿宋"/>
                <w:color w:val="1D1B11"/>
                <w:kern w:val="0"/>
                <w:sz w:val="24"/>
                <w:szCs w:val="24"/>
              </w:rPr>
            </w:pPr>
            <w:r>
              <w:rPr>
                <w:rFonts w:ascii="仿宋" w:hAnsi="仿宋"/>
                <w:color w:val="1D1B11"/>
                <w:kern w:val="0"/>
                <w:sz w:val="24"/>
                <w:szCs w:val="24"/>
              </w:rPr>
              <w:t>2t</w:t>
            </w:r>
          </w:p>
        </w:tc>
        <w:tc>
          <w:tcPr>
            <w:tcW w:w="617" w:type="dxa"/>
            <w:shd w:val="clear" w:color="auto" w:fill="FFFFFF" w:themeFill="background1"/>
            <w:vAlign w:val="center"/>
          </w:tcPr>
          <w:p w14:paraId="0375D700">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副</w:t>
            </w:r>
          </w:p>
        </w:tc>
        <w:tc>
          <w:tcPr>
            <w:tcW w:w="909" w:type="dxa"/>
            <w:shd w:val="clear" w:color="auto" w:fill="FFFFFF" w:themeFill="background1"/>
            <w:vAlign w:val="center"/>
          </w:tcPr>
          <w:p w14:paraId="5AC5D272">
            <w:pPr>
              <w:widowControl/>
              <w:ind w:firstLine="0" w:firstLineChars="0"/>
              <w:jc w:val="center"/>
              <w:rPr>
                <w:rFonts w:ascii="仿宋" w:hAnsi="仿宋"/>
                <w:color w:val="1D1B11"/>
                <w:kern w:val="0"/>
                <w:sz w:val="24"/>
                <w:szCs w:val="24"/>
              </w:rPr>
            </w:pPr>
            <w:r>
              <w:rPr>
                <w:rFonts w:ascii="仿宋" w:hAnsi="仿宋"/>
                <w:color w:val="1D1B11"/>
                <w:kern w:val="0"/>
                <w:sz w:val="24"/>
                <w:szCs w:val="24"/>
              </w:rPr>
              <w:t>2</w:t>
            </w:r>
          </w:p>
        </w:tc>
        <w:tc>
          <w:tcPr>
            <w:tcW w:w="1765" w:type="dxa"/>
            <w:shd w:val="clear" w:color="auto" w:fill="FFFFFF" w:themeFill="background1"/>
            <w:vAlign w:val="center"/>
          </w:tcPr>
          <w:p w14:paraId="72274923">
            <w:pPr>
              <w:widowControl/>
              <w:ind w:firstLine="480"/>
              <w:jc w:val="center"/>
              <w:rPr>
                <w:rFonts w:ascii="仿宋" w:hAnsi="仿宋"/>
                <w:color w:val="1D1B11"/>
                <w:kern w:val="0"/>
                <w:sz w:val="24"/>
                <w:szCs w:val="24"/>
              </w:rPr>
            </w:pPr>
          </w:p>
        </w:tc>
      </w:tr>
      <w:tr w14:paraId="3AB56BC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3AB42EE1">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2D774C99">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链条葫芦</w:t>
            </w:r>
          </w:p>
        </w:tc>
        <w:tc>
          <w:tcPr>
            <w:tcW w:w="2519" w:type="dxa"/>
            <w:shd w:val="clear" w:color="auto" w:fill="FFFFFF" w:themeFill="background1"/>
            <w:vAlign w:val="center"/>
          </w:tcPr>
          <w:p w14:paraId="54C261C6">
            <w:pPr>
              <w:widowControl/>
              <w:ind w:firstLine="0" w:firstLineChars="0"/>
              <w:jc w:val="center"/>
              <w:rPr>
                <w:rFonts w:ascii="仿宋" w:hAnsi="仿宋"/>
                <w:color w:val="1D1B11"/>
                <w:kern w:val="0"/>
                <w:sz w:val="24"/>
                <w:szCs w:val="24"/>
              </w:rPr>
            </w:pPr>
            <w:r>
              <w:rPr>
                <w:rFonts w:ascii="仿宋" w:hAnsi="仿宋"/>
                <w:color w:val="1D1B11"/>
                <w:kern w:val="0"/>
                <w:sz w:val="24"/>
                <w:szCs w:val="24"/>
              </w:rPr>
              <w:t>3t</w:t>
            </w:r>
          </w:p>
        </w:tc>
        <w:tc>
          <w:tcPr>
            <w:tcW w:w="617" w:type="dxa"/>
            <w:shd w:val="clear" w:color="auto" w:fill="FFFFFF" w:themeFill="background1"/>
            <w:vAlign w:val="center"/>
          </w:tcPr>
          <w:p w14:paraId="402DBAC0">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副</w:t>
            </w:r>
          </w:p>
        </w:tc>
        <w:tc>
          <w:tcPr>
            <w:tcW w:w="909" w:type="dxa"/>
            <w:shd w:val="clear" w:color="auto" w:fill="FFFFFF" w:themeFill="background1"/>
            <w:vAlign w:val="center"/>
          </w:tcPr>
          <w:p w14:paraId="35623F14">
            <w:pPr>
              <w:widowControl/>
              <w:ind w:firstLine="0" w:firstLineChars="0"/>
              <w:jc w:val="center"/>
              <w:rPr>
                <w:rFonts w:ascii="仿宋" w:hAnsi="仿宋"/>
                <w:color w:val="1D1B11"/>
                <w:kern w:val="0"/>
                <w:sz w:val="24"/>
                <w:szCs w:val="24"/>
              </w:rPr>
            </w:pPr>
            <w:r>
              <w:rPr>
                <w:rFonts w:ascii="仿宋" w:hAnsi="仿宋"/>
                <w:color w:val="1D1B11"/>
                <w:kern w:val="0"/>
                <w:sz w:val="24"/>
                <w:szCs w:val="24"/>
              </w:rPr>
              <w:t>2</w:t>
            </w:r>
          </w:p>
        </w:tc>
        <w:tc>
          <w:tcPr>
            <w:tcW w:w="1765" w:type="dxa"/>
            <w:shd w:val="clear" w:color="auto" w:fill="FFFFFF" w:themeFill="background1"/>
            <w:vAlign w:val="center"/>
          </w:tcPr>
          <w:p w14:paraId="151AA840">
            <w:pPr>
              <w:widowControl/>
              <w:ind w:firstLine="480"/>
              <w:jc w:val="center"/>
              <w:rPr>
                <w:rFonts w:ascii="仿宋" w:hAnsi="仿宋"/>
                <w:color w:val="1D1B11"/>
                <w:kern w:val="0"/>
                <w:sz w:val="24"/>
                <w:szCs w:val="24"/>
              </w:rPr>
            </w:pPr>
          </w:p>
        </w:tc>
      </w:tr>
      <w:tr w14:paraId="34CAF8F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5CF3900C">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06E9FA66">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活动扳手</w:t>
            </w:r>
          </w:p>
        </w:tc>
        <w:tc>
          <w:tcPr>
            <w:tcW w:w="2519" w:type="dxa"/>
            <w:shd w:val="clear" w:color="auto" w:fill="FFFFFF" w:themeFill="background1"/>
            <w:vAlign w:val="center"/>
          </w:tcPr>
          <w:p w14:paraId="5937CCF5">
            <w:pPr>
              <w:widowControl/>
              <w:ind w:firstLine="0" w:firstLineChars="0"/>
              <w:jc w:val="center"/>
              <w:rPr>
                <w:rFonts w:ascii="仿宋" w:hAnsi="仿宋"/>
                <w:color w:val="1D1B11"/>
                <w:kern w:val="0"/>
                <w:sz w:val="24"/>
                <w:szCs w:val="24"/>
              </w:rPr>
            </w:pPr>
            <w:r>
              <w:rPr>
                <w:rFonts w:ascii="仿宋" w:hAnsi="仿宋"/>
                <w:color w:val="1D1B11"/>
                <w:kern w:val="0"/>
                <w:sz w:val="24"/>
                <w:szCs w:val="24"/>
              </w:rPr>
              <w:t>14</w:t>
            </w:r>
            <w:r>
              <w:rPr>
                <w:rFonts w:hint="eastAsia" w:ascii="仿宋" w:hAnsi="仿宋"/>
                <w:color w:val="1D1B11"/>
                <w:kern w:val="0"/>
                <w:sz w:val="24"/>
                <w:szCs w:val="24"/>
              </w:rPr>
              <w:t>寸</w:t>
            </w:r>
          </w:p>
        </w:tc>
        <w:tc>
          <w:tcPr>
            <w:tcW w:w="617" w:type="dxa"/>
            <w:shd w:val="clear" w:color="auto" w:fill="FFFFFF" w:themeFill="background1"/>
            <w:vAlign w:val="center"/>
          </w:tcPr>
          <w:p w14:paraId="4CBEABCB">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把</w:t>
            </w:r>
          </w:p>
        </w:tc>
        <w:tc>
          <w:tcPr>
            <w:tcW w:w="909" w:type="dxa"/>
            <w:shd w:val="clear" w:color="auto" w:fill="FFFFFF" w:themeFill="background1"/>
            <w:vAlign w:val="center"/>
          </w:tcPr>
          <w:p w14:paraId="49D16DF3">
            <w:pPr>
              <w:widowControl/>
              <w:ind w:firstLine="0" w:firstLineChars="0"/>
              <w:jc w:val="center"/>
              <w:rPr>
                <w:rFonts w:ascii="仿宋" w:hAnsi="仿宋"/>
                <w:color w:val="1D1B11"/>
                <w:kern w:val="0"/>
                <w:sz w:val="24"/>
                <w:szCs w:val="24"/>
              </w:rPr>
            </w:pPr>
            <w:r>
              <w:rPr>
                <w:rFonts w:ascii="仿宋" w:hAnsi="仿宋"/>
                <w:color w:val="1D1B11"/>
                <w:kern w:val="0"/>
                <w:sz w:val="24"/>
                <w:szCs w:val="24"/>
              </w:rPr>
              <w:t>2</w:t>
            </w:r>
          </w:p>
        </w:tc>
        <w:tc>
          <w:tcPr>
            <w:tcW w:w="1765" w:type="dxa"/>
            <w:shd w:val="clear" w:color="auto" w:fill="FFFFFF" w:themeFill="background1"/>
            <w:vAlign w:val="center"/>
          </w:tcPr>
          <w:p w14:paraId="0273F001">
            <w:pPr>
              <w:widowControl/>
              <w:ind w:firstLine="480"/>
              <w:jc w:val="center"/>
              <w:rPr>
                <w:rFonts w:ascii="仿宋" w:hAnsi="仿宋"/>
                <w:color w:val="1D1B11"/>
                <w:kern w:val="0"/>
                <w:sz w:val="24"/>
                <w:szCs w:val="24"/>
              </w:rPr>
            </w:pPr>
          </w:p>
        </w:tc>
      </w:tr>
      <w:tr w14:paraId="0AFC95B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501" w:hRule="atLeast"/>
          <w:jc w:val="center"/>
        </w:trPr>
        <w:tc>
          <w:tcPr>
            <w:tcW w:w="644" w:type="dxa"/>
            <w:shd w:val="clear" w:color="auto" w:fill="FFFFFF" w:themeFill="background1"/>
            <w:vAlign w:val="center"/>
          </w:tcPr>
          <w:p w14:paraId="69BE8BE0">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4E090749">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梅花扳手</w:t>
            </w:r>
          </w:p>
        </w:tc>
        <w:tc>
          <w:tcPr>
            <w:tcW w:w="2519" w:type="dxa"/>
            <w:shd w:val="clear" w:color="auto" w:fill="FFFFFF" w:themeFill="background1"/>
            <w:vAlign w:val="center"/>
          </w:tcPr>
          <w:p w14:paraId="4B695F79">
            <w:pPr>
              <w:widowControl/>
              <w:ind w:firstLine="0" w:firstLineChars="0"/>
              <w:jc w:val="center"/>
              <w:rPr>
                <w:rFonts w:ascii="仿宋" w:hAnsi="仿宋"/>
                <w:color w:val="1D1B11"/>
                <w:kern w:val="0"/>
                <w:sz w:val="24"/>
                <w:szCs w:val="24"/>
              </w:rPr>
            </w:pPr>
            <w:r>
              <w:rPr>
                <w:rFonts w:ascii="仿宋" w:hAnsi="仿宋"/>
                <w:color w:val="1D1B11"/>
                <w:kern w:val="0"/>
                <w:sz w:val="24"/>
                <w:szCs w:val="24"/>
              </w:rPr>
              <w:t>14-17</w:t>
            </w:r>
            <w:r>
              <w:rPr>
                <w:rFonts w:hint="eastAsia" w:ascii="仿宋" w:hAnsi="仿宋"/>
                <w:color w:val="1D1B11"/>
                <w:kern w:val="0"/>
                <w:sz w:val="24"/>
                <w:szCs w:val="24"/>
              </w:rPr>
              <w:t>、</w:t>
            </w:r>
            <w:r>
              <w:rPr>
                <w:rFonts w:ascii="仿宋" w:hAnsi="仿宋"/>
                <w:color w:val="1D1B11"/>
                <w:kern w:val="0"/>
                <w:sz w:val="24"/>
                <w:szCs w:val="24"/>
              </w:rPr>
              <w:t>17-19</w:t>
            </w:r>
          </w:p>
        </w:tc>
        <w:tc>
          <w:tcPr>
            <w:tcW w:w="617" w:type="dxa"/>
            <w:shd w:val="clear" w:color="auto" w:fill="FFFFFF" w:themeFill="background1"/>
            <w:vAlign w:val="center"/>
          </w:tcPr>
          <w:p w14:paraId="24808AA3">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把</w:t>
            </w:r>
          </w:p>
        </w:tc>
        <w:tc>
          <w:tcPr>
            <w:tcW w:w="909" w:type="dxa"/>
            <w:shd w:val="clear" w:color="auto" w:fill="FFFFFF" w:themeFill="background1"/>
            <w:vAlign w:val="center"/>
          </w:tcPr>
          <w:p w14:paraId="72535558">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各</w:t>
            </w:r>
            <w:r>
              <w:rPr>
                <w:rFonts w:ascii="仿宋" w:hAnsi="仿宋"/>
                <w:color w:val="1D1B11"/>
                <w:kern w:val="0"/>
                <w:sz w:val="24"/>
                <w:szCs w:val="24"/>
              </w:rPr>
              <w:t>1</w:t>
            </w:r>
          </w:p>
        </w:tc>
        <w:tc>
          <w:tcPr>
            <w:tcW w:w="1765" w:type="dxa"/>
            <w:shd w:val="clear" w:color="auto" w:fill="FFFFFF" w:themeFill="background1"/>
            <w:vAlign w:val="center"/>
          </w:tcPr>
          <w:p w14:paraId="01FE11C6">
            <w:pPr>
              <w:widowControl/>
              <w:ind w:firstLine="480"/>
              <w:jc w:val="center"/>
              <w:rPr>
                <w:rFonts w:ascii="仿宋" w:hAnsi="仿宋"/>
                <w:color w:val="1D1B11"/>
                <w:kern w:val="0"/>
                <w:sz w:val="24"/>
                <w:szCs w:val="24"/>
              </w:rPr>
            </w:pPr>
          </w:p>
        </w:tc>
      </w:tr>
      <w:tr w14:paraId="71FD1B3C">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1707B36C">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1D7AF3F8">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大锤</w:t>
            </w:r>
          </w:p>
        </w:tc>
        <w:tc>
          <w:tcPr>
            <w:tcW w:w="2519" w:type="dxa"/>
            <w:shd w:val="clear" w:color="auto" w:fill="FFFFFF" w:themeFill="background1"/>
            <w:vAlign w:val="center"/>
          </w:tcPr>
          <w:p w14:paraId="10EE2F1A">
            <w:pPr>
              <w:widowControl/>
              <w:ind w:firstLine="0" w:firstLineChars="0"/>
              <w:jc w:val="center"/>
              <w:rPr>
                <w:rFonts w:ascii="仿宋" w:hAnsi="仿宋"/>
                <w:color w:val="1D1B11"/>
                <w:kern w:val="0"/>
                <w:sz w:val="24"/>
                <w:szCs w:val="24"/>
              </w:rPr>
            </w:pPr>
            <w:r>
              <w:rPr>
                <w:rFonts w:ascii="仿宋" w:hAnsi="仿宋"/>
                <w:color w:val="1D1B11"/>
                <w:kern w:val="0"/>
                <w:sz w:val="24"/>
                <w:szCs w:val="24"/>
              </w:rPr>
              <w:t>16</w:t>
            </w:r>
            <w:r>
              <w:rPr>
                <w:rFonts w:hint="eastAsia" w:ascii="仿宋" w:hAnsi="仿宋"/>
                <w:color w:val="1D1B11"/>
                <w:kern w:val="0"/>
                <w:sz w:val="24"/>
                <w:szCs w:val="24"/>
              </w:rPr>
              <w:t>、</w:t>
            </w:r>
            <w:r>
              <w:rPr>
                <w:rFonts w:ascii="仿宋" w:hAnsi="仿宋"/>
                <w:color w:val="1D1B11"/>
                <w:kern w:val="0"/>
                <w:sz w:val="24"/>
                <w:szCs w:val="24"/>
              </w:rPr>
              <w:t>18</w:t>
            </w:r>
            <w:r>
              <w:rPr>
                <w:rFonts w:hint="eastAsia" w:ascii="仿宋" w:hAnsi="仿宋"/>
                <w:color w:val="1D1B11"/>
                <w:kern w:val="0"/>
                <w:sz w:val="24"/>
                <w:szCs w:val="24"/>
              </w:rPr>
              <w:t>、</w:t>
            </w:r>
            <w:r>
              <w:rPr>
                <w:rFonts w:ascii="仿宋" w:hAnsi="仿宋"/>
                <w:color w:val="1D1B11"/>
                <w:kern w:val="0"/>
                <w:sz w:val="24"/>
                <w:szCs w:val="24"/>
              </w:rPr>
              <w:t>20P</w:t>
            </w:r>
          </w:p>
        </w:tc>
        <w:tc>
          <w:tcPr>
            <w:tcW w:w="617" w:type="dxa"/>
            <w:shd w:val="clear" w:color="auto" w:fill="FFFFFF" w:themeFill="background1"/>
            <w:vAlign w:val="center"/>
          </w:tcPr>
          <w:p w14:paraId="1C91A48B">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把</w:t>
            </w:r>
          </w:p>
        </w:tc>
        <w:tc>
          <w:tcPr>
            <w:tcW w:w="909" w:type="dxa"/>
            <w:shd w:val="clear" w:color="auto" w:fill="FFFFFF" w:themeFill="background1"/>
            <w:vAlign w:val="center"/>
          </w:tcPr>
          <w:p w14:paraId="1A622B26">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各</w:t>
            </w:r>
            <w:r>
              <w:rPr>
                <w:rFonts w:ascii="仿宋" w:hAnsi="仿宋"/>
                <w:color w:val="1D1B11"/>
                <w:kern w:val="0"/>
                <w:sz w:val="24"/>
                <w:szCs w:val="24"/>
              </w:rPr>
              <w:t>1</w:t>
            </w:r>
          </w:p>
        </w:tc>
        <w:tc>
          <w:tcPr>
            <w:tcW w:w="1765" w:type="dxa"/>
            <w:shd w:val="clear" w:color="auto" w:fill="FFFFFF" w:themeFill="background1"/>
            <w:vAlign w:val="center"/>
          </w:tcPr>
          <w:p w14:paraId="431E06F1">
            <w:pPr>
              <w:widowControl/>
              <w:ind w:firstLine="480"/>
              <w:jc w:val="center"/>
              <w:rPr>
                <w:rFonts w:ascii="仿宋" w:hAnsi="仿宋"/>
                <w:color w:val="1D1B11"/>
                <w:kern w:val="0"/>
                <w:sz w:val="24"/>
                <w:szCs w:val="24"/>
              </w:rPr>
            </w:pPr>
          </w:p>
        </w:tc>
      </w:tr>
      <w:tr w14:paraId="4FE7B37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160AC07D">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35874045">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电工常用工具</w:t>
            </w:r>
          </w:p>
        </w:tc>
        <w:tc>
          <w:tcPr>
            <w:tcW w:w="2519" w:type="dxa"/>
            <w:tcBorders>
              <w:bottom w:val="single" w:color="000000" w:sz="4" w:space="0"/>
            </w:tcBorders>
            <w:shd w:val="clear" w:color="auto" w:fill="FFFFFF" w:themeFill="background1"/>
            <w:vAlign w:val="center"/>
          </w:tcPr>
          <w:p w14:paraId="20B96E23">
            <w:pPr>
              <w:widowControl/>
              <w:ind w:firstLine="480"/>
              <w:jc w:val="center"/>
              <w:rPr>
                <w:rFonts w:ascii="仿宋" w:hAnsi="仿宋"/>
                <w:color w:val="1D1B11"/>
                <w:kern w:val="0"/>
                <w:sz w:val="24"/>
                <w:szCs w:val="24"/>
              </w:rPr>
            </w:pPr>
          </w:p>
        </w:tc>
        <w:tc>
          <w:tcPr>
            <w:tcW w:w="617" w:type="dxa"/>
            <w:shd w:val="clear" w:color="auto" w:fill="FFFFFF" w:themeFill="background1"/>
            <w:vAlign w:val="center"/>
          </w:tcPr>
          <w:p w14:paraId="04C2EABE">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套</w:t>
            </w:r>
          </w:p>
        </w:tc>
        <w:tc>
          <w:tcPr>
            <w:tcW w:w="909" w:type="dxa"/>
            <w:shd w:val="clear" w:color="auto" w:fill="FFFFFF" w:themeFill="background1"/>
            <w:vAlign w:val="center"/>
          </w:tcPr>
          <w:p w14:paraId="44B42D13">
            <w:pPr>
              <w:widowControl/>
              <w:ind w:firstLine="0" w:firstLineChars="0"/>
              <w:jc w:val="center"/>
              <w:rPr>
                <w:rFonts w:ascii="仿宋" w:hAnsi="仿宋"/>
                <w:color w:val="1D1B11"/>
                <w:kern w:val="0"/>
                <w:sz w:val="24"/>
                <w:szCs w:val="24"/>
              </w:rPr>
            </w:pPr>
            <w:r>
              <w:rPr>
                <w:rFonts w:ascii="仿宋" w:hAnsi="仿宋"/>
                <w:color w:val="1D1B11"/>
                <w:kern w:val="0"/>
                <w:sz w:val="24"/>
                <w:szCs w:val="24"/>
              </w:rPr>
              <w:t>1</w:t>
            </w:r>
          </w:p>
        </w:tc>
        <w:tc>
          <w:tcPr>
            <w:tcW w:w="1765" w:type="dxa"/>
            <w:shd w:val="clear" w:color="auto" w:fill="FFFFFF" w:themeFill="background1"/>
            <w:vAlign w:val="center"/>
          </w:tcPr>
          <w:p w14:paraId="4F3218A1">
            <w:pPr>
              <w:widowControl/>
              <w:ind w:firstLine="480"/>
              <w:jc w:val="center"/>
              <w:rPr>
                <w:rFonts w:ascii="仿宋" w:hAnsi="仿宋"/>
                <w:color w:val="1D1B11"/>
                <w:kern w:val="0"/>
                <w:sz w:val="24"/>
                <w:szCs w:val="24"/>
              </w:rPr>
            </w:pPr>
          </w:p>
        </w:tc>
      </w:tr>
      <w:tr w14:paraId="2F15BF87">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45DE4238">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7A9F42F8">
            <w:pPr>
              <w:widowControl/>
              <w:ind w:firstLine="0" w:firstLineChars="0"/>
              <w:jc w:val="center"/>
              <w:rPr>
                <w:rFonts w:ascii="仿宋" w:hAnsi="仿宋"/>
                <w:color w:val="1D1B11"/>
                <w:kern w:val="0"/>
                <w:sz w:val="24"/>
                <w:szCs w:val="24"/>
                <w:highlight w:val="none"/>
              </w:rPr>
            </w:pPr>
            <w:r>
              <w:rPr>
                <w:rFonts w:ascii="仿宋" w:hAnsi="仿宋"/>
                <w:color w:val="auto"/>
                <w:kern w:val="0"/>
                <w:sz w:val="24"/>
                <w:szCs w:val="24"/>
                <w:highlight w:val="none"/>
              </w:rPr>
              <w:t>Φ</w:t>
            </w:r>
            <w:r>
              <w:rPr>
                <w:rFonts w:hint="eastAsia" w:ascii="仿宋" w:hAnsi="仿宋"/>
                <w:color w:val="auto"/>
                <w:kern w:val="0"/>
                <w:sz w:val="24"/>
                <w:szCs w:val="24"/>
                <w:highlight w:val="none"/>
                <w:lang w:val="en-US" w:eastAsia="zh-CN"/>
              </w:rPr>
              <w:t>22</w:t>
            </w:r>
            <w:r>
              <w:rPr>
                <w:rFonts w:ascii="仿宋" w:hAnsi="仿宋"/>
                <w:color w:val="auto"/>
                <w:sz w:val="24"/>
                <w:szCs w:val="24"/>
                <w:highlight w:val="none"/>
              </w:rPr>
              <w:t>×</w:t>
            </w:r>
            <w:r>
              <w:rPr>
                <w:rFonts w:hint="eastAsia" w:ascii="仿宋" w:hAnsi="仿宋"/>
                <w:color w:val="1D1B11"/>
                <w:kern w:val="0"/>
                <w:sz w:val="24"/>
                <w:szCs w:val="24"/>
                <w:highlight w:val="none"/>
              </w:rPr>
              <w:t>12m吊装钢丝绳</w:t>
            </w:r>
          </w:p>
        </w:tc>
        <w:tc>
          <w:tcPr>
            <w:tcW w:w="2519" w:type="dxa"/>
            <w:tcBorders>
              <w:top w:val="single" w:color="000000" w:sz="4" w:space="0"/>
            </w:tcBorders>
            <w:shd w:val="clear" w:color="auto" w:fill="FFFFFF" w:themeFill="background1"/>
            <w:vAlign w:val="center"/>
          </w:tcPr>
          <w:p w14:paraId="4AD9221F">
            <w:pPr>
              <w:ind w:firstLine="0" w:firstLineChars="0"/>
              <w:jc w:val="center"/>
              <w:rPr>
                <w:rFonts w:ascii="仿宋" w:hAnsi="仿宋"/>
                <w:color w:val="1D1B11"/>
                <w:kern w:val="0"/>
                <w:sz w:val="24"/>
                <w:szCs w:val="24"/>
                <w:highlight w:val="none"/>
              </w:rPr>
            </w:pPr>
            <w:r>
              <w:rPr>
                <w:rFonts w:ascii="仿宋" w:hAnsi="仿宋"/>
                <w:color w:val="1D1B11"/>
                <w:kern w:val="0"/>
                <w:sz w:val="24"/>
                <w:szCs w:val="24"/>
                <w:highlight w:val="none"/>
              </w:rPr>
              <w:t>6</w:t>
            </w:r>
            <w:r>
              <w:rPr>
                <w:rFonts w:ascii="仿宋" w:hAnsi="仿宋"/>
                <w:color w:val="1D1B11"/>
                <w:sz w:val="24"/>
                <w:szCs w:val="24"/>
                <w:highlight w:val="none"/>
              </w:rPr>
              <w:t>×</w:t>
            </w:r>
            <w:r>
              <w:rPr>
                <w:rFonts w:hint="eastAsia" w:ascii="仿宋" w:hAnsi="仿宋"/>
                <w:color w:val="1D1B11"/>
                <w:sz w:val="24"/>
                <w:szCs w:val="24"/>
                <w:highlight w:val="none"/>
                <w:lang w:val="en-US" w:eastAsia="zh-CN"/>
              </w:rPr>
              <w:t>18</w:t>
            </w:r>
            <w:r>
              <w:rPr>
                <w:rFonts w:hint="eastAsia" w:ascii="仿宋" w:hAnsi="仿宋"/>
                <w:color w:val="1D1B11"/>
                <w:sz w:val="24"/>
                <w:szCs w:val="24"/>
                <w:highlight w:val="none"/>
              </w:rPr>
              <w:t>M形式</w:t>
            </w:r>
            <w:r>
              <w:rPr>
                <w:rFonts w:hint="eastAsia" w:ascii="仿宋" w:hAnsi="仿宋"/>
                <w:color w:val="1D1B11"/>
                <w:kern w:val="0"/>
                <w:sz w:val="24"/>
                <w:szCs w:val="24"/>
                <w:highlight w:val="none"/>
              </w:rPr>
              <w:t>，</w:t>
            </w:r>
            <w:r>
              <w:rPr>
                <w:rFonts w:ascii="仿宋" w:hAnsi="仿宋"/>
                <w:color w:val="1D1B11"/>
                <w:kern w:val="0"/>
                <w:sz w:val="24"/>
                <w:szCs w:val="24"/>
                <w:highlight w:val="none"/>
              </w:rPr>
              <w:t>1</w:t>
            </w:r>
            <w:r>
              <w:rPr>
                <w:rFonts w:hint="eastAsia" w:ascii="仿宋" w:hAnsi="仿宋"/>
                <w:color w:val="1D1B11"/>
                <w:kern w:val="0"/>
                <w:sz w:val="24"/>
                <w:szCs w:val="24"/>
                <w:highlight w:val="none"/>
                <w:lang w:val="en-US" w:eastAsia="zh-CN"/>
              </w:rPr>
              <w:t>8</w:t>
            </w:r>
            <w:r>
              <w:rPr>
                <w:rFonts w:ascii="仿宋" w:hAnsi="仿宋"/>
                <w:color w:val="1D1B11"/>
                <w:kern w:val="0"/>
                <w:sz w:val="24"/>
                <w:szCs w:val="24"/>
                <w:highlight w:val="none"/>
              </w:rPr>
              <w:t>70</w:t>
            </w:r>
            <w:r>
              <w:rPr>
                <w:rFonts w:hint="eastAsia" w:ascii="仿宋" w:hAnsi="仿宋"/>
                <w:color w:val="1D1B11"/>
                <w:kern w:val="0"/>
                <w:sz w:val="24"/>
                <w:szCs w:val="24"/>
                <w:highlight w:val="none"/>
              </w:rPr>
              <w:t>级纤维芯两端插编环眼</w:t>
            </w:r>
          </w:p>
        </w:tc>
        <w:tc>
          <w:tcPr>
            <w:tcW w:w="617" w:type="dxa"/>
            <w:shd w:val="clear" w:color="auto" w:fill="FFFFFF" w:themeFill="background1"/>
            <w:vAlign w:val="center"/>
          </w:tcPr>
          <w:p w14:paraId="06FEED2F">
            <w:pPr>
              <w:ind w:firstLine="0" w:firstLineChars="0"/>
              <w:jc w:val="center"/>
              <w:rPr>
                <w:rFonts w:ascii="仿宋" w:hAnsi="仿宋"/>
                <w:color w:val="1D1B11"/>
                <w:kern w:val="0"/>
                <w:sz w:val="24"/>
                <w:szCs w:val="24"/>
                <w:highlight w:val="none"/>
              </w:rPr>
            </w:pPr>
            <w:r>
              <w:rPr>
                <w:rFonts w:hint="eastAsia" w:ascii="仿宋" w:hAnsi="仿宋"/>
                <w:color w:val="1D1B11"/>
                <w:kern w:val="0"/>
                <w:sz w:val="24"/>
                <w:szCs w:val="24"/>
                <w:highlight w:val="none"/>
              </w:rPr>
              <w:t>根</w:t>
            </w:r>
          </w:p>
        </w:tc>
        <w:tc>
          <w:tcPr>
            <w:tcW w:w="909" w:type="dxa"/>
            <w:shd w:val="clear" w:color="auto" w:fill="FFFFFF" w:themeFill="background1"/>
            <w:vAlign w:val="center"/>
          </w:tcPr>
          <w:p w14:paraId="7CDDE974">
            <w:pPr>
              <w:ind w:firstLine="0" w:firstLineChars="0"/>
              <w:jc w:val="center"/>
              <w:rPr>
                <w:rFonts w:ascii="仿宋" w:hAnsi="仿宋"/>
                <w:color w:val="1D1B11"/>
                <w:kern w:val="0"/>
                <w:sz w:val="24"/>
                <w:szCs w:val="24"/>
              </w:rPr>
            </w:pPr>
            <w:r>
              <w:rPr>
                <w:rFonts w:ascii="仿宋" w:hAnsi="仿宋"/>
                <w:color w:val="1D1B11"/>
                <w:kern w:val="0"/>
                <w:sz w:val="24"/>
                <w:szCs w:val="24"/>
              </w:rPr>
              <w:t>4</w:t>
            </w:r>
          </w:p>
        </w:tc>
        <w:tc>
          <w:tcPr>
            <w:tcW w:w="1765" w:type="dxa"/>
            <w:shd w:val="clear" w:color="auto" w:fill="FFFFFF" w:themeFill="background1"/>
            <w:vAlign w:val="center"/>
          </w:tcPr>
          <w:p w14:paraId="68520EFC">
            <w:pPr>
              <w:widowControl/>
              <w:ind w:firstLine="0" w:firstLineChars="0"/>
              <w:jc w:val="center"/>
              <w:rPr>
                <w:rFonts w:hint="default" w:ascii="仿宋" w:hAnsi="仿宋" w:eastAsia="仿宋"/>
                <w:color w:val="1D1B11"/>
                <w:kern w:val="0"/>
                <w:sz w:val="24"/>
                <w:szCs w:val="24"/>
                <w:lang w:val="en-US" w:eastAsia="zh-CN"/>
              </w:rPr>
            </w:pPr>
          </w:p>
        </w:tc>
      </w:tr>
      <w:tr w14:paraId="7C1FB66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706159AF">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61BA7EE4">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麻绳（揽风绳）</w:t>
            </w:r>
          </w:p>
        </w:tc>
        <w:tc>
          <w:tcPr>
            <w:tcW w:w="2519" w:type="dxa"/>
            <w:tcBorders>
              <w:top w:val="single" w:color="000000" w:sz="4" w:space="0"/>
            </w:tcBorders>
            <w:shd w:val="clear" w:color="auto" w:fill="FFFFFF" w:themeFill="background1"/>
            <w:vAlign w:val="center"/>
          </w:tcPr>
          <w:p w14:paraId="4AA2D575">
            <w:pPr>
              <w:widowControl/>
              <w:ind w:firstLine="0" w:firstLineChars="0"/>
              <w:jc w:val="center"/>
              <w:rPr>
                <w:rFonts w:ascii="仿宋" w:hAnsi="仿宋"/>
                <w:color w:val="1D1B11"/>
                <w:kern w:val="0"/>
                <w:sz w:val="24"/>
                <w:szCs w:val="24"/>
              </w:rPr>
            </w:pPr>
            <w:r>
              <w:rPr>
                <w:rFonts w:ascii="仿宋" w:hAnsi="仿宋"/>
                <w:color w:val="1D1B11"/>
                <w:kern w:val="0"/>
                <w:sz w:val="24"/>
                <w:szCs w:val="24"/>
              </w:rPr>
              <w:t>Φ20</w:t>
            </w:r>
            <w:r>
              <w:rPr>
                <w:rFonts w:ascii="仿宋" w:hAnsi="仿宋"/>
                <w:color w:val="1D1B11"/>
                <w:sz w:val="24"/>
                <w:szCs w:val="24"/>
              </w:rPr>
              <w:t>×</w:t>
            </w:r>
            <w:r>
              <w:rPr>
                <w:rFonts w:ascii="仿宋" w:hAnsi="仿宋"/>
                <w:color w:val="1D1B11"/>
                <w:kern w:val="0"/>
                <w:sz w:val="24"/>
                <w:szCs w:val="24"/>
              </w:rPr>
              <w:t>30m</w:t>
            </w:r>
          </w:p>
        </w:tc>
        <w:tc>
          <w:tcPr>
            <w:tcW w:w="617" w:type="dxa"/>
            <w:shd w:val="clear" w:color="auto" w:fill="FFFFFF" w:themeFill="background1"/>
            <w:vAlign w:val="center"/>
          </w:tcPr>
          <w:p w14:paraId="63E3C12B">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根</w:t>
            </w:r>
          </w:p>
        </w:tc>
        <w:tc>
          <w:tcPr>
            <w:tcW w:w="909" w:type="dxa"/>
            <w:shd w:val="clear" w:color="auto" w:fill="FFFFFF" w:themeFill="background1"/>
            <w:vAlign w:val="center"/>
          </w:tcPr>
          <w:p w14:paraId="33767C64">
            <w:pPr>
              <w:widowControl/>
              <w:ind w:firstLine="0" w:firstLineChars="0"/>
              <w:jc w:val="center"/>
              <w:rPr>
                <w:rFonts w:ascii="仿宋" w:hAnsi="仿宋"/>
                <w:color w:val="1D1B11"/>
                <w:kern w:val="0"/>
                <w:sz w:val="24"/>
                <w:szCs w:val="24"/>
              </w:rPr>
            </w:pPr>
            <w:r>
              <w:rPr>
                <w:rFonts w:ascii="仿宋" w:hAnsi="仿宋"/>
                <w:color w:val="1D1B11"/>
                <w:kern w:val="0"/>
                <w:sz w:val="24"/>
                <w:szCs w:val="24"/>
              </w:rPr>
              <w:t>2</w:t>
            </w:r>
          </w:p>
        </w:tc>
        <w:tc>
          <w:tcPr>
            <w:tcW w:w="1765" w:type="dxa"/>
            <w:shd w:val="clear" w:color="auto" w:fill="FFFFFF" w:themeFill="background1"/>
            <w:vAlign w:val="center"/>
          </w:tcPr>
          <w:p w14:paraId="638EE623">
            <w:pPr>
              <w:widowControl/>
              <w:ind w:firstLine="480"/>
              <w:jc w:val="center"/>
              <w:rPr>
                <w:rFonts w:ascii="仿宋" w:hAnsi="仿宋"/>
                <w:color w:val="1D1B11"/>
                <w:kern w:val="0"/>
                <w:sz w:val="24"/>
                <w:szCs w:val="24"/>
              </w:rPr>
            </w:pPr>
          </w:p>
        </w:tc>
      </w:tr>
      <w:tr w14:paraId="0BB6629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67A6CBD7">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04E6D957">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对讲机</w:t>
            </w:r>
          </w:p>
        </w:tc>
        <w:tc>
          <w:tcPr>
            <w:tcW w:w="2519" w:type="dxa"/>
            <w:shd w:val="clear" w:color="auto" w:fill="FFFFFF" w:themeFill="background1"/>
            <w:vAlign w:val="center"/>
          </w:tcPr>
          <w:p w14:paraId="272C971A">
            <w:pPr>
              <w:widowControl/>
              <w:ind w:firstLine="480"/>
              <w:jc w:val="center"/>
              <w:rPr>
                <w:rFonts w:ascii="仿宋" w:hAnsi="仿宋"/>
                <w:color w:val="1D1B11"/>
                <w:kern w:val="0"/>
                <w:sz w:val="24"/>
                <w:szCs w:val="24"/>
              </w:rPr>
            </w:pPr>
          </w:p>
        </w:tc>
        <w:tc>
          <w:tcPr>
            <w:tcW w:w="617" w:type="dxa"/>
            <w:shd w:val="clear" w:color="auto" w:fill="FFFFFF" w:themeFill="background1"/>
            <w:vAlign w:val="center"/>
          </w:tcPr>
          <w:p w14:paraId="74AD98A2">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部</w:t>
            </w:r>
          </w:p>
        </w:tc>
        <w:tc>
          <w:tcPr>
            <w:tcW w:w="909" w:type="dxa"/>
            <w:shd w:val="clear" w:color="auto" w:fill="FFFFFF" w:themeFill="background1"/>
            <w:vAlign w:val="center"/>
          </w:tcPr>
          <w:p w14:paraId="42C57709">
            <w:pPr>
              <w:widowControl/>
              <w:ind w:firstLine="0" w:firstLineChars="0"/>
              <w:jc w:val="center"/>
              <w:rPr>
                <w:rFonts w:ascii="仿宋" w:hAnsi="仿宋"/>
                <w:color w:val="1D1B11"/>
                <w:kern w:val="0"/>
                <w:sz w:val="24"/>
                <w:szCs w:val="24"/>
              </w:rPr>
            </w:pPr>
            <w:r>
              <w:rPr>
                <w:rFonts w:ascii="仿宋" w:hAnsi="仿宋"/>
                <w:color w:val="1D1B11"/>
                <w:kern w:val="0"/>
                <w:sz w:val="24"/>
                <w:szCs w:val="24"/>
              </w:rPr>
              <w:t>3</w:t>
            </w:r>
          </w:p>
        </w:tc>
        <w:tc>
          <w:tcPr>
            <w:tcW w:w="1765" w:type="dxa"/>
            <w:shd w:val="clear" w:color="auto" w:fill="FFFFFF" w:themeFill="background1"/>
            <w:vAlign w:val="center"/>
          </w:tcPr>
          <w:p w14:paraId="2C747B99">
            <w:pPr>
              <w:widowControl/>
              <w:ind w:firstLine="480"/>
              <w:jc w:val="center"/>
              <w:rPr>
                <w:rFonts w:ascii="仿宋" w:hAnsi="仿宋"/>
                <w:color w:val="1D1B11"/>
                <w:kern w:val="0"/>
                <w:sz w:val="24"/>
                <w:szCs w:val="24"/>
              </w:rPr>
            </w:pPr>
          </w:p>
        </w:tc>
      </w:tr>
      <w:tr w14:paraId="6D3937A4">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6EF0212D">
            <w:pPr>
              <w:widowControl/>
              <w:numPr>
                <w:ilvl w:val="0"/>
                <w:numId w:val="6"/>
              </w:numPr>
              <w:ind w:left="425" w:leftChars="0" w:hanging="425" w:firstLineChars="0"/>
              <w:jc w:val="center"/>
              <w:rPr>
                <w:rFonts w:ascii="仿宋" w:hAnsi="仿宋"/>
                <w:color w:val="1D1B11"/>
                <w:kern w:val="0"/>
                <w:sz w:val="24"/>
                <w:szCs w:val="24"/>
              </w:rPr>
            </w:pPr>
          </w:p>
        </w:tc>
        <w:tc>
          <w:tcPr>
            <w:tcW w:w="2584" w:type="dxa"/>
            <w:shd w:val="clear" w:color="auto" w:fill="FFFFFF" w:themeFill="background1"/>
            <w:vAlign w:val="center"/>
          </w:tcPr>
          <w:p w14:paraId="0D35A6A6">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橇棍</w:t>
            </w:r>
          </w:p>
        </w:tc>
        <w:tc>
          <w:tcPr>
            <w:tcW w:w="2519" w:type="dxa"/>
            <w:shd w:val="clear" w:color="auto" w:fill="FFFFFF" w:themeFill="background1"/>
            <w:vAlign w:val="center"/>
          </w:tcPr>
          <w:p w14:paraId="5E46E5FA">
            <w:pPr>
              <w:widowControl/>
              <w:ind w:firstLine="0" w:firstLineChars="0"/>
              <w:jc w:val="center"/>
              <w:rPr>
                <w:rFonts w:ascii="仿宋" w:hAnsi="仿宋"/>
                <w:color w:val="1D1B11"/>
                <w:kern w:val="0"/>
                <w:sz w:val="24"/>
                <w:szCs w:val="24"/>
              </w:rPr>
            </w:pPr>
            <w:r>
              <w:rPr>
                <w:rFonts w:ascii="仿宋" w:hAnsi="仿宋"/>
                <w:color w:val="1D1B11"/>
                <w:kern w:val="0"/>
                <w:sz w:val="24"/>
                <w:szCs w:val="24"/>
              </w:rPr>
              <w:t>1m</w:t>
            </w:r>
            <w:r>
              <w:rPr>
                <w:rFonts w:hint="eastAsia" w:ascii="仿宋" w:hAnsi="仿宋"/>
                <w:color w:val="1D1B11"/>
                <w:kern w:val="0"/>
                <w:sz w:val="24"/>
                <w:szCs w:val="24"/>
              </w:rPr>
              <w:t>、</w:t>
            </w:r>
            <w:r>
              <w:rPr>
                <w:rFonts w:ascii="仿宋" w:hAnsi="仿宋"/>
                <w:color w:val="1D1B11"/>
                <w:kern w:val="0"/>
                <w:sz w:val="24"/>
                <w:szCs w:val="24"/>
              </w:rPr>
              <w:t>1.5m</w:t>
            </w:r>
          </w:p>
        </w:tc>
        <w:tc>
          <w:tcPr>
            <w:tcW w:w="617" w:type="dxa"/>
            <w:shd w:val="clear" w:color="auto" w:fill="FFFFFF" w:themeFill="background1"/>
            <w:vAlign w:val="center"/>
          </w:tcPr>
          <w:p w14:paraId="60F18016">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根</w:t>
            </w:r>
          </w:p>
        </w:tc>
        <w:tc>
          <w:tcPr>
            <w:tcW w:w="909" w:type="dxa"/>
            <w:shd w:val="clear" w:color="auto" w:fill="FFFFFF" w:themeFill="background1"/>
            <w:vAlign w:val="center"/>
          </w:tcPr>
          <w:p w14:paraId="2BCBA4C9">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各</w:t>
            </w:r>
            <w:r>
              <w:rPr>
                <w:rFonts w:ascii="仿宋" w:hAnsi="仿宋"/>
                <w:color w:val="1D1B11"/>
                <w:kern w:val="0"/>
                <w:sz w:val="24"/>
                <w:szCs w:val="24"/>
              </w:rPr>
              <w:t>1</w:t>
            </w:r>
          </w:p>
        </w:tc>
        <w:tc>
          <w:tcPr>
            <w:tcW w:w="1765" w:type="dxa"/>
            <w:shd w:val="clear" w:color="auto" w:fill="FFFFFF" w:themeFill="background1"/>
            <w:vAlign w:val="center"/>
          </w:tcPr>
          <w:p w14:paraId="3E7D6FDD">
            <w:pPr>
              <w:widowControl/>
              <w:ind w:firstLine="480"/>
              <w:jc w:val="center"/>
              <w:rPr>
                <w:rFonts w:ascii="仿宋" w:hAnsi="仿宋"/>
                <w:color w:val="1D1B11"/>
                <w:kern w:val="0"/>
                <w:sz w:val="24"/>
                <w:szCs w:val="24"/>
              </w:rPr>
            </w:pPr>
          </w:p>
        </w:tc>
      </w:tr>
      <w:tr w14:paraId="60EDB060">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059F4D77">
            <w:pPr>
              <w:widowControl/>
              <w:numPr>
                <w:ilvl w:val="0"/>
                <w:numId w:val="6"/>
              </w:numPr>
              <w:ind w:left="425" w:leftChars="0" w:hanging="425" w:firstLineChars="0"/>
              <w:jc w:val="center"/>
              <w:rPr>
                <w:rFonts w:hint="eastAsia" w:ascii="仿宋" w:hAnsi="仿宋" w:eastAsia="仿宋"/>
                <w:color w:val="1D1B11"/>
                <w:kern w:val="0"/>
                <w:sz w:val="24"/>
                <w:szCs w:val="24"/>
                <w:lang w:eastAsia="zh-CN"/>
              </w:rPr>
            </w:pPr>
          </w:p>
        </w:tc>
        <w:tc>
          <w:tcPr>
            <w:tcW w:w="2584" w:type="dxa"/>
            <w:shd w:val="clear" w:color="auto" w:fill="FFFFFF" w:themeFill="background1"/>
            <w:vAlign w:val="center"/>
          </w:tcPr>
          <w:p w14:paraId="4B6B90FE">
            <w:pPr>
              <w:widowControl/>
              <w:ind w:firstLine="0" w:firstLineChars="0"/>
              <w:jc w:val="center"/>
              <w:rPr>
                <w:rFonts w:ascii="仿宋" w:hAnsi="仿宋"/>
                <w:color w:val="1D1B11"/>
                <w:kern w:val="0"/>
                <w:sz w:val="24"/>
                <w:szCs w:val="24"/>
                <w:highlight w:val="none"/>
              </w:rPr>
            </w:pPr>
            <w:r>
              <w:rPr>
                <w:rFonts w:hint="eastAsia" w:ascii="仿宋" w:hAnsi="仿宋"/>
                <w:color w:val="1D1B11"/>
                <w:kern w:val="0"/>
                <w:sz w:val="24"/>
                <w:szCs w:val="24"/>
                <w:highlight w:val="none"/>
              </w:rPr>
              <w:t>卸扣</w:t>
            </w:r>
          </w:p>
        </w:tc>
        <w:tc>
          <w:tcPr>
            <w:tcW w:w="2519" w:type="dxa"/>
            <w:shd w:val="clear" w:color="auto" w:fill="FFFFFF" w:themeFill="background1"/>
            <w:vAlign w:val="center"/>
          </w:tcPr>
          <w:p w14:paraId="78A6340A">
            <w:pPr>
              <w:widowControl/>
              <w:ind w:firstLine="0" w:firstLineChars="0"/>
              <w:jc w:val="center"/>
              <w:rPr>
                <w:rFonts w:ascii="仿宋" w:hAnsi="仿宋"/>
                <w:color w:val="1D1B11"/>
                <w:kern w:val="0"/>
                <w:sz w:val="24"/>
                <w:szCs w:val="24"/>
                <w:highlight w:val="none"/>
              </w:rPr>
            </w:pPr>
            <w:r>
              <w:rPr>
                <w:rFonts w:hint="eastAsia" w:ascii="仿宋" w:hAnsi="仿宋"/>
                <w:color w:val="1D1B11"/>
                <w:kern w:val="0"/>
                <w:sz w:val="24"/>
                <w:szCs w:val="24"/>
                <w:highlight w:val="none"/>
                <w:lang w:val="en-US" w:eastAsia="zh-CN"/>
              </w:rPr>
              <w:t>5</w:t>
            </w:r>
            <w:r>
              <w:rPr>
                <w:rFonts w:ascii="仿宋" w:hAnsi="仿宋"/>
                <w:color w:val="1D1B11"/>
                <w:kern w:val="0"/>
                <w:sz w:val="24"/>
                <w:szCs w:val="24"/>
                <w:highlight w:val="none"/>
              </w:rPr>
              <w:t>t</w:t>
            </w:r>
          </w:p>
        </w:tc>
        <w:tc>
          <w:tcPr>
            <w:tcW w:w="617" w:type="dxa"/>
            <w:shd w:val="clear" w:color="auto" w:fill="FFFFFF" w:themeFill="background1"/>
            <w:vAlign w:val="center"/>
          </w:tcPr>
          <w:p w14:paraId="1B2766AF">
            <w:pPr>
              <w:widowControl/>
              <w:ind w:firstLine="0" w:firstLineChars="0"/>
              <w:jc w:val="center"/>
              <w:rPr>
                <w:rFonts w:ascii="仿宋" w:hAnsi="仿宋"/>
                <w:strike/>
                <w:color w:val="1D1B11"/>
                <w:kern w:val="0"/>
                <w:sz w:val="24"/>
                <w:szCs w:val="24"/>
                <w:highlight w:val="none"/>
              </w:rPr>
            </w:pPr>
            <w:r>
              <w:rPr>
                <w:rFonts w:hint="eastAsia" w:ascii="仿宋" w:hAnsi="仿宋"/>
                <w:color w:val="1D1B11"/>
                <w:kern w:val="0"/>
                <w:sz w:val="24"/>
                <w:szCs w:val="24"/>
                <w:highlight w:val="none"/>
              </w:rPr>
              <w:t>只</w:t>
            </w:r>
          </w:p>
        </w:tc>
        <w:tc>
          <w:tcPr>
            <w:tcW w:w="909" w:type="dxa"/>
            <w:shd w:val="clear" w:color="auto" w:fill="FFFFFF" w:themeFill="background1"/>
            <w:vAlign w:val="center"/>
          </w:tcPr>
          <w:p w14:paraId="519B1593">
            <w:pPr>
              <w:widowControl/>
              <w:ind w:firstLine="0" w:firstLineChars="0"/>
              <w:jc w:val="center"/>
              <w:rPr>
                <w:rFonts w:hint="eastAsia" w:ascii="仿宋" w:hAnsi="仿宋" w:eastAsia="仿宋"/>
                <w:color w:val="1D1B11"/>
                <w:kern w:val="0"/>
                <w:sz w:val="24"/>
                <w:szCs w:val="24"/>
                <w:lang w:eastAsia="zh-CN"/>
              </w:rPr>
            </w:pPr>
            <w:r>
              <w:rPr>
                <w:rFonts w:hint="eastAsia" w:ascii="仿宋" w:hAnsi="仿宋"/>
                <w:color w:val="1D1B11"/>
                <w:kern w:val="0"/>
                <w:sz w:val="24"/>
                <w:szCs w:val="24"/>
                <w:lang w:val="en-US" w:eastAsia="zh-CN"/>
              </w:rPr>
              <w:t>4</w:t>
            </w:r>
          </w:p>
        </w:tc>
        <w:tc>
          <w:tcPr>
            <w:tcW w:w="1765" w:type="dxa"/>
            <w:shd w:val="clear" w:color="auto" w:fill="FFFFFF" w:themeFill="background1"/>
            <w:vAlign w:val="center"/>
          </w:tcPr>
          <w:p w14:paraId="4597859D">
            <w:pPr>
              <w:widowControl/>
              <w:ind w:firstLine="480"/>
              <w:jc w:val="center"/>
              <w:rPr>
                <w:rFonts w:ascii="仿宋" w:hAnsi="仿宋"/>
                <w:color w:val="1D1B11"/>
                <w:kern w:val="0"/>
                <w:sz w:val="24"/>
                <w:szCs w:val="24"/>
              </w:rPr>
            </w:pPr>
          </w:p>
        </w:tc>
      </w:tr>
      <w:tr w14:paraId="1A1A625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199432A3">
            <w:pPr>
              <w:widowControl/>
              <w:numPr>
                <w:ilvl w:val="0"/>
                <w:numId w:val="6"/>
              </w:numPr>
              <w:ind w:left="425" w:leftChars="0" w:hanging="425" w:firstLineChars="0"/>
              <w:jc w:val="center"/>
              <w:rPr>
                <w:rFonts w:hint="eastAsia" w:ascii="仿宋" w:hAnsi="仿宋" w:eastAsia="仿宋"/>
                <w:color w:val="1D1B11"/>
                <w:kern w:val="0"/>
                <w:sz w:val="24"/>
                <w:szCs w:val="24"/>
                <w:lang w:eastAsia="zh-CN"/>
              </w:rPr>
            </w:pPr>
          </w:p>
        </w:tc>
        <w:tc>
          <w:tcPr>
            <w:tcW w:w="2584" w:type="dxa"/>
            <w:shd w:val="clear" w:color="auto" w:fill="FFFFFF" w:themeFill="background1"/>
            <w:vAlign w:val="center"/>
          </w:tcPr>
          <w:p w14:paraId="65674FEF">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吊带</w:t>
            </w:r>
          </w:p>
        </w:tc>
        <w:tc>
          <w:tcPr>
            <w:tcW w:w="2519" w:type="dxa"/>
            <w:shd w:val="clear" w:color="auto" w:fill="FFFFFF" w:themeFill="background1"/>
            <w:vAlign w:val="center"/>
          </w:tcPr>
          <w:p w14:paraId="477270EB">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两端环眼</w:t>
            </w:r>
            <w:r>
              <w:rPr>
                <w:rFonts w:ascii="仿宋" w:hAnsi="仿宋"/>
                <w:color w:val="1D1B11"/>
                <w:kern w:val="0"/>
                <w:sz w:val="24"/>
                <w:szCs w:val="24"/>
              </w:rPr>
              <w:t>4t/6m</w:t>
            </w:r>
          </w:p>
        </w:tc>
        <w:tc>
          <w:tcPr>
            <w:tcW w:w="617" w:type="dxa"/>
            <w:shd w:val="clear" w:color="auto" w:fill="FFFFFF" w:themeFill="background1"/>
            <w:vAlign w:val="center"/>
          </w:tcPr>
          <w:p w14:paraId="0C62D332">
            <w:pPr>
              <w:widowControl/>
              <w:ind w:firstLine="0" w:firstLineChars="0"/>
              <w:jc w:val="center"/>
              <w:rPr>
                <w:rFonts w:ascii="仿宋" w:hAnsi="仿宋"/>
                <w:color w:val="1D1B11"/>
                <w:kern w:val="0"/>
                <w:sz w:val="24"/>
                <w:szCs w:val="24"/>
              </w:rPr>
            </w:pPr>
            <w:r>
              <w:rPr>
                <w:rFonts w:hint="eastAsia" w:ascii="仿宋" w:hAnsi="仿宋"/>
                <w:color w:val="1D1B11"/>
                <w:kern w:val="0"/>
                <w:sz w:val="24"/>
                <w:szCs w:val="24"/>
              </w:rPr>
              <w:t>副</w:t>
            </w:r>
          </w:p>
        </w:tc>
        <w:tc>
          <w:tcPr>
            <w:tcW w:w="909" w:type="dxa"/>
            <w:shd w:val="clear" w:color="auto" w:fill="FFFFFF" w:themeFill="background1"/>
            <w:vAlign w:val="center"/>
          </w:tcPr>
          <w:p w14:paraId="464CE740">
            <w:pPr>
              <w:widowControl/>
              <w:ind w:firstLine="0" w:firstLineChars="0"/>
              <w:jc w:val="center"/>
              <w:rPr>
                <w:rFonts w:ascii="仿宋" w:hAnsi="仿宋"/>
                <w:color w:val="1D1B11"/>
                <w:kern w:val="0"/>
                <w:sz w:val="24"/>
                <w:szCs w:val="24"/>
              </w:rPr>
            </w:pPr>
            <w:r>
              <w:rPr>
                <w:rFonts w:ascii="仿宋" w:hAnsi="仿宋"/>
                <w:color w:val="1D1B11"/>
                <w:kern w:val="0"/>
                <w:sz w:val="24"/>
                <w:szCs w:val="24"/>
              </w:rPr>
              <w:t>2</w:t>
            </w:r>
          </w:p>
        </w:tc>
        <w:tc>
          <w:tcPr>
            <w:tcW w:w="1765" w:type="dxa"/>
            <w:shd w:val="clear" w:color="auto" w:fill="FFFFFF" w:themeFill="background1"/>
            <w:vAlign w:val="center"/>
          </w:tcPr>
          <w:p w14:paraId="0F506409">
            <w:pPr>
              <w:widowControl/>
              <w:ind w:firstLine="0" w:firstLineChars="0"/>
              <w:jc w:val="center"/>
              <w:rPr>
                <w:rFonts w:ascii="仿宋" w:hAnsi="仿宋"/>
                <w:color w:val="1D1B11"/>
                <w:kern w:val="0"/>
                <w:sz w:val="24"/>
                <w:szCs w:val="24"/>
              </w:rPr>
            </w:pPr>
          </w:p>
        </w:tc>
      </w:tr>
      <w:tr w14:paraId="27A3763F">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013AAE59">
            <w:pPr>
              <w:widowControl/>
              <w:numPr>
                <w:ilvl w:val="0"/>
                <w:numId w:val="6"/>
              </w:numPr>
              <w:ind w:left="425" w:leftChars="0" w:hanging="425" w:firstLineChars="0"/>
              <w:jc w:val="center"/>
              <w:rPr>
                <w:rFonts w:hint="eastAsia" w:ascii="仿宋" w:hAnsi="仿宋" w:eastAsia="仿宋"/>
                <w:color w:val="1D1B11"/>
                <w:kern w:val="0"/>
                <w:sz w:val="24"/>
                <w:szCs w:val="24"/>
                <w:lang w:eastAsia="zh-CN"/>
              </w:rPr>
            </w:pPr>
          </w:p>
        </w:tc>
        <w:tc>
          <w:tcPr>
            <w:tcW w:w="2584" w:type="dxa"/>
            <w:shd w:val="clear" w:color="auto" w:fill="FFFFFF" w:themeFill="background1"/>
            <w:vAlign w:val="center"/>
          </w:tcPr>
          <w:p w14:paraId="433F358B">
            <w:pPr>
              <w:widowControl/>
              <w:ind w:firstLine="0" w:firstLineChars="0"/>
              <w:jc w:val="center"/>
              <w:rPr>
                <w:rFonts w:ascii="仿宋" w:hAnsi="仿宋"/>
                <w:color w:val="000000"/>
                <w:kern w:val="0"/>
                <w:sz w:val="24"/>
                <w:szCs w:val="24"/>
              </w:rPr>
            </w:pPr>
            <w:r>
              <w:rPr>
                <w:rFonts w:hint="eastAsia" w:ascii="仿宋" w:hAnsi="仿宋"/>
                <w:color w:val="000000"/>
                <w:kern w:val="0"/>
                <w:sz w:val="24"/>
                <w:szCs w:val="24"/>
              </w:rPr>
              <w:t>枕木</w:t>
            </w:r>
          </w:p>
        </w:tc>
        <w:tc>
          <w:tcPr>
            <w:tcW w:w="2519" w:type="dxa"/>
            <w:shd w:val="clear" w:color="auto" w:fill="FFFFFF" w:themeFill="background1"/>
            <w:vAlign w:val="center"/>
          </w:tcPr>
          <w:p w14:paraId="6AF5EB96">
            <w:pPr>
              <w:widowControl/>
              <w:ind w:firstLine="0" w:firstLineChars="0"/>
              <w:jc w:val="center"/>
              <w:rPr>
                <w:rFonts w:ascii="仿宋" w:hAnsi="仿宋"/>
                <w:color w:val="000000"/>
                <w:kern w:val="0"/>
                <w:sz w:val="24"/>
                <w:szCs w:val="24"/>
              </w:rPr>
            </w:pPr>
          </w:p>
        </w:tc>
        <w:tc>
          <w:tcPr>
            <w:tcW w:w="617" w:type="dxa"/>
            <w:shd w:val="clear" w:color="auto" w:fill="FFFFFF" w:themeFill="background1"/>
            <w:vAlign w:val="center"/>
          </w:tcPr>
          <w:p w14:paraId="775BD9D7">
            <w:pPr>
              <w:widowControl/>
              <w:ind w:firstLine="0" w:firstLineChars="0"/>
              <w:jc w:val="center"/>
              <w:rPr>
                <w:rFonts w:ascii="仿宋" w:hAnsi="仿宋"/>
                <w:color w:val="1D1B11"/>
                <w:kern w:val="0"/>
                <w:sz w:val="24"/>
                <w:szCs w:val="24"/>
              </w:rPr>
            </w:pPr>
          </w:p>
        </w:tc>
        <w:tc>
          <w:tcPr>
            <w:tcW w:w="909" w:type="dxa"/>
            <w:shd w:val="clear" w:color="auto" w:fill="FFFFFF" w:themeFill="background1"/>
            <w:vAlign w:val="center"/>
          </w:tcPr>
          <w:p w14:paraId="19C11328">
            <w:pPr>
              <w:widowControl/>
              <w:ind w:firstLine="0" w:firstLineChars="0"/>
              <w:jc w:val="center"/>
              <w:rPr>
                <w:rFonts w:ascii="仿宋" w:hAnsi="仿宋"/>
                <w:color w:val="1D1B11"/>
                <w:kern w:val="0"/>
                <w:sz w:val="24"/>
                <w:szCs w:val="24"/>
              </w:rPr>
            </w:pPr>
            <w:r>
              <w:rPr>
                <w:rFonts w:hint="eastAsia" w:ascii="仿宋" w:hAnsi="仿宋"/>
                <w:color w:val="000000"/>
                <w:kern w:val="0"/>
                <w:sz w:val="24"/>
                <w:szCs w:val="24"/>
              </w:rPr>
              <w:t>若干</w:t>
            </w:r>
          </w:p>
        </w:tc>
        <w:tc>
          <w:tcPr>
            <w:tcW w:w="1765" w:type="dxa"/>
            <w:shd w:val="clear" w:color="auto" w:fill="FFFFFF" w:themeFill="background1"/>
            <w:vAlign w:val="center"/>
          </w:tcPr>
          <w:p w14:paraId="1F08975C">
            <w:pPr>
              <w:widowControl/>
              <w:ind w:firstLine="0" w:firstLineChars="0"/>
              <w:jc w:val="center"/>
              <w:rPr>
                <w:rFonts w:ascii="仿宋" w:hAnsi="仿宋"/>
                <w:color w:val="1D1B11"/>
                <w:kern w:val="0"/>
                <w:sz w:val="24"/>
                <w:szCs w:val="24"/>
              </w:rPr>
            </w:pPr>
          </w:p>
        </w:tc>
      </w:tr>
      <w:tr w14:paraId="0B42EF22">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4" w:type="dxa"/>
            <w:shd w:val="clear" w:color="auto" w:fill="FFFFFF" w:themeFill="background1"/>
            <w:vAlign w:val="center"/>
          </w:tcPr>
          <w:p w14:paraId="44FC0FD9">
            <w:pPr>
              <w:widowControl/>
              <w:numPr>
                <w:ilvl w:val="0"/>
                <w:numId w:val="6"/>
              </w:numPr>
              <w:ind w:left="425" w:leftChars="0" w:hanging="425" w:firstLineChars="0"/>
              <w:jc w:val="center"/>
              <w:rPr>
                <w:rFonts w:hint="eastAsia" w:ascii="仿宋" w:hAnsi="仿宋" w:eastAsia="仿宋"/>
                <w:color w:val="1D1B11"/>
                <w:kern w:val="0"/>
                <w:sz w:val="24"/>
                <w:szCs w:val="24"/>
                <w:lang w:eastAsia="zh-CN"/>
              </w:rPr>
            </w:pPr>
          </w:p>
        </w:tc>
        <w:tc>
          <w:tcPr>
            <w:tcW w:w="2584" w:type="dxa"/>
            <w:shd w:val="clear" w:color="auto" w:fill="FFFFFF" w:themeFill="background1"/>
            <w:vAlign w:val="center"/>
          </w:tcPr>
          <w:p w14:paraId="14F8E42E">
            <w:pPr>
              <w:widowControl/>
              <w:spacing w:line="240" w:lineRule="auto"/>
              <w:ind w:firstLine="0" w:firstLineChars="0"/>
              <w:jc w:val="center"/>
              <w:rPr>
                <w:rFonts w:ascii="仿宋" w:hAnsi="仿宋" w:cs="宋体"/>
                <w:color w:val="1D1B11"/>
                <w:kern w:val="0"/>
                <w:sz w:val="24"/>
                <w:szCs w:val="24"/>
              </w:rPr>
            </w:pPr>
            <w:r>
              <w:rPr>
                <w:rFonts w:hint="eastAsia" w:ascii="仿宋" w:hAnsi="仿宋" w:cs="宋体"/>
                <w:color w:val="1D1B11"/>
                <w:kern w:val="0"/>
                <w:sz w:val="24"/>
                <w:szCs w:val="24"/>
              </w:rPr>
              <w:t>全站仪</w:t>
            </w:r>
          </w:p>
        </w:tc>
        <w:tc>
          <w:tcPr>
            <w:tcW w:w="2519" w:type="dxa"/>
            <w:shd w:val="clear" w:color="auto" w:fill="FFFFFF" w:themeFill="background1"/>
            <w:vAlign w:val="center"/>
          </w:tcPr>
          <w:p w14:paraId="2B568537">
            <w:pPr>
              <w:widowControl/>
              <w:spacing w:line="240" w:lineRule="auto"/>
              <w:ind w:firstLine="0" w:firstLineChars="0"/>
              <w:jc w:val="center"/>
              <w:textAlignment w:val="center"/>
              <w:rPr>
                <w:rFonts w:ascii="仿宋" w:hAnsi="仿宋" w:cs="宋体"/>
                <w:color w:val="1D1B11"/>
                <w:kern w:val="0"/>
                <w:sz w:val="24"/>
                <w:szCs w:val="24"/>
              </w:rPr>
            </w:pPr>
            <w:r>
              <w:rPr>
                <w:rFonts w:ascii="仿宋" w:hAnsi="仿宋" w:cs="宋体"/>
                <w:color w:val="000000"/>
                <w:kern w:val="0"/>
                <w:sz w:val="24"/>
                <w:szCs w:val="24"/>
              </w:rPr>
              <w:t>TOPCN-GTS602</w:t>
            </w:r>
          </w:p>
        </w:tc>
        <w:tc>
          <w:tcPr>
            <w:tcW w:w="617" w:type="dxa"/>
            <w:shd w:val="clear" w:color="auto" w:fill="FFFFFF" w:themeFill="background1"/>
            <w:vAlign w:val="center"/>
          </w:tcPr>
          <w:p w14:paraId="314153EA">
            <w:pPr>
              <w:widowControl/>
              <w:spacing w:line="240" w:lineRule="auto"/>
              <w:ind w:firstLine="0" w:firstLineChars="0"/>
              <w:jc w:val="center"/>
              <w:rPr>
                <w:rFonts w:ascii="仿宋" w:hAnsi="仿宋" w:cs="宋体"/>
                <w:color w:val="1D1B11"/>
                <w:kern w:val="0"/>
                <w:sz w:val="24"/>
                <w:szCs w:val="24"/>
              </w:rPr>
            </w:pPr>
            <w:r>
              <w:rPr>
                <w:rFonts w:hint="eastAsia" w:ascii="仿宋" w:hAnsi="仿宋" w:cs="宋体"/>
                <w:color w:val="1D1B11"/>
                <w:kern w:val="0"/>
                <w:sz w:val="24"/>
                <w:szCs w:val="24"/>
              </w:rPr>
              <w:t>台</w:t>
            </w:r>
          </w:p>
        </w:tc>
        <w:tc>
          <w:tcPr>
            <w:tcW w:w="909" w:type="dxa"/>
            <w:shd w:val="clear" w:color="auto" w:fill="FFFFFF" w:themeFill="background1"/>
            <w:vAlign w:val="center"/>
          </w:tcPr>
          <w:p w14:paraId="323D160B">
            <w:pPr>
              <w:widowControl/>
              <w:spacing w:line="240" w:lineRule="auto"/>
              <w:ind w:firstLine="0" w:firstLineChars="0"/>
              <w:jc w:val="center"/>
              <w:rPr>
                <w:rFonts w:ascii="仿宋" w:hAnsi="仿宋" w:cs="宋体"/>
                <w:color w:val="1D1B11"/>
                <w:kern w:val="0"/>
                <w:sz w:val="24"/>
                <w:szCs w:val="24"/>
              </w:rPr>
            </w:pPr>
            <w:r>
              <w:rPr>
                <w:rFonts w:ascii="仿宋" w:hAnsi="仿宋" w:cs="宋体"/>
                <w:color w:val="1D1B11"/>
                <w:kern w:val="0"/>
                <w:sz w:val="24"/>
                <w:szCs w:val="24"/>
              </w:rPr>
              <w:t>1</w:t>
            </w:r>
          </w:p>
        </w:tc>
        <w:tc>
          <w:tcPr>
            <w:tcW w:w="1765" w:type="dxa"/>
            <w:shd w:val="clear" w:color="auto" w:fill="FFFFFF" w:themeFill="background1"/>
            <w:vAlign w:val="center"/>
          </w:tcPr>
          <w:p w14:paraId="6C837C42">
            <w:pPr>
              <w:widowControl/>
              <w:spacing w:line="240" w:lineRule="auto"/>
              <w:ind w:firstLine="0" w:firstLineChars="0"/>
              <w:jc w:val="center"/>
              <w:rPr>
                <w:rFonts w:ascii="仿宋" w:hAnsi="仿宋" w:cs="宋体"/>
                <w:color w:val="1D1B11"/>
                <w:kern w:val="0"/>
                <w:sz w:val="24"/>
                <w:szCs w:val="24"/>
              </w:rPr>
            </w:pPr>
            <w:r>
              <w:rPr>
                <w:rFonts w:hint="eastAsia" w:ascii="仿宋" w:hAnsi="仿宋" w:cs="宋体"/>
                <w:color w:val="1D1B11"/>
                <w:kern w:val="0"/>
                <w:sz w:val="24"/>
                <w:szCs w:val="24"/>
              </w:rPr>
              <w:t>垂直度测量</w:t>
            </w:r>
          </w:p>
        </w:tc>
      </w:tr>
    </w:tbl>
    <w:p w14:paraId="21DCA845">
      <w:pPr>
        <w:widowControl/>
        <w:ind w:firstLine="0" w:firstLineChars="0"/>
        <w:jc w:val="left"/>
        <w:rPr>
          <w:b/>
          <w:color w:val="171717"/>
        </w:rPr>
      </w:pPr>
      <w:bookmarkStart w:id="243" w:name="_Toc4269"/>
      <w:bookmarkStart w:id="244" w:name="_Toc21504"/>
      <w:bookmarkStart w:id="245" w:name="_Toc15485"/>
      <w:bookmarkStart w:id="246" w:name="_Toc8662"/>
      <w:bookmarkStart w:id="247" w:name="_Toc28903"/>
      <w:bookmarkStart w:id="248" w:name="_Toc28565"/>
      <w:r>
        <w:rPr>
          <w:rFonts w:hint="eastAsia"/>
          <w:b/>
          <w:color w:val="171717"/>
        </w:rPr>
        <w:t>注：对所使用的吊索、吊具进行全面的质量和安全检查，确认完好无损方可使用。</w:t>
      </w:r>
    </w:p>
    <w:bookmarkEnd w:id="233"/>
    <w:bookmarkEnd w:id="234"/>
    <w:bookmarkEnd w:id="235"/>
    <w:bookmarkEnd w:id="236"/>
    <w:bookmarkEnd w:id="238"/>
    <w:bookmarkEnd w:id="239"/>
    <w:bookmarkEnd w:id="240"/>
    <w:bookmarkEnd w:id="241"/>
    <w:bookmarkEnd w:id="242"/>
    <w:p w14:paraId="29302C65">
      <w:pPr>
        <w:pStyle w:val="3"/>
        <w:bidi w:val="0"/>
        <w:ind w:left="575" w:leftChars="0" w:hanging="575" w:firstLineChars="0"/>
      </w:pPr>
      <w:bookmarkStart w:id="249" w:name="_Toc3726"/>
      <w:bookmarkStart w:id="250" w:name="_Toc23806"/>
      <w:r>
        <w:t>安装</w:t>
      </w:r>
      <w:r>
        <w:rPr>
          <w:rFonts w:hint="eastAsia"/>
        </w:rPr>
        <w:t>起重机械</w:t>
      </w:r>
      <w:r>
        <w:t>设备的型号、</w:t>
      </w:r>
      <w:bookmarkEnd w:id="249"/>
      <w:r>
        <w:t>性能及</w:t>
      </w:r>
      <w:r>
        <w:rPr>
          <w:rFonts w:hint="eastAsia"/>
        </w:rPr>
        <w:t>起吊能力验算</w:t>
      </w:r>
      <w:bookmarkEnd w:id="243"/>
      <w:bookmarkEnd w:id="244"/>
      <w:bookmarkEnd w:id="245"/>
      <w:bookmarkEnd w:id="246"/>
      <w:bookmarkEnd w:id="247"/>
      <w:bookmarkEnd w:id="248"/>
      <w:bookmarkEnd w:id="250"/>
    </w:p>
    <w:bookmarkEnd w:id="221"/>
    <w:bookmarkEnd w:id="222"/>
    <w:bookmarkEnd w:id="223"/>
    <w:bookmarkEnd w:id="224"/>
    <w:bookmarkEnd w:id="225"/>
    <w:bookmarkEnd w:id="237"/>
    <w:p w14:paraId="3823E38D">
      <w:pPr>
        <w:pStyle w:val="4"/>
        <w:bidi w:val="0"/>
        <w:ind w:left="720" w:leftChars="0" w:hanging="720" w:firstLineChars="0"/>
      </w:pPr>
      <w:bookmarkStart w:id="251" w:name="_Toc6386"/>
      <w:r>
        <w:rPr>
          <w:rFonts w:hint="eastAsia"/>
        </w:rPr>
        <w:t>吊机型号选择</w:t>
      </w:r>
      <w:bookmarkEnd w:id="251"/>
    </w:p>
    <w:p w14:paraId="7A681B1B">
      <w:pPr>
        <w:widowControl/>
        <w:ind w:firstLine="560"/>
        <w:jc w:val="left"/>
        <w:rPr>
          <w:rFonts w:hint="eastAsia"/>
          <w:bCs/>
          <w:color w:val="171717"/>
          <w:highlight w:val="none"/>
        </w:rPr>
      </w:pPr>
      <w:r>
        <w:rPr>
          <w:rFonts w:hint="eastAsia"/>
          <w:bCs/>
          <w:color w:val="171717"/>
        </w:rPr>
        <w:t>根据</w:t>
      </w:r>
      <w:r>
        <w:rPr>
          <w:rFonts w:hint="eastAsia"/>
          <w:lang w:val="en-US" w:eastAsia="zh-CN"/>
        </w:rPr>
        <w:t>T7020-12</w:t>
      </w:r>
      <w:r>
        <w:rPr>
          <w:rFonts w:hint="eastAsia"/>
          <w:bCs/>
          <w:color w:val="171717"/>
        </w:rPr>
        <w:t>塔式起重机使用说明书可知设备的各部件重量和最大的安装起升高度，该塔式起重机安装最大起吊重量为</w:t>
      </w:r>
      <w:r>
        <w:rPr>
          <w:rFonts w:hint="eastAsia"/>
          <w:bCs/>
          <w:color w:val="171717"/>
          <w:lang w:val="en-US" w:eastAsia="zh-CN"/>
        </w:rPr>
        <w:t>回转总成，重量为7.022t</w:t>
      </w:r>
      <w:r>
        <w:rPr>
          <w:rFonts w:hint="eastAsia"/>
          <w:bCs/>
          <w:color w:val="171717"/>
          <w:highlight w:val="none"/>
        </w:rPr>
        <w:t>；最大起升高度为</w:t>
      </w:r>
      <w:r>
        <w:rPr>
          <w:rFonts w:hint="eastAsia"/>
          <w:bCs/>
          <w:color w:val="171717"/>
          <w:highlight w:val="none"/>
          <w:lang w:val="en-US" w:eastAsia="zh-CN"/>
        </w:rPr>
        <w:t>起重臂</w:t>
      </w:r>
      <w:r>
        <w:rPr>
          <w:rFonts w:hint="eastAsia"/>
          <w:bCs/>
          <w:color w:val="171717"/>
          <w:highlight w:val="none"/>
        </w:rPr>
        <w:t>，吊高</w:t>
      </w:r>
      <w:r>
        <w:rPr>
          <w:rFonts w:hint="eastAsia"/>
          <w:bCs/>
          <w:color w:val="171717"/>
          <w:highlight w:val="none"/>
          <w:lang w:val="en-US" w:eastAsia="zh-CN"/>
        </w:rPr>
        <w:t>22.5</w:t>
      </w:r>
      <w:r>
        <w:rPr>
          <w:rFonts w:hint="eastAsia"/>
          <w:bCs/>
          <w:color w:val="171717"/>
          <w:highlight w:val="none"/>
        </w:rPr>
        <w:t>米，起吊跨距不大于</w:t>
      </w:r>
      <w:r>
        <w:rPr>
          <w:rFonts w:hint="eastAsia"/>
          <w:bCs/>
          <w:color w:val="171717"/>
          <w:highlight w:val="none"/>
          <w:lang w:val="en-US" w:eastAsia="zh-CN"/>
        </w:rPr>
        <w:t>14</w:t>
      </w:r>
      <w:r>
        <w:rPr>
          <w:rFonts w:hint="eastAsia"/>
          <w:bCs/>
          <w:color w:val="171717"/>
          <w:highlight w:val="none"/>
        </w:rPr>
        <w:t>米。选择</w:t>
      </w:r>
      <w:r>
        <w:rPr>
          <w:rFonts w:hint="eastAsia"/>
          <w:bCs/>
          <w:color w:val="171717"/>
          <w:highlight w:val="none"/>
          <w:lang w:val="en-US" w:eastAsia="zh-CN"/>
        </w:rPr>
        <w:t>50T</w:t>
      </w:r>
      <w:r>
        <w:rPr>
          <w:rFonts w:hint="eastAsia"/>
          <w:bCs/>
          <w:color w:val="171717"/>
          <w:highlight w:val="none"/>
        </w:rPr>
        <w:t>汽车吊安装，其主臂长度为</w:t>
      </w:r>
      <w:r>
        <w:rPr>
          <w:rFonts w:hint="eastAsia"/>
          <w:bCs/>
          <w:color w:val="171717"/>
          <w:highlight w:val="none"/>
          <w:lang w:val="en-US" w:eastAsia="zh-CN"/>
        </w:rPr>
        <w:t>32.8m</w:t>
      </w:r>
      <w:r>
        <w:rPr>
          <w:rFonts w:hint="eastAsia"/>
          <w:bCs/>
          <w:color w:val="171717"/>
          <w:highlight w:val="none"/>
        </w:rPr>
        <w:t>。</w:t>
      </w:r>
    </w:p>
    <w:p w14:paraId="6334F57A">
      <w:pPr>
        <w:widowControl/>
        <w:ind w:firstLine="560"/>
        <w:jc w:val="left"/>
        <w:rPr>
          <w:rFonts w:hint="eastAsia"/>
          <w:bCs/>
          <w:color w:val="171717"/>
        </w:rPr>
      </w:pPr>
      <w:r>
        <w:rPr>
          <w:rFonts w:hint="eastAsia"/>
          <w:bCs/>
          <w:color w:val="171717"/>
        </w:rPr>
        <w:t>根据XGT6015A-8S塔式起重机使用说明书可知设备的各部件重量和最大的安装起升高度，该塔式起重机安装最大起吊重量为</w:t>
      </w:r>
      <w:r>
        <w:rPr>
          <w:rFonts w:hint="eastAsia"/>
          <w:bCs/>
          <w:color w:val="171717"/>
          <w:lang w:val="en-US" w:eastAsia="zh-CN"/>
        </w:rPr>
        <w:t>起重臂总成</w:t>
      </w:r>
      <w:r>
        <w:rPr>
          <w:rFonts w:hint="eastAsia"/>
          <w:bCs/>
          <w:color w:val="171717"/>
        </w:rPr>
        <w:t>，</w:t>
      </w:r>
      <w:r>
        <w:rPr>
          <w:rFonts w:hint="eastAsia"/>
          <w:bCs/>
          <w:color w:val="171717"/>
          <w:lang w:val="en-US" w:eastAsia="zh-CN"/>
        </w:rPr>
        <w:t>起重臂</w:t>
      </w:r>
      <w:r>
        <w:rPr>
          <w:rFonts w:hint="eastAsia"/>
          <w:bCs/>
          <w:color w:val="171717"/>
        </w:rPr>
        <w:t>总成重</w:t>
      </w:r>
      <w:r>
        <w:rPr>
          <w:rFonts w:hint="eastAsia"/>
          <w:bCs/>
          <w:color w:val="171717"/>
          <w:lang w:val="en-US" w:eastAsia="zh-CN"/>
        </w:rPr>
        <w:t>5.4t</w:t>
      </w:r>
      <w:r>
        <w:rPr>
          <w:rFonts w:hint="eastAsia"/>
          <w:bCs/>
          <w:color w:val="171717"/>
        </w:rPr>
        <w:t>，吊高</w:t>
      </w:r>
      <w:r>
        <w:rPr>
          <w:rFonts w:hint="eastAsia"/>
          <w:bCs/>
          <w:color w:val="171717"/>
          <w:lang w:val="en-US" w:eastAsia="zh-CN"/>
        </w:rPr>
        <w:t>24.7</w:t>
      </w:r>
      <w:r>
        <w:rPr>
          <w:rFonts w:hint="eastAsia"/>
          <w:bCs/>
          <w:color w:val="171717"/>
        </w:rPr>
        <w:t>米；最大起升高度为</w:t>
      </w:r>
      <w:r>
        <w:rPr>
          <w:rFonts w:hint="eastAsia"/>
          <w:bCs/>
          <w:color w:val="171717"/>
          <w:lang w:eastAsia="zh-CN"/>
        </w:rPr>
        <w:t>起重臂根节</w:t>
      </w:r>
      <w:r>
        <w:rPr>
          <w:rFonts w:hint="eastAsia"/>
          <w:bCs/>
          <w:color w:val="171717"/>
        </w:rPr>
        <w:t>，吊高2</w:t>
      </w:r>
      <w:r>
        <w:rPr>
          <w:rFonts w:hint="eastAsia"/>
          <w:bCs/>
          <w:color w:val="171717"/>
          <w:lang w:val="en-US" w:eastAsia="zh-CN"/>
        </w:rPr>
        <w:t>4.7</w:t>
      </w:r>
      <w:r>
        <w:rPr>
          <w:rFonts w:hint="eastAsia"/>
          <w:bCs/>
          <w:color w:val="171717"/>
        </w:rPr>
        <w:t>米，起吊跨距不大于11米。选择25T汽车吊安装，其主臂长度为29.6m。</w:t>
      </w:r>
    </w:p>
    <w:p w14:paraId="08BD5A8A">
      <w:pPr>
        <w:widowControl/>
        <w:ind w:firstLine="560"/>
        <w:jc w:val="left"/>
        <w:rPr>
          <w:bCs/>
          <w:color w:val="171717"/>
        </w:rPr>
      </w:pPr>
      <w:r>
        <w:rPr>
          <w:rFonts w:hint="eastAsia"/>
          <w:bCs/>
          <w:color w:val="171717"/>
        </w:rPr>
        <w:t>根据XGT</w:t>
      </w:r>
      <w:r>
        <w:rPr>
          <w:rFonts w:hint="eastAsia"/>
          <w:bCs/>
          <w:color w:val="171717"/>
          <w:lang w:val="en-US" w:eastAsia="zh-CN"/>
        </w:rPr>
        <w:t>6515D-10S</w:t>
      </w:r>
      <w:r>
        <w:rPr>
          <w:rFonts w:hint="eastAsia"/>
          <w:bCs/>
          <w:color w:val="171717"/>
        </w:rPr>
        <w:t>塔式起重机使用说明书可知设备的各部件重量和最大的安装起升高度，该塔式起重机安装最大起吊重量为</w:t>
      </w:r>
      <w:r>
        <w:rPr>
          <w:rFonts w:hint="eastAsia"/>
          <w:bCs/>
          <w:color w:val="171717"/>
          <w:lang w:val="en-US" w:eastAsia="zh-CN"/>
        </w:rPr>
        <w:t>平衡臂</w:t>
      </w:r>
      <w:r>
        <w:rPr>
          <w:rFonts w:hint="eastAsia"/>
          <w:bCs/>
          <w:color w:val="171717"/>
        </w:rPr>
        <w:t>，</w:t>
      </w:r>
      <w:r>
        <w:rPr>
          <w:rFonts w:hint="eastAsia"/>
          <w:bCs/>
          <w:color w:val="171717"/>
          <w:lang w:val="en-US" w:eastAsia="zh-CN"/>
        </w:rPr>
        <w:t>平衡臂</w:t>
      </w:r>
      <w:r>
        <w:rPr>
          <w:rFonts w:hint="eastAsia"/>
          <w:bCs/>
          <w:color w:val="171717"/>
        </w:rPr>
        <w:t>重</w:t>
      </w:r>
      <w:r>
        <w:rPr>
          <w:rFonts w:hint="eastAsia"/>
          <w:bCs/>
          <w:color w:val="171717"/>
          <w:lang w:val="en-US" w:eastAsia="zh-CN"/>
        </w:rPr>
        <w:t>5.2t</w:t>
      </w:r>
      <w:r>
        <w:rPr>
          <w:rFonts w:hint="eastAsia"/>
          <w:bCs/>
          <w:color w:val="171717"/>
        </w:rPr>
        <w:t>，吊高</w:t>
      </w:r>
      <w:r>
        <w:rPr>
          <w:rFonts w:hint="eastAsia"/>
          <w:bCs/>
          <w:color w:val="171717"/>
          <w:lang w:val="en-US" w:eastAsia="zh-CN"/>
        </w:rPr>
        <w:t>30</w:t>
      </w:r>
      <w:r>
        <w:rPr>
          <w:rFonts w:hint="eastAsia"/>
          <w:bCs/>
          <w:color w:val="171717"/>
        </w:rPr>
        <w:t>米；最大起升高度为</w:t>
      </w:r>
      <w:r>
        <w:rPr>
          <w:rFonts w:hint="eastAsia"/>
          <w:bCs/>
          <w:color w:val="171717"/>
          <w:lang w:val="en-US" w:eastAsia="zh-CN"/>
        </w:rPr>
        <w:t>配重</w:t>
      </w:r>
      <w:r>
        <w:rPr>
          <w:rFonts w:hint="eastAsia"/>
          <w:bCs/>
          <w:color w:val="171717"/>
        </w:rPr>
        <w:t>，吊高</w:t>
      </w:r>
      <w:r>
        <w:rPr>
          <w:rFonts w:hint="eastAsia"/>
          <w:bCs/>
          <w:color w:val="171717"/>
          <w:lang w:val="en-US" w:eastAsia="zh-CN"/>
        </w:rPr>
        <w:t>33</w:t>
      </w:r>
      <w:r>
        <w:rPr>
          <w:rFonts w:hint="eastAsia"/>
          <w:bCs/>
          <w:color w:val="171717"/>
        </w:rPr>
        <w:t>米，起吊跨距不大于11米。选择25T汽车吊安装，其主臂长度为</w:t>
      </w:r>
      <w:r>
        <w:rPr>
          <w:rFonts w:hint="eastAsia"/>
          <w:bCs/>
          <w:color w:val="171717"/>
          <w:lang w:val="en-US" w:eastAsia="zh-CN"/>
        </w:rPr>
        <w:t>35.3</w:t>
      </w:r>
      <w:r>
        <w:rPr>
          <w:rFonts w:hint="eastAsia"/>
          <w:bCs/>
          <w:color w:val="171717"/>
        </w:rPr>
        <w:t>m。</w:t>
      </w:r>
    </w:p>
    <w:p w14:paraId="58C49FD0">
      <w:pPr>
        <w:widowControl/>
        <w:ind w:firstLine="560"/>
        <w:jc w:val="left"/>
        <w:rPr>
          <w:bCs/>
          <w:color w:val="171717"/>
        </w:rPr>
      </w:pPr>
    </w:p>
    <w:p w14:paraId="71034644">
      <w:pPr>
        <w:pStyle w:val="4"/>
        <w:bidi w:val="0"/>
        <w:ind w:left="720" w:leftChars="0" w:hanging="720" w:firstLineChars="0"/>
      </w:pPr>
      <w:r>
        <w:rPr>
          <w:rFonts w:hint="eastAsia"/>
        </w:rPr>
        <w:t>吊机型号参数</w:t>
      </w:r>
    </w:p>
    <w:p w14:paraId="40F9A531">
      <w:pPr>
        <w:keepNext/>
        <w:keepLines w:val="0"/>
        <w:pageBreakBefore w:val="0"/>
        <w:widowControl w:val="0"/>
        <w:kinsoku/>
        <w:wordWrap/>
        <w:overflowPunct/>
        <w:topLinePunct w:val="0"/>
        <w:autoSpaceDE/>
        <w:autoSpaceDN/>
        <w:bidi w:val="0"/>
        <w:adjustRightInd/>
        <w:snapToGrid/>
        <w:spacing w:line="360" w:lineRule="auto"/>
        <w:jc w:val="center"/>
        <w:textAlignment w:val="auto"/>
        <w:rPr>
          <w:rStyle w:val="194"/>
          <w:rFonts w:hint="eastAsia"/>
        </w:rPr>
      </w:pPr>
      <w:r>
        <w:rPr>
          <w:rStyle w:val="194"/>
          <w:rFonts w:hint="eastAsia"/>
        </w:rPr>
        <w:t>表4.</w:t>
      </w:r>
      <w:r>
        <w:rPr>
          <w:rStyle w:val="194"/>
        </w:rPr>
        <w:t>4-</w:t>
      </w:r>
      <w:r>
        <w:rPr>
          <w:rStyle w:val="194"/>
          <w:rFonts w:hint="eastAsia"/>
        </w:rPr>
        <w:t>1</w:t>
      </w:r>
      <w:r>
        <w:rPr>
          <w:rStyle w:val="194"/>
        </w:rPr>
        <w:t xml:space="preserve">  </w:t>
      </w:r>
      <w:r>
        <w:rPr>
          <w:rStyle w:val="194"/>
          <w:rFonts w:hint="eastAsia"/>
          <w:lang w:val="en-US" w:eastAsia="zh-CN"/>
        </w:rPr>
        <w:t>25</w:t>
      </w:r>
      <w:r>
        <w:rPr>
          <w:rStyle w:val="194"/>
          <w:rFonts w:hint="eastAsia"/>
        </w:rPr>
        <w:t>T汽车吊起重性能表</w:t>
      </w:r>
    </w:p>
    <w:p w14:paraId="2DF57A3B">
      <w:pPr>
        <w:keepNext w:val="0"/>
        <w:keepLines w:val="0"/>
        <w:pageBreakBefore w:val="0"/>
        <w:widowControl w:val="0"/>
        <w:kinsoku/>
        <w:wordWrap/>
        <w:overflowPunct/>
        <w:topLinePunct w:val="0"/>
        <w:autoSpaceDE/>
        <w:autoSpaceDN/>
        <w:bidi w:val="0"/>
        <w:adjustRightInd/>
        <w:snapToGrid/>
        <w:spacing w:line="360" w:lineRule="auto"/>
        <w:jc w:val="center"/>
        <w:textAlignment w:val="auto"/>
      </w:pPr>
      <w:r>
        <w:drawing>
          <wp:inline distT="0" distB="0" distL="114300" distR="114300">
            <wp:extent cx="5715000" cy="3734435"/>
            <wp:effectExtent l="0" t="0" r="0" b="18415"/>
            <wp:docPr id="1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
                    <pic:cNvPicPr>
                      <a:picLocks noChangeAspect="1"/>
                    </pic:cNvPicPr>
                  </pic:nvPicPr>
                  <pic:blipFill>
                    <a:blip r:embed="rId26"/>
                    <a:stretch>
                      <a:fillRect/>
                    </a:stretch>
                  </pic:blipFill>
                  <pic:spPr>
                    <a:xfrm>
                      <a:off x="0" y="0"/>
                      <a:ext cx="5715000" cy="3734435"/>
                    </a:xfrm>
                    <a:prstGeom prst="rect">
                      <a:avLst/>
                    </a:prstGeom>
                    <a:noFill/>
                    <a:ln>
                      <a:noFill/>
                    </a:ln>
                  </pic:spPr>
                </pic:pic>
              </a:graphicData>
            </a:graphic>
          </wp:inline>
        </w:drawing>
      </w:r>
    </w:p>
    <w:p w14:paraId="7C05FA8A">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4746625" cy="4921885"/>
            <wp:effectExtent l="0" t="0" r="15875" b="12065"/>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
                    <pic:cNvPicPr>
                      <a:picLocks noChangeAspect="1"/>
                    </pic:cNvPicPr>
                  </pic:nvPicPr>
                  <pic:blipFill>
                    <a:blip r:embed="rId27"/>
                    <a:stretch>
                      <a:fillRect/>
                    </a:stretch>
                  </pic:blipFill>
                  <pic:spPr>
                    <a:xfrm>
                      <a:off x="0" y="0"/>
                      <a:ext cx="4746625" cy="4921885"/>
                    </a:xfrm>
                    <a:prstGeom prst="rect">
                      <a:avLst/>
                    </a:prstGeom>
                    <a:noFill/>
                    <a:ln>
                      <a:noFill/>
                    </a:ln>
                  </pic:spPr>
                </pic:pic>
              </a:graphicData>
            </a:graphic>
          </wp:inline>
        </w:drawing>
      </w:r>
    </w:p>
    <w:p w14:paraId="01AD384F">
      <w:pPr>
        <w:pStyle w:val="16"/>
        <w:bidi w:val="0"/>
      </w:pPr>
      <w:r>
        <w:rPr>
          <w:rFonts w:hint="eastAsia"/>
        </w:rPr>
        <w:t>表4.</w:t>
      </w:r>
      <w:r>
        <w:t>4-</w:t>
      </w:r>
      <w:r>
        <w:rPr>
          <w:rFonts w:hint="eastAsia"/>
        </w:rPr>
        <w:t>1</w:t>
      </w:r>
      <w:r>
        <w:t xml:space="preserve">  </w:t>
      </w:r>
      <w:r>
        <w:rPr>
          <w:rFonts w:hint="eastAsia"/>
          <w:lang w:val="en-US" w:eastAsia="zh-CN"/>
        </w:rPr>
        <w:t>50T</w:t>
      </w:r>
      <w:r>
        <w:rPr>
          <w:rFonts w:hint="eastAsia"/>
        </w:rPr>
        <w:t>汽车吊起重性能表</w:t>
      </w:r>
    </w:p>
    <w:p w14:paraId="25AB9D7C">
      <w:pPr>
        <w:spacing w:line="240" w:lineRule="auto"/>
        <w:ind w:firstLine="560"/>
        <w:jc w:val="center"/>
      </w:pPr>
      <w:r>
        <w:drawing>
          <wp:inline distT="0" distB="0" distL="114300" distR="114300">
            <wp:extent cx="4735830" cy="3827780"/>
            <wp:effectExtent l="0" t="0" r="7620" b="127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8"/>
                    <a:srcRect l="6081" b="1908"/>
                    <a:stretch>
                      <a:fillRect/>
                    </a:stretch>
                  </pic:blipFill>
                  <pic:spPr>
                    <a:xfrm>
                      <a:off x="0" y="0"/>
                      <a:ext cx="4735830" cy="3827780"/>
                    </a:xfrm>
                    <a:prstGeom prst="rect">
                      <a:avLst/>
                    </a:prstGeom>
                    <a:noFill/>
                    <a:ln>
                      <a:noFill/>
                    </a:ln>
                  </pic:spPr>
                </pic:pic>
              </a:graphicData>
            </a:graphic>
          </wp:inline>
        </w:drawing>
      </w:r>
      <w:r>
        <w:drawing>
          <wp:inline distT="0" distB="0" distL="114300" distR="114300">
            <wp:extent cx="3973195" cy="4255135"/>
            <wp:effectExtent l="0" t="0" r="8255" b="12065"/>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29"/>
                    <a:srcRect t="3349" r="1171"/>
                    <a:stretch>
                      <a:fillRect/>
                    </a:stretch>
                  </pic:blipFill>
                  <pic:spPr>
                    <a:xfrm>
                      <a:off x="0" y="0"/>
                      <a:ext cx="3973195" cy="4255135"/>
                    </a:xfrm>
                    <a:prstGeom prst="rect">
                      <a:avLst/>
                    </a:prstGeom>
                    <a:noFill/>
                    <a:ln>
                      <a:noFill/>
                    </a:ln>
                  </pic:spPr>
                </pic:pic>
              </a:graphicData>
            </a:graphic>
          </wp:inline>
        </w:drawing>
      </w:r>
    </w:p>
    <w:p w14:paraId="05C3BD1D">
      <w:pPr>
        <w:pStyle w:val="4"/>
        <w:bidi w:val="0"/>
        <w:ind w:left="720" w:leftChars="0" w:hanging="720" w:firstLineChars="0"/>
      </w:pPr>
      <w:bookmarkStart w:id="252" w:name="_Toc10253"/>
      <w:bookmarkStart w:id="253" w:name="_Toc5356"/>
      <w:bookmarkStart w:id="254" w:name="_Toc533610086"/>
      <w:r>
        <w:rPr>
          <w:rFonts w:hint="eastAsia"/>
        </w:rPr>
        <w:t>起吊能力验算</w:t>
      </w:r>
      <w:bookmarkEnd w:id="252"/>
      <w:bookmarkEnd w:id="253"/>
      <w:bookmarkEnd w:id="254"/>
    </w:p>
    <w:p w14:paraId="413AA247">
      <w:pPr>
        <w:pStyle w:val="5"/>
        <w:bidi w:val="0"/>
        <w:ind w:left="864" w:leftChars="0" w:hanging="864" w:firstLineChars="0"/>
      </w:pPr>
      <w:r>
        <w:rPr>
          <w:rFonts w:hint="eastAsia"/>
          <w:lang w:val="en-US" w:eastAsia="zh-CN"/>
        </w:rPr>
        <w:t>50t</w:t>
      </w:r>
      <w:r>
        <w:rPr>
          <w:rFonts w:hint="eastAsia"/>
        </w:rPr>
        <w:t>起重量的验算</w:t>
      </w:r>
    </w:p>
    <w:p w14:paraId="05377621">
      <w:pPr>
        <w:spacing w:line="360" w:lineRule="auto"/>
      </w:pPr>
      <w:bookmarkStart w:id="255" w:name="_Toc14360"/>
      <w:bookmarkStart w:id="256" w:name="_Toc10672"/>
      <w:bookmarkStart w:id="257" w:name="_Toc29110"/>
      <w:bookmarkStart w:id="258" w:name="_Toc9309"/>
      <w:bookmarkStart w:id="259" w:name="_Toc16506"/>
      <w:bookmarkStart w:id="260" w:name="_Toc3319"/>
      <w:bookmarkStart w:id="261" w:name="_Toc1524"/>
      <w:r>
        <w:rPr>
          <w:rFonts w:ascii="Times New Roman" w:hAnsi="Times New Roman"/>
          <w:color w:val="000000"/>
          <w:sz w:val="24"/>
        </w:rPr>
        <w:t xml:space="preserve">   计算依据：</w:t>
      </w:r>
    </w:p>
    <w:p w14:paraId="6F37D7F3">
      <w:pPr>
        <w:spacing w:line="360" w:lineRule="auto"/>
      </w:pPr>
      <w:r>
        <w:rPr>
          <w:rFonts w:ascii="Times New Roman" w:hAnsi="Times New Roman"/>
          <w:color w:val="000000"/>
          <w:sz w:val="24"/>
        </w:rPr>
        <w:t xml:space="preserve">    1、《建筑结构荷载规范》GB 50009-2012</w:t>
      </w:r>
    </w:p>
    <w:p w14:paraId="596BF3A4">
      <w:pPr>
        <w:spacing w:line="360" w:lineRule="auto"/>
      </w:pPr>
      <w:r>
        <w:rPr>
          <w:rFonts w:ascii="Times New Roman" w:hAnsi="Times New Roman"/>
          <w:color w:val="000000"/>
          <w:sz w:val="24"/>
        </w:rPr>
        <w:t xml:space="preserve">    2、《建筑结构可靠性设计统一标准》GB50068-2018</w:t>
      </w:r>
    </w:p>
    <w:p w14:paraId="6AE2849A">
      <w:pPr>
        <w:spacing w:line="360" w:lineRule="auto"/>
      </w:pPr>
      <w:r>
        <w:rPr>
          <w:rFonts w:ascii="Times New Roman" w:hAnsi="Times New Roman"/>
          <w:color w:val="000000"/>
          <w:sz w:val="24"/>
        </w:rPr>
        <w:t xml:space="preserve">    3、《建筑地基基础设计规范》GB50007-2011</w:t>
      </w:r>
    </w:p>
    <w:p w14:paraId="5D083697">
      <w:pPr>
        <w:spacing w:line="360" w:lineRule="auto"/>
      </w:pPr>
      <w:r>
        <w:rPr>
          <w:rFonts w:ascii="Times New Roman" w:hAnsi="Times New Roman"/>
          <w:color w:val="000000"/>
          <w:sz w:val="24"/>
        </w:rPr>
        <w:t xml:space="preserve">    4、三一厂家STC500C5-8型号汽车起重机说明书</w:t>
      </w:r>
    </w:p>
    <w:p w14:paraId="57A08C58">
      <w:pPr>
        <w:spacing w:line="360" w:lineRule="auto"/>
      </w:pPr>
      <w:r>
        <w:rPr>
          <w:rFonts w:ascii="Times New Roman" w:hAnsi="Times New Roman"/>
          <w:b/>
          <w:color w:val="000000"/>
          <w:sz w:val="28"/>
        </w:rPr>
        <w:t xml:space="preserve"> 一、吊装要求</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5C433156">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3CA1FF1">
            <w:pPr>
              <w:spacing w:line="360" w:lineRule="auto"/>
            </w:pPr>
            <w:r>
              <w:rPr>
                <w:rFonts w:ascii="Times New Roman" w:hAnsi="Times New Roman"/>
                <w:color w:val="000000"/>
                <w:sz w:val="18"/>
              </w:rPr>
              <w:t>吊重G</w:t>
            </w:r>
            <w:r>
              <w:rPr>
                <w:rFonts w:ascii="Times New Roman" w:hAnsi="Times New Roman"/>
                <w:color w:val="000000"/>
                <w:sz w:val="24"/>
                <w:vertAlign w:val="subscript"/>
              </w:rPr>
              <w:t>w</w:t>
            </w:r>
            <w:r>
              <w:rPr>
                <w:rFonts w:ascii="Times New Roman" w:hAnsi="Times New Roman"/>
                <w:color w:val="000000"/>
                <w:sz w:val="18"/>
              </w:rPr>
              <w:t>(吨)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C1ED25E">
            <w:pPr>
              <w:spacing w:line="360" w:lineRule="auto"/>
            </w:pPr>
            <w:r>
              <w:rPr>
                <w:rFonts w:ascii="Times New Roman" w:hAnsi="Times New Roman"/>
                <w:color w:val="000000"/>
                <w:sz w:val="18"/>
              </w:rPr>
              <w:t>7.022</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317AC26E">
            <w:pPr>
              <w:spacing w:line="360" w:lineRule="auto"/>
            </w:pPr>
            <w:r>
              <w:rPr>
                <w:rFonts w:ascii="Times New Roman" w:hAnsi="Times New Roman"/>
                <w:color w:val="000000"/>
                <w:sz w:val="18"/>
              </w:rPr>
              <w:t>起吊动力系数K</w:t>
            </w:r>
            <w:r>
              <w:rPr>
                <w:rFonts w:ascii="Times New Roman" w:hAnsi="Times New Roman"/>
                <w:color w:val="000000"/>
                <w:sz w:val="24"/>
                <w:vertAlign w:val="subscript"/>
              </w:rPr>
              <w:t>1</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20807AC8">
            <w:pPr>
              <w:spacing w:line="360" w:lineRule="auto"/>
            </w:pPr>
            <w:r>
              <w:rPr>
                <w:rFonts w:ascii="Times New Roman" w:hAnsi="Times New Roman"/>
                <w:color w:val="000000"/>
                <w:sz w:val="18"/>
              </w:rPr>
              <w:t>1.2</w:t>
            </w:r>
          </w:p>
        </w:tc>
      </w:tr>
    </w:tbl>
    <w:p w14:paraId="1AD271C0">
      <w:pPr>
        <w:spacing w:line="360" w:lineRule="auto"/>
      </w:pPr>
      <w:r>
        <w:rPr>
          <w:rFonts w:ascii="Times New Roman" w:hAnsi="Times New Roman"/>
          <w:b/>
          <w:color w:val="000000"/>
          <w:sz w:val="28"/>
        </w:rPr>
        <w:t xml:space="preserve"> 二、汽车式起重机支腿力计算</w:t>
      </w:r>
    </w:p>
    <w:p w14:paraId="39057FB8">
      <w:pPr>
        <w:spacing w:line="360" w:lineRule="auto"/>
      </w:pPr>
      <w:r>
        <w:rPr>
          <w:rFonts w:ascii="Times New Roman" w:hAnsi="Times New Roman"/>
          <w:b/>
          <w:color w:val="000000"/>
          <w:sz w:val="24"/>
        </w:rPr>
        <w:t xml:space="preserve">  1、汽车式起重机参数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7"/>
        <w:gridCol w:w="1607"/>
        <w:gridCol w:w="3108"/>
        <w:gridCol w:w="1613"/>
      </w:tblGrid>
      <w:tr w14:paraId="3EA4D549">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27E32D31">
            <w:pPr>
              <w:spacing w:line="360" w:lineRule="auto"/>
            </w:pPr>
            <w:r>
              <w:rPr>
                <w:rFonts w:ascii="Times New Roman" w:hAnsi="Times New Roman"/>
                <w:color w:val="000000"/>
                <w:sz w:val="18"/>
              </w:rPr>
              <w:t>汽车起重机厂家</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7F15FA91">
            <w:pPr>
              <w:spacing w:line="360" w:lineRule="auto"/>
            </w:pPr>
            <w:r>
              <w:rPr>
                <w:rFonts w:ascii="Times New Roman" w:hAnsi="Times New Roman"/>
                <w:color w:val="000000"/>
                <w:sz w:val="18"/>
              </w:rPr>
              <w:t>三一</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7BCF4E0C">
            <w:pPr>
              <w:spacing w:line="360" w:lineRule="auto"/>
            </w:pPr>
            <w:r>
              <w:rPr>
                <w:rFonts w:ascii="Times New Roman" w:hAnsi="Times New Roman"/>
                <w:color w:val="000000"/>
                <w:sz w:val="18"/>
              </w:rPr>
              <w:t>起重机型号</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5ABEA346">
            <w:pPr>
              <w:spacing w:line="360" w:lineRule="auto"/>
            </w:pPr>
            <w:r>
              <w:rPr>
                <w:rFonts w:ascii="Times New Roman" w:hAnsi="Times New Roman"/>
                <w:color w:val="000000"/>
                <w:sz w:val="18"/>
              </w:rPr>
              <w:t>STC500C5-8</w:t>
            </w:r>
          </w:p>
        </w:tc>
      </w:tr>
      <w:tr w14:paraId="410BD66E">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3DFFE484">
            <w:pPr>
              <w:spacing w:line="360" w:lineRule="auto"/>
            </w:pPr>
            <w:r>
              <w:rPr>
                <w:rFonts w:ascii="Times New Roman" w:hAnsi="Times New Roman"/>
                <w:color w:val="000000"/>
                <w:sz w:val="18"/>
              </w:rPr>
              <w:t>吊重G</w:t>
            </w:r>
            <w:r>
              <w:rPr>
                <w:rFonts w:ascii="Times New Roman" w:hAnsi="Times New Roman"/>
                <w:color w:val="000000"/>
                <w:sz w:val="24"/>
                <w:vertAlign w:val="subscript"/>
              </w:rPr>
              <w:t>w</w:t>
            </w:r>
            <w:r>
              <w:rPr>
                <w:rFonts w:ascii="Times New Roman" w:hAnsi="Times New Roman"/>
                <w:color w:val="000000"/>
                <w:sz w:val="18"/>
              </w:rPr>
              <w:t>(吨)</w:t>
            </w:r>
          </w:p>
        </w:tc>
        <w:tc>
          <w:tcPr>
            <w:tcW w:w="1605" w:type="dxa"/>
            <w:shd w:val="clear" w:color="auto" w:fill="FFFFFF"/>
          </w:tcPr>
          <w:p w14:paraId="595ABD40">
            <w:pPr>
              <w:spacing w:line="360" w:lineRule="auto"/>
            </w:pPr>
            <w:r>
              <w:rPr>
                <w:rFonts w:ascii="Times New Roman" w:hAnsi="Times New Roman"/>
                <w:color w:val="000000"/>
                <w:sz w:val="18"/>
              </w:rPr>
              <w:t>7.022</w:t>
            </w:r>
          </w:p>
        </w:tc>
        <w:tc>
          <w:tcPr>
            <w:tcW w:w="3105" w:type="dxa"/>
            <w:shd w:val="clear" w:color="auto" w:fill="FFFFFF"/>
          </w:tcPr>
          <w:p w14:paraId="4918D049">
            <w:pPr>
              <w:spacing w:line="360" w:lineRule="auto"/>
            </w:pPr>
            <w:r>
              <w:rPr>
                <w:rFonts w:ascii="Times New Roman" w:hAnsi="Times New Roman"/>
                <w:color w:val="000000"/>
                <w:sz w:val="18"/>
              </w:rPr>
              <w:t>起吊动力系数K</w:t>
            </w:r>
            <w:r>
              <w:rPr>
                <w:rFonts w:ascii="Times New Roman" w:hAnsi="Times New Roman"/>
                <w:color w:val="000000"/>
                <w:sz w:val="24"/>
                <w:vertAlign w:val="subscript"/>
              </w:rPr>
              <w:t>1</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144ACC32">
            <w:pPr>
              <w:spacing w:line="360" w:lineRule="auto"/>
            </w:pPr>
            <w:r>
              <w:rPr>
                <w:rFonts w:ascii="Times New Roman" w:hAnsi="Times New Roman"/>
                <w:color w:val="000000"/>
                <w:sz w:val="18"/>
              </w:rPr>
              <w:t>1.2</w:t>
            </w:r>
          </w:p>
        </w:tc>
      </w:tr>
      <w:tr w14:paraId="056EBAB3">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FF27053">
            <w:pPr>
              <w:spacing w:line="360" w:lineRule="auto"/>
            </w:pPr>
            <w:r>
              <w:rPr>
                <w:rFonts w:ascii="Times New Roman" w:hAnsi="Times New Roman"/>
                <w:color w:val="000000"/>
                <w:sz w:val="18"/>
              </w:rPr>
              <w:t>工作幅度R(m)</w:t>
            </w:r>
          </w:p>
        </w:tc>
        <w:tc>
          <w:tcPr>
            <w:tcW w:w="1605" w:type="dxa"/>
            <w:shd w:val="clear" w:color="auto" w:fill="FFFFFF"/>
          </w:tcPr>
          <w:p w14:paraId="4518AAE1">
            <w:pPr>
              <w:spacing w:line="360" w:lineRule="auto"/>
            </w:pPr>
            <w:r>
              <w:rPr>
                <w:rFonts w:ascii="Times New Roman" w:hAnsi="Times New Roman"/>
                <w:color w:val="000000"/>
                <w:sz w:val="18"/>
              </w:rPr>
              <w:t>14</w:t>
            </w:r>
          </w:p>
        </w:tc>
        <w:tc>
          <w:tcPr>
            <w:tcW w:w="3105" w:type="dxa"/>
            <w:shd w:val="clear" w:color="auto" w:fill="FFFFFF"/>
          </w:tcPr>
          <w:p w14:paraId="4CE312B4">
            <w:pPr>
              <w:spacing w:line="360" w:lineRule="auto"/>
            </w:pPr>
            <w:r>
              <w:rPr>
                <w:rFonts w:ascii="Times New Roman" w:hAnsi="Times New Roman"/>
                <w:color w:val="000000"/>
                <w:sz w:val="18"/>
              </w:rPr>
              <w:t>支腿纵向距离L(m)</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450A4BAF">
            <w:pPr>
              <w:spacing w:line="360" w:lineRule="auto"/>
            </w:pPr>
            <w:r>
              <w:rPr>
                <w:rFonts w:ascii="Times New Roman" w:hAnsi="Times New Roman"/>
                <w:color w:val="000000"/>
                <w:sz w:val="18"/>
              </w:rPr>
              <w:t>8</w:t>
            </w:r>
          </w:p>
        </w:tc>
      </w:tr>
      <w:tr w14:paraId="7A5D23FB">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A414D7E">
            <w:pPr>
              <w:spacing w:line="360" w:lineRule="auto"/>
            </w:pPr>
            <w:r>
              <w:rPr>
                <w:rFonts w:ascii="Times New Roman" w:hAnsi="Times New Roman"/>
                <w:color w:val="000000"/>
                <w:sz w:val="18"/>
              </w:rPr>
              <w:t>支腿横向距离B(m)</w:t>
            </w:r>
          </w:p>
        </w:tc>
        <w:tc>
          <w:tcPr>
            <w:tcW w:w="1605" w:type="dxa"/>
            <w:shd w:val="clear" w:color="auto" w:fill="FFFFFF"/>
          </w:tcPr>
          <w:p w14:paraId="2027AF6A">
            <w:pPr>
              <w:spacing w:line="360" w:lineRule="auto"/>
            </w:pPr>
            <w:r>
              <w:rPr>
                <w:rFonts w:ascii="Times New Roman" w:hAnsi="Times New Roman"/>
                <w:color w:val="000000"/>
                <w:sz w:val="18"/>
              </w:rPr>
              <w:t>5.26</w:t>
            </w:r>
          </w:p>
        </w:tc>
        <w:tc>
          <w:tcPr>
            <w:tcW w:w="3105" w:type="dxa"/>
            <w:shd w:val="clear" w:color="auto" w:fill="FFFFFF"/>
          </w:tcPr>
          <w:p w14:paraId="4049C7F2">
            <w:pPr>
              <w:spacing w:line="360" w:lineRule="auto"/>
            </w:pPr>
            <w:r>
              <w:rPr>
                <w:rFonts w:ascii="Times New Roman" w:hAnsi="Times New Roman"/>
                <w:color w:val="000000"/>
                <w:sz w:val="18"/>
              </w:rPr>
              <w:t>后支腿距最后一排车轮距离s(m)</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21883C6">
            <w:pPr>
              <w:spacing w:line="360" w:lineRule="auto"/>
            </w:pPr>
            <w:r>
              <w:rPr>
                <w:rFonts w:ascii="Times New Roman" w:hAnsi="Times New Roman"/>
                <w:color w:val="000000"/>
                <w:sz w:val="18"/>
              </w:rPr>
              <w:t>1.5</w:t>
            </w:r>
          </w:p>
        </w:tc>
      </w:tr>
      <w:tr w14:paraId="6C4F874C">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5CA7FE64">
            <w:pPr>
              <w:spacing w:line="360" w:lineRule="auto"/>
            </w:pPr>
            <w:r>
              <w:rPr>
                <w:rFonts w:ascii="Times New Roman" w:hAnsi="Times New Roman"/>
                <w:color w:val="000000"/>
                <w:sz w:val="18"/>
              </w:rPr>
              <w:t>后支腿距旋转中心距离L</w:t>
            </w:r>
            <w:r>
              <w:rPr>
                <w:rFonts w:ascii="Times New Roman" w:hAnsi="Times New Roman"/>
                <w:color w:val="000000"/>
                <w:sz w:val="24"/>
                <w:vertAlign w:val="subscript"/>
              </w:rPr>
              <w:t>h</w:t>
            </w:r>
            <w:r>
              <w:rPr>
                <w:rFonts w:ascii="Times New Roman" w:hAnsi="Times New Roman"/>
                <w:color w:val="000000"/>
                <w:sz w:val="18"/>
              </w:rPr>
              <w:t>(m)</w:t>
            </w:r>
          </w:p>
        </w:tc>
        <w:tc>
          <w:tcPr>
            <w:tcW w:w="1605" w:type="dxa"/>
            <w:shd w:val="clear" w:color="auto" w:fill="FFFFFF"/>
          </w:tcPr>
          <w:p w14:paraId="4470FA3F">
            <w:pPr>
              <w:spacing w:line="360" w:lineRule="auto"/>
            </w:pPr>
            <w:r>
              <w:rPr>
                <w:rFonts w:ascii="Times New Roman" w:hAnsi="Times New Roman"/>
                <w:color w:val="000000"/>
                <w:sz w:val="18"/>
              </w:rPr>
              <w:t>3.2</w:t>
            </w:r>
          </w:p>
        </w:tc>
        <w:tc>
          <w:tcPr>
            <w:tcW w:w="3105" w:type="dxa"/>
            <w:shd w:val="clear" w:color="auto" w:fill="FFFFFF"/>
          </w:tcPr>
          <w:p w14:paraId="3C707804">
            <w:pPr>
              <w:spacing w:line="360" w:lineRule="auto"/>
            </w:pPr>
            <w:r>
              <w:rPr>
                <w:rFonts w:ascii="Times New Roman" w:hAnsi="Times New Roman"/>
                <w:color w:val="000000"/>
                <w:sz w:val="18"/>
              </w:rPr>
              <w:t>起重机自重G(吨)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5C7DB52B">
            <w:pPr>
              <w:spacing w:line="360" w:lineRule="auto"/>
            </w:pPr>
            <w:r>
              <w:rPr>
                <w:rFonts w:ascii="Times New Roman" w:hAnsi="Times New Roman"/>
                <w:color w:val="000000"/>
                <w:sz w:val="18"/>
              </w:rPr>
              <w:t>40.4</w:t>
            </w:r>
          </w:p>
        </w:tc>
      </w:tr>
      <w:tr w14:paraId="028F1AFA">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5A620B3">
            <w:pPr>
              <w:spacing w:line="360" w:lineRule="auto"/>
            </w:pPr>
            <w:r>
              <w:rPr>
                <w:rFonts w:ascii="Times New Roman" w:hAnsi="Times New Roman"/>
                <w:color w:val="000000"/>
                <w:sz w:val="18"/>
              </w:rPr>
              <w:t>是否有活动配重</w:t>
            </w:r>
          </w:p>
        </w:tc>
        <w:tc>
          <w:tcPr>
            <w:tcW w:w="1605" w:type="dxa"/>
            <w:shd w:val="clear" w:color="auto" w:fill="FFFFFF"/>
          </w:tcPr>
          <w:p w14:paraId="39467A87">
            <w:pPr>
              <w:spacing w:line="360" w:lineRule="auto"/>
            </w:pPr>
            <w:r>
              <w:rPr>
                <w:rFonts w:ascii="Times New Roman" w:hAnsi="Times New Roman"/>
                <w:color w:val="000000"/>
                <w:sz w:val="18"/>
              </w:rPr>
              <w:t>是</w:t>
            </w:r>
          </w:p>
        </w:tc>
        <w:tc>
          <w:tcPr>
            <w:tcW w:w="3105" w:type="dxa"/>
            <w:shd w:val="clear" w:color="auto" w:fill="FFFFFF"/>
          </w:tcPr>
          <w:p w14:paraId="778F521A">
            <w:pPr>
              <w:spacing w:line="360" w:lineRule="auto"/>
            </w:pPr>
            <w:r>
              <w:rPr>
                <w:rFonts w:ascii="Times New Roman" w:hAnsi="Times New Roman"/>
                <w:color w:val="000000"/>
                <w:sz w:val="18"/>
              </w:rPr>
              <w:t>活动配重G</w:t>
            </w:r>
            <w:r>
              <w:rPr>
                <w:rFonts w:ascii="Times New Roman" w:hAnsi="Times New Roman"/>
                <w:color w:val="000000"/>
                <w:sz w:val="24"/>
                <w:vertAlign w:val="subscript"/>
              </w:rPr>
              <w:t>活</w:t>
            </w:r>
            <w:r>
              <w:rPr>
                <w:rFonts w:ascii="Times New Roman" w:hAnsi="Times New Roman"/>
                <w:color w:val="000000"/>
                <w:sz w:val="18"/>
              </w:rPr>
              <w:t>(吨)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2F3FB637">
            <w:pPr>
              <w:spacing w:line="360" w:lineRule="auto"/>
            </w:pPr>
            <w:r>
              <w:rPr>
                <w:rFonts w:ascii="Times New Roman" w:hAnsi="Times New Roman"/>
                <w:color w:val="000000"/>
                <w:sz w:val="18"/>
              </w:rPr>
              <w:t>9.5</w:t>
            </w:r>
          </w:p>
        </w:tc>
      </w:tr>
      <w:tr w14:paraId="755821BE">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52248BF7">
            <w:pPr>
              <w:spacing w:line="360" w:lineRule="auto"/>
            </w:pPr>
            <w:r>
              <w:rPr>
                <w:rFonts w:ascii="Times New Roman" w:hAnsi="Times New Roman"/>
                <w:color w:val="000000"/>
                <w:sz w:val="18"/>
              </w:rPr>
              <w:t>活动配重距旋转中心距离L</w:t>
            </w:r>
            <w:r>
              <w:rPr>
                <w:rFonts w:ascii="Times New Roman" w:hAnsi="Times New Roman"/>
                <w:color w:val="000000"/>
                <w:sz w:val="24"/>
                <w:vertAlign w:val="subscript"/>
              </w:rPr>
              <w:t>d</w:t>
            </w:r>
            <w:r>
              <w:rPr>
                <w:rFonts w:ascii="Times New Roman" w:hAnsi="Times New Roman"/>
                <w:color w:val="000000"/>
                <w:sz w:val="18"/>
              </w:rPr>
              <w:t>(m)</w:t>
            </w:r>
          </w:p>
        </w:tc>
        <w:tc>
          <w:tcPr>
            <w:tcW w:w="6105" w:type="dxa"/>
            <w:gridSpan w:val="3"/>
            <w:tcBorders>
              <w:top w:val="single" w:color="auto" w:sz="6" w:space="0"/>
              <w:left w:val="single" w:color="auto" w:sz="6" w:space="0"/>
              <w:bottom w:val="single" w:color="auto" w:sz="6" w:space="0"/>
              <w:right w:val="single" w:color="auto" w:sz="6" w:space="0"/>
            </w:tcBorders>
            <w:shd w:val="clear" w:color="auto" w:fill="FFFFFF"/>
          </w:tcPr>
          <w:p w14:paraId="4E9D899F">
            <w:pPr>
              <w:spacing w:line="360" w:lineRule="auto"/>
            </w:pPr>
            <w:r>
              <w:rPr>
                <w:rFonts w:ascii="Times New Roman" w:hAnsi="Times New Roman"/>
                <w:color w:val="000000"/>
                <w:sz w:val="18"/>
              </w:rPr>
              <w:t>3.3</w:t>
            </w:r>
          </w:p>
        </w:tc>
      </w:tr>
    </w:tbl>
    <w:p w14:paraId="605F1C57">
      <w:pPr>
        <w:spacing w:line="360" w:lineRule="auto"/>
      </w:pPr>
      <w:r>
        <w:rPr>
          <w:rFonts w:ascii="Times New Roman" w:hAnsi="Times New Roman"/>
          <w:b/>
          <w:color w:val="000000"/>
          <w:sz w:val="24"/>
        </w:rPr>
        <w:t xml:space="preserve">  2、汽车起重机轴距及轴荷</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76D4DC62">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56E3C95">
            <w:pPr>
              <w:spacing w:line="360" w:lineRule="auto"/>
            </w:pPr>
            <w:r>
              <w:rPr>
                <w:rFonts w:ascii="Times New Roman" w:hAnsi="Times New Roman"/>
                <w:color w:val="000000"/>
                <w:sz w:val="18"/>
              </w:rPr>
              <w:t>汽车起重机轴数</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4EB0A8E5">
            <w:pPr>
              <w:spacing w:line="360" w:lineRule="auto"/>
            </w:pPr>
            <w:r>
              <w:rPr>
                <w:rFonts w:ascii="Times New Roman" w:hAnsi="Times New Roman"/>
                <w:color w:val="000000"/>
                <w:sz w:val="18"/>
              </w:rPr>
              <w:t>4</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67480B22">
            <w:pPr>
              <w:spacing w:line="360" w:lineRule="auto"/>
            </w:pPr>
            <w:r>
              <w:rPr>
                <w:rFonts w:ascii="Times New Roman" w:hAnsi="Times New Roman"/>
                <w:color w:val="000000"/>
                <w:sz w:val="18"/>
              </w:rPr>
              <w:t>第1排车轮荷载(吨)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6E2E323A">
            <w:pPr>
              <w:spacing w:line="360" w:lineRule="auto"/>
            </w:pPr>
            <w:r>
              <w:rPr>
                <w:rFonts w:ascii="Times New Roman" w:hAnsi="Times New Roman"/>
                <w:color w:val="000000"/>
                <w:sz w:val="18"/>
              </w:rPr>
              <w:t>7.2</w:t>
            </w:r>
          </w:p>
        </w:tc>
      </w:tr>
    </w:tbl>
    <w:p w14:paraId="5A496732">
      <w:pPr>
        <w:spacing w:line="360" w:lineRule="auto"/>
      </w:pPr>
      <w:r>
        <w:rPr>
          <w:rFonts w:ascii="Times New Roman" w:hAnsi="Times New Roman"/>
          <w:color w:val="000000"/>
          <w:sz w:val="24"/>
        </w:rPr>
        <w:t xml:space="preserve">    </w:t>
      </w:r>
    </w:p>
    <w:tbl>
      <w:tblPr>
        <w:tblStyle w:val="44"/>
        <w:tblW w:w="7080" w:type="dxa"/>
        <w:jc w:val="center"/>
        <w:shd w:val="clear" w:color="auto" w:fill="FFFFFF"/>
        <w:tblLayout w:type="autofit"/>
        <w:tblCellMar>
          <w:top w:w="45" w:type="dxa"/>
          <w:left w:w="45" w:type="dxa"/>
          <w:bottom w:w="45" w:type="dxa"/>
          <w:right w:w="45" w:type="dxa"/>
        </w:tblCellMar>
      </w:tblPr>
      <w:tblGrid>
        <w:gridCol w:w="2360"/>
        <w:gridCol w:w="2360"/>
        <w:gridCol w:w="2360"/>
      </w:tblGrid>
      <w:tr w14:paraId="30E42749">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182A9BA6">
            <w:pPr>
              <w:spacing w:line="360" w:lineRule="auto"/>
            </w:pPr>
            <w:r>
              <w:rPr>
                <w:rFonts w:ascii="Times New Roman" w:hAnsi="Times New Roman"/>
                <w:color w:val="000000"/>
                <w:sz w:val="18"/>
              </w:rPr>
              <w:t>第i排车轮</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6CCAF6FA">
            <w:pPr>
              <w:spacing w:line="360" w:lineRule="auto"/>
            </w:pPr>
            <w:r>
              <w:rPr>
                <w:rFonts w:ascii="Times New Roman" w:hAnsi="Times New Roman"/>
                <w:color w:val="000000"/>
                <w:sz w:val="18"/>
              </w:rPr>
              <w:t>依次轴距(mm)</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663FDEC8">
            <w:pPr>
              <w:spacing w:line="360" w:lineRule="auto"/>
            </w:pPr>
            <w:r>
              <w:rPr>
                <w:rFonts w:ascii="Times New Roman" w:hAnsi="Times New Roman"/>
                <w:color w:val="000000"/>
                <w:sz w:val="18"/>
              </w:rPr>
              <w:t>轴荷(吨)</w:t>
            </w:r>
          </w:p>
        </w:tc>
      </w:tr>
      <w:tr w14:paraId="031B7821">
        <w:tblPrEx>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45B841FD">
            <w:pPr>
              <w:spacing w:line="360" w:lineRule="auto"/>
            </w:pPr>
            <w:r>
              <w:rPr>
                <w:rFonts w:ascii="Times New Roman" w:hAnsi="Times New Roman"/>
                <w:color w:val="000000"/>
                <w:sz w:val="18"/>
              </w:rPr>
              <w:t>2</w:t>
            </w:r>
          </w:p>
        </w:tc>
        <w:tc>
          <w:tcPr>
            <w:tcW w:w="2355" w:type="dxa"/>
            <w:shd w:val="clear" w:color="auto" w:fill="FFFFFF"/>
            <w:vAlign w:val="center"/>
          </w:tcPr>
          <w:p w14:paraId="383183CD">
            <w:pPr>
              <w:spacing w:line="360" w:lineRule="auto"/>
            </w:pPr>
            <w:r>
              <w:rPr>
                <w:rFonts w:ascii="Times New Roman" w:hAnsi="Times New Roman"/>
                <w:color w:val="000000"/>
                <w:sz w:val="18"/>
              </w:rPr>
              <w:t>1450</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22D51CCB">
            <w:pPr>
              <w:spacing w:line="360" w:lineRule="auto"/>
            </w:pPr>
            <w:r>
              <w:rPr>
                <w:rFonts w:ascii="Times New Roman" w:hAnsi="Times New Roman"/>
                <w:color w:val="000000"/>
                <w:sz w:val="18"/>
              </w:rPr>
              <w:t>7.2</w:t>
            </w:r>
          </w:p>
        </w:tc>
      </w:tr>
      <w:tr w14:paraId="7932502B">
        <w:tblPrEx>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1FB65D21">
            <w:pPr>
              <w:spacing w:line="360" w:lineRule="auto"/>
            </w:pPr>
            <w:r>
              <w:rPr>
                <w:rFonts w:ascii="Times New Roman" w:hAnsi="Times New Roman"/>
                <w:color w:val="000000"/>
                <w:sz w:val="18"/>
              </w:rPr>
              <w:t>3</w:t>
            </w:r>
          </w:p>
        </w:tc>
        <w:tc>
          <w:tcPr>
            <w:tcW w:w="2355" w:type="dxa"/>
            <w:shd w:val="clear" w:color="auto" w:fill="FFFFFF"/>
            <w:vAlign w:val="center"/>
          </w:tcPr>
          <w:p w14:paraId="223F7DEA">
            <w:pPr>
              <w:spacing w:line="360" w:lineRule="auto"/>
            </w:pPr>
            <w:r>
              <w:rPr>
                <w:rFonts w:ascii="Times New Roman" w:hAnsi="Times New Roman"/>
                <w:color w:val="000000"/>
                <w:sz w:val="18"/>
              </w:rPr>
              <w:t>4450</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30319540">
            <w:pPr>
              <w:spacing w:line="360" w:lineRule="auto"/>
            </w:pPr>
            <w:r>
              <w:rPr>
                <w:rFonts w:ascii="Times New Roman" w:hAnsi="Times New Roman"/>
                <w:color w:val="000000"/>
                <w:sz w:val="18"/>
              </w:rPr>
              <w:t>13</w:t>
            </w:r>
          </w:p>
        </w:tc>
      </w:tr>
      <w:tr w14:paraId="580607F5">
        <w:tblPrEx>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2CDB3CC6">
            <w:pPr>
              <w:spacing w:line="360" w:lineRule="auto"/>
            </w:pPr>
            <w:r>
              <w:rPr>
                <w:rFonts w:ascii="Times New Roman" w:hAnsi="Times New Roman"/>
                <w:color w:val="000000"/>
                <w:sz w:val="18"/>
              </w:rPr>
              <w:t>4</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63B0F347">
            <w:pPr>
              <w:spacing w:line="360" w:lineRule="auto"/>
            </w:pPr>
            <w:r>
              <w:rPr>
                <w:rFonts w:ascii="Times New Roman" w:hAnsi="Times New Roman"/>
                <w:color w:val="000000"/>
                <w:sz w:val="18"/>
              </w:rPr>
              <w:t>1350</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09088BBF">
            <w:pPr>
              <w:spacing w:line="360" w:lineRule="auto"/>
            </w:pPr>
            <w:r>
              <w:rPr>
                <w:rFonts w:ascii="Times New Roman" w:hAnsi="Times New Roman"/>
                <w:color w:val="000000"/>
                <w:sz w:val="18"/>
              </w:rPr>
              <w:t>13</w:t>
            </w:r>
          </w:p>
        </w:tc>
      </w:tr>
    </w:tbl>
    <w:p w14:paraId="76CCB492">
      <w:pPr>
        <w:spacing w:line="360" w:lineRule="auto"/>
        <w:jc w:val="center"/>
      </w:pPr>
      <w:r>
        <w:drawing>
          <wp:inline distT="0" distB="0" distL="0" distR="0">
            <wp:extent cx="6096000" cy="3895725"/>
            <wp:effectExtent l="0" t="0" r="0" b="9525"/>
            <wp:docPr id="14"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 1"/>
                    <pic:cNvPicPr>
                      <a:picLocks noChangeAspect="1"/>
                    </pic:cNvPicPr>
                  </pic:nvPicPr>
                  <pic:blipFill>
                    <a:blip r:embed="rId30" cstate="print"/>
                    <a:stretch>
                      <a:fillRect/>
                    </a:stretch>
                  </pic:blipFill>
                  <pic:spPr>
                    <a:xfrm>
                      <a:off x="0" y="0"/>
                      <a:ext cx="6096000" cy="3895725"/>
                    </a:xfrm>
                    <a:prstGeom prst="rect">
                      <a:avLst/>
                    </a:prstGeom>
                  </pic:spPr>
                </pic:pic>
              </a:graphicData>
            </a:graphic>
          </wp:inline>
        </w:drawing>
      </w:r>
    </w:p>
    <w:p w14:paraId="4BB8ED91">
      <w:pPr>
        <w:spacing w:line="360" w:lineRule="auto"/>
        <w:jc w:val="center"/>
      </w:pPr>
      <w:r>
        <w:fldChar w:fldCharType="begin"/>
      </w:r>
      <w:r>
        <w:instrText xml:space="preserve"> HYPERLINK "file:///D:\\品茗软件\\品茗施工云安全计算软件2025版（V4.0）\\OutPut\\液压汽车起重机吊装计算_6_支腿力计算简图.dwg" \h </w:instrText>
      </w:r>
      <w:r>
        <w:fldChar w:fldCharType="separate"/>
      </w:r>
      <w:r>
        <w:rPr>
          <w:rFonts w:ascii="Times New Roman" w:hAnsi="Times New Roman"/>
          <w:color w:val="000080"/>
          <w:sz w:val="24"/>
          <w:u w:val="single"/>
        </w:rPr>
        <w:t>支腿力计算简图</w:t>
      </w:r>
      <w:r>
        <w:rPr>
          <w:rFonts w:ascii="Times New Roman" w:hAnsi="Times New Roman"/>
          <w:color w:val="000080"/>
          <w:sz w:val="24"/>
          <w:u w:val="single"/>
        </w:rPr>
        <w:fldChar w:fldCharType="end"/>
      </w:r>
    </w:p>
    <w:p w14:paraId="42D30AA3">
      <w:pPr>
        <w:spacing w:line="360" w:lineRule="auto"/>
      </w:pPr>
      <w:r>
        <w:rPr>
          <w:rFonts w:ascii="Times New Roman" w:hAnsi="Times New Roman"/>
          <w:color w:val="000000"/>
          <w:sz w:val="24"/>
        </w:rPr>
        <w:t xml:space="preserve">    在吊装过程中，支腿荷载主要有包括以下几部分荷载产生，起重机自重（通过在不同位置的各车轮轴荷代替）对各支腿产生的荷载F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；吊重及活动配重分解到X方向对各支腿产生的荷载F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 吊重及活动配重分解到Y方向对各支腿产生的荷载F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、F</w:t>
      </w:r>
      <w:r>
        <w:rPr>
          <w:rFonts w:ascii="Times New Roman" w:hAnsi="Times New Roman"/>
          <w:color w:val="000000"/>
          <w:sz w:val="24"/>
          <w:vertAlign w:val="subscript"/>
        </w:rPr>
        <w:t>cy</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w:t>
      </w:r>
    </w:p>
    <w:p w14:paraId="16086A95">
      <w:pPr>
        <w:spacing w:line="360" w:lineRule="auto"/>
        <w:jc w:val="center"/>
      </w:pPr>
      <w:r>
        <w:drawing>
          <wp:inline distT="0" distB="0" distL="0" distR="0">
            <wp:extent cx="5810250" cy="350520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 2"/>
                    <pic:cNvPicPr>
                      <a:picLocks noChangeAspect="1"/>
                    </pic:cNvPicPr>
                  </pic:nvPicPr>
                  <pic:blipFill>
                    <a:blip r:embed="rId31" cstate="print"/>
                    <a:stretch>
                      <a:fillRect/>
                    </a:stretch>
                  </pic:blipFill>
                  <pic:spPr>
                    <a:xfrm>
                      <a:off x="0" y="0"/>
                      <a:ext cx="5810250" cy="3505200"/>
                    </a:xfrm>
                    <a:prstGeom prst="rect">
                      <a:avLst/>
                    </a:prstGeom>
                  </pic:spPr>
                </pic:pic>
              </a:graphicData>
            </a:graphic>
          </wp:inline>
        </w:drawing>
      </w:r>
    </w:p>
    <w:p w14:paraId="20B9EE68">
      <w:pPr>
        <w:spacing w:line="360" w:lineRule="auto"/>
      </w:pPr>
      <w:r>
        <w:rPr>
          <w:rFonts w:ascii="Times New Roman" w:hAnsi="Times New Roman"/>
          <w:b/>
          <w:color w:val="000000"/>
          <w:sz w:val="24"/>
        </w:rPr>
        <w:t xml:space="preserve">   1）起重机自重各支腿产生的荷载计算</w:t>
      </w:r>
    </w:p>
    <w:p w14:paraId="39E0A0B7">
      <w:pPr>
        <w:spacing w:line="360" w:lineRule="auto"/>
      </w:pPr>
      <w:r>
        <w:rPr>
          <w:rFonts w:ascii="Times New Roman" w:hAnsi="Times New Roman"/>
          <w:color w:val="000000"/>
          <w:sz w:val="24"/>
        </w:rPr>
        <w:t xml:space="preserve">    起重机自重G等于各轴荷载总和，G=40.4吨</w:t>
      </w:r>
    </w:p>
    <w:p w14:paraId="3F014A17">
      <w:pPr>
        <w:spacing w:line="360" w:lineRule="auto"/>
      </w:pPr>
      <w:r>
        <w:rPr>
          <w:rFonts w:ascii="Times New Roman" w:hAnsi="Times New Roman"/>
          <w:color w:val="000000"/>
          <w:sz w:val="24"/>
        </w:rPr>
        <w:t xml:space="preserve">    第1轴：荷载为F</w:t>
      </w:r>
      <w:r>
        <w:rPr>
          <w:rFonts w:ascii="Times New Roman" w:hAnsi="Times New Roman"/>
          <w:color w:val="000000"/>
          <w:sz w:val="24"/>
          <w:vertAlign w:val="subscript"/>
        </w:rPr>
        <w:t>1</w:t>
      </w:r>
      <w:r>
        <w:rPr>
          <w:rFonts w:ascii="Times New Roman" w:hAnsi="Times New Roman"/>
          <w:color w:val="000000"/>
          <w:sz w:val="24"/>
        </w:rPr>
        <w:t>=7.2吨，距离后支腿距离L</w:t>
      </w:r>
      <w:r>
        <w:rPr>
          <w:rFonts w:ascii="Times New Roman" w:hAnsi="Times New Roman"/>
          <w:color w:val="000000"/>
          <w:sz w:val="24"/>
          <w:vertAlign w:val="subscript"/>
        </w:rPr>
        <w:t>1</w:t>
      </w:r>
      <w:r>
        <w:rPr>
          <w:rFonts w:ascii="Times New Roman" w:hAnsi="Times New Roman"/>
          <w:color w:val="000000"/>
          <w:sz w:val="24"/>
        </w:rPr>
        <w:t>=1.45+4.45+1.35+1.5=8.75m</w:t>
      </w:r>
    </w:p>
    <w:p w14:paraId="7B9AC4DE">
      <w:pPr>
        <w:spacing w:line="360" w:lineRule="auto"/>
      </w:pPr>
      <w:r>
        <w:rPr>
          <w:rFonts w:ascii="Times New Roman" w:hAnsi="Times New Roman"/>
          <w:color w:val="000000"/>
          <w:sz w:val="24"/>
        </w:rPr>
        <w:t xml:space="preserve">    第2轴：荷载为F</w:t>
      </w:r>
      <w:r>
        <w:rPr>
          <w:rFonts w:ascii="Times New Roman" w:hAnsi="Times New Roman"/>
          <w:color w:val="000000"/>
          <w:sz w:val="24"/>
          <w:vertAlign w:val="subscript"/>
        </w:rPr>
        <w:t>2</w:t>
      </w:r>
      <w:r>
        <w:rPr>
          <w:rFonts w:ascii="Times New Roman" w:hAnsi="Times New Roman"/>
          <w:color w:val="000000"/>
          <w:sz w:val="24"/>
        </w:rPr>
        <w:t>=7.2吨，距离后支腿距离L</w:t>
      </w:r>
      <w:r>
        <w:rPr>
          <w:rFonts w:ascii="Times New Roman" w:hAnsi="Times New Roman"/>
          <w:color w:val="000000"/>
          <w:sz w:val="24"/>
          <w:vertAlign w:val="subscript"/>
        </w:rPr>
        <w:t>2</w:t>
      </w:r>
      <w:r>
        <w:rPr>
          <w:rFonts w:ascii="Times New Roman" w:hAnsi="Times New Roman"/>
          <w:color w:val="000000"/>
          <w:sz w:val="24"/>
        </w:rPr>
        <w:t>=4.45+1.35+1.5=7.3m</w:t>
      </w:r>
    </w:p>
    <w:p w14:paraId="337D471A">
      <w:pPr>
        <w:spacing w:line="360" w:lineRule="auto"/>
      </w:pPr>
      <w:r>
        <w:rPr>
          <w:rFonts w:ascii="Times New Roman" w:hAnsi="Times New Roman"/>
          <w:color w:val="000000"/>
          <w:sz w:val="24"/>
        </w:rPr>
        <w:t xml:space="preserve">    第3轴：荷载为F</w:t>
      </w:r>
      <w:r>
        <w:rPr>
          <w:rFonts w:ascii="Times New Roman" w:hAnsi="Times New Roman"/>
          <w:color w:val="000000"/>
          <w:sz w:val="24"/>
          <w:vertAlign w:val="subscript"/>
        </w:rPr>
        <w:t>3</w:t>
      </w:r>
      <w:r>
        <w:rPr>
          <w:rFonts w:ascii="Times New Roman" w:hAnsi="Times New Roman"/>
          <w:color w:val="000000"/>
          <w:sz w:val="24"/>
        </w:rPr>
        <w:t>=13吨，距离后支腿距离L</w:t>
      </w:r>
      <w:r>
        <w:rPr>
          <w:rFonts w:ascii="Times New Roman" w:hAnsi="Times New Roman"/>
          <w:color w:val="000000"/>
          <w:sz w:val="24"/>
          <w:vertAlign w:val="subscript"/>
        </w:rPr>
        <w:t>3</w:t>
      </w:r>
      <w:r>
        <w:rPr>
          <w:rFonts w:ascii="Times New Roman" w:hAnsi="Times New Roman"/>
          <w:color w:val="000000"/>
          <w:sz w:val="24"/>
        </w:rPr>
        <w:t>=1.35+1.5=2.85m</w:t>
      </w:r>
    </w:p>
    <w:p w14:paraId="02946D4E">
      <w:pPr>
        <w:spacing w:line="360" w:lineRule="auto"/>
      </w:pPr>
      <w:r>
        <w:rPr>
          <w:rFonts w:ascii="Times New Roman" w:hAnsi="Times New Roman"/>
          <w:color w:val="000000"/>
          <w:sz w:val="24"/>
        </w:rPr>
        <w:t xml:space="preserve">    第4轴：荷载为F</w:t>
      </w:r>
      <w:r>
        <w:rPr>
          <w:rFonts w:ascii="Times New Roman" w:hAnsi="Times New Roman"/>
          <w:color w:val="000000"/>
          <w:sz w:val="24"/>
          <w:vertAlign w:val="subscript"/>
        </w:rPr>
        <w:t>4</w:t>
      </w:r>
      <w:r>
        <w:rPr>
          <w:rFonts w:ascii="Times New Roman" w:hAnsi="Times New Roman"/>
          <w:color w:val="000000"/>
          <w:sz w:val="24"/>
        </w:rPr>
        <w:t>=13吨，距离后支腿距离L</w:t>
      </w:r>
      <w:r>
        <w:rPr>
          <w:rFonts w:ascii="Times New Roman" w:hAnsi="Times New Roman"/>
          <w:color w:val="000000"/>
          <w:sz w:val="24"/>
          <w:vertAlign w:val="subscript"/>
        </w:rPr>
        <w:t>4</w:t>
      </w:r>
      <w:r>
        <w:rPr>
          <w:rFonts w:ascii="Times New Roman" w:hAnsi="Times New Roman"/>
          <w:color w:val="000000"/>
          <w:sz w:val="24"/>
        </w:rPr>
        <w:t>=1.5m</w:t>
      </w:r>
    </w:p>
    <w:p w14:paraId="4CE98ED4">
      <w:pPr>
        <w:spacing w:line="360" w:lineRule="auto"/>
      </w:pPr>
      <w:r>
        <w:rPr>
          <w:rFonts w:ascii="Times New Roman" w:hAnsi="Times New Roman"/>
          <w:color w:val="000000"/>
          <w:sz w:val="24"/>
        </w:rPr>
        <w:t xml:space="preserve">    通过各轴荷载F</w:t>
      </w:r>
      <w:r>
        <w:rPr>
          <w:rFonts w:ascii="Times New Roman" w:hAnsi="Times New Roman"/>
          <w:color w:val="000000"/>
          <w:sz w:val="24"/>
          <w:vertAlign w:val="subscript"/>
        </w:rPr>
        <w:t>i</w:t>
      </w:r>
      <w:r>
        <w:rPr>
          <w:rFonts w:ascii="Times New Roman" w:hAnsi="Times New Roman"/>
          <w:color w:val="000000"/>
          <w:sz w:val="24"/>
        </w:rPr>
        <w:t>以及前支腿荷载分别对后支腿取矩得到</w:t>
      </w:r>
    </w:p>
    <w:p w14:paraId="023F1755">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1</w:t>
      </w:r>
      <w:r>
        <w:rPr>
          <w:rFonts w:ascii="Times New Roman" w:hAnsi="Times New Roman"/>
          <w:color w:val="000000"/>
          <w:sz w:val="24"/>
        </w:rPr>
        <w:t>×L</w:t>
      </w:r>
      <w:r>
        <w:rPr>
          <w:rFonts w:ascii="Times New Roman" w:hAnsi="Times New Roman"/>
          <w:color w:val="000000"/>
          <w:sz w:val="24"/>
          <w:vertAlign w:val="subscript"/>
        </w:rPr>
        <w:t>1</w:t>
      </w:r>
      <w:r>
        <w:rPr>
          <w:rFonts w:ascii="Times New Roman" w:hAnsi="Times New Roman"/>
          <w:color w:val="000000"/>
          <w:sz w:val="24"/>
        </w:rPr>
        <w:t>+F</w:t>
      </w:r>
      <w:r>
        <w:rPr>
          <w:rFonts w:ascii="Times New Roman" w:hAnsi="Times New Roman"/>
          <w:color w:val="000000"/>
          <w:sz w:val="24"/>
          <w:vertAlign w:val="subscript"/>
        </w:rPr>
        <w:t>2</w:t>
      </w:r>
      <w:r>
        <w:rPr>
          <w:rFonts w:ascii="Times New Roman" w:hAnsi="Times New Roman"/>
          <w:color w:val="000000"/>
          <w:sz w:val="24"/>
        </w:rPr>
        <w:t>×L</w:t>
      </w:r>
      <w:r>
        <w:rPr>
          <w:rFonts w:ascii="Times New Roman" w:hAnsi="Times New Roman"/>
          <w:color w:val="000000"/>
          <w:sz w:val="24"/>
          <w:vertAlign w:val="subscript"/>
        </w:rPr>
        <w:t>2</w:t>
      </w:r>
      <w:r>
        <w:rPr>
          <w:rFonts w:ascii="Times New Roman" w:hAnsi="Times New Roman"/>
          <w:color w:val="000000"/>
          <w:sz w:val="24"/>
        </w:rPr>
        <w:t>+F</w:t>
      </w:r>
      <w:r>
        <w:rPr>
          <w:rFonts w:ascii="Times New Roman" w:hAnsi="Times New Roman"/>
          <w:color w:val="000000"/>
          <w:sz w:val="24"/>
          <w:vertAlign w:val="subscript"/>
        </w:rPr>
        <w:t>3</w:t>
      </w:r>
      <w:r>
        <w:rPr>
          <w:rFonts w:ascii="Times New Roman" w:hAnsi="Times New Roman"/>
          <w:color w:val="000000"/>
          <w:sz w:val="24"/>
        </w:rPr>
        <w:t>×L</w:t>
      </w:r>
      <w:r>
        <w:rPr>
          <w:rFonts w:ascii="Times New Roman" w:hAnsi="Times New Roman"/>
          <w:color w:val="000000"/>
          <w:sz w:val="24"/>
          <w:vertAlign w:val="subscript"/>
        </w:rPr>
        <w:t>3</w:t>
      </w:r>
      <w:r>
        <w:rPr>
          <w:rFonts w:ascii="Times New Roman" w:hAnsi="Times New Roman"/>
          <w:color w:val="000000"/>
          <w:sz w:val="24"/>
        </w:rPr>
        <w:t>+F</w:t>
      </w:r>
      <w:r>
        <w:rPr>
          <w:rFonts w:ascii="Times New Roman" w:hAnsi="Times New Roman"/>
          <w:color w:val="000000"/>
          <w:sz w:val="24"/>
          <w:vertAlign w:val="subscript"/>
        </w:rPr>
        <w:t>4</w:t>
      </w:r>
      <w:r>
        <w:rPr>
          <w:rFonts w:ascii="Times New Roman" w:hAnsi="Times New Roman"/>
          <w:color w:val="000000"/>
          <w:sz w:val="24"/>
        </w:rPr>
        <w:t>×L</w:t>
      </w:r>
      <w:r>
        <w:rPr>
          <w:rFonts w:ascii="Times New Roman" w:hAnsi="Times New Roman"/>
          <w:color w:val="000000"/>
          <w:sz w:val="24"/>
          <w:vertAlign w:val="subscript"/>
        </w:rPr>
        <w:t>4</w:t>
      </w:r>
      <w:r>
        <w:rPr>
          <w:rFonts w:ascii="Times New Roman" w:hAnsi="Times New Roman"/>
          <w:color w:val="000000"/>
          <w:sz w:val="24"/>
        </w:rPr>
        <w:t>-(F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)×L=0</w:t>
      </w:r>
    </w:p>
    <w:p w14:paraId="71064125">
      <w:pPr>
        <w:spacing w:line="360" w:lineRule="auto"/>
      </w:pPr>
      <w:r>
        <w:rPr>
          <w:rFonts w:ascii="Times New Roman" w:hAnsi="Times New Roman"/>
          <w:color w:val="000000"/>
          <w:sz w:val="24"/>
        </w:rPr>
        <w:t xml:space="preserve">    7.2×8.75+7.2×7.3+13×2.85+13×1.5-(F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)×8=0</w:t>
      </w:r>
    </w:p>
    <w:p w14:paraId="608BD146">
      <w:pPr>
        <w:spacing w:line="360" w:lineRule="auto"/>
      </w:pPr>
      <w:r>
        <w:rPr>
          <w:rFonts w:ascii="Times New Roman" w:hAnsi="Times New Roman"/>
          <w:color w:val="000000"/>
          <w:sz w:val="24"/>
        </w:rPr>
        <w:t xml:space="preserve">    并且F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，得到：</w:t>
      </w:r>
    </w:p>
    <w:p w14:paraId="60736C05">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=10.757吨</w:t>
      </w:r>
    </w:p>
    <w:p w14:paraId="3504AA2F">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=[G-(F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)]/2=[40.4-(10.757+10.757)]/2=9.443吨</w:t>
      </w:r>
    </w:p>
    <w:p w14:paraId="223CCE4E">
      <w:pPr>
        <w:spacing w:line="360" w:lineRule="auto"/>
      </w:pPr>
      <w:r>
        <w:rPr>
          <w:rFonts w:ascii="Times New Roman" w:hAnsi="Times New Roman"/>
          <w:color w:val="000000"/>
          <w:sz w:val="24"/>
        </w:rPr>
        <w:t xml:space="preserve">    将吊重及活动配重对支腿产生的影响分成吊重及活动配重移动至回转中心后竖向力对支腿产生荷载+吊重及活动配重幅度产生的弯矩对支腿力荷载</w:t>
      </w:r>
    </w:p>
    <w:p w14:paraId="36A96022">
      <w:pPr>
        <w:spacing w:line="360" w:lineRule="auto"/>
      </w:pPr>
      <w:r>
        <w:rPr>
          <w:rFonts w:ascii="Times New Roman" w:hAnsi="Times New Roman"/>
          <w:b/>
          <w:color w:val="000000"/>
          <w:sz w:val="24"/>
        </w:rPr>
        <w:t xml:space="preserve">  3、吊重及活动配重移至回转中心后竖向力对支腿产生荷载计算</w:t>
      </w:r>
    </w:p>
    <w:p w14:paraId="6A2D24DB">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h</w:t>
      </w:r>
      <w:r>
        <w:rPr>
          <w:rFonts w:ascii="Times New Roman" w:hAnsi="Times New Roman"/>
          <w:color w:val="000000"/>
          <w:sz w:val="24"/>
        </w:rPr>
        <w:t>-(F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)×L=0</w:t>
      </w:r>
    </w:p>
    <w:p w14:paraId="15B24088">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h</w:t>
      </w:r>
      <w:r>
        <w:rPr>
          <w:rFonts w:ascii="Times New Roman" w:hAnsi="Times New Roman"/>
          <w:color w:val="000000"/>
          <w:sz w:val="24"/>
        </w:rPr>
        <w:t>/(2L)=(1.2×7.022+9.5)×3.2/(2×8)=3.585吨</w:t>
      </w:r>
    </w:p>
    <w:p w14:paraId="32CCC642">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b2</w:t>
      </w:r>
      <w:r>
        <w:rPr>
          <w:rFonts w:ascii="Times New Roman" w:hAnsi="Times New Roman"/>
          <w:color w:val="000000"/>
          <w:sz w:val="24"/>
        </w:rPr>
        <w:t>=F</w:t>
      </w:r>
      <w:r>
        <w:rPr>
          <w:rFonts w:ascii="Times New Roman" w:hAnsi="Times New Roman"/>
          <w:color w:val="000000"/>
          <w:sz w:val="24"/>
          <w:vertAlign w:val="subscript"/>
        </w:rPr>
        <w:t>c2</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+G</w:t>
      </w:r>
      <w:r>
        <w:rPr>
          <w:rFonts w:ascii="Times New Roman" w:hAnsi="Times New Roman"/>
          <w:color w:val="000000"/>
          <w:sz w:val="24"/>
          <w:vertAlign w:val="subscript"/>
        </w:rPr>
        <w:t>活</w:t>
      </w:r>
      <w:r>
        <w:rPr>
          <w:rFonts w:ascii="Times New Roman" w:hAnsi="Times New Roman"/>
          <w:color w:val="000000"/>
          <w:sz w:val="24"/>
        </w:rPr>
        <w:t>)×(L-L</w:t>
      </w:r>
      <w:r>
        <w:rPr>
          <w:rFonts w:ascii="Times New Roman" w:hAnsi="Times New Roman"/>
          <w:color w:val="000000"/>
          <w:sz w:val="24"/>
          <w:vertAlign w:val="subscript"/>
        </w:rPr>
        <w:t>h</w:t>
      </w:r>
      <w:r>
        <w:rPr>
          <w:rFonts w:ascii="Times New Roman" w:hAnsi="Times New Roman"/>
          <w:color w:val="000000"/>
          <w:sz w:val="24"/>
        </w:rPr>
        <w:t>)/(2L)=(1.2×7.022+9.5)×(8-3.2)/(2×8)=5.378吨</w:t>
      </w:r>
    </w:p>
    <w:p w14:paraId="4C76DEFB">
      <w:pPr>
        <w:spacing w:line="360" w:lineRule="auto"/>
      </w:pPr>
      <w:r>
        <w:rPr>
          <w:rFonts w:ascii="Times New Roman" w:hAnsi="Times New Roman"/>
          <w:b/>
          <w:color w:val="000000"/>
          <w:sz w:val="24"/>
        </w:rPr>
        <w:t xml:space="preserve">   1）吊重及活动配重考虑幅度后的弯矩对各支腿产生的荷载计算</w:t>
      </w:r>
    </w:p>
    <w:p w14:paraId="7B9FD394">
      <w:pPr>
        <w:spacing w:line="360" w:lineRule="auto"/>
      </w:pPr>
      <w:r>
        <w:rPr>
          <w:rFonts w:ascii="Times New Roman" w:hAnsi="Times New Roman"/>
          <w:b/>
          <w:color w:val="000000"/>
          <w:sz w:val="24"/>
        </w:rPr>
        <w:t xml:space="preserve">     ①求X方向吊重、X方向活动配重考虑幅度后的弯矩对各支腿荷载影响计算，各支腿荷载为F</w:t>
      </w:r>
      <w:r>
        <w:rPr>
          <w:rFonts w:ascii="Times New Roman" w:hAnsi="Times New Roman"/>
          <w:color w:val="000000"/>
          <w:sz w:val="24"/>
          <w:vertAlign w:val="subscript"/>
        </w:rPr>
        <w:t>ax</w:t>
      </w:r>
      <w:r>
        <w:rPr>
          <w:rFonts w:ascii="Times New Roman" w:hAnsi="Times New Roman"/>
          <w:b/>
          <w:color w:val="000000"/>
          <w:sz w:val="24"/>
        </w:rPr>
        <w:t>=F</w:t>
      </w:r>
      <w:r>
        <w:rPr>
          <w:rFonts w:ascii="Times New Roman" w:hAnsi="Times New Roman"/>
          <w:color w:val="000000"/>
          <w:sz w:val="24"/>
          <w:vertAlign w:val="subscript"/>
        </w:rPr>
        <w:t>dx</w:t>
      </w:r>
      <w:r>
        <w:rPr>
          <w:rFonts w:ascii="Times New Roman" w:hAnsi="Times New Roman"/>
          <w:b/>
          <w:color w:val="000000"/>
          <w:sz w:val="24"/>
        </w:rPr>
        <w:t>，F</w:t>
      </w:r>
      <w:r>
        <w:rPr>
          <w:rFonts w:ascii="Times New Roman" w:hAnsi="Times New Roman"/>
          <w:color w:val="000000"/>
          <w:sz w:val="24"/>
          <w:vertAlign w:val="subscript"/>
        </w:rPr>
        <w:t>bx</w:t>
      </w:r>
      <w:r>
        <w:rPr>
          <w:rFonts w:ascii="Times New Roman" w:hAnsi="Times New Roman"/>
          <w:b/>
          <w:color w:val="000000"/>
          <w:sz w:val="24"/>
        </w:rPr>
        <w:t>=F</w:t>
      </w:r>
      <w:r>
        <w:rPr>
          <w:rFonts w:ascii="Times New Roman" w:hAnsi="Times New Roman"/>
          <w:color w:val="000000"/>
          <w:sz w:val="24"/>
          <w:vertAlign w:val="subscript"/>
        </w:rPr>
        <w:t>cx</w:t>
      </w:r>
    </w:p>
    <w:p w14:paraId="3EA5899F">
      <w:pPr>
        <w:spacing w:line="360" w:lineRule="auto"/>
        <w:jc w:val="center"/>
      </w:pPr>
      <w:r>
        <w:drawing>
          <wp:inline distT="0" distB="0" distL="0" distR="0">
            <wp:extent cx="4152900" cy="2638425"/>
            <wp:effectExtent l="0" t="0" r="0" b="9525"/>
            <wp:docPr id="15"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 3"/>
                    <pic:cNvPicPr>
                      <a:picLocks noChangeAspect="1"/>
                    </pic:cNvPicPr>
                  </pic:nvPicPr>
                  <pic:blipFill>
                    <a:blip r:embed="rId32" cstate="print"/>
                    <a:stretch>
                      <a:fillRect/>
                    </a:stretch>
                  </pic:blipFill>
                  <pic:spPr>
                    <a:xfrm>
                      <a:off x="0" y="0"/>
                      <a:ext cx="4152900" cy="2638425"/>
                    </a:xfrm>
                    <a:prstGeom prst="rect">
                      <a:avLst/>
                    </a:prstGeom>
                  </pic:spPr>
                </pic:pic>
              </a:graphicData>
            </a:graphic>
          </wp:inline>
        </w:drawing>
      </w:r>
    </w:p>
    <w:p w14:paraId="7EFA6FFB">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×R-G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d</w:t>
      </w:r>
      <w:r>
        <w:rPr>
          <w:rFonts w:ascii="Times New Roman" w:hAnsi="Times New Roman"/>
          <w:color w:val="000000"/>
          <w:sz w:val="24"/>
        </w:rPr>
        <w:t>)cosβ-(F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)×L=0</w:t>
      </w:r>
    </w:p>
    <w:p w14:paraId="197676C9">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×R-G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d</w:t>
      </w:r>
      <w:r>
        <w:rPr>
          <w:rFonts w:ascii="Times New Roman" w:hAnsi="Times New Roman"/>
          <w:color w:val="000000"/>
          <w:sz w:val="24"/>
        </w:rPr>
        <w:t>)×cosβ/(2L)=(1.2×7.022×14-9.5×3.3)×cosβ/(2×8)=5.414cosβ</w:t>
      </w:r>
    </w:p>
    <w:p w14:paraId="595342E3">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=-5.414cosβ</w:t>
      </w:r>
    </w:p>
    <w:p w14:paraId="538F168C">
      <w:pPr>
        <w:spacing w:line="360" w:lineRule="auto"/>
      </w:pPr>
      <w:r>
        <w:rPr>
          <w:rFonts w:ascii="Times New Roman" w:hAnsi="Times New Roman"/>
          <w:b/>
          <w:color w:val="000000"/>
          <w:sz w:val="24"/>
        </w:rPr>
        <w:t xml:space="preserve">     ②求Y方向吊重、Y方向活动配重考虑幅度后的弯矩对各支腿荷载影响计算，各支腿荷载为F</w:t>
      </w:r>
      <w:r>
        <w:rPr>
          <w:rFonts w:ascii="Times New Roman" w:hAnsi="Times New Roman"/>
          <w:color w:val="000000"/>
          <w:sz w:val="24"/>
          <w:vertAlign w:val="subscript"/>
        </w:rPr>
        <w:t>ay</w:t>
      </w:r>
      <w:r>
        <w:rPr>
          <w:rFonts w:ascii="Times New Roman" w:hAnsi="Times New Roman"/>
          <w:b/>
          <w:color w:val="000000"/>
          <w:sz w:val="24"/>
        </w:rPr>
        <w:t>=F</w:t>
      </w:r>
      <w:r>
        <w:rPr>
          <w:rFonts w:ascii="Times New Roman" w:hAnsi="Times New Roman"/>
          <w:color w:val="000000"/>
          <w:sz w:val="24"/>
          <w:vertAlign w:val="subscript"/>
        </w:rPr>
        <w:t>by</w:t>
      </w:r>
      <w:r>
        <w:rPr>
          <w:rFonts w:ascii="Times New Roman" w:hAnsi="Times New Roman"/>
          <w:b/>
          <w:color w:val="000000"/>
          <w:sz w:val="24"/>
        </w:rPr>
        <w:t>，F</w:t>
      </w:r>
      <w:r>
        <w:rPr>
          <w:rFonts w:ascii="Times New Roman" w:hAnsi="Times New Roman"/>
          <w:color w:val="000000"/>
          <w:sz w:val="24"/>
          <w:vertAlign w:val="subscript"/>
        </w:rPr>
        <w:t>cy</w:t>
      </w:r>
      <w:r>
        <w:rPr>
          <w:rFonts w:ascii="Times New Roman" w:hAnsi="Times New Roman"/>
          <w:b/>
          <w:color w:val="000000"/>
          <w:sz w:val="24"/>
        </w:rPr>
        <w:t>=F</w:t>
      </w:r>
      <w:r>
        <w:rPr>
          <w:rFonts w:ascii="Times New Roman" w:hAnsi="Times New Roman"/>
          <w:color w:val="000000"/>
          <w:sz w:val="24"/>
          <w:vertAlign w:val="subscript"/>
        </w:rPr>
        <w:t>dy</w:t>
      </w:r>
    </w:p>
    <w:p w14:paraId="49B67D7F">
      <w:pPr>
        <w:spacing w:line="360" w:lineRule="auto"/>
        <w:jc w:val="center"/>
      </w:pPr>
      <w:r>
        <w:drawing>
          <wp:inline distT="0" distB="0" distL="0" distR="0">
            <wp:extent cx="4152900" cy="2638425"/>
            <wp:effectExtent l="0" t="0" r="0" b="9525"/>
            <wp:docPr id="16"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 4"/>
                    <pic:cNvPicPr>
                      <a:picLocks noChangeAspect="1"/>
                    </pic:cNvPicPr>
                  </pic:nvPicPr>
                  <pic:blipFill>
                    <a:blip r:embed="rId33" cstate="print"/>
                    <a:stretch>
                      <a:fillRect/>
                    </a:stretch>
                  </pic:blipFill>
                  <pic:spPr>
                    <a:xfrm>
                      <a:off x="0" y="0"/>
                      <a:ext cx="4152900" cy="2638425"/>
                    </a:xfrm>
                    <a:prstGeom prst="rect">
                      <a:avLst/>
                    </a:prstGeom>
                  </pic:spPr>
                </pic:pic>
              </a:graphicData>
            </a:graphic>
          </wp:inline>
        </w:drawing>
      </w:r>
    </w:p>
    <w:p w14:paraId="640276AA">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×R-G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d</w:t>
      </w:r>
      <w:r>
        <w:rPr>
          <w:rFonts w:ascii="Times New Roman" w:hAnsi="Times New Roman"/>
          <w:color w:val="000000"/>
          <w:sz w:val="24"/>
        </w:rPr>
        <w:t>)sinβ-(F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)×L=0</w:t>
      </w:r>
    </w:p>
    <w:p w14:paraId="67C70932">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×R-G</w:t>
      </w:r>
      <w:r>
        <w:rPr>
          <w:rFonts w:ascii="Times New Roman" w:hAnsi="Times New Roman"/>
          <w:color w:val="000000"/>
          <w:sz w:val="24"/>
          <w:vertAlign w:val="subscript"/>
        </w:rPr>
        <w:t>活</w:t>
      </w:r>
      <w:r>
        <w:rPr>
          <w:rFonts w:ascii="Times New Roman" w:hAnsi="Times New Roman"/>
          <w:color w:val="000000"/>
          <w:sz w:val="24"/>
        </w:rPr>
        <w:t>×L</w:t>
      </w:r>
      <w:r>
        <w:rPr>
          <w:rFonts w:ascii="Times New Roman" w:hAnsi="Times New Roman"/>
          <w:color w:val="000000"/>
          <w:sz w:val="24"/>
          <w:vertAlign w:val="subscript"/>
        </w:rPr>
        <w:t>d</w:t>
      </w:r>
      <w:r>
        <w:rPr>
          <w:rFonts w:ascii="Times New Roman" w:hAnsi="Times New Roman"/>
          <w:color w:val="000000"/>
          <w:sz w:val="24"/>
        </w:rPr>
        <w:t>)×sinβ/(2L)=(1.2×7.022×14-9.5×3.3)×sinβ/(2×8)=5.414sinβ</w:t>
      </w:r>
    </w:p>
    <w:p w14:paraId="2A46D0D8">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cy</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=-5.414sinβ</w:t>
      </w:r>
    </w:p>
    <w:p w14:paraId="675A8165">
      <w:pPr>
        <w:spacing w:line="360" w:lineRule="auto"/>
      </w:pPr>
      <w:r>
        <w:rPr>
          <w:rFonts w:ascii="Times New Roman" w:hAnsi="Times New Roman"/>
          <w:b/>
          <w:color w:val="000000"/>
          <w:sz w:val="24"/>
        </w:rPr>
        <w:t xml:space="preserve">   2）考虑各因素影响后，各支腿的荷载分别为：</w:t>
      </w:r>
    </w:p>
    <w:p w14:paraId="25FE54E1">
      <w:pPr>
        <w:spacing w:line="360" w:lineRule="auto"/>
      </w:pPr>
      <w:r>
        <w:rPr>
          <w:rFonts w:ascii="Times New Roman" w:hAnsi="Times New Roman"/>
          <w:color w:val="000000"/>
          <w:sz w:val="24"/>
        </w:rPr>
        <w:t xml:space="preserve">    支腿a:F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ay</w:t>
      </w:r>
      <w:r>
        <w:rPr>
          <w:rFonts w:ascii="Times New Roman" w:hAnsi="Times New Roman"/>
          <w:color w:val="000000"/>
          <w:sz w:val="24"/>
        </w:rPr>
        <w:t>=10.757+3.585-5.414cosβ+5.414sinβ</w:t>
      </w:r>
    </w:p>
    <w:p w14:paraId="595F288D">
      <w:pPr>
        <w:spacing w:line="360" w:lineRule="auto"/>
      </w:pPr>
      <w:r>
        <w:rPr>
          <w:rFonts w:ascii="Times New Roman" w:hAnsi="Times New Roman"/>
          <w:color w:val="000000"/>
          <w:sz w:val="24"/>
        </w:rPr>
        <w:t xml:space="preserve">    支腿b:F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b2</w:t>
      </w:r>
      <w:r>
        <w:rPr>
          <w:rFonts w:ascii="Times New Roman" w:hAnsi="Times New Roman"/>
          <w:color w:val="000000"/>
          <w:sz w:val="24"/>
        </w:rPr>
        <w:t>+F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=9.443+5.378+5.414cosβ+5.414sinβ</w:t>
      </w:r>
    </w:p>
    <w:p w14:paraId="33A7D25A">
      <w:pPr>
        <w:spacing w:line="360" w:lineRule="auto"/>
      </w:pPr>
      <w:r>
        <w:rPr>
          <w:rFonts w:ascii="Times New Roman" w:hAnsi="Times New Roman"/>
          <w:color w:val="000000"/>
          <w:sz w:val="24"/>
        </w:rPr>
        <w:t xml:space="preserve">    支腿c:F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+F</w:t>
      </w:r>
      <w:r>
        <w:rPr>
          <w:rFonts w:ascii="Times New Roman" w:hAnsi="Times New Roman"/>
          <w:color w:val="000000"/>
          <w:sz w:val="24"/>
          <w:vertAlign w:val="subscript"/>
        </w:rPr>
        <w:t>c2</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+F</w:t>
      </w:r>
      <w:r>
        <w:rPr>
          <w:rFonts w:ascii="Times New Roman" w:hAnsi="Times New Roman"/>
          <w:color w:val="000000"/>
          <w:sz w:val="24"/>
          <w:vertAlign w:val="subscript"/>
        </w:rPr>
        <w:t>cy</w:t>
      </w:r>
      <w:r>
        <w:rPr>
          <w:rFonts w:ascii="Times New Roman" w:hAnsi="Times New Roman"/>
          <w:color w:val="000000"/>
          <w:sz w:val="24"/>
        </w:rPr>
        <w:t>=9.443+5.378+5.414cosβ-5.414sinβ</w:t>
      </w:r>
    </w:p>
    <w:p w14:paraId="1FB547A1">
      <w:pPr>
        <w:spacing w:line="360" w:lineRule="auto"/>
      </w:pPr>
      <w:r>
        <w:rPr>
          <w:rFonts w:ascii="Times New Roman" w:hAnsi="Times New Roman"/>
          <w:color w:val="000000"/>
          <w:sz w:val="24"/>
        </w:rPr>
        <w:t xml:space="preserve">    支腿d:F</w:t>
      </w:r>
      <w:r>
        <w:rPr>
          <w:rFonts w:ascii="Times New Roman" w:hAnsi="Times New Roman"/>
          <w:color w:val="000000"/>
          <w:sz w:val="24"/>
          <w:vertAlign w:val="subscript"/>
        </w:rPr>
        <w:t>d</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=10.757+3.585-5.414cosβ-5.414sinβ</w:t>
      </w:r>
    </w:p>
    <w:p w14:paraId="336AA575">
      <w:pPr>
        <w:spacing w:line="360" w:lineRule="auto"/>
      </w:pPr>
      <w:r>
        <w:rPr>
          <w:rFonts w:ascii="Times New Roman" w:hAnsi="Times New Roman"/>
          <w:b/>
          <w:color w:val="000000"/>
          <w:sz w:val="24"/>
        </w:rPr>
        <w:t xml:space="preserve">   3）各吊装工况及最不利工况支腿荷载计算</w:t>
      </w:r>
    </w:p>
    <w:p w14:paraId="7C909A95">
      <w:pPr>
        <w:spacing w:line="360" w:lineRule="auto"/>
      </w:pPr>
      <w:r>
        <w:rPr>
          <w:rFonts w:ascii="Times New Roman" w:hAnsi="Times New Roman"/>
          <w:b/>
          <w:color w:val="000000"/>
          <w:sz w:val="24"/>
        </w:rPr>
        <w:t xml:space="preserve">     ①当β=0°时，此时吊物在起重机后方</w:t>
      </w:r>
    </w:p>
    <w:p w14:paraId="2F1F87F4">
      <w:pPr>
        <w:spacing w:line="360" w:lineRule="auto"/>
        <w:jc w:val="center"/>
      </w:pPr>
      <w:r>
        <w:drawing>
          <wp:inline distT="0" distB="0" distL="0" distR="0">
            <wp:extent cx="5810250" cy="3505200"/>
            <wp:effectExtent l="0" t="0" r="0" b="0"/>
            <wp:docPr id="18"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 5"/>
                    <pic:cNvPicPr>
                      <a:picLocks noChangeAspect="1"/>
                    </pic:cNvPicPr>
                  </pic:nvPicPr>
                  <pic:blipFill>
                    <a:blip r:embed="rId31" cstate="print"/>
                    <a:stretch>
                      <a:fillRect/>
                    </a:stretch>
                  </pic:blipFill>
                  <pic:spPr>
                    <a:xfrm>
                      <a:off x="0" y="0"/>
                      <a:ext cx="5810250" cy="3505200"/>
                    </a:xfrm>
                    <a:prstGeom prst="rect">
                      <a:avLst/>
                    </a:prstGeom>
                  </pic:spPr>
                </pic:pic>
              </a:graphicData>
            </a:graphic>
          </wp:inline>
        </w:drawing>
      </w:r>
    </w:p>
    <w:p w14:paraId="4C6DF060">
      <w:pPr>
        <w:spacing w:line="360" w:lineRule="auto"/>
      </w:pPr>
      <w:r>
        <w:rPr>
          <w:rFonts w:ascii="Times New Roman" w:hAnsi="Times New Roman"/>
          <w:color w:val="000000"/>
          <w:sz w:val="24"/>
        </w:rPr>
        <w:t xml:space="preserve">    将β=0°代入得到：</w:t>
      </w:r>
    </w:p>
    <w:p w14:paraId="29F410CB">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=8.928吨，F</w:t>
      </w:r>
      <w:r>
        <w:rPr>
          <w:rFonts w:ascii="Times New Roman" w:hAnsi="Times New Roman"/>
          <w:color w:val="000000"/>
          <w:sz w:val="24"/>
          <w:vertAlign w:val="subscript"/>
        </w:rPr>
        <w:t>b</w:t>
      </w:r>
      <w:r>
        <w:rPr>
          <w:rFonts w:ascii="Times New Roman" w:hAnsi="Times New Roman"/>
          <w:color w:val="000000"/>
          <w:sz w:val="24"/>
        </w:rPr>
        <w:t>=20.235吨，F</w:t>
      </w:r>
      <w:r>
        <w:rPr>
          <w:rFonts w:ascii="Times New Roman" w:hAnsi="Times New Roman"/>
          <w:color w:val="000000"/>
          <w:sz w:val="24"/>
          <w:vertAlign w:val="subscript"/>
        </w:rPr>
        <w:t>c</w:t>
      </w:r>
      <w:r>
        <w:rPr>
          <w:rFonts w:ascii="Times New Roman" w:hAnsi="Times New Roman"/>
          <w:color w:val="000000"/>
          <w:sz w:val="24"/>
        </w:rPr>
        <w:t>=20.235吨，F</w:t>
      </w:r>
      <w:r>
        <w:rPr>
          <w:rFonts w:ascii="Times New Roman" w:hAnsi="Times New Roman"/>
          <w:color w:val="000000"/>
          <w:sz w:val="24"/>
          <w:vertAlign w:val="subscript"/>
        </w:rPr>
        <w:t>d</w:t>
      </w:r>
      <w:r>
        <w:rPr>
          <w:rFonts w:ascii="Times New Roman" w:hAnsi="Times New Roman"/>
          <w:color w:val="000000"/>
          <w:sz w:val="24"/>
        </w:rPr>
        <w:t>=8.928吨</w:t>
      </w:r>
    </w:p>
    <w:p w14:paraId="263B5F7D">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1</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)=max(8.928、20.235、20.235、8.928)=20.235吨</w:t>
      </w:r>
    </w:p>
    <w:p w14:paraId="1FBF1A7A">
      <w:pPr>
        <w:spacing w:line="360" w:lineRule="auto"/>
      </w:pPr>
      <w:r>
        <w:rPr>
          <w:rFonts w:ascii="Times New Roman" w:hAnsi="Times New Roman"/>
          <w:b/>
          <w:color w:val="000000"/>
          <w:sz w:val="24"/>
        </w:rPr>
        <w:t xml:space="preserve">     ②当β=90°时，此时吊物在起重机侧方</w:t>
      </w:r>
    </w:p>
    <w:p w14:paraId="37F2398D">
      <w:pPr>
        <w:spacing w:line="360" w:lineRule="auto"/>
        <w:jc w:val="center"/>
      </w:pPr>
      <w:r>
        <w:drawing>
          <wp:inline distT="0" distB="0" distL="0" distR="0">
            <wp:extent cx="5810250" cy="400050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 6"/>
                    <pic:cNvPicPr>
                      <a:picLocks noChangeAspect="1"/>
                    </pic:cNvPicPr>
                  </pic:nvPicPr>
                  <pic:blipFill>
                    <a:blip r:embed="rId34" cstate="print"/>
                    <a:stretch>
                      <a:fillRect/>
                    </a:stretch>
                  </pic:blipFill>
                  <pic:spPr>
                    <a:xfrm>
                      <a:off x="0" y="0"/>
                      <a:ext cx="5810250" cy="4000500"/>
                    </a:xfrm>
                    <a:prstGeom prst="rect">
                      <a:avLst/>
                    </a:prstGeom>
                  </pic:spPr>
                </pic:pic>
              </a:graphicData>
            </a:graphic>
          </wp:inline>
        </w:drawing>
      </w:r>
    </w:p>
    <w:p w14:paraId="4D261C5A">
      <w:pPr>
        <w:spacing w:line="360" w:lineRule="auto"/>
      </w:pPr>
      <w:r>
        <w:rPr>
          <w:rFonts w:ascii="Times New Roman" w:hAnsi="Times New Roman"/>
          <w:color w:val="000000"/>
          <w:sz w:val="24"/>
        </w:rPr>
        <w:t xml:space="preserve">    将β=90°代入得到：</w:t>
      </w:r>
    </w:p>
    <w:p w14:paraId="7EC27D76">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=19.756吨，F</w:t>
      </w:r>
      <w:r>
        <w:rPr>
          <w:rFonts w:ascii="Times New Roman" w:hAnsi="Times New Roman"/>
          <w:color w:val="000000"/>
          <w:sz w:val="24"/>
          <w:vertAlign w:val="subscript"/>
        </w:rPr>
        <w:t>b</w:t>
      </w:r>
      <w:r>
        <w:rPr>
          <w:rFonts w:ascii="Times New Roman" w:hAnsi="Times New Roman"/>
          <w:color w:val="000000"/>
          <w:sz w:val="24"/>
        </w:rPr>
        <w:t>=20.235吨，F</w:t>
      </w:r>
      <w:r>
        <w:rPr>
          <w:rFonts w:ascii="Times New Roman" w:hAnsi="Times New Roman"/>
          <w:color w:val="000000"/>
          <w:sz w:val="24"/>
          <w:vertAlign w:val="subscript"/>
        </w:rPr>
        <w:t>c</w:t>
      </w:r>
      <w:r>
        <w:rPr>
          <w:rFonts w:ascii="Times New Roman" w:hAnsi="Times New Roman"/>
          <w:color w:val="000000"/>
          <w:sz w:val="24"/>
        </w:rPr>
        <w:t>=9.407吨，F</w:t>
      </w:r>
      <w:r>
        <w:rPr>
          <w:rFonts w:ascii="Times New Roman" w:hAnsi="Times New Roman"/>
          <w:color w:val="000000"/>
          <w:sz w:val="24"/>
          <w:vertAlign w:val="subscript"/>
        </w:rPr>
        <w:t>d</w:t>
      </w:r>
      <w:r>
        <w:rPr>
          <w:rFonts w:ascii="Times New Roman" w:hAnsi="Times New Roman"/>
          <w:color w:val="000000"/>
          <w:sz w:val="24"/>
        </w:rPr>
        <w:t>=8.928吨</w:t>
      </w:r>
    </w:p>
    <w:p w14:paraId="70DC7B96">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2</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)=max(19.756、20.235、9.407、8.928)=20.235吨</w:t>
      </w:r>
    </w:p>
    <w:p w14:paraId="16F3310D">
      <w:pPr>
        <w:spacing w:line="360" w:lineRule="auto"/>
      </w:pPr>
      <w:r>
        <w:rPr>
          <w:rFonts w:ascii="Times New Roman" w:hAnsi="Times New Roman"/>
          <w:b/>
          <w:color w:val="000000"/>
          <w:sz w:val="24"/>
        </w:rPr>
        <w:t xml:space="preserve">     ③起重臂位于支腿b方向工况</w:t>
      </w:r>
    </w:p>
    <w:p w14:paraId="39E8375D">
      <w:pPr>
        <w:spacing w:line="360" w:lineRule="auto"/>
        <w:jc w:val="center"/>
      </w:pPr>
      <w:r>
        <w:drawing>
          <wp:inline distT="0" distB="0" distL="0" distR="0">
            <wp:extent cx="5800725" cy="3505200"/>
            <wp:effectExtent l="0" t="0" r="9525" b="0"/>
            <wp:docPr id="31"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 7"/>
                    <pic:cNvPicPr>
                      <a:picLocks noChangeAspect="1"/>
                    </pic:cNvPicPr>
                  </pic:nvPicPr>
                  <pic:blipFill>
                    <a:blip r:embed="rId35" cstate="print"/>
                    <a:stretch>
                      <a:fillRect/>
                    </a:stretch>
                  </pic:blipFill>
                  <pic:spPr>
                    <a:xfrm>
                      <a:off x="0" y="0"/>
                      <a:ext cx="5800725" cy="3505200"/>
                    </a:xfrm>
                    <a:prstGeom prst="rect">
                      <a:avLst/>
                    </a:prstGeom>
                  </pic:spPr>
                </pic:pic>
              </a:graphicData>
            </a:graphic>
          </wp:inline>
        </w:drawing>
      </w:r>
    </w:p>
    <w:p w14:paraId="5E9C7909">
      <w:pPr>
        <w:spacing w:line="360" w:lineRule="auto"/>
      </w:pPr>
      <w:r>
        <w:rPr>
          <w:rFonts w:ascii="Times New Roman" w:hAnsi="Times New Roman"/>
          <w:color w:val="000000"/>
          <w:sz w:val="24"/>
        </w:rPr>
        <w:t xml:space="preserve">    当β=39.416°时，起重臂在支腿b方向，此时：</w:t>
      </w:r>
    </w:p>
    <w:p w14:paraId="6A1BB2E3">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=13.597吨，F</w:t>
      </w:r>
      <w:r>
        <w:rPr>
          <w:rFonts w:ascii="Times New Roman" w:hAnsi="Times New Roman"/>
          <w:color w:val="000000"/>
          <w:sz w:val="24"/>
          <w:vertAlign w:val="subscript"/>
        </w:rPr>
        <w:t>b</w:t>
      </w:r>
      <w:r>
        <w:rPr>
          <w:rFonts w:ascii="Times New Roman" w:hAnsi="Times New Roman"/>
          <w:color w:val="000000"/>
          <w:sz w:val="24"/>
        </w:rPr>
        <w:t>=22.441吨，F</w:t>
      </w:r>
      <w:r>
        <w:rPr>
          <w:rFonts w:ascii="Times New Roman" w:hAnsi="Times New Roman"/>
          <w:color w:val="000000"/>
          <w:sz w:val="24"/>
          <w:vertAlign w:val="subscript"/>
        </w:rPr>
        <w:t>c</w:t>
      </w:r>
      <w:r>
        <w:rPr>
          <w:rFonts w:ascii="Times New Roman" w:hAnsi="Times New Roman"/>
          <w:color w:val="000000"/>
          <w:sz w:val="24"/>
        </w:rPr>
        <w:t>=15.566吨，F</w:t>
      </w:r>
      <w:r>
        <w:rPr>
          <w:rFonts w:ascii="Times New Roman" w:hAnsi="Times New Roman"/>
          <w:color w:val="000000"/>
          <w:sz w:val="24"/>
          <w:vertAlign w:val="subscript"/>
        </w:rPr>
        <w:t>d</w:t>
      </w:r>
      <w:r>
        <w:rPr>
          <w:rFonts w:ascii="Times New Roman" w:hAnsi="Times New Roman"/>
          <w:color w:val="000000"/>
          <w:sz w:val="24"/>
        </w:rPr>
        <w:t>=6.722吨</w:t>
      </w:r>
    </w:p>
    <w:p w14:paraId="54A233C1">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3</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)=max(13.597、22.441、15.566、6.722)=22.441吨</w:t>
      </w:r>
    </w:p>
    <w:p w14:paraId="2D8DA7CC">
      <w:pPr>
        <w:spacing w:line="360" w:lineRule="auto"/>
      </w:pPr>
      <w:r>
        <w:rPr>
          <w:rFonts w:ascii="Times New Roman" w:hAnsi="Times New Roman"/>
          <w:color w:val="000000"/>
          <w:sz w:val="24"/>
        </w:rPr>
        <w:t xml:space="preserve">    考虑各个工况按最不利原则；支腿最大受力N</w:t>
      </w:r>
      <w:r>
        <w:rPr>
          <w:rFonts w:ascii="Times New Roman" w:hAnsi="Times New Roman"/>
          <w:color w:val="000000"/>
          <w:sz w:val="24"/>
          <w:vertAlign w:val="subscript"/>
        </w:rPr>
        <w:t>k</w:t>
      </w:r>
      <w:r>
        <w:rPr>
          <w:rFonts w:ascii="Times New Roman" w:hAnsi="Times New Roman"/>
          <w:color w:val="000000"/>
          <w:sz w:val="24"/>
        </w:rPr>
        <w:t>=max(F</w:t>
      </w:r>
      <w:r>
        <w:rPr>
          <w:rFonts w:ascii="Times New Roman" w:hAnsi="Times New Roman"/>
          <w:color w:val="000000"/>
          <w:sz w:val="24"/>
          <w:vertAlign w:val="subscript"/>
        </w:rPr>
        <w:t>1</w:t>
      </w:r>
      <w:r>
        <w:rPr>
          <w:rFonts w:ascii="Times New Roman" w:hAnsi="Times New Roman"/>
          <w:color w:val="000000"/>
          <w:sz w:val="24"/>
        </w:rPr>
        <w:t>,F</w:t>
      </w:r>
      <w:r>
        <w:rPr>
          <w:rFonts w:ascii="Times New Roman" w:hAnsi="Times New Roman"/>
          <w:color w:val="000000"/>
          <w:sz w:val="24"/>
          <w:vertAlign w:val="subscript"/>
        </w:rPr>
        <w:t>2</w:t>
      </w:r>
      <w:r>
        <w:rPr>
          <w:rFonts w:ascii="Times New Roman" w:hAnsi="Times New Roman"/>
          <w:color w:val="000000"/>
          <w:sz w:val="24"/>
        </w:rPr>
        <w:t>,F</w:t>
      </w:r>
      <w:r>
        <w:rPr>
          <w:rFonts w:ascii="Times New Roman" w:hAnsi="Times New Roman"/>
          <w:color w:val="000000"/>
          <w:sz w:val="24"/>
          <w:vertAlign w:val="subscript"/>
        </w:rPr>
        <w:t>3</w:t>
      </w:r>
      <w:r>
        <w:rPr>
          <w:rFonts w:ascii="Times New Roman" w:hAnsi="Times New Roman"/>
          <w:color w:val="000000"/>
          <w:sz w:val="24"/>
        </w:rPr>
        <w:t>)=max(20.235，20.235，22.441)=22.441吨</w:t>
      </w:r>
    </w:p>
    <w:p w14:paraId="04BC05B8">
      <w:pPr>
        <w:spacing w:line="360" w:lineRule="auto"/>
      </w:pPr>
      <w:r>
        <w:rPr>
          <w:rFonts w:ascii="Times New Roman" w:hAnsi="Times New Roman"/>
          <w:b/>
          <w:color w:val="000000"/>
          <w:sz w:val="28"/>
        </w:rPr>
        <w:t xml:space="preserve"> 三、地基基础验算</w:t>
      </w:r>
    </w:p>
    <w:p w14:paraId="64AAA788">
      <w:pPr>
        <w:spacing w:line="360" w:lineRule="auto"/>
      </w:pPr>
      <w:r>
        <w:rPr>
          <w:rFonts w:ascii="Times New Roman" w:hAnsi="Times New Roman"/>
          <w:b/>
          <w:color w:val="000000"/>
          <w:sz w:val="24"/>
        </w:rPr>
        <w:t xml:space="preserve">  1、地基参数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794C78D8">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52FEFE23">
            <w:pPr>
              <w:spacing w:line="360" w:lineRule="auto"/>
            </w:pPr>
            <w:r>
              <w:rPr>
                <w:rFonts w:ascii="Times New Roman" w:hAnsi="Times New Roman"/>
                <w:color w:val="000000"/>
                <w:sz w:val="18"/>
              </w:rPr>
              <w:t>单根支腿受力面积A</w:t>
            </w:r>
            <w:r>
              <w:rPr>
                <w:rFonts w:ascii="Times New Roman" w:hAnsi="Times New Roman"/>
                <w:color w:val="000000"/>
                <w:sz w:val="24"/>
                <w:vertAlign w:val="subscript"/>
              </w:rPr>
              <w:t>d1</w:t>
            </w:r>
            <w:r>
              <w:rPr>
                <w:rFonts w:ascii="Times New Roman" w:hAnsi="Times New Roman"/>
                <w:color w:val="000000"/>
                <w:sz w:val="18"/>
              </w:rPr>
              <w:t>(m</w:t>
            </w:r>
            <w:r>
              <w:rPr>
                <w:rFonts w:ascii="Times New Roman" w:hAnsi="Times New Roman"/>
                <w:color w:val="000000"/>
                <w:sz w:val="24"/>
                <w:vertAlign w:val="superscript"/>
              </w:rPr>
              <w:t>2</w:t>
            </w:r>
            <w:r>
              <w:rPr>
                <w:rFonts w:ascii="Times New Roman" w:hAnsi="Times New Roman"/>
                <w:color w:val="000000"/>
                <w:sz w:val="18"/>
              </w:rPr>
              <w:t>)</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1DC4978A">
            <w:pPr>
              <w:spacing w:line="360" w:lineRule="auto"/>
            </w:pPr>
            <w:r>
              <w:rPr>
                <w:rFonts w:ascii="Times New Roman" w:hAnsi="Times New Roman"/>
                <w:color w:val="000000"/>
                <w:sz w:val="18"/>
              </w:rPr>
              <w:t>3.24</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22DFBB9D">
            <w:pPr>
              <w:spacing w:line="360" w:lineRule="auto"/>
            </w:pPr>
            <w:r>
              <w:rPr>
                <w:rFonts w:ascii="Times New Roman" w:hAnsi="Times New Roman"/>
                <w:color w:val="000000"/>
                <w:sz w:val="18"/>
              </w:rPr>
              <w:t>地基土类型</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659B999">
            <w:pPr>
              <w:spacing w:line="360" w:lineRule="auto"/>
            </w:pPr>
            <w:r>
              <w:rPr>
                <w:rFonts w:ascii="Times New Roman" w:hAnsi="Times New Roman"/>
                <w:color w:val="000000"/>
                <w:sz w:val="18"/>
              </w:rPr>
              <w:t>素填土</w:t>
            </w:r>
          </w:p>
        </w:tc>
      </w:tr>
      <w:tr w14:paraId="29D4A1E7">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2AA9ECB2">
            <w:pPr>
              <w:spacing w:line="360" w:lineRule="auto"/>
            </w:pPr>
            <w:r>
              <w:rPr>
                <w:rFonts w:ascii="Times New Roman" w:hAnsi="Times New Roman"/>
                <w:color w:val="000000"/>
                <w:sz w:val="18"/>
              </w:rPr>
              <w:t>地基承载力特征值fak(kPa)</w:t>
            </w:r>
          </w:p>
        </w:tc>
        <w:tc>
          <w:tcPr>
            <w:tcW w:w="6105" w:type="dxa"/>
            <w:gridSpan w:val="3"/>
            <w:tcBorders>
              <w:top w:val="single" w:color="auto" w:sz="6" w:space="0"/>
              <w:left w:val="single" w:color="auto" w:sz="6" w:space="0"/>
              <w:bottom w:val="single" w:color="auto" w:sz="6" w:space="0"/>
              <w:right w:val="single" w:color="auto" w:sz="6" w:space="0"/>
            </w:tcBorders>
            <w:shd w:val="clear" w:color="auto" w:fill="FFFFFF"/>
          </w:tcPr>
          <w:p w14:paraId="35E43B0F">
            <w:pPr>
              <w:spacing w:line="360" w:lineRule="auto"/>
            </w:pPr>
            <w:r>
              <w:rPr>
                <w:rFonts w:ascii="Times New Roman" w:hAnsi="Times New Roman"/>
                <w:color w:val="000000"/>
                <w:sz w:val="18"/>
              </w:rPr>
              <w:t>135</w:t>
            </w:r>
          </w:p>
        </w:tc>
      </w:tr>
    </w:tbl>
    <w:p w14:paraId="4218C34A">
      <w:pPr>
        <w:spacing w:line="360" w:lineRule="auto"/>
      </w:pPr>
      <w:r>
        <w:rPr>
          <w:rFonts w:ascii="Times New Roman" w:hAnsi="Times New Roman"/>
          <w:color w:val="000000"/>
          <w:sz w:val="24"/>
        </w:rPr>
        <w:t xml:space="preserve">    单个支腿传至基础顶面的轴向力标准值为：N'=9.8×N</w:t>
      </w:r>
      <w:r>
        <w:rPr>
          <w:rFonts w:ascii="Times New Roman" w:hAnsi="Times New Roman"/>
          <w:color w:val="000000"/>
          <w:sz w:val="24"/>
          <w:vertAlign w:val="subscript"/>
        </w:rPr>
        <w:t>k</w:t>
      </w:r>
      <w:r>
        <w:rPr>
          <w:rFonts w:ascii="Times New Roman" w:hAnsi="Times New Roman"/>
          <w:color w:val="000000"/>
          <w:sz w:val="24"/>
        </w:rPr>
        <w:t>=9.8×22.441=219.921kN</w:t>
      </w:r>
    </w:p>
    <w:p w14:paraId="72873F96">
      <w:pPr>
        <w:spacing w:line="360" w:lineRule="auto"/>
      </w:pPr>
      <w:r>
        <w:rPr>
          <w:rFonts w:ascii="Times New Roman" w:hAnsi="Times New Roman"/>
          <w:color w:val="000000"/>
          <w:sz w:val="24"/>
        </w:rPr>
        <w:t xml:space="preserve">    单个支腿垫板的底面平均压力p=N'/A</w:t>
      </w:r>
      <w:r>
        <w:rPr>
          <w:rFonts w:ascii="Times New Roman" w:hAnsi="Times New Roman"/>
          <w:color w:val="000000"/>
          <w:sz w:val="24"/>
          <w:vertAlign w:val="subscript"/>
        </w:rPr>
        <w:t>d1</w:t>
      </w:r>
      <w:r>
        <w:rPr>
          <w:rFonts w:ascii="Times New Roman" w:hAnsi="Times New Roman"/>
          <w:color w:val="000000"/>
          <w:sz w:val="24"/>
        </w:rPr>
        <w:t>=219.921/3.24=67.877kPa≤f</w:t>
      </w:r>
      <w:r>
        <w:rPr>
          <w:rFonts w:ascii="Times New Roman" w:hAnsi="Times New Roman"/>
          <w:color w:val="000000"/>
          <w:sz w:val="24"/>
          <w:vertAlign w:val="subscript"/>
        </w:rPr>
        <w:t>ak</w:t>
      </w:r>
      <w:r>
        <w:rPr>
          <w:rFonts w:ascii="Times New Roman" w:hAnsi="Times New Roman"/>
          <w:color w:val="000000"/>
          <w:sz w:val="24"/>
        </w:rPr>
        <w:t>=135kPa</w:t>
      </w:r>
    </w:p>
    <w:p w14:paraId="3B02EB8E">
      <w:pPr>
        <w:spacing w:line="360" w:lineRule="auto"/>
      </w:pPr>
      <w:r>
        <w:rPr>
          <w:rFonts w:ascii="Times New Roman" w:hAnsi="Times New Roman"/>
          <w:color w:val="008000"/>
          <w:sz w:val="24"/>
        </w:rPr>
        <w:t xml:space="preserve">    满足要求！</w:t>
      </w:r>
    </w:p>
    <w:p w14:paraId="2D3220F0">
      <w:pPr>
        <w:spacing w:line="360" w:lineRule="auto"/>
      </w:pPr>
      <w:r>
        <w:rPr>
          <w:rFonts w:ascii="Times New Roman" w:hAnsi="Times New Roman"/>
          <w:b/>
          <w:color w:val="000000"/>
          <w:sz w:val="28"/>
        </w:rPr>
        <w:t xml:space="preserve"> 四、汽车式起重机抗倾覆计算</w:t>
      </w:r>
    </w:p>
    <w:p w14:paraId="52A2E83A">
      <w:pPr>
        <w:spacing w:line="360" w:lineRule="auto"/>
      </w:pPr>
      <w:r>
        <w:rPr>
          <w:rFonts w:ascii="Times New Roman" w:hAnsi="Times New Roman"/>
          <w:color w:val="000000"/>
          <w:sz w:val="24"/>
        </w:rPr>
        <w:t xml:space="preserve">    考虑抗倾覆安全系数后，如果出现支腿力为负数时，代表抗倾覆不满足要求，反之抗倾覆满足要求。考虑最不利情况，分别计算吊物在起重机后方和吊物在起重机侧方两种工况。</w:t>
      </w:r>
    </w:p>
    <w:p w14:paraId="0840D574">
      <w:pPr>
        <w:spacing w:line="360" w:lineRule="auto"/>
      </w:pPr>
      <w:r>
        <w:rPr>
          <w:rFonts w:ascii="Times New Roman" w:hAnsi="Times New Roman"/>
          <w:b/>
          <w:color w:val="000000"/>
          <w:sz w:val="24"/>
        </w:rPr>
        <w:t xml:space="preserve">  1、吊物在起重机后方时</w:t>
      </w:r>
    </w:p>
    <w:p w14:paraId="414645F3">
      <w:pPr>
        <w:spacing w:line="360" w:lineRule="auto"/>
      </w:pPr>
      <w:r>
        <w:rPr>
          <w:rFonts w:ascii="Times New Roman" w:hAnsi="Times New Roman"/>
          <w:color w:val="000000"/>
          <w:sz w:val="24"/>
        </w:rPr>
        <w:t xml:space="preserve">    参考起重机支腿力计算章节，吊物在起重机后方时取β=0°，同时将吊重产生的倾覆力矩乘以k</w:t>
      </w:r>
      <w:r>
        <w:rPr>
          <w:rFonts w:ascii="Times New Roman" w:hAnsi="Times New Roman"/>
          <w:color w:val="000000"/>
          <w:sz w:val="24"/>
          <w:vertAlign w:val="subscript"/>
        </w:rPr>
        <w:t>2</w:t>
      </w:r>
      <w:r>
        <w:rPr>
          <w:rFonts w:ascii="Times New Roman" w:hAnsi="Times New Roman"/>
          <w:color w:val="000000"/>
          <w:sz w:val="24"/>
        </w:rPr>
        <w:t>=1.2，此时支腿荷载分别为F</w:t>
      </w:r>
      <w:r>
        <w:rPr>
          <w:rFonts w:ascii="Times New Roman" w:hAnsi="Times New Roman"/>
          <w:color w:val="000000"/>
          <w:sz w:val="24"/>
          <w:vertAlign w:val="subscript"/>
        </w:rPr>
        <w:t>a</w:t>
      </w:r>
      <w:r>
        <w:rPr>
          <w:rFonts w:ascii="Times New Roman" w:hAnsi="Times New Roman"/>
          <w:color w:val="000000"/>
          <w:sz w:val="24"/>
        </w:rPr>
        <w:t>=7.791吨，F</w:t>
      </w:r>
      <w:r>
        <w:rPr>
          <w:rFonts w:ascii="Times New Roman" w:hAnsi="Times New Roman"/>
          <w:color w:val="000000"/>
          <w:sz w:val="24"/>
          <w:vertAlign w:val="subscript"/>
        </w:rPr>
        <w:t>b</w:t>
      </w:r>
      <w:r>
        <w:rPr>
          <w:rFonts w:ascii="Times New Roman" w:hAnsi="Times New Roman"/>
          <w:color w:val="000000"/>
          <w:sz w:val="24"/>
        </w:rPr>
        <w:t>=22.215吨，F</w:t>
      </w:r>
      <w:r>
        <w:rPr>
          <w:rFonts w:ascii="Times New Roman" w:hAnsi="Times New Roman"/>
          <w:color w:val="000000"/>
          <w:sz w:val="24"/>
          <w:vertAlign w:val="subscript"/>
        </w:rPr>
        <w:t>c</w:t>
      </w:r>
      <w:r>
        <w:rPr>
          <w:rFonts w:ascii="Times New Roman" w:hAnsi="Times New Roman"/>
          <w:color w:val="000000"/>
          <w:sz w:val="24"/>
        </w:rPr>
        <w:t>=22.215吨，F</w:t>
      </w:r>
      <w:r>
        <w:rPr>
          <w:rFonts w:ascii="Times New Roman" w:hAnsi="Times New Roman"/>
          <w:color w:val="000000"/>
          <w:sz w:val="24"/>
          <w:vertAlign w:val="subscript"/>
        </w:rPr>
        <w:t>d</w:t>
      </w:r>
      <w:r>
        <w:rPr>
          <w:rFonts w:ascii="Times New Roman" w:hAnsi="Times New Roman"/>
          <w:color w:val="000000"/>
          <w:sz w:val="24"/>
        </w:rPr>
        <w:t>=7.791吨。</w:t>
      </w:r>
    </w:p>
    <w:p w14:paraId="7DB2E61B">
      <w:pPr>
        <w:spacing w:line="360" w:lineRule="auto"/>
      </w:pPr>
      <w:r>
        <w:rPr>
          <w:rFonts w:ascii="Times New Roman" w:hAnsi="Times New Roman"/>
          <w:color w:val="000000"/>
          <w:sz w:val="24"/>
        </w:rPr>
        <w:t xml:space="preserve">    没有出现支腿荷载为负数。</w:t>
      </w:r>
    </w:p>
    <w:p w14:paraId="3EE16956">
      <w:pPr>
        <w:spacing w:line="360" w:lineRule="auto"/>
      </w:pPr>
      <w:r>
        <w:rPr>
          <w:rFonts w:ascii="Times New Roman" w:hAnsi="Times New Roman"/>
          <w:color w:val="008000"/>
          <w:sz w:val="24"/>
        </w:rPr>
        <w:t xml:space="preserve">    抗倾覆满足要求！</w:t>
      </w:r>
    </w:p>
    <w:p w14:paraId="1F4F745E">
      <w:pPr>
        <w:spacing w:line="360" w:lineRule="auto"/>
      </w:pPr>
      <w:r>
        <w:rPr>
          <w:rFonts w:ascii="Times New Roman" w:hAnsi="Times New Roman"/>
          <w:b/>
          <w:color w:val="000000"/>
          <w:sz w:val="24"/>
        </w:rPr>
        <w:t xml:space="preserve">  2、吊物在起重机侧方时</w:t>
      </w:r>
    </w:p>
    <w:p w14:paraId="61433659">
      <w:pPr>
        <w:spacing w:line="360" w:lineRule="auto"/>
      </w:pPr>
      <w:r>
        <w:rPr>
          <w:rFonts w:ascii="Times New Roman" w:hAnsi="Times New Roman"/>
          <w:color w:val="000000"/>
          <w:sz w:val="24"/>
        </w:rPr>
        <w:t xml:space="preserve">    参考起重机支腿力计算章节，吊物在起重机侧方时取β=90°，同时将吊重产生的倾覆力矩乘以k</w:t>
      </w:r>
      <w:r>
        <w:rPr>
          <w:rFonts w:ascii="Times New Roman" w:hAnsi="Times New Roman"/>
          <w:color w:val="000000"/>
          <w:sz w:val="24"/>
          <w:vertAlign w:val="subscript"/>
        </w:rPr>
        <w:t>2</w:t>
      </w:r>
      <w:r>
        <w:rPr>
          <w:rFonts w:ascii="Times New Roman" w:hAnsi="Times New Roman"/>
          <w:color w:val="000000"/>
          <w:sz w:val="24"/>
        </w:rPr>
        <w:t>=1.2，此时支腿荷载分别为F</w:t>
      </w:r>
      <w:r>
        <w:rPr>
          <w:rFonts w:ascii="Times New Roman" w:hAnsi="Times New Roman"/>
          <w:color w:val="000000"/>
          <w:sz w:val="24"/>
          <w:vertAlign w:val="subscript"/>
        </w:rPr>
        <w:t>a</w:t>
      </w:r>
      <w:r>
        <w:rPr>
          <w:rFonts w:ascii="Times New Roman" w:hAnsi="Times New Roman"/>
          <w:color w:val="000000"/>
          <w:sz w:val="24"/>
        </w:rPr>
        <w:t>=23.06吨，F</w:t>
      </w:r>
      <w:r>
        <w:rPr>
          <w:rFonts w:ascii="Times New Roman" w:hAnsi="Times New Roman"/>
          <w:color w:val="000000"/>
          <w:sz w:val="24"/>
          <w:vertAlign w:val="subscript"/>
        </w:rPr>
        <w:t>b</w:t>
      </w:r>
      <w:r>
        <w:rPr>
          <w:rFonts w:ascii="Times New Roman" w:hAnsi="Times New Roman"/>
          <w:color w:val="000000"/>
          <w:sz w:val="24"/>
        </w:rPr>
        <w:t>=27.899吨，F</w:t>
      </w:r>
      <w:r>
        <w:rPr>
          <w:rFonts w:ascii="Times New Roman" w:hAnsi="Times New Roman"/>
          <w:color w:val="000000"/>
          <w:sz w:val="24"/>
          <w:vertAlign w:val="subscript"/>
        </w:rPr>
        <w:t>c</w:t>
      </w:r>
      <w:r>
        <w:rPr>
          <w:rFonts w:ascii="Times New Roman" w:hAnsi="Times New Roman"/>
          <w:color w:val="000000"/>
          <w:sz w:val="24"/>
        </w:rPr>
        <w:t>=2.755吨，F</w:t>
      </w:r>
      <w:r>
        <w:rPr>
          <w:rFonts w:ascii="Times New Roman" w:hAnsi="Times New Roman"/>
          <w:color w:val="000000"/>
          <w:sz w:val="24"/>
          <w:vertAlign w:val="subscript"/>
        </w:rPr>
        <w:t>d</w:t>
      </w:r>
      <w:r>
        <w:rPr>
          <w:rFonts w:ascii="Times New Roman" w:hAnsi="Times New Roman"/>
          <w:color w:val="000000"/>
          <w:sz w:val="24"/>
        </w:rPr>
        <w:t>=6.298吨。</w:t>
      </w:r>
    </w:p>
    <w:p w14:paraId="2927C6D5">
      <w:pPr>
        <w:spacing w:line="360" w:lineRule="auto"/>
      </w:pPr>
      <w:r>
        <w:rPr>
          <w:rFonts w:ascii="Times New Roman" w:hAnsi="Times New Roman"/>
          <w:color w:val="000000"/>
          <w:sz w:val="24"/>
        </w:rPr>
        <w:t xml:space="preserve">    没有出现支腿荷载为负数。</w:t>
      </w:r>
    </w:p>
    <w:p w14:paraId="6689B7D8">
      <w:pPr>
        <w:spacing w:line="360" w:lineRule="auto"/>
      </w:pPr>
      <w:r>
        <w:rPr>
          <w:rFonts w:ascii="Times New Roman" w:hAnsi="Times New Roman"/>
          <w:color w:val="008000"/>
          <w:sz w:val="24"/>
        </w:rPr>
        <w:t xml:space="preserve">    抗倾覆满足要求！</w:t>
      </w:r>
    </w:p>
    <w:p w14:paraId="051DE660">
      <w:pPr>
        <w:pStyle w:val="5"/>
        <w:bidi w:val="0"/>
        <w:ind w:left="864" w:leftChars="0" w:hanging="864" w:firstLineChars="0"/>
      </w:pPr>
      <w:r>
        <w:rPr>
          <w:rFonts w:hint="eastAsia"/>
          <w:lang w:val="en-US" w:eastAsia="zh-CN"/>
        </w:rPr>
        <w:t>25t</w:t>
      </w:r>
      <w:r>
        <w:rPr>
          <w:rFonts w:hint="eastAsia"/>
        </w:rPr>
        <w:t>起重量的验算</w:t>
      </w:r>
    </w:p>
    <w:p w14:paraId="28DACD34">
      <w:pPr>
        <w:spacing w:line="360" w:lineRule="auto"/>
      </w:pPr>
      <w:r>
        <w:rPr>
          <w:rFonts w:ascii="Times New Roman" w:hAnsi="Times New Roman"/>
          <w:color w:val="000000"/>
          <w:sz w:val="24"/>
        </w:rPr>
        <w:t xml:space="preserve">    计算依据：</w:t>
      </w:r>
    </w:p>
    <w:p w14:paraId="63EF3D1A">
      <w:pPr>
        <w:spacing w:line="360" w:lineRule="auto"/>
      </w:pPr>
      <w:r>
        <w:rPr>
          <w:rFonts w:ascii="Times New Roman" w:hAnsi="Times New Roman"/>
          <w:color w:val="000000"/>
          <w:sz w:val="24"/>
        </w:rPr>
        <w:t xml:space="preserve">    1、《建筑结构荷载规范》GB 50009-2012</w:t>
      </w:r>
    </w:p>
    <w:p w14:paraId="375C9BEC">
      <w:pPr>
        <w:spacing w:line="360" w:lineRule="auto"/>
      </w:pPr>
      <w:r>
        <w:rPr>
          <w:rFonts w:ascii="Times New Roman" w:hAnsi="Times New Roman"/>
          <w:color w:val="000000"/>
          <w:sz w:val="24"/>
        </w:rPr>
        <w:t xml:space="preserve">    2、《建筑结构可靠性设计统一标准》GB50068-2018</w:t>
      </w:r>
    </w:p>
    <w:p w14:paraId="59E6A06C">
      <w:pPr>
        <w:spacing w:line="360" w:lineRule="auto"/>
      </w:pPr>
      <w:r>
        <w:rPr>
          <w:rFonts w:ascii="Times New Roman" w:hAnsi="Times New Roman"/>
          <w:color w:val="000000"/>
          <w:sz w:val="24"/>
        </w:rPr>
        <w:t xml:space="preserve">    3、《建筑地基基础设计规范》GB50007-2011</w:t>
      </w:r>
    </w:p>
    <w:p w14:paraId="133E650E">
      <w:pPr>
        <w:spacing w:line="360" w:lineRule="auto"/>
      </w:pPr>
      <w:r>
        <w:rPr>
          <w:rFonts w:ascii="Times New Roman" w:hAnsi="Times New Roman"/>
          <w:color w:val="000000"/>
          <w:sz w:val="24"/>
        </w:rPr>
        <w:t xml:space="preserve">    4、三一厂家STC250E5-1型号汽车起重机说明书</w:t>
      </w:r>
    </w:p>
    <w:p w14:paraId="554500F4">
      <w:pPr>
        <w:spacing w:line="360" w:lineRule="auto"/>
      </w:pPr>
      <w:r>
        <w:rPr>
          <w:rFonts w:ascii="Times New Roman" w:hAnsi="Times New Roman"/>
          <w:b/>
          <w:color w:val="000000"/>
          <w:sz w:val="28"/>
        </w:rPr>
        <w:t xml:space="preserve"> 一、吊装要求</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504C4E21">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11757EC9">
            <w:pPr>
              <w:spacing w:line="360" w:lineRule="auto"/>
            </w:pPr>
            <w:r>
              <w:rPr>
                <w:rFonts w:ascii="Times New Roman" w:hAnsi="Times New Roman"/>
                <w:color w:val="000000"/>
                <w:sz w:val="18"/>
              </w:rPr>
              <w:t>吊重G</w:t>
            </w:r>
            <w:r>
              <w:rPr>
                <w:rFonts w:ascii="Times New Roman" w:hAnsi="Times New Roman"/>
                <w:color w:val="000000"/>
                <w:sz w:val="24"/>
                <w:vertAlign w:val="subscript"/>
              </w:rPr>
              <w:t>w</w:t>
            </w:r>
            <w:r>
              <w:rPr>
                <w:rFonts w:ascii="Times New Roman" w:hAnsi="Times New Roman"/>
                <w:color w:val="000000"/>
                <w:sz w:val="18"/>
              </w:rPr>
              <w:t>(吨)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2C0D3D10">
            <w:pPr>
              <w:spacing w:line="360" w:lineRule="auto"/>
            </w:pPr>
            <w:r>
              <w:rPr>
                <w:rFonts w:ascii="Times New Roman" w:hAnsi="Times New Roman"/>
                <w:color w:val="000000"/>
                <w:sz w:val="18"/>
              </w:rPr>
              <w:t>5.4</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1FB9F571">
            <w:pPr>
              <w:spacing w:line="360" w:lineRule="auto"/>
            </w:pPr>
            <w:r>
              <w:rPr>
                <w:rFonts w:ascii="Times New Roman" w:hAnsi="Times New Roman"/>
                <w:color w:val="000000"/>
                <w:sz w:val="18"/>
              </w:rPr>
              <w:t>起吊动力系数K</w:t>
            </w:r>
            <w:r>
              <w:rPr>
                <w:rFonts w:ascii="Times New Roman" w:hAnsi="Times New Roman"/>
                <w:color w:val="000000"/>
                <w:sz w:val="24"/>
                <w:vertAlign w:val="subscript"/>
              </w:rPr>
              <w:t>1</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537A8DC1">
            <w:pPr>
              <w:spacing w:line="360" w:lineRule="auto"/>
            </w:pPr>
            <w:r>
              <w:rPr>
                <w:rFonts w:ascii="Times New Roman" w:hAnsi="Times New Roman"/>
                <w:color w:val="000000"/>
                <w:sz w:val="18"/>
              </w:rPr>
              <w:t>1.2</w:t>
            </w:r>
          </w:p>
        </w:tc>
      </w:tr>
    </w:tbl>
    <w:p w14:paraId="1EA2AA26">
      <w:pPr>
        <w:spacing w:line="360" w:lineRule="auto"/>
      </w:pPr>
      <w:r>
        <w:rPr>
          <w:rFonts w:ascii="Times New Roman" w:hAnsi="Times New Roman"/>
          <w:b/>
          <w:color w:val="000000"/>
          <w:sz w:val="28"/>
        </w:rPr>
        <w:t xml:space="preserve"> 二、汽车式起重机支腿力计算</w:t>
      </w:r>
    </w:p>
    <w:p w14:paraId="18DD958E">
      <w:pPr>
        <w:spacing w:line="360" w:lineRule="auto"/>
      </w:pPr>
      <w:r>
        <w:rPr>
          <w:rFonts w:ascii="Times New Roman" w:hAnsi="Times New Roman"/>
          <w:b/>
          <w:color w:val="000000"/>
          <w:sz w:val="24"/>
        </w:rPr>
        <w:t xml:space="preserve">  1、汽车式起重机参数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6747EF2D">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6ADD3BC0">
            <w:pPr>
              <w:spacing w:line="360" w:lineRule="auto"/>
            </w:pPr>
            <w:r>
              <w:rPr>
                <w:rFonts w:ascii="Times New Roman" w:hAnsi="Times New Roman"/>
                <w:color w:val="000000"/>
                <w:sz w:val="18"/>
              </w:rPr>
              <w:t>汽车起重机厂家</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2864ACB6">
            <w:pPr>
              <w:spacing w:line="360" w:lineRule="auto"/>
            </w:pPr>
            <w:r>
              <w:rPr>
                <w:rFonts w:ascii="Times New Roman" w:hAnsi="Times New Roman"/>
                <w:color w:val="000000"/>
                <w:sz w:val="18"/>
              </w:rPr>
              <w:t>三一</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33C209BE">
            <w:pPr>
              <w:spacing w:line="360" w:lineRule="auto"/>
            </w:pPr>
            <w:r>
              <w:rPr>
                <w:rFonts w:ascii="Times New Roman" w:hAnsi="Times New Roman"/>
                <w:color w:val="000000"/>
                <w:sz w:val="18"/>
              </w:rPr>
              <w:t>起重机型号</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00CA373D">
            <w:pPr>
              <w:spacing w:line="360" w:lineRule="auto"/>
            </w:pPr>
            <w:r>
              <w:rPr>
                <w:rFonts w:ascii="Times New Roman" w:hAnsi="Times New Roman"/>
                <w:color w:val="000000"/>
                <w:sz w:val="18"/>
              </w:rPr>
              <w:t>STC250E5-1</w:t>
            </w:r>
          </w:p>
        </w:tc>
      </w:tr>
      <w:tr w14:paraId="57DA9BE5">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2F15222C">
            <w:pPr>
              <w:spacing w:line="360" w:lineRule="auto"/>
            </w:pPr>
            <w:r>
              <w:rPr>
                <w:rFonts w:ascii="Times New Roman" w:hAnsi="Times New Roman"/>
                <w:color w:val="000000"/>
                <w:sz w:val="18"/>
              </w:rPr>
              <w:t>吊重G</w:t>
            </w:r>
            <w:r>
              <w:rPr>
                <w:rFonts w:ascii="Times New Roman" w:hAnsi="Times New Roman"/>
                <w:color w:val="000000"/>
                <w:sz w:val="24"/>
                <w:vertAlign w:val="subscript"/>
              </w:rPr>
              <w:t>w</w:t>
            </w:r>
            <w:r>
              <w:rPr>
                <w:rFonts w:ascii="Times New Roman" w:hAnsi="Times New Roman"/>
                <w:color w:val="000000"/>
                <w:sz w:val="18"/>
              </w:rPr>
              <w:t>(吨)</w:t>
            </w:r>
          </w:p>
        </w:tc>
        <w:tc>
          <w:tcPr>
            <w:tcW w:w="1605" w:type="dxa"/>
            <w:shd w:val="clear" w:color="auto" w:fill="FFFFFF"/>
          </w:tcPr>
          <w:p w14:paraId="1A32E185">
            <w:pPr>
              <w:spacing w:line="360" w:lineRule="auto"/>
            </w:pPr>
            <w:r>
              <w:rPr>
                <w:rFonts w:ascii="Times New Roman" w:hAnsi="Times New Roman"/>
                <w:color w:val="000000"/>
                <w:sz w:val="18"/>
              </w:rPr>
              <w:t>5.4</w:t>
            </w:r>
          </w:p>
        </w:tc>
        <w:tc>
          <w:tcPr>
            <w:tcW w:w="3105" w:type="dxa"/>
            <w:shd w:val="clear" w:color="auto" w:fill="FFFFFF"/>
          </w:tcPr>
          <w:p w14:paraId="70B41CE6">
            <w:pPr>
              <w:spacing w:line="360" w:lineRule="auto"/>
            </w:pPr>
            <w:r>
              <w:rPr>
                <w:rFonts w:ascii="Times New Roman" w:hAnsi="Times New Roman"/>
                <w:color w:val="000000"/>
                <w:sz w:val="18"/>
              </w:rPr>
              <w:t>起吊动力系数K</w:t>
            </w:r>
            <w:r>
              <w:rPr>
                <w:rFonts w:ascii="Times New Roman" w:hAnsi="Times New Roman"/>
                <w:color w:val="000000"/>
                <w:sz w:val="24"/>
                <w:vertAlign w:val="subscript"/>
              </w:rPr>
              <w:t>1</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6F4D079C">
            <w:pPr>
              <w:spacing w:line="360" w:lineRule="auto"/>
            </w:pPr>
            <w:r>
              <w:rPr>
                <w:rFonts w:ascii="Times New Roman" w:hAnsi="Times New Roman"/>
                <w:color w:val="000000"/>
                <w:sz w:val="18"/>
              </w:rPr>
              <w:t>1.2</w:t>
            </w:r>
          </w:p>
        </w:tc>
      </w:tr>
      <w:tr w14:paraId="6D5B5784">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7878069D">
            <w:pPr>
              <w:spacing w:line="360" w:lineRule="auto"/>
            </w:pPr>
            <w:r>
              <w:rPr>
                <w:rFonts w:ascii="Times New Roman" w:hAnsi="Times New Roman"/>
                <w:color w:val="000000"/>
                <w:sz w:val="18"/>
              </w:rPr>
              <w:t>工作幅度R(m)</w:t>
            </w:r>
          </w:p>
        </w:tc>
        <w:tc>
          <w:tcPr>
            <w:tcW w:w="1605" w:type="dxa"/>
            <w:shd w:val="clear" w:color="auto" w:fill="FFFFFF"/>
          </w:tcPr>
          <w:p w14:paraId="439A23C6">
            <w:pPr>
              <w:spacing w:line="360" w:lineRule="auto"/>
            </w:pPr>
            <w:r>
              <w:rPr>
                <w:rFonts w:ascii="Times New Roman" w:hAnsi="Times New Roman"/>
                <w:color w:val="000000"/>
                <w:sz w:val="18"/>
              </w:rPr>
              <w:t>11</w:t>
            </w:r>
          </w:p>
        </w:tc>
        <w:tc>
          <w:tcPr>
            <w:tcW w:w="3105" w:type="dxa"/>
            <w:shd w:val="clear" w:color="auto" w:fill="FFFFFF"/>
          </w:tcPr>
          <w:p w14:paraId="068436BC">
            <w:pPr>
              <w:spacing w:line="360" w:lineRule="auto"/>
            </w:pPr>
            <w:r>
              <w:rPr>
                <w:rFonts w:ascii="Times New Roman" w:hAnsi="Times New Roman"/>
                <w:color w:val="000000"/>
                <w:sz w:val="18"/>
              </w:rPr>
              <w:t>支腿纵向距离L(m)</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0C126FD9">
            <w:pPr>
              <w:spacing w:line="360" w:lineRule="auto"/>
            </w:pPr>
            <w:r>
              <w:rPr>
                <w:rFonts w:ascii="Times New Roman" w:hAnsi="Times New Roman"/>
                <w:color w:val="000000"/>
                <w:sz w:val="18"/>
              </w:rPr>
              <w:t>5.28</w:t>
            </w:r>
          </w:p>
        </w:tc>
      </w:tr>
      <w:tr w14:paraId="36A8CFD8">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4F956DE6">
            <w:pPr>
              <w:spacing w:line="360" w:lineRule="auto"/>
            </w:pPr>
            <w:r>
              <w:rPr>
                <w:rFonts w:ascii="Times New Roman" w:hAnsi="Times New Roman"/>
                <w:color w:val="000000"/>
                <w:sz w:val="18"/>
              </w:rPr>
              <w:t>支腿横向距离B(m)</w:t>
            </w:r>
          </w:p>
        </w:tc>
        <w:tc>
          <w:tcPr>
            <w:tcW w:w="1605" w:type="dxa"/>
            <w:shd w:val="clear" w:color="auto" w:fill="FFFFFF"/>
          </w:tcPr>
          <w:p w14:paraId="60789D20">
            <w:pPr>
              <w:spacing w:line="360" w:lineRule="auto"/>
            </w:pPr>
            <w:r>
              <w:rPr>
                <w:rFonts w:ascii="Times New Roman" w:hAnsi="Times New Roman"/>
                <w:color w:val="000000"/>
                <w:sz w:val="18"/>
              </w:rPr>
              <w:t>6.4</w:t>
            </w:r>
          </w:p>
        </w:tc>
        <w:tc>
          <w:tcPr>
            <w:tcW w:w="3105" w:type="dxa"/>
            <w:shd w:val="clear" w:color="auto" w:fill="FFFFFF"/>
          </w:tcPr>
          <w:p w14:paraId="136F25E6">
            <w:pPr>
              <w:spacing w:line="360" w:lineRule="auto"/>
            </w:pPr>
            <w:r>
              <w:rPr>
                <w:rFonts w:ascii="Times New Roman" w:hAnsi="Times New Roman"/>
                <w:color w:val="000000"/>
                <w:sz w:val="18"/>
              </w:rPr>
              <w:t>后支腿距最后一排车轮距离s(m)</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098C9233">
            <w:pPr>
              <w:spacing w:line="360" w:lineRule="auto"/>
            </w:pPr>
            <w:r>
              <w:rPr>
                <w:rFonts w:ascii="Times New Roman" w:hAnsi="Times New Roman"/>
                <w:color w:val="000000"/>
                <w:sz w:val="18"/>
              </w:rPr>
              <w:t>1.5</w:t>
            </w:r>
          </w:p>
        </w:tc>
      </w:tr>
      <w:tr w14:paraId="53B8B4EA">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03CCA917">
            <w:pPr>
              <w:spacing w:line="360" w:lineRule="auto"/>
            </w:pPr>
            <w:r>
              <w:rPr>
                <w:rFonts w:ascii="Times New Roman" w:hAnsi="Times New Roman"/>
                <w:color w:val="000000"/>
                <w:sz w:val="18"/>
              </w:rPr>
              <w:t>后支腿距旋转中心距离L</w:t>
            </w:r>
            <w:r>
              <w:rPr>
                <w:rFonts w:ascii="Times New Roman" w:hAnsi="Times New Roman"/>
                <w:color w:val="000000"/>
                <w:sz w:val="24"/>
                <w:vertAlign w:val="subscript"/>
              </w:rPr>
              <w:t>h</w:t>
            </w:r>
            <w:r>
              <w:rPr>
                <w:rFonts w:ascii="Times New Roman" w:hAnsi="Times New Roman"/>
                <w:color w:val="000000"/>
                <w:sz w:val="18"/>
              </w:rPr>
              <w:t>(m)</w:t>
            </w:r>
          </w:p>
        </w:tc>
        <w:tc>
          <w:tcPr>
            <w:tcW w:w="1605" w:type="dxa"/>
            <w:shd w:val="clear" w:color="auto" w:fill="FFFFFF"/>
          </w:tcPr>
          <w:p w14:paraId="29B9F4AD">
            <w:pPr>
              <w:spacing w:line="360" w:lineRule="auto"/>
            </w:pPr>
            <w:r>
              <w:rPr>
                <w:rFonts w:ascii="Times New Roman" w:hAnsi="Times New Roman"/>
                <w:color w:val="000000"/>
                <w:sz w:val="18"/>
              </w:rPr>
              <w:t>2.175</w:t>
            </w:r>
          </w:p>
        </w:tc>
        <w:tc>
          <w:tcPr>
            <w:tcW w:w="3105" w:type="dxa"/>
            <w:shd w:val="clear" w:color="auto" w:fill="FFFFFF"/>
          </w:tcPr>
          <w:p w14:paraId="1DA52E9B">
            <w:pPr>
              <w:spacing w:line="360" w:lineRule="auto"/>
            </w:pPr>
            <w:r>
              <w:rPr>
                <w:rFonts w:ascii="Times New Roman" w:hAnsi="Times New Roman"/>
                <w:color w:val="000000"/>
                <w:sz w:val="18"/>
              </w:rPr>
              <w:t>起重机自重G(吨)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740005E2">
            <w:pPr>
              <w:spacing w:line="360" w:lineRule="auto"/>
            </w:pPr>
            <w:r>
              <w:rPr>
                <w:rFonts w:ascii="Times New Roman" w:hAnsi="Times New Roman"/>
                <w:color w:val="000000"/>
                <w:sz w:val="18"/>
              </w:rPr>
              <w:t>32.2</w:t>
            </w:r>
          </w:p>
        </w:tc>
      </w:tr>
      <w:tr w14:paraId="6925001A">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2C570052">
            <w:pPr>
              <w:spacing w:line="360" w:lineRule="auto"/>
            </w:pPr>
            <w:r>
              <w:rPr>
                <w:rFonts w:ascii="Times New Roman" w:hAnsi="Times New Roman"/>
                <w:color w:val="000000"/>
                <w:sz w:val="18"/>
              </w:rPr>
              <w:t>是否有活动配重</w:t>
            </w:r>
          </w:p>
        </w:tc>
        <w:tc>
          <w:tcPr>
            <w:tcW w:w="6105" w:type="dxa"/>
            <w:gridSpan w:val="3"/>
            <w:tcBorders>
              <w:top w:val="single" w:color="auto" w:sz="6" w:space="0"/>
              <w:left w:val="single" w:color="auto" w:sz="6" w:space="0"/>
              <w:bottom w:val="single" w:color="auto" w:sz="6" w:space="0"/>
              <w:right w:val="single" w:color="auto" w:sz="6" w:space="0"/>
            </w:tcBorders>
            <w:shd w:val="clear" w:color="auto" w:fill="FFFFFF"/>
          </w:tcPr>
          <w:p w14:paraId="6FA17161">
            <w:pPr>
              <w:spacing w:line="360" w:lineRule="auto"/>
            </w:pPr>
            <w:r>
              <w:rPr>
                <w:rFonts w:ascii="Times New Roman" w:hAnsi="Times New Roman"/>
                <w:color w:val="000000"/>
                <w:sz w:val="18"/>
              </w:rPr>
              <w:t>否</w:t>
            </w:r>
          </w:p>
        </w:tc>
      </w:tr>
    </w:tbl>
    <w:p w14:paraId="08089E3C">
      <w:pPr>
        <w:spacing w:line="360" w:lineRule="auto"/>
      </w:pPr>
      <w:r>
        <w:rPr>
          <w:rFonts w:ascii="Times New Roman" w:hAnsi="Times New Roman"/>
          <w:b/>
          <w:color w:val="000000"/>
          <w:sz w:val="24"/>
        </w:rPr>
        <w:t xml:space="preserve">  2、汽车起重机轴距及轴荷</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095A8F82">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445B3BA4">
            <w:pPr>
              <w:spacing w:line="360" w:lineRule="auto"/>
            </w:pPr>
            <w:r>
              <w:rPr>
                <w:rFonts w:ascii="Times New Roman" w:hAnsi="Times New Roman"/>
                <w:color w:val="000000"/>
                <w:sz w:val="18"/>
              </w:rPr>
              <w:t>汽车起重机轴数</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37796A6">
            <w:pPr>
              <w:spacing w:line="360" w:lineRule="auto"/>
            </w:pPr>
            <w:r>
              <w:rPr>
                <w:rFonts w:ascii="Times New Roman" w:hAnsi="Times New Roman"/>
                <w:color w:val="000000"/>
                <w:sz w:val="18"/>
              </w:rPr>
              <w:t>3</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47EF0C24">
            <w:pPr>
              <w:spacing w:line="360" w:lineRule="auto"/>
            </w:pPr>
            <w:r>
              <w:rPr>
                <w:rFonts w:ascii="Times New Roman" w:hAnsi="Times New Roman"/>
                <w:color w:val="000000"/>
                <w:sz w:val="18"/>
              </w:rPr>
              <w:t>第1排车轮荷载(吨)</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4D5311C5">
            <w:pPr>
              <w:spacing w:line="360" w:lineRule="auto"/>
            </w:pPr>
            <w:r>
              <w:rPr>
                <w:rFonts w:ascii="Times New Roman" w:hAnsi="Times New Roman"/>
                <w:color w:val="000000"/>
                <w:sz w:val="18"/>
              </w:rPr>
              <w:t>6.7</w:t>
            </w:r>
          </w:p>
        </w:tc>
      </w:tr>
    </w:tbl>
    <w:p w14:paraId="63F7FDB6">
      <w:pPr>
        <w:spacing w:line="360" w:lineRule="auto"/>
      </w:pPr>
      <w:r>
        <w:rPr>
          <w:rFonts w:ascii="Times New Roman" w:hAnsi="Times New Roman"/>
          <w:color w:val="000000"/>
          <w:sz w:val="24"/>
        </w:rPr>
        <w:t xml:space="preserve">    </w:t>
      </w:r>
    </w:p>
    <w:tbl>
      <w:tblPr>
        <w:tblStyle w:val="44"/>
        <w:tblW w:w="7080" w:type="dxa"/>
        <w:jc w:val="center"/>
        <w:shd w:val="clear" w:color="auto" w:fill="FFFFFF"/>
        <w:tblLayout w:type="autofit"/>
        <w:tblCellMar>
          <w:top w:w="45" w:type="dxa"/>
          <w:left w:w="45" w:type="dxa"/>
          <w:bottom w:w="45" w:type="dxa"/>
          <w:right w:w="45" w:type="dxa"/>
        </w:tblCellMar>
      </w:tblPr>
      <w:tblGrid>
        <w:gridCol w:w="2360"/>
        <w:gridCol w:w="2360"/>
        <w:gridCol w:w="2360"/>
      </w:tblGrid>
      <w:tr w14:paraId="3A0BCAE6">
        <w:tblPrEx>
          <w:shd w:val="clear" w:color="auto" w:fill="FFFFFF"/>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3D32CE25">
            <w:pPr>
              <w:spacing w:line="360" w:lineRule="auto"/>
            </w:pPr>
            <w:r>
              <w:rPr>
                <w:rFonts w:ascii="Times New Roman" w:hAnsi="Times New Roman"/>
                <w:color w:val="000000"/>
                <w:sz w:val="18"/>
              </w:rPr>
              <w:t>第i排车轮</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3930225A">
            <w:pPr>
              <w:spacing w:line="360" w:lineRule="auto"/>
            </w:pPr>
            <w:r>
              <w:rPr>
                <w:rFonts w:ascii="Times New Roman" w:hAnsi="Times New Roman"/>
                <w:color w:val="000000"/>
                <w:sz w:val="18"/>
              </w:rPr>
              <w:t>依次轴距(mm)</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2CFCD8D7">
            <w:pPr>
              <w:spacing w:line="360" w:lineRule="auto"/>
            </w:pPr>
            <w:r>
              <w:rPr>
                <w:rFonts w:ascii="Times New Roman" w:hAnsi="Times New Roman"/>
                <w:color w:val="000000"/>
                <w:sz w:val="18"/>
              </w:rPr>
              <w:t>轴荷(吨)</w:t>
            </w:r>
          </w:p>
        </w:tc>
      </w:tr>
      <w:tr w14:paraId="65197949">
        <w:tblPrEx>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675C038A">
            <w:pPr>
              <w:spacing w:line="360" w:lineRule="auto"/>
            </w:pPr>
            <w:r>
              <w:rPr>
                <w:rFonts w:ascii="Times New Roman" w:hAnsi="Times New Roman"/>
                <w:color w:val="000000"/>
                <w:sz w:val="18"/>
              </w:rPr>
              <w:t>2</w:t>
            </w:r>
          </w:p>
        </w:tc>
        <w:tc>
          <w:tcPr>
            <w:tcW w:w="2355" w:type="dxa"/>
            <w:shd w:val="clear" w:color="auto" w:fill="FFFFFF"/>
            <w:vAlign w:val="center"/>
          </w:tcPr>
          <w:p w14:paraId="291849F7">
            <w:pPr>
              <w:spacing w:line="360" w:lineRule="auto"/>
            </w:pPr>
            <w:r>
              <w:rPr>
                <w:rFonts w:ascii="Times New Roman" w:hAnsi="Times New Roman"/>
                <w:color w:val="000000"/>
                <w:sz w:val="18"/>
              </w:rPr>
              <w:t>4580</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2161EB1F">
            <w:pPr>
              <w:spacing w:line="360" w:lineRule="auto"/>
            </w:pPr>
            <w:r>
              <w:rPr>
                <w:rFonts w:ascii="Times New Roman" w:hAnsi="Times New Roman"/>
                <w:color w:val="000000"/>
                <w:sz w:val="18"/>
              </w:rPr>
              <w:t>12.75</w:t>
            </w:r>
          </w:p>
        </w:tc>
      </w:tr>
      <w:tr w14:paraId="0034C1FE">
        <w:tblPrEx>
          <w:tblCellMar>
            <w:top w:w="45" w:type="dxa"/>
            <w:left w:w="45" w:type="dxa"/>
            <w:bottom w:w="45" w:type="dxa"/>
            <w:right w:w="45" w:type="dxa"/>
          </w:tblCellMar>
        </w:tblPrEx>
        <w:trPr>
          <w:trHeight w:val="75" w:hRule="atLeast"/>
          <w:jc w:val="center"/>
        </w:trPr>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131ABD08">
            <w:pPr>
              <w:spacing w:line="360" w:lineRule="auto"/>
            </w:pPr>
            <w:r>
              <w:rPr>
                <w:rFonts w:ascii="Times New Roman" w:hAnsi="Times New Roman"/>
                <w:color w:val="000000"/>
                <w:sz w:val="18"/>
              </w:rPr>
              <w:t>3</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62E93481">
            <w:pPr>
              <w:spacing w:line="360" w:lineRule="auto"/>
            </w:pPr>
            <w:r>
              <w:rPr>
                <w:rFonts w:ascii="Times New Roman" w:hAnsi="Times New Roman"/>
                <w:color w:val="000000"/>
                <w:sz w:val="18"/>
              </w:rPr>
              <w:t>1350</w:t>
            </w:r>
          </w:p>
        </w:tc>
        <w:tc>
          <w:tcPr>
            <w:tcW w:w="2355" w:type="dxa"/>
            <w:tcBorders>
              <w:top w:val="single" w:color="auto" w:sz="6" w:space="0"/>
              <w:left w:val="single" w:color="auto" w:sz="6" w:space="0"/>
              <w:bottom w:val="single" w:color="auto" w:sz="6" w:space="0"/>
              <w:right w:val="single" w:color="auto" w:sz="6" w:space="0"/>
            </w:tcBorders>
            <w:shd w:val="clear" w:color="auto" w:fill="FFFFFF"/>
            <w:vAlign w:val="center"/>
          </w:tcPr>
          <w:p w14:paraId="7EB055A4">
            <w:pPr>
              <w:spacing w:line="360" w:lineRule="auto"/>
            </w:pPr>
            <w:r>
              <w:rPr>
                <w:rFonts w:ascii="Times New Roman" w:hAnsi="Times New Roman"/>
                <w:color w:val="000000"/>
                <w:sz w:val="18"/>
              </w:rPr>
              <w:t>12.75</w:t>
            </w:r>
          </w:p>
        </w:tc>
      </w:tr>
    </w:tbl>
    <w:p w14:paraId="40BFD34A">
      <w:pPr>
        <w:spacing w:line="360" w:lineRule="auto"/>
        <w:jc w:val="center"/>
      </w:pPr>
      <w:r>
        <w:drawing>
          <wp:inline distT="0" distB="0" distL="0" distR="0">
            <wp:extent cx="6096000" cy="3086100"/>
            <wp:effectExtent l="0" t="0" r="0" b="0"/>
            <wp:docPr id="43"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 1"/>
                    <pic:cNvPicPr>
                      <a:picLocks noChangeAspect="1"/>
                    </pic:cNvPicPr>
                  </pic:nvPicPr>
                  <pic:blipFill>
                    <a:blip r:embed="rId36" cstate="print"/>
                    <a:stretch>
                      <a:fillRect/>
                    </a:stretch>
                  </pic:blipFill>
                  <pic:spPr>
                    <a:xfrm>
                      <a:off x="0" y="0"/>
                      <a:ext cx="6096000" cy="3086100"/>
                    </a:xfrm>
                    <a:prstGeom prst="rect">
                      <a:avLst/>
                    </a:prstGeom>
                  </pic:spPr>
                </pic:pic>
              </a:graphicData>
            </a:graphic>
          </wp:inline>
        </w:drawing>
      </w:r>
    </w:p>
    <w:p w14:paraId="69E74F21">
      <w:pPr>
        <w:spacing w:line="360" w:lineRule="auto"/>
        <w:jc w:val="center"/>
      </w:pPr>
      <w:r>
        <w:fldChar w:fldCharType="begin"/>
      </w:r>
      <w:r>
        <w:instrText xml:space="preserve"> HYPERLINK "file:///D:\\品茗软件\\品茗施工云安全计算软件2025版（V4.0）\\OutPut\\液压汽车起重机吊装计算_5_支腿力计算简图.dwg" \h </w:instrText>
      </w:r>
      <w:r>
        <w:fldChar w:fldCharType="separate"/>
      </w:r>
      <w:r>
        <w:rPr>
          <w:rFonts w:ascii="Times New Roman" w:hAnsi="Times New Roman"/>
          <w:color w:val="000080"/>
          <w:sz w:val="24"/>
          <w:u w:val="single"/>
        </w:rPr>
        <w:t>支腿力计算简图</w:t>
      </w:r>
      <w:r>
        <w:rPr>
          <w:rFonts w:ascii="Times New Roman" w:hAnsi="Times New Roman"/>
          <w:color w:val="000080"/>
          <w:sz w:val="24"/>
          <w:u w:val="single"/>
        </w:rPr>
        <w:fldChar w:fldCharType="end"/>
      </w:r>
    </w:p>
    <w:p w14:paraId="3936CEAC">
      <w:pPr>
        <w:spacing w:line="360" w:lineRule="auto"/>
      </w:pPr>
      <w:r>
        <w:rPr>
          <w:rFonts w:ascii="Times New Roman" w:hAnsi="Times New Roman"/>
          <w:color w:val="000000"/>
          <w:sz w:val="24"/>
        </w:rPr>
        <w:t xml:space="preserve">    在吊装过程中，支腿荷载主要有包括以下几部分荷载产生，起重机自重（通过在不同位置的各车轮轴荷代替）对各支腿产生的荷载F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；吊重分解到X方向对各支腿产生的荷载F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 吊重分解到Y方向对各支腿产生的荷载F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、F</w:t>
      </w:r>
      <w:r>
        <w:rPr>
          <w:rFonts w:ascii="Times New Roman" w:hAnsi="Times New Roman"/>
          <w:color w:val="000000"/>
          <w:sz w:val="24"/>
          <w:vertAlign w:val="subscript"/>
        </w:rPr>
        <w:t>cy</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w:t>
      </w:r>
    </w:p>
    <w:p w14:paraId="089485DD">
      <w:pPr>
        <w:spacing w:line="360" w:lineRule="auto"/>
        <w:jc w:val="center"/>
      </w:pPr>
      <w:r>
        <w:drawing>
          <wp:inline distT="0" distB="0" distL="0" distR="0">
            <wp:extent cx="5810250" cy="3505200"/>
            <wp:effectExtent l="0" t="0" r="0" b="0"/>
            <wp:docPr id="44"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 2"/>
                    <pic:cNvPicPr>
                      <a:picLocks noChangeAspect="1"/>
                    </pic:cNvPicPr>
                  </pic:nvPicPr>
                  <pic:blipFill>
                    <a:blip r:embed="rId31" cstate="print"/>
                    <a:stretch>
                      <a:fillRect/>
                    </a:stretch>
                  </pic:blipFill>
                  <pic:spPr>
                    <a:xfrm>
                      <a:off x="0" y="0"/>
                      <a:ext cx="5810250" cy="3505200"/>
                    </a:xfrm>
                    <a:prstGeom prst="rect">
                      <a:avLst/>
                    </a:prstGeom>
                  </pic:spPr>
                </pic:pic>
              </a:graphicData>
            </a:graphic>
          </wp:inline>
        </w:drawing>
      </w:r>
    </w:p>
    <w:p w14:paraId="6C4A4B74">
      <w:pPr>
        <w:spacing w:line="360" w:lineRule="auto"/>
      </w:pPr>
      <w:r>
        <w:rPr>
          <w:rFonts w:ascii="Times New Roman" w:hAnsi="Times New Roman"/>
          <w:b/>
          <w:color w:val="000000"/>
          <w:sz w:val="24"/>
        </w:rPr>
        <w:t xml:space="preserve">   1）起重机自重各支腿产生的荷载计算</w:t>
      </w:r>
    </w:p>
    <w:p w14:paraId="1B73C780">
      <w:pPr>
        <w:spacing w:line="360" w:lineRule="auto"/>
      </w:pPr>
      <w:r>
        <w:rPr>
          <w:rFonts w:ascii="Times New Roman" w:hAnsi="Times New Roman"/>
          <w:color w:val="000000"/>
          <w:sz w:val="24"/>
        </w:rPr>
        <w:t xml:space="preserve">    起重机自重G等于各轴荷载总和，G=32.2吨</w:t>
      </w:r>
    </w:p>
    <w:p w14:paraId="515563BC">
      <w:pPr>
        <w:spacing w:line="360" w:lineRule="auto"/>
      </w:pPr>
      <w:r>
        <w:rPr>
          <w:rFonts w:ascii="Times New Roman" w:hAnsi="Times New Roman"/>
          <w:color w:val="000000"/>
          <w:sz w:val="24"/>
        </w:rPr>
        <w:t xml:space="preserve">    第1轴：荷载为F</w:t>
      </w:r>
      <w:r>
        <w:rPr>
          <w:rFonts w:ascii="Times New Roman" w:hAnsi="Times New Roman"/>
          <w:color w:val="000000"/>
          <w:sz w:val="24"/>
          <w:vertAlign w:val="subscript"/>
        </w:rPr>
        <w:t>1</w:t>
      </w:r>
      <w:r>
        <w:rPr>
          <w:rFonts w:ascii="Times New Roman" w:hAnsi="Times New Roman"/>
          <w:color w:val="000000"/>
          <w:sz w:val="24"/>
        </w:rPr>
        <w:t>=6.7吨，距离后支腿距离L</w:t>
      </w:r>
      <w:r>
        <w:rPr>
          <w:rFonts w:ascii="Times New Roman" w:hAnsi="Times New Roman"/>
          <w:color w:val="000000"/>
          <w:sz w:val="24"/>
          <w:vertAlign w:val="subscript"/>
        </w:rPr>
        <w:t>1</w:t>
      </w:r>
      <w:r>
        <w:rPr>
          <w:rFonts w:ascii="Times New Roman" w:hAnsi="Times New Roman"/>
          <w:color w:val="000000"/>
          <w:sz w:val="24"/>
        </w:rPr>
        <w:t>=4.58+1.35+1.5=7.43m</w:t>
      </w:r>
    </w:p>
    <w:p w14:paraId="0B4B18EC">
      <w:pPr>
        <w:spacing w:line="360" w:lineRule="auto"/>
      </w:pPr>
      <w:r>
        <w:rPr>
          <w:rFonts w:ascii="Times New Roman" w:hAnsi="Times New Roman"/>
          <w:color w:val="000000"/>
          <w:sz w:val="24"/>
        </w:rPr>
        <w:t xml:space="preserve">    第2轴：荷载为F</w:t>
      </w:r>
      <w:r>
        <w:rPr>
          <w:rFonts w:ascii="Times New Roman" w:hAnsi="Times New Roman"/>
          <w:color w:val="000000"/>
          <w:sz w:val="24"/>
          <w:vertAlign w:val="subscript"/>
        </w:rPr>
        <w:t>2</w:t>
      </w:r>
      <w:r>
        <w:rPr>
          <w:rFonts w:ascii="Times New Roman" w:hAnsi="Times New Roman"/>
          <w:color w:val="000000"/>
          <w:sz w:val="24"/>
        </w:rPr>
        <w:t>=12.75吨，距离后支腿距离L</w:t>
      </w:r>
      <w:r>
        <w:rPr>
          <w:rFonts w:ascii="Times New Roman" w:hAnsi="Times New Roman"/>
          <w:color w:val="000000"/>
          <w:sz w:val="24"/>
          <w:vertAlign w:val="subscript"/>
        </w:rPr>
        <w:t>2</w:t>
      </w:r>
      <w:r>
        <w:rPr>
          <w:rFonts w:ascii="Times New Roman" w:hAnsi="Times New Roman"/>
          <w:color w:val="000000"/>
          <w:sz w:val="24"/>
        </w:rPr>
        <w:t>=1.35+1.5=2.85m</w:t>
      </w:r>
    </w:p>
    <w:p w14:paraId="1BE18A70">
      <w:pPr>
        <w:spacing w:line="360" w:lineRule="auto"/>
      </w:pPr>
      <w:r>
        <w:rPr>
          <w:rFonts w:ascii="Times New Roman" w:hAnsi="Times New Roman"/>
          <w:color w:val="000000"/>
          <w:sz w:val="24"/>
        </w:rPr>
        <w:t xml:space="preserve">    第3轴：荷载为F</w:t>
      </w:r>
      <w:r>
        <w:rPr>
          <w:rFonts w:ascii="Times New Roman" w:hAnsi="Times New Roman"/>
          <w:color w:val="000000"/>
          <w:sz w:val="24"/>
          <w:vertAlign w:val="subscript"/>
        </w:rPr>
        <w:t>3</w:t>
      </w:r>
      <w:r>
        <w:rPr>
          <w:rFonts w:ascii="Times New Roman" w:hAnsi="Times New Roman"/>
          <w:color w:val="000000"/>
          <w:sz w:val="24"/>
        </w:rPr>
        <w:t>=12.75吨，距离后支腿距离L</w:t>
      </w:r>
      <w:r>
        <w:rPr>
          <w:rFonts w:ascii="Times New Roman" w:hAnsi="Times New Roman"/>
          <w:color w:val="000000"/>
          <w:sz w:val="24"/>
          <w:vertAlign w:val="subscript"/>
        </w:rPr>
        <w:t>3</w:t>
      </w:r>
      <w:r>
        <w:rPr>
          <w:rFonts w:ascii="Times New Roman" w:hAnsi="Times New Roman"/>
          <w:color w:val="000000"/>
          <w:sz w:val="24"/>
        </w:rPr>
        <w:t>=1.5m</w:t>
      </w:r>
    </w:p>
    <w:p w14:paraId="7D38A4E3">
      <w:pPr>
        <w:spacing w:line="360" w:lineRule="auto"/>
      </w:pPr>
      <w:r>
        <w:rPr>
          <w:rFonts w:ascii="Times New Roman" w:hAnsi="Times New Roman"/>
          <w:color w:val="000000"/>
          <w:sz w:val="24"/>
        </w:rPr>
        <w:t xml:space="preserve">    通过各轴荷载F</w:t>
      </w:r>
      <w:r>
        <w:rPr>
          <w:rFonts w:ascii="Times New Roman" w:hAnsi="Times New Roman"/>
          <w:color w:val="000000"/>
          <w:sz w:val="24"/>
          <w:vertAlign w:val="subscript"/>
        </w:rPr>
        <w:t>i</w:t>
      </w:r>
      <w:r>
        <w:rPr>
          <w:rFonts w:ascii="Times New Roman" w:hAnsi="Times New Roman"/>
          <w:color w:val="000000"/>
          <w:sz w:val="24"/>
        </w:rPr>
        <w:t>以及前支腿荷载分别对后支腿取矩得到</w:t>
      </w:r>
    </w:p>
    <w:p w14:paraId="619F9EC0">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1</w:t>
      </w:r>
      <w:r>
        <w:rPr>
          <w:rFonts w:ascii="Times New Roman" w:hAnsi="Times New Roman"/>
          <w:color w:val="000000"/>
          <w:sz w:val="24"/>
        </w:rPr>
        <w:t>×L</w:t>
      </w:r>
      <w:r>
        <w:rPr>
          <w:rFonts w:ascii="Times New Roman" w:hAnsi="Times New Roman"/>
          <w:color w:val="000000"/>
          <w:sz w:val="24"/>
          <w:vertAlign w:val="subscript"/>
        </w:rPr>
        <w:t>1</w:t>
      </w:r>
      <w:r>
        <w:rPr>
          <w:rFonts w:ascii="Times New Roman" w:hAnsi="Times New Roman"/>
          <w:color w:val="000000"/>
          <w:sz w:val="24"/>
        </w:rPr>
        <w:t>+F</w:t>
      </w:r>
      <w:r>
        <w:rPr>
          <w:rFonts w:ascii="Times New Roman" w:hAnsi="Times New Roman"/>
          <w:color w:val="000000"/>
          <w:sz w:val="24"/>
          <w:vertAlign w:val="subscript"/>
        </w:rPr>
        <w:t>2</w:t>
      </w:r>
      <w:r>
        <w:rPr>
          <w:rFonts w:ascii="Times New Roman" w:hAnsi="Times New Roman"/>
          <w:color w:val="000000"/>
          <w:sz w:val="24"/>
        </w:rPr>
        <w:t>×L</w:t>
      </w:r>
      <w:r>
        <w:rPr>
          <w:rFonts w:ascii="Times New Roman" w:hAnsi="Times New Roman"/>
          <w:color w:val="000000"/>
          <w:sz w:val="24"/>
          <w:vertAlign w:val="subscript"/>
        </w:rPr>
        <w:t>2</w:t>
      </w:r>
      <w:r>
        <w:rPr>
          <w:rFonts w:ascii="Times New Roman" w:hAnsi="Times New Roman"/>
          <w:color w:val="000000"/>
          <w:sz w:val="24"/>
        </w:rPr>
        <w:t>+F</w:t>
      </w:r>
      <w:r>
        <w:rPr>
          <w:rFonts w:ascii="Times New Roman" w:hAnsi="Times New Roman"/>
          <w:color w:val="000000"/>
          <w:sz w:val="24"/>
          <w:vertAlign w:val="subscript"/>
        </w:rPr>
        <w:t>3</w:t>
      </w:r>
      <w:r>
        <w:rPr>
          <w:rFonts w:ascii="Times New Roman" w:hAnsi="Times New Roman"/>
          <w:color w:val="000000"/>
          <w:sz w:val="24"/>
        </w:rPr>
        <w:t>×L</w:t>
      </w:r>
      <w:r>
        <w:rPr>
          <w:rFonts w:ascii="Times New Roman" w:hAnsi="Times New Roman"/>
          <w:color w:val="000000"/>
          <w:sz w:val="24"/>
          <w:vertAlign w:val="subscript"/>
        </w:rPr>
        <w:t>3</w:t>
      </w:r>
      <w:r>
        <w:rPr>
          <w:rFonts w:ascii="Times New Roman" w:hAnsi="Times New Roman"/>
          <w:color w:val="000000"/>
          <w:sz w:val="24"/>
        </w:rPr>
        <w:t>-(F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)×L=0</w:t>
      </w:r>
    </w:p>
    <w:p w14:paraId="2F744551">
      <w:pPr>
        <w:spacing w:line="360" w:lineRule="auto"/>
      </w:pPr>
      <w:r>
        <w:rPr>
          <w:rFonts w:ascii="Times New Roman" w:hAnsi="Times New Roman"/>
          <w:color w:val="000000"/>
          <w:sz w:val="24"/>
        </w:rPr>
        <w:t xml:space="preserve">    6.7×7.43+12.75×2.85+12.75×1.5-(F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)×5.28=0</w:t>
      </w:r>
    </w:p>
    <w:p w14:paraId="4645512C">
      <w:pPr>
        <w:spacing w:line="360" w:lineRule="auto"/>
      </w:pPr>
      <w:r>
        <w:rPr>
          <w:rFonts w:ascii="Times New Roman" w:hAnsi="Times New Roman"/>
          <w:color w:val="000000"/>
          <w:sz w:val="24"/>
        </w:rPr>
        <w:t xml:space="preserve">    并且F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，得到：</w:t>
      </w:r>
    </w:p>
    <w:p w14:paraId="43BC15AC">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=9.966吨</w:t>
      </w:r>
    </w:p>
    <w:p w14:paraId="211D5068">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=[G-(F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)]/2=[32.2-(9.966+9.966)]/2=6.134吨</w:t>
      </w:r>
    </w:p>
    <w:p w14:paraId="1B78B463">
      <w:pPr>
        <w:spacing w:line="360" w:lineRule="auto"/>
      </w:pPr>
      <w:r>
        <w:rPr>
          <w:rFonts w:ascii="Times New Roman" w:hAnsi="Times New Roman"/>
          <w:color w:val="000000"/>
          <w:sz w:val="24"/>
        </w:rPr>
        <w:t xml:space="preserve">    将吊重对支腿产生的影响分成吊重移动至回转中心后竖向力对支腿产生荷载+吊重幅度产生的弯矩对支腿力荷载</w:t>
      </w:r>
    </w:p>
    <w:p w14:paraId="031C23B9">
      <w:pPr>
        <w:spacing w:line="360" w:lineRule="auto"/>
      </w:pPr>
      <w:r>
        <w:rPr>
          <w:rFonts w:ascii="Times New Roman" w:hAnsi="Times New Roman"/>
          <w:b/>
          <w:color w:val="000000"/>
          <w:sz w:val="24"/>
        </w:rPr>
        <w:t xml:space="preserve">  3、吊重移至回转中心后竖向力对支腿产生荷载计算</w:t>
      </w:r>
    </w:p>
    <w:p w14:paraId="3AABBA17">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×L</w:t>
      </w:r>
      <w:r>
        <w:rPr>
          <w:rFonts w:ascii="Times New Roman" w:hAnsi="Times New Roman"/>
          <w:color w:val="000000"/>
          <w:sz w:val="24"/>
          <w:vertAlign w:val="subscript"/>
        </w:rPr>
        <w:t>h</w:t>
      </w:r>
      <w:r>
        <w:rPr>
          <w:rFonts w:ascii="Times New Roman" w:hAnsi="Times New Roman"/>
          <w:color w:val="000000"/>
          <w:sz w:val="24"/>
        </w:rPr>
        <w:t>-(F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)×L=0</w:t>
      </w:r>
    </w:p>
    <w:p w14:paraId="2CBB3207">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×L</w:t>
      </w:r>
      <w:r>
        <w:rPr>
          <w:rFonts w:ascii="Times New Roman" w:hAnsi="Times New Roman"/>
          <w:color w:val="000000"/>
          <w:sz w:val="24"/>
          <w:vertAlign w:val="subscript"/>
        </w:rPr>
        <w:t>h</w:t>
      </w:r>
      <w:r>
        <w:rPr>
          <w:rFonts w:ascii="Times New Roman" w:hAnsi="Times New Roman"/>
          <w:color w:val="000000"/>
          <w:sz w:val="24"/>
        </w:rPr>
        <w:t>/(2L)=1.2×5.4×2.175/(2×5.28)=1.335吨</w:t>
      </w:r>
    </w:p>
    <w:p w14:paraId="7D402091">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b2</w:t>
      </w:r>
      <w:r>
        <w:rPr>
          <w:rFonts w:ascii="Times New Roman" w:hAnsi="Times New Roman"/>
          <w:color w:val="000000"/>
          <w:sz w:val="24"/>
        </w:rPr>
        <w:t>=F</w:t>
      </w:r>
      <w:r>
        <w:rPr>
          <w:rFonts w:ascii="Times New Roman" w:hAnsi="Times New Roman"/>
          <w:color w:val="000000"/>
          <w:sz w:val="24"/>
          <w:vertAlign w:val="subscript"/>
        </w:rPr>
        <w:t>c2</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×(L-L</w:t>
      </w:r>
      <w:r>
        <w:rPr>
          <w:rFonts w:ascii="Times New Roman" w:hAnsi="Times New Roman"/>
          <w:color w:val="000000"/>
          <w:sz w:val="24"/>
          <w:vertAlign w:val="subscript"/>
        </w:rPr>
        <w:t>h</w:t>
      </w:r>
      <w:r>
        <w:rPr>
          <w:rFonts w:ascii="Times New Roman" w:hAnsi="Times New Roman"/>
          <w:color w:val="000000"/>
          <w:sz w:val="24"/>
        </w:rPr>
        <w:t>)/(2L)=1.2×5.4×(5.28-2.175)/(2×5.28)=1.905吨</w:t>
      </w:r>
    </w:p>
    <w:p w14:paraId="0606261C">
      <w:pPr>
        <w:spacing w:line="360" w:lineRule="auto"/>
      </w:pPr>
      <w:r>
        <w:rPr>
          <w:rFonts w:ascii="Times New Roman" w:hAnsi="Times New Roman"/>
          <w:b/>
          <w:color w:val="000000"/>
          <w:sz w:val="24"/>
        </w:rPr>
        <w:t xml:space="preserve">   1）吊重考虑幅度后的弯矩对各支腿产生的荷载计算</w:t>
      </w:r>
    </w:p>
    <w:p w14:paraId="687AD979">
      <w:pPr>
        <w:spacing w:line="360" w:lineRule="auto"/>
      </w:pPr>
      <w:r>
        <w:rPr>
          <w:rFonts w:ascii="Times New Roman" w:hAnsi="Times New Roman"/>
          <w:b/>
          <w:color w:val="000000"/>
          <w:sz w:val="24"/>
        </w:rPr>
        <w:t xml:space="preserve">     ①求X方向吊重考虑幅度后的弯矩对各支腿荷载影响计算，各支腿荷载为F</w:t>
      </w:r>
      <w:r>
        <w:rPr>
          <w:rFonts w:ascii="Times New Roman" w:hAnsi="Times New Roman"/>
          <w:color w:val="000000"/>
          <w:sz w:val="24"/>
          <w:vertAlign w:val="subscript"/>
        </w:rPr>
        <w:t>ax</w:t>
      </w:r>
      <w:r>
        <w:rPr>
          <w:rFonts w:ascii="Times New Roman" w:hAnsi="Times New Roman"/>
          <w:b/>
          <w:color w:val="000000"/>
          <w:sz w:val="24"/>
        </w:rPr>
        <w:t>=F</w:t>
      </w:r>
      <w:r>
        <w:rPr>
          <w:rFonts w:ascii="Times New Roman" w:hAnsi="Times New Roman"/>
          <w:color w:val="000000"/>
          <w:sz w:val="24"/>
          <w:vertAlign w:val="subscript"/>
        </w:rPr>
        <w:t>dx</w:t>
      </w:r>
      <w:r>
        <w:rPr>
          <w:rFonts w:ascii="Times New Roman" w:hAnsi="Times New Roman"/>
          <w:b/>
          <w:color w:val="000000"/>
          <w:sz w:val="24"/>
        </w:rPr>
        <w:t>，F</w:t>
      </w:r>
      <w:r>
        <w:rPr>
          <w:rFonts w:ascii="Times New Roman" w:hAnsi="Times New Roman"/>
          <w:color w:val="000000"/>
          <w:sz w:val="24"/>
          <w:vertAlign w:val="subscript"/>
        </w:rPr>
        <w:t>bx</w:t>
      </w:r>
      <w:r>
        <w:rPr>
          <w:rFonts w:ascii="Times New Roman" w:hAnsi="Times New Roman"/>
          <w:b/>
          <w:color w:val="000000"/>
          <w:sz w:val="24"/>
        </w:rPr>
        <w:t>=F</w:t>
      </w:r>
      <w:r>
        <w:rPr>
          <w:rFonts w:ascii="Times New Roman" w:hAnsi="Times New Roman"/>
          <w:color w:val="000000"/>
          <w:sz w:val="24"/>
          <w:vertAlign w:val="subscript"/>
        </w:rPr>
        <w:t>cx</w:t>
      </w:r>
    </w:p>
    <w:p w14:paraId="48032D40">
      <w:pPr>
        <w:spacing w:line="360" w:lineRule="auto"/>
        <w:jc w:val="center"/>
      </w:pPr>
      <w:r>
        <w:drawing>
          <wp:inline distT="0" distB="0" distL="0" distR="0">
            <wp:extent cx="4152900" cy="2638425"/>
            <wp:effectExtent l="0" t="0" r="0" b="9525"/>
            <wp:docPr id="48"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 3"/>
                    <pic:cNvPicPr>
                      <a:picLocks noChangeAspect="1"/>
                    </pic:cNvPicPr>
                  </pic:nvPicPr>
                  <pic:blipFill>
                    <a:blip r:embed="rId37" cstate="print"/>
                    <a:stretch>
                      <a:fillRect/>
                    </a:stretch>
                  </pic:blipFill>
                  <pic:spPr>
                    <a:xfrm>
                      <a:off x="0" y="0"/>
                      <a:ext cx="4152900" cy="2638425"/>
                    </a:xfrm>
                    <a:prstGeom prst="rect">
                      <a:avLst/>
                    </a:prstGeom>
                  </pic:spPr>
                </pic:pic>
              </a:graphicData>
            </a:graphic>
          </wp:inline>
        </w:drawing>
      </w:r>
    </w:p>
    <w:p w14:paraId="2D052D9A">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×R)cosβ-(F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)×L=0</w:t>
      </w:r>
    </w:p>
    <w:p w14:paraId="557258A4">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×R)×cosβ/(2L)=(1.2×5.4×11)×cosβ/(2×5.28)=6.75cosβ</w:t>
      </w:r>
    </w:p>
    <w:p w14:paraId="0F815963">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=-6.75cosβ</w:t>
      </w:r>
    </w:p>
    <w:p w14:paraId="0C5698CF">
      <w:pPr>
        <w:spacing w:line="360" w:lineRule="auto"/>
      </w:pPr>
      <w:r>
        <w:rPr>
          <w:rFonts w:ascii="Times New Roman" w:hAnsi="Times New Roman"/>
          <w:b/>
          <w:color w:val="000000"/>
          <w:sz w:val="24"/>
        </w:rPr>
        <w:t xml:space="preserve">     ②求Y方向吊重考虑幅度后的弯矩对各支腿荷载影响计算，各支腿荷载为F</w:t>
      </w:r>
      <w:r>
        <w:rPr>
          <w:rFonts w:ascii="Times New Roman" w:hAnsi="Times New Roman"/>
          <w:color w:val="000000"/>
          <w:sz w:val="24"/>
          <w:vertAlign w:val="subscript"/>
        </w:rPr>
        <w:t>ay</w:t>
      </w:r>
      <w:r>
        <w:rPr>
          <w:rFonts w:ascii="Times New Roman" w:hAnsi="Times New Roman"/>
          <w:b/>
          <w:color w:val="000000"/>
          <w:sz w:val="24"/>
        </w:rPr>
        <w:t>=F</w:t>
      </w:r>
      <w:r>
        <w:rPr>
          <w:rFonts w:ascii="Times New Roman" w:hAnsi="Times New Roman"/>
          <w:color w:val="000000"/>
          <w:sz w:val="24"/>
          <w:vertAlign w:val="subscript"/>
        </w:rPr>
        <w:t>by</w:t>
      </w:r>
      <w:r>
        <w:rPr>
          <w:rFonts w:ascii="Times New Roman" w:hAnsi="Times New Roman"/>
          <w:b/>
          <w:color w:val="000000"/>
          <w:sz w:val="24"/>
        </w:rPr>
        <w:t>，F</w:t>
      </w:r>
      <w:r>
        <w:rPr>
          <w:rFonts w:ascii="Times New Roman" w:hAnsi="Times New Roman"/>
          <w:color w:val="000000"/>
          <w:sz w:val="24"/>
          <w:vertAlign w:val="subscript"/>
        </w:rPr>
        <w:t>cy</w:t>
      </w:r>
      <w:r>
        <w:rPr>
          <w:rFonts w:ascii="Times New Roman" w:hAnsi="Times New Roman"/>
          <w:b/>
          <w:color w:val="000000"/>
          <w:sz w:val="24"/>
        </w:rPr>
        <w:t>=F</w:t>
      </w:r>
      <w:r>
        <w:rPr>
          <w:rFonts w:ascii="Times New Roman" w:hAnsi="Times New Roman"/>
          <w:color w:val="000000"/>
          <w:sz w:val="24"/>
          <w:vertAlign w:val="subscript"/>
        </w:rPr>
        <w:t>dy</w:t>
      </w:r>
    </w:p>
    <w:p w14:paraId="28EA67D0">
      <w:pPr>
        <w:spacing w:line="360" w:lineRule="auto"/>
        <w:jc w:val="center"/>
      </w:pPr>
      <w:r>
        <w:drawing>
          <wp:inline distT="0" distB="0" distL="0" distR="0">
            <wp:extent cx="4152900" cy="2638425"/>
            <wp:effectExtent l="0" t="0" r="0" b="9525"/>
            <wp:docPr id="49"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 4"/>
                    <pic:cNvPicPr>
                      <a:picLocks noChangeAspect="1"/>
                    </pic:cNvPicPr>
                  </pic:nvPicPr>
                  <pic:blipFill>
                    <a:blip r:embed="rId38" cstate="print"/>
                    <a:stretch>
                      <a:fillRect/>
                    </a:stretch>
                  </pic:blipFill>
                  <pic:spPr>
                    <a:xfrm>
                      <a:off x="0" y="0"/>
                      <a:ext cx="4152900" cy="2638425"/>
                    </a:xfrm>
                    <a:prstGeom prst="rect">
                      <a:avLst/>
                    </a:prstGeom>
                  </pic:spPr>
                </pic:pic>
              </a:graphicData>
            </a:graphic>
          </wp:inline>
        </w:drawing>
      </w:r>
    </w:p>
    <w:p w14:paraId="0ACA099C">
      <w:pPr>
        <w:spacing w:line="360" w:lineRule="auto"/>
      </w:pPr>
      <w:r>
        <w:rPr>
          <w:rFonts w:ascii="Times New Roman" w:hAnsi="Times New Roman"/>
          <w:color w:val="000000"/>
          <w:sz w:val="24"/>
        </w:rPr>
        <w:t xml:space="preserve">    (k×G</w:t>
      </w:r>
      <w:r>
        <w:rPr>
          <w:rFonts w:ascii="Times New Roman" w:hAnsi="Times New Roman"/>
          <w:color w:val="000000"/>
          <w:sz w:val="24"/>
          <w:vertAlign w:val="subscript"/>
        </w:rPr>
        <w:t>w</w:t>
      </w:r>
      <w:r>
        <w:rPr>
          <w:rFonts w:ascii="Times New Roman" w:hAnsi="Times New Roman"/>
          <w:color w:val="000000"/>
          <w:sz w:val="24"/>
        </w:rPr>
        <w:t>×R)sinβ-(F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)×L=0</w:t>
      </w:r>
    </w:p>
    <w:p w14:paraId="3166E7A6">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ay</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=(k×G</w:t>
      </w:r>
      <w:r>
        <w:rPr>
          <w:rFonts w:ascii="Times New Roman" w:hAnsi="Times New Roman"/>
          <w:color w:val="000000"/>
          <w:sz w:val="24"/>
          <w:vertAlign w:val="subscript"/>
        </w:rPr>
        <w:t>w</w:t>
      </w:r>
      <w:r>
        <w:rPr>
          <w:rFonts w:ascii="Times New Roman" w:hAnsi="Times New Roman"/>
          <w:color w:val="000000"/>
          <w:sz w:val="24"/>
        </w:rPr>
        <w:t>×R)×sinβ/(2L)=(1.2×5.4×11)×sinβ/(2×5.28)=6.75sinβ</w:t>
      </w:r>
    </w:p>
    <w:p w14:paraId="212006DF">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cy</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=-6.75sinβ</w:t>
      </w:r>
    </w:p>
    <w:p w14:paraId="42B0A286">
      <w:pPr>
        <w:spacing w:line="360" w:lineRule="auto"/>
      </w:pPr>
      <w:r>
        <w:rPr>
          <w:rFonts w:ascii="Times New Roman" w:hAnsi="Times New Roman"/>
          <w:b/>
          <w:color w:val="000000"/>
          <w:sz w:val="24"/>
        </w:rPr>
        <w:t xml:space="preserve">   2）考虑各因素影响后，各支腿的荷载分别为：</w:t>
      </w:r>
    </w:p>
    <w:p w14:paraId="6C59DED5">
      <w:pPr>
        <w:spacing w:line="360" w:lineRule="auto"/>
      </w:pPr>
      <w:r>
        <w:rPr>
          <w:rFonts w:ascii="Times New Roman" w:hAnsi="Times New Roman"/>
          <w:color w:val="000000"/>
          <w:sz w:val="24"/>
        </w:rPr>
        <w:t xml:space="preserve">    支腿a:F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a1</w:t>
      </w:r>
      <w:r>
        <w:rPr>
          <w:rFonts w:ascii="Times New Roman" w:hAnsi="Times New Roman"/>
          <w:color w:val="000000"/>
          <w:sz w:val="24"/>
        </w:rPr>
        <w:t>+F</w:t>
      </w:r>
      <w:r>
        <w:rPr>
          <w:rFonts w:ascii="Times New Roman" w:hAnsi="Times New Roman"/>
          <w:color w:val="000000"/>
          <w:sz w:val="24"/>
          <w:vertAlign w:val="subscript"/>
        </w:rPr>
        <w:t>a2</w:t>
      </w:r>
      <w:r>
        <w:rPr>
          <w:rFonts w:ascii="Times New Roman" w:hAnsi="Times New Roman"/>
          <w:color w:val="000000"/>
          <w:sz w:val="24"/>
        </w:rPr>
        <w:t>+F</w:t>
      </w:r>
      <w:r>
        <w:rPr>
          <w:rFonts w:ascii="Times New Roman" w:hAnsi="Times New Roman"/>
          <w:color w:val="000000"/>
          <w:sz w:val="24"/>
          <w:vertAlign w:val="subscript"/>
        </w:rPr>
        <w:t>ax</w:t>
      </w:r>
      <w:r>
        <w:rPr>
          <w:rFonts w:ascii="Times New Roman" w:hAnsi="Times New Roman"/>
          <w:color w:val="000000"/>
          <w:sz w:val="24"/>
        </w:rPr>
        <w:t>+F</w:t>
      </w:r>
      <w:r>
        <w:rPr>
          <w:rFonts w:ascii="Times New Roman" w:hAnsi="Times New Roman"/>
          <w:color w:val="000000"/>
          <w:sz w:val="24"/>
          <w:vertAlign w:val="subscript"/>
        </w:rPr>
        <w:t>ay</w:t>
      </w:r>
      <w:r>
        <w:rPr>
          <w:rFonts w:ascii="Times New Roman" w:hAnsi="Times New Roman"/>
          <w:color w:val="000000"/>
          <w:sz w:val="24"/>
        </w:rPr>
        <w:t>=9.966+1.335-6.75cosβ+6.75sinβ</w:t>
      </w:r>
    </w:p>
    <w:p w14:paraId="467D0189">
      <w:pPr>
        <w:spacing w:line="360" w:lineRule="auto"/>
      </w:pPr>
      <w:r>
        <w:rPr>
          <w:rFonts w:ascii="Times New Roman" w:hAnsi="Times New Roman"/>
          <w:color w:val="000000"/>
          <w:sz w:val="24"/>
        </w:rPr>
        <w:t xml:space="preserve">    支腿b:F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b1</w:t>
      </w:r>
      <w:r>
        <w:rPr>
          <w:rFonts w:ascii="Times New Roman" w:hAnsi="Times New Roman"/>
          <w:color w:val="000000"/>
          <w:sz w:val="24"/>
        </w:rPr>
        <w:t>+F</w:t>
      </w:r>
      <w:r>
        <w:rPr>
          <w:rFonts w:ascii="Times New Roman" w:hAnsi="Times New Roman"/>
          <w:color w:val="000000"/>
          <w:sz w:val="24"/>
          <w:vertAlign w:val="subscript"/>
        </w:rPr>
        <w:t>b2</w:t>
      </w:r>
      <w:r>
        <w:rPr>
          <w:rFonts w:ascii="Times New Roman" w:hAnsi="Times New Roman"/>
          <w:color w:val="000000"/>
          <w:sz w:val="24"/>
        </w:rPr>
        <w:t>+F</w:t>
      </w:r>
      <w:r>
        <w:rPr>
          <w:rFonts w:ascii="Times New Roman" w:hAnsi="Times New Roman"/>
          <w:color w:val="000000"/>
          <w:sz w:val="24"/>
          <w:vertAlign w:val="subscript"/>
        </w:rPr>
        <w:t>bx</w:t>
      </w:r>
      <w:r>
        <w:rPr>
          <w:rFonts w:ascii="Times New Roman" w:hAnsi="Times New Roman"/>
          <w:color w:val="000000"/>
          <w:sz w:val="24"/>
        </w:rPr>
        <w:t>+F</w:t>
      </w:r>
      <w:r>
        <w:rPr>
          <w:rFonts w:ascii="Times New Roman" w:hAnsi="Times New Roman"/>
          <w:color w:val="000000"/>
          <w:sz w:val="24"/>
          <w:vertAlign w:val="subscript"/>
        </w:rPr>
        <w:t>by</w:t>
      </w:r>
      <w:r>
        <w:rPr>
          <w:rFonts w:ascii="Times New Roman" w:hAnsi="Times New Roman"/>
          <w:color w:val="000000"/>
          <w:sz w:val="24"/>
        </w:rPr>
        <w:t>=6.134+1.905+6.75cosβ+6.75sinβ</w:t>
      </w:r>
    </w:p>
    <w:p w14:paraId="587C777F">
      <w:pPr>
        <w:spacing w:line="360" w:lineRule="auto"/>
      </w:pPr>
      <w:r>
        <w:rPr>
          <w:rFonts w:ascii="Times New Roman" w:hAnsi="Times New Roman"/>
          <w:color w:val="000000"/>
          <w:sz w:val="24"/>
        </w:rPr>
        <w:t xml:space="preserve">    支腿c:F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c1</w:t>
      </w:r>
      <w:r>
        <w:rPr>
          <w:rFonts w:ascii="Times New Roman" w:hAnsi="Times New Roman"/>
          <w:color w:val="000000"/>
          <w:sz w:val="24"/>
        </w:rPr>
        <w:t>+F</w:t>
      </w:r>
      <w:r>
        <w:rPr>
          <w:rFonts w:ascii="Times New Roman" w:hAnsi="Times New Roman"/>
          <w:color w:val="000000"/>
          <w:sz w:val="24"/>
          <w:vertAlign w:val="subscript"/>
        </w:rPr>
        <w:t>c2</w:t>
      </w:r>
      <w:r>
        <w:rPr>
          <w:rFonts w:ascii="Times New Roman" w:hAnsi="Times New Roman"/>
          <w:color w:val="000000"/>
          <w:sz w:val="24"/>
        </w:rPr>
        <w:t>+F</w:t>
      </w:r>
      <w:r>
        <w:rPr>
          <w:rFonts w:ascii="Times New Roman" w:hAnsi="Times New Roman"/>
          <w:color w:val="000000"/>
          <w:sz w:val="24"/>
          <w:vertAlign w:val="subscript"/>
        </w:rPr>
        <w:t>cx</w:t>
      </w:r>
      <w:r>
        <w:rPr>
          <w:rFonts w:ascii="Times New Roman" w:hAnsi="Times New Roman"/>
          <w:color w:val="000000"/>
          <w:sz w:val="24"/>
        </w:rPr>
        <w:t>+F</w:t>
      </w:r>
      <w:r>
        <w:rPr>
          <w:rFonts w:ascii="Times New Roman" w:hAnsi="Times New Roman"/>
          <w:color w:val="000000"/>
          <w:sz w:val="24"/>
          <w:vertAlign w:val="subscript"/>
        </w:rPr>
        <w:t>cy</w:t>
      </w:r>
      <w:r>
        <w:rPr>
          <w:rFonts w:ascii="Times New Roman" w:hAnsi="Times New Roman"/>
          <w:color w:val="000000"/>
          <w:sz w:val="24"/>
        </w:rPr>
        <w:t>=6.134+1.905+6.75cosβ-6.75sinβ</w:t>
      </w:r>
    </w:p>
    <w:p w14:paraId="33E6310C">
      <w:pPr>
        <w:spacing w:line="360" w:lineRule="auto"/>
      </w:pPr>
      <w:r>
        <w:rPr>
          <w:rFonts w:ascii="Times New Roman" w:hAnsi="Times New Roman"/>
          <w:color w:val="000000"/>
          <w:sz w:val="24"/>
        </w:rPr>
        <w:t xml:space="preserve">    支腿d:F</w:t>
      </w:r>
      <w:r>
        <w:rPr>
          <w:rFonts w:ascii="Times New Roman" w:hAnsi="Times New Roman"/>
          <w:color w:val="000000"/>
          <w:sz w:val="24"/>
          <w:vertAlign w:val="subscript"/>
        </w:rPr>
        <w:t>d</w:t>
      </w:r>
      <w:r>
        <w:rPr>
          <w:rFonts w:ascii="Times New Roman" w:hAnsi="Times New Roman"/>
          <w:color w:val="000000"/>
          <w:sz w:val="24"/>
        </w:rPr>
        <w:t>=F</w:t>
      </w:r>
      <w:r>
        <w:rPr>
          <w:rFonts w:ascii="Times New Roman" w:hAnsi="Times New Roman"/>
          <w:color w:val="000000"/>
          <w:sz w:val="24"/>
          <w:vertAlign w:val="subscript"/>
        </w:rPr>
        <w:t>d1</w:t>
      </w:r>
      <w:r>
        <w:rPr>
          <w:rFonts w:ascii="Times New Roman" w:hAnsi="Times New Roman"/>
          <w:color w:val="000000"/>
          <w:sz w:val="24"/>
        </w:rPr>
        <w:t>+F</w:t>
      </w:r>
      <w:r>
        <w:rPr>
          <w:rFonts w:ascii="Times New Roman" w:hAnsi="Times New Roman"/>
          <w:color w:val="000000"/>
          <w:sz w:val="24"/>
          <w:vertAlign w:val="subscript"/>
        </w:rPr>
        <w:t>d2</w:t>
      </w:r>
      <w:r>
        <w:rPr>
          <w:rFonts w:ascii="Times New Roman" w:hAnsi="Times New Roman"/>
          <w:color w:val="000000"/>
          <w:sz w:val="24"/>
        </w:rPr>
        <w:t>+F</w:t>
      </w:r>
      <w:r>
        <w:rPr>
          <w:rFonts w:ascii="Times New Roman" w:hAnsi="Times New Roman"/>
          <w:color w:val="000000"/>
          <w:sz w:val="24"/>
          <w:vertAlign w:val="subscript"/>
        </w:rPr>
        <w:t>dx</w:t>
      </w:r>
      <w:r>
        <w:rPr>
          <w:rFonts w:ascii="Times New Roman" w:hAnsi="Times New Roman"/>
          <w:color w:val="000000"/>
          <w:sz w:val="24"/>
        </w:rPr>
        <w:t>+F</w:t>
      </w:r>
      <w:r>
        <w:rPr>
          <w:rFonts w:ascii="Times New Roman" w:hAnsi="Times New Roman"/>
          <w:color w:val="000000"/>
          <w:sz w:val="24"/>
          <w:vertAlign w:val="subscript"/>
        </w:rPr>
        <w:t>dy</w:t>
      </w:r>
      <w:r>
        <w:rPr>
          <w:rFonts w:ascii="Times New Roman" w:hAnsi="Times New Roman"/>
          <w:color w:val="000000"/>
          <w:sz w:val="24"/>
        </w:rPr>
        <w:t>=9.966+1.335-6.75cosβ-6.75sinβ</w:t>
      </w:r>
    </w:p>
    <w:p w14:paraId="0C3741B1">
      <w:pPr>
        <w:spacing w:line="360" w:lineRule="auto"/>
      </w:pPr>
      <w:r>
        <w:rPr>
          <w:rFonts w:ascii="Times New Roman" w:hAnsi="Times New Roman"/>
          <w:b/>
          <w:color w:val="000000"/>
          <w:sz w:val="24"/>
        </w:rPr>
        <w:t xml:space="preserve">   3）各吊装工况及最不利工况支腿荷载计算</w:t>
      </w:r>
    </w:p>
    <w:p w14:paraId="064AD929">
      <w:pPr>
        <w:spacing w:line="360" w:lineRule="auto"/>
      </w:pPr>
      <w:r>
        <w:rPr>
          <w:rFonts w:ascii="Times New Roman" w:hAnsi="Times New Roman"/>
          <w:b/>
          <w:color w:val="000000"/>
          <w:sz w:val="24"/>
        </w:rPr>
        <w:t xml:space="preserve">     ①当β=0°时，此时吊物在起重机后方</w:t>
      </w:r>
    </w:p>
    <w:p w14:paraId="7C03450F">
      <w:pPr>
        <w:spacing w:line="360" w:lineRule="auto"/>
        <w:jc w:val="center"/>
      </w:pPr>
      <w:r>
        <w:drawing>
          <wp:inline distT="0" distB="0" distL="0" distR="0">
            <wp:extent cx="5810250" cy="3505200"/>
            <wp:effectExtent l="0" t="0" r="0" b="0"/>
            <wp:docPr id="53"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 5"/>
                    <pic:cNvPicPr>
                      <a:picLocks noChangeAspect="1"/>
                    </pic:cNvPicPr>
                  </pic:nvPicPr>
                  <pic:blipFill>
                    <a:blip r:embed="rId31" cstate="print"/>
                    <a:stretch>
                      <a:fillRect/>
                    </a:stretch>
                  </pic:blipFill>
                  <pic:spPr>
                    <a:xfrm>
                      <a:off x="0" y="0"/>
                      <a:ext cx="5810250" cy="3505200"/>
                    </a:xfrm>
                    <a:prstGeom prst="rect">
                      <a:avLst/>
                    </a:prstGeom>
                  </pic:spPr>
                </pic:pic>
              </a:graphicData>
            </a:graphic>
          </wp:inline>
        </w:drawing>
      </w:r>
    </w:p>
    <w:p w14:paraId="4A948BC7">
      <w:pPr>
        <w:spacing w:line="360" w:lineRule="auto"/>
      </w:pPr>
      <w:r>
        <w:rPr>
          <w:rFonts w:ascii="Times New Roman" w:hAnsi="Times New Roman"/>
          <w:color w:val="000000"/>
          <w:sz w:val="24"/>
        </w:rPr>
        <w:t xml:space="preserve">    将β=0°代入得到：</w:t>
      </w:r>
    </w:p>
    <w:p w14:paraId="1C06828A">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=4.551吨，F</w:t>
      </w:r>
      <w:r>
        <w:rPr>
          <w:rFonts w:ascii="Times New Roman" w:hAnsi="Times New Roman"/>
          <w:color w:val="000000"/>
          <w:sz w:val="24"/>
          <w:vertAlign w:val="subscript"/>
        </w:rPr>
        <w:t>b</w:t>
      </w:r>
      <w:r>
        <w:rPr>
          <w:rFonts w:ascii="Times New Roman" w:hAnsi="Times New Roman"/>
          <w:color w:val="000000"/>
          <w:sz w:val="24"/>
        </w:rPr>
        <w:t>=14.789吨，F</w:t>
      </w:r>
      <w:r>
        <w:rPr>
          <w:rFonts w:ascii="Times New Roman" w:hAnsi="Times New Roman"/>
          <w:color w:val="000000"/>
          <w:sz w:val="24"/>
          <w:vertAlign w:val="subscript"/>
        </w:rPr>
        <w:t>c</w:t>
      </w:r>
      <w:r>
        <w:rPr>
          <w:rFonts w:ascii="Times New Roman" w:hAnsi="Times New Roman"/>
          <w:color w:val="000000"/>
          <w:sz w:val="24"/>
        </w:rPr>
        <w:t>=14.789吨，F</w:t>
      </w:r>
      <w:r>
        <w:rPr>
          <w:rFonts w:ascii="Times New Roman" w:hAnsi="Times New Roman"/>
          <w:color w:val="000000"/>
          <w:sz w:val="24"/>
          <w:vertAlign w:val="subscript"/>
        </w:rPr>
        <w:t>d</w:t>
      </w:r>
      <w:r>
        <w:rPr>
          <w:rFonts w:ascii="Times New Roman" w:hAnsi="Times New Roman"/>
          <w:color w:val="000000"/>
          <w:sz w:val="24"/>
        </w:rPr>
        <w:t>=4.551吨</w:t>
      </w:r>
    </w:p>
    <w:p w14:paraId="08C45581">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1</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)=max(4.551、14.789、14.789、4.551)=14.789吨</w:t>
      </w:r>
    </w:p>
    <w:p w14:paraId="5D66FD05">
      <w:pPr>
        <w:spacing w:line="360" w:lineRule="auto"/>
      </w:pPr>
      <w:r>
        <w:rPr>
          <w:rFonts w:ascii="Times New Roman" w:hAnsi="Times New Roman"/>
          <w:b/>
          <w:color w:val="000000"/>
          <w:sz w:val="24"/>
        </w:rPr>
        <w:t xml:space="preserve">     ②当β=90°时，此时吊物在起重机侧方</w:t>
      </w:r>
    </w:p>
    <w:p w14:paraId="7C21E825">
      <w:pPr>
        <w:spacing w:line="360" w:lineRule="auto"/>
        <w:jc w:val="center"/>
      </w:pPr>
      <w:r>
        <w:drawing>
          <wp:inline distT="0" distB="0" distL="0" distR="0">
            <wp:extent cx="5810250" cy="4000500"/>
            <wp:effectExtent l="0" t="0" r="0" b="0"/>
            <wp:docPr id="54"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 6"/>
                    <pic:cNvPicPr>
                      <a:picLocks noChangeAspect="1"/>
                    </pic:cNvPicPr>
                  </pic:nvPicPr>
                  <pic:blipFill>
                    <a:blip r:embed="rId34" cstate="print"/>
                    <a:stretch>
                      <a:fillRect/>
                    </a:stretch>
                  </pic:blipFill>
                  <pic:spPr>
                    <a:xfrm>
                      <a:off x="0" y="0"/>
                      <a:ext cx="5810250" cy="4000500"/>
                    </a:xfrm>
                    <a:prstGeom prst="rect">
                      <a:avLst/>
                    </a:prstGeom>
                  </pic:spPr>
                </pic:pic>
              </a:graphicData>
            </a:graphic>
          </wp:inline>
        </w:drawing>
      </w:r>
    </w:p>
    <w:p w14:paraId="1D4418CA">
      <w:pPr>
        <w:spacing w:line="360" w:lineRule="auto"/>
      </w:pPr>
      <w:r>
        <w:rPr>
          <w:rFonts w:ascii="Times New Roman" w:hAnsi="Times New Roman"/>
          <w:color w:val="000000"/>
          <w:sz w:val="24"/>
        </w:rPr>
        <w:t xml:space="preserve">    将β=90°代入得到：</w:t>
      </w:r>
    </w:p>
    <w:p w14:paraId="597F0C29">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=18.051吨，F</w:t>
      </w:r>
      <w:r>
        <w:rPr>
          <w:rFonts w:ascii="Times New Roman" w:hAnsi="Times New Roman"/>
          <w:color w:val="000000"/>
          <w:sz w:val="24"/>
          <w:vertAlign w:val="subscript"/>
        </w:rPr>
        <w:t>b</w:t>
      </w:r>
      <w:r>
        <w:rPr>
          <w:rFonts w:ascii="Times New Roman" w:hAnsi="Times New Roman"/>
          <w:color w:val="000000"/>
          <w:sz w:val="24"/>
        </w:rPr>
        <w:t>=14.789吨，F</w:t>
      </w:r>
      <w:r>
        <w:rPr>
          <w:rFonts w:ascii="Times New Roman" w:hAnsi="Times New Roman"/>
          <w:color w:val="000000"/>
          <w:sz w:val="24"/>
          <w:vertAlign w:val="subscript"/>
        </w:rPr>
        <w:t>c</w:t>
      </w:r>
      <w:r>
        <w:rPr>
          <w:rFonts w:ascii="Times New Roman" w:hAnsi="Times New Roman"/>
          <w:color w:val="000000"/>
          <w:sz w:val="24"/>
        </w:rPr>
        <w:t>=1.289吨，F</w:t>
      </w:r>
      <w:r>
        <w:rPr>
          <w:rFonts w:ascii="Times New Roman" w:hAnsi="Times New Roman"/>
          <w:color w:val="000000"/>
          <w:sz w:val="24"/>
          <w:vertAlign w:val="subscript"/>
        </w:rPr>
        <w:t>d</w:t>
      </w:r>
      <w:r>
        <w:rPr>
          <w:rFonts w:ascii="Times New Roman" w:hAnsi="Times New Roman"/>
          <w:color w:val="000000"/>
          <w:sz w:val="24"/>
        </w:rPr>
        <w:t>=4.551吨</w:t>
      </w:r>
    </w:p>
    <w:p w14:paraId="40BEAFD5">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2</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)=max(18.051、14.789、1.289、4.551)=18.051吨</w:t>
      </w:r>
    </w:p>
    <w:p w14:paraId="38423077">
      <w:pPr>
        <w:spacing w:line="360" w:lineRule="auto"/>
      </w:pPr>
      <w:r>
        <w:rPr>
          <w:rFonts w:ascii="Times New Roman" w:hAnsi="Times New Roman"/>
          <w:b/>
          <w:color w:val="000000"/>
          <w:sz w:val="24"/>
        </w:rPr>
        <w:t xml:space="preserve">     ③起重臂位于支腿b方向工况</w:t>
      </w:r>
    </w:p>
    <w:p w14:paraId="7B4349F5">
      <w:pPr>
        <w:spacing w:line="360" w:lineRule="auto"/>
        <w:jc w:val="center"/>
      </w:pPr>
      <w:r>
        <w:drawing>
          <wp:inline distT="0" distB="0" distL="0" distR="0">
            <wp:extent cx="5800725" cy="3505200"/>
            <wp:effectExtent l="0" t="0" r="9525" b="0"/>
            <wp:docPr id="60"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 7"/>
                    <pic:cNvPicPr>
                      <a:picLocks noChangeAspect="1"/>
                    </pic:cNvPicPr>
                  </pic:nvPicPr>
                  <pic:blipFill>
                    <a:blip r:embed="rId35" cstate="print"/>
                    <a:stretch>
                      <a:fillRect/>
                    </a:stretch>
                  </pic:blipFill>
                  <pic:spPr>
                    <a:xfrm>
                      <a:off x="0" y="0"/>
                      <a:ext cx="5800725" cy="3505200"/>
                    </a:xfrm>
                    <a:prstGeom prst="rect">
                      <a:avLst/>
                    </a:prstGeom>
                  </pic:spPr>
                </pic:pic>
              </a:graphicData>
            </a:graphic>
          </wp:inline>
        </w:drawing>
      </w:r>
    </w:p>
    <w:p w14:paraId="52841A5C">
      <w:pPr>
        <w:spacing w:line="360" w:lineRule="auto"/>
      </w:pPr>
      <w:r>
        <w:rPr>
          <w:rFonts w:ascii="Times New Roman" w:hAnsi="Times New Roman"/>
          <w:color w:val="000000"/>
          <w:sz w:val="24"/>
        </w:rPr>
        <w:t xml:space="preserve">    当β=55.797°时，起重臂在支腿b方向，此时：</w:t>
      </w:r>
    </w:p>
    <w:p w14:paraId="2962BF1A">
      <w:pPr>
        <w:spacing w:line="360" w:lineRule="auto"/>
      </w:pPr>
      <w:r>
        <w:rPr>
          <w:rFonts w:ascii="Times New Roman" w:hAnsi="Times New Roman"/>
          <w:color w:val="000000"/>
          <w:sz w:val="24"/>
        </w:rPr>
        <w:t xml:space="preserve">    F</w:t>
      </w:r>
      <w:r>
        <w:rPr>
          <w:rFonts w:ascii="Times New Roman" w:hAnsi="Times New Roman"/>
          <w:color w:val="000000"/>
          <w:sz w:val="24"/>
          <w:vertAlign w:val="subscript"/>
        </w:rPr>
        <w:t>a</w:t>
      </w:r>
      <w:r>
        <w:rPr>
          <w:rFonts w:ascii="Times New Roman" w:hAnsi="Times New Roman"/>
          <w:color w:val="000000"/>
          <w:sz w:val="24"/>
        </w:rPr>
        <w:t>=13.089吨，F</w:t>
      </w:r>
      <w:r>
        <w:rPr>
          <w:rFonts w:ascii="Times New Roman" w:hAnsi="Times New Roman"/>
          <w:color w:val="000000"/>
          <w:sz w:val="24"/>
          <w:vertAlign w:val="subscript"/>
        </w:rPr>
        <w:t>b</w:t>
      </w:r>
      <w:r>
        <w:rPr>
          <w:rFonts w:ascii="Times New Roman" w:hAnsi="Times New Roman"/>
          <w:color w:val="000000"/>
          <w:sz w:val="24"/>
        </w:rPr>
        <w:t>=17.416吨，F</w:t>
      </w:r>
      <w:r>
        <w:rPr>
          <w:rFonts w:ascii="Times New Roman" w:hAnsi="Times New Roman"/>
          <w:color w:val="000000"/>
          <w:sz w:val="24"/>
          <w:vertAlign w:val="subscript"/>
        </w:rPr>
        <w:t>c</w:t>
      </w:r>
      <w:r>
        <w:rPr>
          <w:rFonts w:ascii="Times New Roman" w:hAnsi="Times New Roman"/>
          <w:color w:val="000000"/>
          <w:sz w:val="24"/>
        </w:rPr>
        <w:t>=6.251吨，F</w:t>
      </w:r>
      <w:r>
        <w:rPr>
          <w:rFonts w:ascii="Times New Roman" w:hAnsi="Times New Roman"/>
          <w:color w:val="000000"/>
          <w:sz w:val="24"/>
          <w:vertAlign w:val="subscript"/>
        </w:rPr>
        <w:t>d</w:t>
      </w:r>
      <w:r>
        <w:rPr>
          <w:rFonts w:ascii="Times New Roman" w:hAnsi="Times New Roman"/>
          <w:color w:val="000000"/>
          <w:sz w:val="24"/>
        </w:rPr>
        <w:t>=1.924吨</w:t>
      </w:r>
    </w:p>
    <w:p w14:paraId="52A2719C">
      <w:pPr>
        <w:spacing w:line="360" w:lineRule="auto"/>
      </w:pPr>
      <w:r>
        <w:rPr>
          <w:rFonts w:ascii="Times New Roman" w:hAnsi="Times New Roman"/>
          <w:color w:val="000000"/>
          <w:sz w:val="24"/>
        </w:rPr>
        <w:t xml:space="preserve">    各支腿最大荷载F</w:t>
      </w:r>
      <w:r>
        <w:rPr>
          <w:rFonts w:ascii="Times New Roman" w:hAnsi="Times New Roman"/>
          <w:color w:val="000000"/>
          <w:sz w:val="24"/>
          <w:vertAlign w:val="subscript"/>
        </w:rPr>
        <w:t>3</w:t>
      </w:r>
      <w:r>
        <w:rPr>
          <w:rFonts w:ascii="Times New Roman" w:hAnsi="Times New Roman"/>
          <w:color w:val="000000"/>
          <w:sz w:val="24"/>
        </w:rPr>
        <w:t>=max(F</w:t>
      </w:r>
      <w:r>
        <w:rPr>
          <w:rFonts w:ascii="Times New Roman" w:hAnsi="Times New Roman"/>
          <w:color w:val="000000"/>
          <w:sz w:val="24"/>
          <w:vertAlign w:val="subscript"/>
        </w:rPr>
        <w:t>a</w:t>
      </w:r>
      <w:r>
        <w:rPr>
          <w:rFonts w:ascii="Times New Roman" w:hAnsi="Times New Roman"/>
          <w:color w:val="000000"/>
          <w:sz w:val="24"/>
        </w:rPr>
        <w:t>、F</w:t>
      </w:r>
      <w:r>
        <w:rPr>
          <w:rFonts w:ascii="Times New Roman" w:hAnsi="Times New Roman"/>
          <w:color w:val="000000"/>
          <w:sz w:val="24"/>
          <w:vertAlign w:val="subscript"/>
        </w:rPr>
        <w:t>b</w:t>
      </w:r>
      <w:r>
        <w:rPr>
          <w:rFonts w:ascii="Times New Roman" w:hAnsi="Times New Roman"/>
          <w:color w:val="000000"/>
          <w:sz w:val="24"/>
        </w:rPr>
        <w:t>、F</w:t>
      </w:r>
      <w:r>
        <w:rPr>
          <w:rFonts w:ascii="Times New Roman" w:hAnsi="Times New Roman"/>
          <w:color w:val="000000"/>
          <w:sz w:val="24"/>
          <w:vertAlign w:val="subscript"/>
        </w:rPr>
        <w:t>c</w:t>
      </w:r>
      <w:r>
        <w:rPr>
          <w:rFonts w:ascii="Times New Roman" w:hAnsi="Times New Roman"/>
          <w:color w:val="000000"/>
          <w:sz w:val="24"/>
        </w:rPr>
        <w:t>、F</w:t>
      </w:r>
      <w:r>
        <w:rPr>
          <w:rFonts w:ascii="Times New Roman" w:hAnsi="Times New Roman"/>
          <w:color w:val="000000"/>
          <w:sz w:val="24"/>
          <w:vertAlign w:val="subscript"/>
        </w:rPr>
        <w:t>d</w:t>
      </w:r>
      <w:r>
        <w:rPr>
          <w:rFonts w:ascii="Times New Roman" w:hAnsi="Times New Roman"/>
          <w:color w:val="000000"/>
          <w:sz w:val="24"/>
        </w:rPr>
        <w:t>)=max(13.089、17.416、6.251、1.924)=17.416吨</w:t>
      </w:r>
    </w:p>
    <w:p w14:paraId="11614AB8">
      <w:pPr>
        <w:spacing w:line="360" w:lineRule="auto"/>
      </w:pPr>
      <w:r>
        <w:rPr>
          <w:rFonts w:ascii="Times New Roman" w:hAnsi="Times New Roman"/>
          <w:color w:val="000000"/>
          <w:sz w:val="24"/>
        </w:rPr>
        <w:t xml:space="preserve">    考虑各个工况按最不利原则；支腿最大受力N</w:t>
      </w:r>
      <w:r>
        <w:rPr>
          <w:rFonts w:ascii="Times New Roman" w:hAnsi="Times New Roman"/>
          <w:color w:val="000000"/>
          <w:sz w:val="24"/>
          <w:vertAlign w:val="subscript"/>
        </w:rPr>
        <w:t>k</w:t>
      </w:r>
      <w:r>
        <w:rPr>
          <w:rFonts w:ascii="Times New Roman" w:hAnsi="Times New Roman"/>
          <w:color w:val="000000"/>
          <w:sz w:val="24"/>
        </w:rPr>
        <w:t>=max(F</w:t>
      </w:r>
      <w:r>
        <w:rPr>
          <w:rFonts w:ascii="Times New Roman" w:hAnsi="Times New Roman"/>
          <w:color w:val="000000"/>
          <w:sz w:val="24"/>
          <w:vertAlign w:val="subscript"/>
        </w:rPr>
        <w:t>1</w:t>
      </w:r>
      <w:r>
        <w:rPr>
          <w:rFonts w:ascii="Times New Roman" w:hAnsi="Times New Roman"/>
          <w:color w:val="000000"/>
          <w:sz w:val="24"/>
        </w:rPr>
        <w:t>,F</w:t>
      </w:r>
      <w:r>
        <w:rPr>
          <w:rFonts w:ascii="Times New Roman" w:hAnsi="Times New Roman"/>
          <w:color w:val="000000"/>
          <w:sz w:val="24"/>
          <w:vertAlign w:val="subscript"/>
        </w:rPr>
        <w:t>2</w:t>
      </w:r>
      <w:r>
        <w:rPr>
          <w:rFonts w:ascii="Times New Roman" w:hAnsi="Times New Roman"/>
          <w:color w:val="000000"/>
          <w:sz w:val="24"/>
        </w:rPr>
        <w:t>,F</w:t>
      </w:r>
      <w:r>
        <w:rPr>
          <w:rFonts w:ascii="Times New Roman" w:hAnsi="Times New Roman"/>
          <w:color w:val="000000"/>
          <w:sz w:val="24"/>
          <w:vertAlign w:val="subscript"/>
        </w:rPr>
        <w:t>3</w:t>
      </w:r>
      <w:r>
        <w:rPr>
          <w:rFonts w:ascii="Times New Roman" w:hAnsi="Times New Roman"/>
          <w:color w:val="000000"/>
          <w:sz w:val="24"/>
        </w:rPr>
        <w:t>)=max(14.789，18.051，17.416)=18.051吨</w:t>
      </w:r>
    </w:p>
    <w:p w14:paraId="29846C49">
      <w:pPr>
        <w:spacing w:line="360" w:lineRule="auto"/>
      </w:pPr>
      <w:r>
        <w:rPr>
          <w:rFonts w:ascii="Times New Roman" w:hAnsi="Times New Roman"/>
          <w:b/>
          <w:color w:val="000000"/>
          <w:sz w:val="28"/>
        </w:rPr>
        <w:t xml:space="preserve"> 三、地基基础验算</w:t>
      </w:r>
    </w:p>
    <w:p w14:paraId="4816EE16">
      <w:pPr>
        <w:spacing w:line="360" w:lineRule="auto"/>
      </w:pPr>
      <w:r>
        <w:rPr>
          <w:rFonts w:ascii="Times New Roman" w:hAnsi="Times New Roman"/>
          <w:b/>
          <w:color w:val="000000"/>
          <w:sz w:val="24"/>
        </w:rPr>
        <w:t xml:space="preserve">  1、地基参数</w:t>
      </w:r>
    </w:p>
    <w:tbl>
      <w:tblPr>
        <w:tblStyle w:val="44"/>
        <w:tblW w:w="9435" w:type="dxa"/>
        <w:jc w:val="center"/>
        <w:shd w:val="clear" w:color="auto" w:fill="FFFFFF"/>
        <w:tblLayout w:type="autofit"/>
        <w:tblCellMar>
          <w:top w:w="45" w:type="dxa"/>
          <w:left w:w="45" w:type="dxa"/>
          <w:bottom w:w="45" w:type="dxa"/>
          <w:right w:w="45" w:type="dxa"/>
        </w:tblCellMar>
      </w:tblPr>
      <w:tblGrid>
        <w:gridCol w:w="3109"/>
        <w:gridCol w:w="1608"/>
        <w:gridCol w:w="3110"/>
        <w:gridCol w:w="1608"/>
      </w:tblGrid>
      <w:tr w14:paraId="48326693">
        <w:tblPrEx>
          <w:shd w:val="clear" w:color="auto" w:fill="FFFFFF"/>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319C9D7B">
            <w:pPr>
              <w:spacing w:line="360" w:lineRule="auto"/>
            </w:pPr>
            <w:r>
              <w:rPr>
                <w:rFonts w:ascii="Times New Roman" w:hAnsi="Times New Roman"/>
                <w:color w:val="000000"/>
                <w:sz w:val="18"/>
              </w:rPr>
              <w:t>单根支腿受力面积A</w:t>
            </w:r>
            <w:r>
              <w:rPr>
                <w:rFonts w:ascii="Times New Roman" w:hAnsi="Times New Roman"/>
                <w:color w:val="000000"/>
                <w:sz w:val="24"/>
                <w:vertAlign w:val="subscript"/>
              </w:rPr>
              <w:t>d1</w:t>
            </w:r>
            <w:r>
              <w:rPr>
                <w:rFonts w:ascii="Times New Roman" w:hAnsi="Times New Roman"/>
                <w:color w:val="000000"/>
                <w:sz w:val="18"/>
              </w:rPr>
              <w:t>(m</w:t>
            </w:r>
            <w:r>
              <w:rPr>
                <w:rFonts w:ascii="Times New Roman" w:hAnsi="Times New Roman"/>
                <w:color w:val="000000"/>
                <w:sz w:val="24"/>
                <w:vertAlign w:val="superscript"/>
              </w:rPr>
              <w:t>2</w:t>
            </w:r>
            <w:r>
              <w:rPr>
                <w:rFonts w:ascii="Times New Roman" w:hAnsi="Times New Roman"/>
                <w:color w:val="000000"/>
                <w:sz w:val="18"/>
              </w:rPr>
              <w:t>)</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3ED07E9F">
            <w:pPr>
              <w:spacing w:line="360" w:lineRule="auto"/>
            </w:pPr>
            <w:r>
              <w:rPr>
                <w:rFonts w:ascii="Times New Roman" w:hAnsi="Times New Roman"/>
                <w:color w:val="000000"/>
                <w:sz w:val="18"/>
              </w:rPr>
              <w:t>2.25</w:t>
            </w:r>
          </w:p>
        </w:tc>
        <w:tc>
          <w:tcPr>
            <w:tcW w:w="3105" w:type="dxa"/>
            <w:tcBorders>
              <w:top w:val="single" w:color="auto" w:sz="6" w:space="0"/>
              <w:left w:val="single" w:color="auto" w:sz="6" w:space="0"/>
              <w:bottom w:val="single" w:color="auto" w:sz="6" w:space="0"/>
              <w:right w:val="single" w:color="auto" w:sz="6" w:space="0"/>
            </w:tcBorders>
            <w:shd w:val="clear" w:color="auto" w:fill="FFFFFF"/>
          </w:tcPr>
          <w:p w14:paraId="47137798">
            <w:pPr>
              <w:spacing w:line="360" w:lineRule="auto"/>
            </w:pPr>
            <w:r>
              <w:rPr>
                <w:rFonts w:ascii="Times New Roman" w:hAnsi="Times New Roman"/>
                <w:color w:val="000000"/>
                <w:sz w:val="18"/>
              </w:rPr>
              <w:t>地基土类型</w:t>
            </w:r>
          </w:p>
        </w:tc>
        <w:tc>
          <w:tcPr>
            <w:tcW w:w="1605" w:type="dxa"/>
            <w:tcBorders>
              <w:top w:val="single" w:color="auto" w:sz="6" w:space="0"/>
              <w:left w:val="single" w:color="auto" w:sz="6" w:space="0"/>
              <w:bottom w:val="single" w:color="auto" w:sz="6" w:space="0"/>
              <w:right w:val="single" w:color="auto" w:sz="6" w:space="0"/>
            </w:tcBorders>
            <w:shd w:val="clear" w:color="auto" w:fill="FFFFFF"/>
          </w:tcPr>
          <w:p w14:paraId="0CFB2EF7">
            <w:pPr>
              <w:spacing w:line="360" w:lineRule="auto"/>
            </w:pPr>
            <w:r>
              <w:rPr>
                <w:rFonts w:ascii="Times New Roman" w:hAnsi="Times New Roman"/>
                <w:color w:val="000000"/>
                <w:sz w:val="18"/>
              </w:rPr>
              <w:t>素填土</w:t>
            </w:r>
          </w:p>
        </w:tc>
      </w:tr>
      <w:tr w14:paraId="55E1CF8A">
        <w:tblPrEx>
          <w:tblCellMar>
            <w:top w:w="45" w:type="dxa"/>
            <w:left w:w="45" w:type="dxa"/>
            <w:bottom w:w="45" w:type="dxa"/>
            <w:right w:w="45" w:type="dxa"/>
          </w:tblCellMar>
        </w:tblPrEx>
        <w:trPr>
          <w:trHeight w:val="75" w:hRule="atLeast"/>
          <w:jc w:val="center"/>
        </w:trPr>
        <w:tc>
          <w:tcPr>
            <w:tcW w:w="3105" w:type="dxa"/>
            <w:tcBorders>
              <w:top w:val="single" w:color="auto" w:sz="6" w:space="0"/>
              <w:left w:val="single" w:color="auto" w:sz="6" w:space="0"/>
              <w:bottom w:val="single" w:color="auto" w:sz="6" w:space="0"/>
              <w:right w:val="single" w:color="auto" w:sz="6" w:space="0"/>
            </w:tcBorders>
            <w:shd w:val="clear" w:color="auto" w:fill="FFFFFF"/>
          </w:tcPr>
          <w:p w14:paraId="643FD8CA">
            <w:pPr>
              <w:spacing w:line="360" w:lineRule="auto"/>
            </w:pPr>
            <w:r>
              <w:rPr>
                <w:rFonts w:ascii="Times New Roman" w:hAnsi="Times New Roman"/>
                <w:color w:val="000000"/>
                <w:sz w:val="18"/>
              </w:rPr>
              <w:t>地基承载力特征值fak(kPa)</w:t>
            </w:r>
          </w:p>
        </w:tc>
        <w:tc>
          <w:tcPr>
            <w:tcW w:w="6105" w:type="dxa"/>
            <w:gridSpan w:val="3"/>
            <w:tcBorders>
              <w:top w:val="single" w:color="auto" w:sz="6" w:space="0"/>
              <w:left w:val="single" w:color="auto" w:sz="6" w:space="0"/>
              <w:bottom w:val="single" w:color="auto" w:sz="6" w:space="0"/>
              <w:right w:val="single" w:color="auto" w:sz="6" w:space="0"/>
            </w:tcBorders>
            <w:shd w:val="clear" w:color="auto" w:fill="FFFFFF"/>
          </w:tcPr>
          <w:p w14:paraId="57E74137">
            <w:pPr>
              <w:spacing w:line="360" w:lineRule="auto"/>
            </w:pPr>
            <w:r>
              <w:rPr>
                <w:rFonts w:ascii="Times New Roman" w:hAnsi="Times New Roman"/>
                <w:color w:val="000000"/>
                <w:sz w:val="18"/>
              </w:rPr>
              <w:t>135</w:t>
            </w:r>
          </w:p>
        </w:tc>
      </w:tr>
    </w:tbl>
    <w:p w14:paraId="5AAFA39C">
      <w:pPr>
        <w:spacing w:line="360" w:lineRule="auto"/>
      </w:pPr>
      <w:r>
        <w:rPr>
          <w:rFonts w:ascii="Times New Roman" w:hAnsi="Times New Roman"/>
          <w:color w:val="000000"/>
          <w:sz w:val="24"/>
        </w:rPr>
        <w:t xml:space="preserve">    单个支腿传至基础顶面的轴向力标准值为：N'=9.8×N</w:t>
      </w:r>
      <w:r>
        <w:rPr>
          <w:rFonts w:ascii="Times New Roman" w:hAnsi="Times New Roman"/>
          <w:color w:val="000000"/>
          <w:sz w:val="24"/>
          <w:vertAlign w:val="subscript"/>
        </w:rPr>
        <w:t>k</w:t>
      </w:r>
      <w:r>
        <w:rPr>
          <w:rFonts w:ascii="Times New Roman" w:hAnsi="Times New Roman"/>
          <w:color w:val="000000"/>
          <w:sz w:val="24"/>
        </w:rPr>
        <w:t>=9.8×18.051=176.899kN</w:t>
      </w:r>
    </w:p>
    <w:p w14:paraId="02DD8310">
      <w:pPr>
        <w:spacing w:line="360" w:lineRule="auto"/>
      </w:pPr>
      <w:r>
        <w:rPr>
          <w:rFonts w:ascii="Times New Roman" w:hAnsi="Times New Roman"/>
          <w:color w:val="000000"/>
          <w:sz w:val="24"/>
        </w:rPr>
        <w:t xml:space="preserve">    单个支腿垫板的底面平均压力p=N'/A</w:t>
      </w:r>
      <w:r>
        <w:rPr>
          <w:rFonts w:ascii="Times New Roman" w:hAnsi="Times New Roman"/>
          <w:color w:val="000000"/>
          <w:sz w:val="24"/>
          <w:vertAlign w:val="subscript"/>
        </w:rPr>
        <w:t>d1</w:t>
      </w:r>
      <w:r>
        <w:rPr>
          <w:rFonts w:ascii="Times New Roman" w:hAnsi="Times New Roman"/>
          <w:color w:val="000000"/>
          <w:sz w:val="24"/>
        </w:rPr>
        <w:t>=176.899/2.25=78.622kPa≤f</w:t>
      </w:r>
      <w:r>
        <w:rPr>
          <w:rFonts w:ascii="Times New Roman" w:hAnsi="Times New Roman"/>
          <w:color w:val="000000"/>
          <w:sz w:val="24"/>
          <w:vertAlign w:val="subscript"/>
        </w:rPr>
        <w:t>ak</w:t>
      </w:r>
      <w:r>
        <w:rPr>
          <w:rFonts w:ascii="Times New Roman" w:hAnsi="Times New Roman"/>
          <w:color w:val="000000"/>
          <w:sz w:val="24"/>
        </w:rPr>
        <w:t>=135kPa</w:t>
      </w:r>
    </w:p>
    <w:p w14:paraId="7DAFEAEF">
      <w:pPr>
        <w:spacing w:line="360" w:lineRule="auto"/>
      </w:pPr>
      <w:r>
        <w:rPr>
          <w:rFonts w:ascii="Times New Roman" w:hAnsi="Times New Roman"/>
          <w:color w:val="008000"/>
          <w:sz w:val="24"/>
        </w:rPr>
        <w:t xml:space="preserve">    满足要求！</w:t>
      </w:r>
    </w:p>
    <w:p w14:paraId="20AAB600">
      <w:pPr>
        <w:spacing w:line="360" w:lineRule="auto"/>
      </w:pPr>
      <w:r>
        <w:rPr>
          <w:rFonts w:ascii="Times New Roman" w:hAnsi="Times New Roman"/>
          <w:b/>
          <w:color w:val="000000"/>
          <w:sz w:val="28"/>
        </w:rPr>
        <w:t xml:space="preserve"> 四、汽车式起重机抗倾覆计算</w:t>
      </w:r>
    </w:p>
    <w:p w14:paraId="492773BD">
      <w:pPr>
        <w:spacing w:line="360" w:lineRule="auto"/>
      </w:pPr>
      <w:r>
        <w:rPr>
          <w:rFonts w:ascii="Times New Roman" w:hAnsi="Times New Roman"/>
          <w:color w:val="000000"/>
          <w:sz w:val="24"/>
        </w:rPr>
        <w:t xml:space="preserve">    考虑抗倾覆安全系数后，如果出现支腿力为负数时，代表抗倾覆不满足要求，反之抗倾覆满足要求。考虑最不利情况，分别计算吊物在起重机后方和吊物在起重机侧方两种工况。</w:t>
      </w:r>
    </w:p>
    <w:p w14:paraId="2B8B7191">
      <w:pPr>
        <w:spacing w:line="360" w:lineRule="auto"/>
      </w:pPr>
      <w:r>
        <w:rPr>
          <w:rFonts w:ascii="Times New Roman" w:hAnsi="Times New Roman"/>
          <w:b/>
          <w:color w:val="000000"/>
          <w:sz w:val="24"/>
        </w:rPr>
        <w:t xml:space="preserve">  1、吊物在起重机后方时</w:t>
      </w:r>
    </w:p>
    <w:p w14:paraId="443FA3DB">
      <w:pPr>
        <w:spacing w:line="360" w:lineRule="auto"/>
      </w:pPr>
      <w:r>
        <w:rPr>
          <w:rFonts w:ascii="Times New Roman" w:hAnsi="Times New Roman"/>
          <w:color w:val="000000"/>
          <w:sz w:val="24"/>
        </w:rPr>
        <w:t xml:space="preserve">    参考起重机支腿力计算章节，吊物在起重机后方时取β=0°，同时将吊重产生的倾覆力矩乘以k</w:t>
      </w:r>
      <w:r>
        <w:rPr>
          <w:rFonts w:ascii="Times New Roman" w:hAnsi="Times New Roman"/>
          <w:color w:val="000000"/>
          <w:sz w:val="24"/>
          <w:vertAlign w:val="subscript"/>
        </w:rPr>
        <w:t>2</w:t>
      </w:r>
      <w:r>
        <w:rPr>
          <w:rFonts w:ascii="Times New Roman" w:hAnsi="Times New Roman"/>
          <w:color w:val="000000"/>
          <w:sz w:val="24"/>
        </w:rPr>
        <w:t>=1.2，此时支腿荷载分别为F</w:t>
      </w:r>
      <w:r>
        <w:rPr>
          <w:rFonts w:ascii="Times New Roman" w:hAnsi="Times New Roman"/>
          <w:color w:val="000000"/>
          <w:sz w:val="24"/>
          <w:vertAlign w:val="subscript"/>
        </w:rPr>
        <w:t>a</w:t>
      </w:r>
      <w:r>
        <w:rPr>
          <w:rFonts w:ascii="Times New Roman" w:hAnsi="Times New Roman"/>
          <w:color w:val="000000"/>
          <w:sz w:val="24"/>
        </w:rPr>
        <w:t>=3.468吨，F</w:t>
      </w:r>
      <w:r>
        <w:rPr>
          <w:rFonts w:ascii="Times New Roman" w:hAnsi="Times New Roman"/>
          <w:color w:val="000000"/>
          <w:sz w:val="24"/>
          <w:vertAlign w:val="subscript"/>
        </w:rPr>
        <w:t>b</w:t>
      </w:r>
      <w:r>
        <w:rPr>
          <w:rFonts w:ascii="Times New Roman" w:hAnsi="Times New Roman"/>
          <w:color w:val="000000"/>
          <w:sz w:val="24"/>
        </w:rPr>
        <w:t>=16.52吨，F</w:t>
      </w:r>
      <w:r>
        <w:rPr>
          <w:rFonts w:ascii="Times New Roman" w:hAnsi="Times New Roman"/>
          <w:color w:val="000000"/>
          <w:sz w:val="24"/>
          <w:vertAlign w:val="subscript"/>
        </w:rPr>
        <w:t>c</w:t>
      </w:r>
      <w:r>
        <w:rPr>
          <w:rFonts w:ascii="Times New Roman" w:hAnsi="Times New Roman"/>
          <w:color w:val="000000"/>
          <w:sz w:val="24"/>
        </w:rPr>
        <w:t>=16.52吨，F</w:t>
      </w:r>
      <w:r>
        <w:rPr>
          <w:rFonts w:ascii="Times New Roman" w:hAnsi="Times New Roman"/>
          <w:color w:val="000000"/>
          <w:sz w:val="24"/>
          <w:vertAlign w:val="subscript"/>
        </w:rPr>
        <w:t>d</w:t>
      </w:r>
      <w:r>
        <w:rPr>
          <w:rFonts w:ascii="Times New Roman" w:hAnsi="Times New Roman"/>
          <w:color w:val="000000"/>
          <w:sz w:val="24"/>
        </w:rPr>
        <w:t>=3.468吨。</w:t>
      </w:r>
    </w:p>
    <w:p w14:paraId="1DD95E1D">
      <w:pPr>
        <w:spacing w:line="360" w:lineRule="auto"/>
      </w:pPr>
      <w:r>
        <w:rPr>
          <w:rFonts w:ascii="Times New Roman" w:hAnsi="Times New Roman"/>
          <w:color w:val="000000"/>
          <w:sz w:val="24"/>
        </w:rPr>
        <w:t xml:space="preserve">    没有出现支腿荷载为负数。</w:t>
      </w:r>
    </w:p>
    <w:p w14:paraId="5910DB6E">
      <w:pPr>
        <w:spacing w:line="360" w:lineRule="auto"/>
      </w:pPr>
      <w:r>
        <w:rPr>
          <w:rFonts w:ascii="Times New Roman" w:hAnsi="Times New Roman"/>
          <w:color w:val="008000"/>
          <w:sz w:val="24"/>
        </w:rPr>
        <w:t xml:space="preserve">    抗倾覆满足要求！</w:t>
      </w:r>
    </w:p>
    <w:p w14:paraId="7AB76338">
      <w:pPr>
        <w:spacing w:line="360" w:lineRule="auto"/>
      </w:pPr>
      <w:r>
        <w:rPr>
          <w:rFonts w:ascii="Times New Roman" w:hAnsi="Times New Roman"/>
          <w:b/>
          <w:color w:val="000000"/>
          <w:sz w:val="24"/>
        </w:rPr>
        <w:t xml:space="preserve">  2、吊物在起重机侧方时</w:t>
      </w:r>
    </w:p>
    <w:p w14:paraId="52EAAC6A">
      <w:pPr>
        <w:spacing w:line="360" w:lineRule="auto"/>
      </w:pPr>
      <w:r>
        <w:rPr>
          <w:rFonts w:ascii="Times New Roman" w:hAnsi="Times New Roman"/>
          <w:color w:val="000000"/>
          <w:sz w:val="24"/>
        </w:rPr>
        <w:t xml:space="preserve">    参考起重机支腿力计算章节，吊物在起重机侧方时取β=90°，同时将吊重产生的倾覆力矩乘以k</w:t>
      </w:r>
      <w:r>
        <w:rPr>
          <w:rFonts w:ascii="Times New Roman" w:hAnsi="Times New Roman"/>
          <w:color w:val="000000"/>
          <w:sz w:val="24"/>
          <w:vertAlign w:val="subscript"/>
        </w:rPr>
        <w:t>2</w:t>
      </w:r>
      <w:r>
        <w:rPr>
          <w:rFonts w:ascii="Times New Roman" w:hAnsi="Times New Roman"/>
          <w:color w:val="000000"/>
          <w:sz w:val="24"/>
        </w:rPr>
        <w:t>=1.2，此时支腿荷载分别为F</w:t>
      </w:r>
      <w:r>
        <w:rPr>
          <w:rFonts w:ascii="Times New Roman" w:hAnsi="Times New Roman"/>
          <w:color w:val="000000"/>
          <w:sz w:val="24"/>
          <w:vertAlign w:val="subscript"/>
        </w:rPr>
        <w:t>a</w:t>
      </w:r>
      <w:r>
        <w:rPr>
          <w:rFonts w:ascii="Times New Roman" w:hAnsi="Times New Roman"/>
          <w:color w:val="000000"/>
          <w:sz w:val="24"/>
        </w:rPr>
        <w:t>=17.073吨，F</w:t>
      </w:r>
      <w:r>
        <w:rPr>
          <w:rFonts w:ascii="Times New Roman" w:hAnsi="Times New Roman"/>
          <w:color w:val="000000"/>
          <w:sz w:val="24"/>
          <w:vertAlign w:val="subscript"/>
        </w:rPr>
        <w:t>b</w:t>
      </w:r>
      <w:r>
        <w:rPr>
          <w:rFonts w:ascii="Times New Roman" w:hAnsi="Times New Roman"/>
          <w:color w:val="000000"/>
          <w:sz w:val="24"/>
        </w:rPr>
        <w:t>=16.28吨，F</w:t>
      </w:r>
      <w:r>
        <w:rPr>
          <w:rFonts w:ascii="Times New Roman" w:hAnsi="Times New Roman"/>
          <w:color w:val="000000"/>
          <w:sz w:val="24"/>
          <w:vertAlign w:val="subscript"/>
        </w:rPr>
        <w:t>c</w:t>
      </w:r>
      <w:r>
        <w:rPr>
          <w:rFonts w:ascii="Times New Roman" w:hAnsi="Times New Roman"/>
          <w:color w:val="000000"/>
          <w:sz w:val="24"/>
        </w:rPr>
        <w:t>=0.561吨，F</w:t>
      </w:r>
      <w:r>
        <w:rPr>
          <w:rFonts w:ascii="Times New Roman" w:hAnsi="Times New Roman"/>
          <w:color w:val="000000"/>
          <w:sz w:val="24"/>
          <w:vertAlign w:val="subscript"/>
        </w:rPr>
        <w:t>d</w:t>
      </w:r>
      <w:r>
        <w:rPr>
          <w:rFonts w:ascii="Times New Roman" w:hAnsi="Times New Roman"/>
          <w:color w:val="000000"/>
          <w:sz w:val="24"/>
        </w:rPr>
        <w:t>=6.062吨。</w:t>
      </w:r>
    </w:p>
    <w:p w14:paraId="347F1B0D">
      <w:pPr>
        <w:spacing w:line="360" w:lineRule="auto"/>
      </w:pPr>
      <w:r>
        <w:rPr>
          <w:rFonts w:ascii="Times New Roman" w:hAnsi="Times New Roman"/>
          <w:color w:val="000000"/>
          <w:sz w:val="24"/>
        </w:rPr>
        <w:t xml:space="preserve">    没有出现支腿荷载为负数。</w:t>
      </w:r>
    </w:p>
    <w:p w14:paraId="2B0E016D">
      <w:pPr>
        <w:spacing w:line="360" w:lineRule="auto"/>
      </w:pPr>
      <w:r>
        <w:rPr>
          <w:rFonts w:ascii="Times New Roman" w:hAnsi="Times New Roman"/>
          <w:color w:val="008000"/>
          <w:sz w:val="24"/>
        </w:rPr>
        <w:t xml:space="preserve">    抗倾覆满足要求！</w:t>
      </w:r>
    </w:p>
    <w:p w14:paraId="4CE2692C">
      <w:pPr>
        <w:spacing w:line="360" w:lineRule="auto"/>
      </w:pPr>
    </w:p>
    <w:p w14:paraId="6D3BA69A">
      <w:pPr>
        <w:pStyle w:val="5"/>
        <w:bidi w:val="0"/>
        <w:ind w:left="864" w:leftChars="0" w:hanging="864" w:firstLineChars="0"/>
      </w:pPr>
      <w:r>
        <w:rPr>
          <w:rFonts w:hint="eastAsia"/>
          <w:lang w:val="en-US" w:eastAsia="zh-CN"/>
        </w:rPr>
        <w:t>吊索具选型计</w:t>
      </w:r>
      <w:r>
        <w:rPr>
          <w:rFonts w:hint="eastAsia"/>
        </w:rPr>
        <w:t>算</w:t>
      </w:r>
    </w:p>
    <w:p w14:paraId="2189C257">
      <w:pPr>
        <w:rPr>
          <w:color w:val="auto"/>
        </w:rPr>
      </w:pPr>
      <w:bookmarkStart w:id="262" w:name="_Toc16842"/>
      <w:r>
        <w:rPr>
          <w:rFonts w:hint="eastAsia"/>
          <w:color w:val="auto"/>
          <w:lang w:val="en-US" w:eastAsia="zh-CN"/>
        </w:rPr>
        <w:t>1、</w:t>
      </w:r>
      <w:r>
        <w:rPr>
          <w:color w:val="auto"/>
        </w:rPr>
        <w:t>钢丝绳选型依据</w:t>
      </w:r>
      <w:bookmarkEnd w:id="262"/>
    </w:p>
    <w:p w14:paraId="745C0D95">
      <w:pPr>
        <w:ind w:firstLine="480"/>
        <w:rPr>
          <w:rFonts w:hint="eastAsia" w:ascii="仿宋" w:hAnsi="仿宋" w:eastAsia="仿宋" w:cs="仿宋"/>
        </w:rPr>
      </w:pPr>
      <w:r>
        <w:rPr>
          <w:rFonts w:hint="eastAsia" w:ascii="仿宋" w:hAnsi="仿宋" w:eastAsia="仿宋" w:cs="仿宋"/>
        </w:rPr>
        <w:t>根据起吊重量选择相对应的钢丝绳和卸扣。</w:t>
      </w:r>
    </w:p>
    <w:p w14:paraId="3E2879D4">
      <w:pPr>
        <w:ind w:firstLine="480"/>
        <w:rPr>
          <w:rFonts w:hint="eastAsia" w:ascii="仿宋" w:hAnsi="仿宋" w:eastAsia="仿宋" w:cs="仿宋"/>
        </w:rPr>
      </w:pPr>
      <w:r>
        <w:rPr>
          <w:rFonts w:hint="eastAsia" w:ascii="仿宋" w:hAnsi="仿宋" w:eastAsia="仿宋" w:cs="仿宋"/>
        </w:rPr>
        <w:t>有对称分布的与垂直方向具有相同角度的单肢吊索组成的多肢吊索的工作荷载按《一般用途钢丝绳吊索特性和技术条件》公式计算：</w:t>
      </w:r>
    </w:p>
    <w:p w14:paraId="06A25FE1">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r>
            <m:rPr>
              <m:nor/>
              <m:sty m:val="p"/>
            </m:rPr>
            <w:rPr>
              <w:rFonts w:hint="eastAsia" w:ascii="Cambria Math" w:hAnsi="Cambria Math" w:eastAsia="仿宋" w:cs="仿宋"/>
              <w:b w:val="0"/>
              <w:i w:val="0"/>
            </w:rPr>
            <m:t>WLL=</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e</m:t>
              </m:r>
              <m:ctrlPr>
                <w:rPr>
                  <w:rFonts w:hint="eastAsia" w:ascii="Cambria Math" w:hAnsi="Cambria Math" w:eastAsia="仿宋" w:cs="仿宋"/>
                </w:rPr>
              </m:ctrlPr>
            </m:sub>
          </m:sSub>
          <m:r>
            <m:rPr>
              <m:nor/>
              <m:sty m:val="p"/>
            </m:rPr>
            <w:rPr>
              <w:rFonts w:hint="eastAsia" w:ascii="Cambria Math" w:hAnsi="Cambria Math" w:eastAsia="仿宋" w:cs="仿宋"/>
              <w:b w:val="0"/>
              <w:i w:val="0"/>
            </w:rPr>
            <m:t>×K÷</m:t>
          </m:r>
          <m:d>
            <m:dPr>
              <m:ctrlPr>
                <w:rPr>
                  <w:rFonts w:hint="eastAsia" w:ascii="Cambria Math" w:hAnsi="Cambria Math" w:eastAsia="仿宋" w:cs="仿宋"/>
                </w:rPr>
              </m:ctrlPr>
            </m:dPr>
            <m:e>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m</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u</m:t>
                  </m:r>
                  <m:ctrlPr>
                    <w:rPr>
                      <w:rFonts w:hint="eastAsia" w:ascii="Cambria Math" w:hAnsi="Cambria Math" w:eastAsia="仿宋" w:cs="仿宋"/>
                    </w:rPr>
                  </m:ctrlPr>
                </m:sub>
              </m:sSub>
              <m:ctrlPr>
                <w:rPr>
                  <w:rFonts w:hint="eastAsia" w:ascii="Cambria Math" w:hAnsi="Cambria Math" w:eastAsia="仿宋" w:cs="仿宋"/>
                </w:rPr>
              </m:ctrlPr>
            </m:e>
          </m:d>
        </m:oMath>
      </m:oMathPara>
    </w:p>
    <w:p w14:paraId="10E1918D">
      <w:pPr>
        <w:widowControl w:val="0"/>
        <w:tabs>
          <w:tab w:val="left" w:pos="1200"/>
        </w:tabs>
        <w:spacing w:line="360" w:lineRule="auto"/>
        <w:ind w:firstLine="0" w:firstLineChars="0"/>
        <w:jc w:val="both"/>
        <w:rPr>
          <w:rFonts w:hint="eastAsia" w:ascii="仿宋" w:hAnsi="仿宋" w:eastAsia="仿宋" w:cs="仿宋"/>
          <w:kern w:val="2"/>
          <w:sz w:val="24"/>
          <w:szCs w:val="21"/>
          <w:lang w:val="en-US" w:eastAsia="zh-CN" w:bidi="ar-SA"/>
        </w:rPr>
      </w:pPr>
      <w:r>
        <w:rPr>
          <w:rFonts w:hint="eastAsia" w:ascii="仿宋" w:hAnsi="仿宋" w:eastAsia="仿宋" w:cs="仿宋"/>
          <w:kern w:val="2"/>
          <w:sz w:val="24"/>
          <w:szCs w:val="21"/>
          <w:lang w:val="en-US" w:eastAsia="zh-CN" w:bidi="ar-SA"/>
        </w:rPr>
        <w:t>式中：</w:t>
      </w:r>
    </w:p>
    <w:p w14:paraId="5BB30077">
      <w:pPr>
        <w:widowControl w:val="0"/>
        <w:tabs>
          <w:tab w:val="left" w:pos="1200"/>
        </w:tabs>
        <w:spacing w:line="360" w:lineRule="auto"/>
        <w:ind w:firstLine="0" w:firstLineChars="0"/>
        <w:jc w:val="both"/>
        <w:rPr>
          <w:rFonts w:hint="eastAsia" w:ascii="仿宋" w:hAnsi="仿宋" w:eastAsia="仿宋" w:cs="仿宋"/>
          <w:kern w:val="2"/>
          <w:sz w:val="24"/>
          <w:szCs w:val="21"/>
          <w:lang w:val="en-US" w:eastAsia="zh-CN" w:bidi="ar-SA"/>
        </w:rPr>
      </w:pPr>
    </w:p>
    <w:p w14:paraId="04034D72">
      <w:pPr>
        <w:widowControl w:val="0"/>
        <w:tabs>
          <w:tab w:val="left" w:pos="1200"/>
        </w:tabs>
        <w:spacing w:line="360" w:lineRule="auto"/>
        <w:ind w:firstLine="0" w:firstLineChars="0"/>
        <w:jc w:val="both"/>
        <w:rPr>
          <w:rFonts w:hint="eastAsia" w:ascii="仿宋" w:hAnsi="仿宋" w:eastAsia="仿宋" w:cs="仿宋"/>
          <w:kern w:val="2"/>
          <w:sz w:val="24"/>
          <w:szCs w:val="21"/>
          <w:lang w:val="en-US" w:eastAsia="zh-CN" w:bidi="ar-SA"/>
        </w:rPr>
      </w:pPr>
    </w:p>
    <w:tbl>
      <w:tblPr>
        <w:tblStyle w:val="19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46"/>
        <w:gridCol w:w="7962"/>
      </w:tblGrid>
      <w:tr w14:paraId="25F66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753766FF">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571D28C7">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WLL</w:t>
            </w:r>
          </w:p>
        </w:tc>
        <w:tc>
          <w:tcPr>
            <w:tcW w:w="8048" w:type="dxa"/>
          </w:tcPr>
          <w:p w14:paraId="56BCF44F">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——吊索额定工作荷载，单位为t；</w:t>
            </w:r>
          </w:p>
        </w:tc>
      </w:tr>
      <w:tr w14:paraId="2A968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3056A8E3">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2DF7BCBD">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F</w:t>
            </w:r>
            <w:r>
              <w:rPr>
                <w:rFonts w:hint="eastAsia" w:ascii="仿宋" w:hAnsi="仿宋" w:eastAsia="仿宋" w:cs="仿宋"/>
                <w:i/>
                <w:kern w:val="0"/>
                <w:sz w:val="24"/>
                <w:szCs w:val="20"/>
                <w:vertAlign w:val="subscript"/>
                <w:lang w:val="en-US" w:eastAsia="zh-CN" w:bidi="ar-SA"/>
              </w:rPr>
              <w:t>0</w:t>
            </w:r>
          </w:p>
        </w:tc>
        <w:tc>
          <w:tcPr>
            <w:tcW w:w="8048" w:type="dxa"/>
          </w:tcPr>
          <w:p w14:paraId="274C8301">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——钢丝绳最小破断拉力，单位为kN；</w:t>
            </w:r>
          </w:p>
        </w:tc>
      </w:tr>
      <w:tr w14:paraId="37276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0F359380">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2D4AAE21">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K</w:t>
            </w:r>
            <w:r>
              <w:rPr>
                <w:rFonts w:hint="eastAsia" w:ascii="仿宋" w:hAnsi="仿宋" w:eastAsia="仿宋" w:cs="仿宋"/>
                <w:i/>
                <w:kern w:val="0"/>
                <w:sz w:val="24"/>
                <w:szCs w:val="20"/>
                <w:vertAlign w:val="subscript"/>
                <w:lang w:val="en-US" w:eastAsia="zh-CN" w:bidi="ar-SA"/>
              </w:rPr>
              <w:t>e</w:t>
            </w:r>
          </w:p>
        </w:tc>
        <w:tc>
          <w:tcPr>
            <w:tcW w:w="8048" w:type="dxa"/>
          </w:tcPr>
          <w:p w14:paraId="02F86AA0">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——接头形式效能近似系数，压制接头取0.9，插编接头取0.75；</w:t>
            </w:r>
          </w:p>
        </w:tc>
      </w:tr>
      <w:tr w14:paraId="7AAC4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6078866F">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04C5DD3B">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K</w:t>
            </w:r>
          </w:p>
        </w:tc>
        <w:tc>
          <w:tcPr>
            <w:tcW w:w="8048" w:type="dxa"/>
          </w:tcPr>
          <w:p w14:paraId="2D37685D">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——肢的数量与垂直方向角度的相关系数，两肢吊索取1.4，3～4肢吊索取2.1；</w:t>
            </w:r>
          </w:p>
        </w:tc>
      </w:tr>
      <w:tr w14:paraId="04984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27F6CD22">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064BD172">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K</w:t>
            </w:r>
            <w:r>
              <w:rPr>
                <w:rFonts w:hint="eastAsia" w:ascii="仿宋" w:hAnsi="仿宋" w:eastAsia="仿宋" w:cs="仿宋"/>
                <w:i/>
                <w:kern w:val="0"/>
                <w:sz w:val="24"/>
                <w:szCs w:val="20"/>
                <w:vertAlign w:val="subscript"/>
                <w:lang w:val="en-US" w:eastAsia="zh-CN" w:bidi="ar-SA"/>
              </w:rPr>
              <w:t>u</w:t>
            </w:r>
          </w:p>
        </w:tc>
        <w:tc>
          <w:tcPr>
            <w:tcW w:w="8048" w:type="dxa"/>
          </w:tcPr>
          <w:p w14:paraId="560722AD">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——安全系数，一般取6；</w:t>
            </w:r>
          </w:p>
        </w:tc>
      </w:tr>
      <w:tr w14:paraId="0AC8A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tcPr>
          <w:p w14:paraId="192A2FCA">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50" w:type="dxa"/>
          </w:tcPr>
          <w:p w14:paraId="7447DB46">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K</w:t>
            </w:r>
            <w:r>
              <w:rPr>
                <w:rFonts w:hint="eastAsia" w:ascii="仿宋" w:hAnsi="仿宋" w:eastAsia="仿宋" w:cs="仿宋"/>
                <w:i/>
                <w:kern w:val="0"/>
                <w:sz w:val="24"/>
                <w:szCs w:val="20"/>
                <w:vertAlign w:val="subscript"/>
                <w:lang w:val="en-US" w:eastAsia="zh-CN" w:bidi="ar-SA"/>
              </w:rPr>
              <w:t>m</w:t>
            </w:r>
          </w:p>
        </w:tc>
        <w:tc>
          <w:tcPr>
            <w:tcW w:w="8048" w:type="dxa"/>
          </w:tcPr>
          <w:p w14:paraId="52EF4059">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——质量与力的转换系数，取值为9.80665。</w:t>
            </w:r>
          </w:p>
        </w:tc>
      </w:tr>
    </w:tbl>
    <w:p w14:paraId="7A8A9BA4">
      <w:pPr>
        <w:widowControl w:val="0"/>
        <w:tabs>
          <w:tab w:val="left" w:pos="1200"/>
        </w:tabs>
        <w:spacing w:line="360" w:lineRule="auto"/>
        <w:ind w:firstLine="0" w:firstLineChars="0"/>
        <w:jc w:val="both"/>
        <w:rPr>
          <w:rFonts w:hint="eastAsia" w:ascii="仿宋" w:hAnsi="仿宋" w:eastAsia="仿宋" w:cs="仿宋"/>
          <w:kern w:val="2"/>
          <w:sz w:val="24"/>
          <w:szCs w:val="21"/>
          <w:lang w:val="en-US" w:eastAsia="zh-CN" w:bidi="ar-SA"/>
        </w:rPr>
      </w:pPr>
      <w:r>
        <w:rPr>
          <w:rFonts w:hint="eastAsia" w:ascii="仿宋" w:hAnsi="仿宋" w:eastAsia="仿宋" w:cs="仿宋"/>
          <w:kern w:val="2"/>
          <w:sz w:val="24"/>
          <w:szCs w:val="21"/>
          <w:lang w:val="en-US" w:eastAsia="zh-CN" w:bidi="ar-SA"/>
        </w:rPr>
        <w:t>钢丝绳最小破断拉力按《重要用途钢丝绳》公式计算：</w:t>
      </w:r>
    </w:p>
    <w:p w14:paraId="65BBCBD8">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sSup>
            <m:sSupPr>
              <m:ctrlPr>
                <w:rPr>
                  <w:rFonts w:hint="eastAsia" w:ascii="Cambria Math" w:hAnsi="Cambria Math" w:eastAsia="仿宋" w:cs="仿宋"/>
                </w:rPr>
              </m:ctrlPr>
            </m:sSupPr>
            <m:e>
              <m:r>
                <m:rPr>
                  <m:nor/>
                  <m:sty m:val="p"/>
                </m:rPr>
                <w:rPr>
                  <w:rFonts w:hint="eastAsia" w:ascii="Cambria Math" w:hAnsi="Cambria Math" w:eastAsia="仿宋" w:cs="仿宋"/>
                  <w:b w:val="0"/>
                  <w:i w:val="0"/>
                </w:rPr>
                <m:t>K</m:t>
              </m:r>
              <m:ctrlPr>
                <w:rPr>
                  <w:rFonts w:hint="eastAsia" w:ascii="Cambria Math" w:hAnsi="Cambria Math" w:eastAsia="仿宋" w:cs="仿宋"/>
                </w:rPr>
              </m:ctrlPr>
            </m:e>
            <m:sup>
              <m:r>
                <m:rPr>
                  <m:nor/>
                  <m:sty m:val="p"/>
                </m:rPr>
                <w:rPr>
                  <w:rFonts w:hint="eastAsia" w:ascii="Cambria Math" w:hAnsi="Cambria Math" w:eastAsia="仿宋" w:cs="仿宋"/>
                  <w:b w:val="0"/>
                  <w:i w:val="0"/>
                </w:rPr>
                <m:t>'</m:t>
              </m:r>
              <m:ctrlPr>
                <w:rPr>
                  <w:rFonts w:hint="eastAsia" w:ascii="Cambria Math" w:hAnsi="Cambria Math" w:eastAsia="仿宋" w:cs="仿宋"/>
                </w:rPr>
              </m:ctrlPr>
            </m:sup>
          </m:sSup>
          <m:r>
            <m:rPr>
              <m:nor/>
              <m:sty m:val="p"/>
            </m:rPr>
            <w:rPr>
              <w:rFonts w:hint="eastAsia" w:ascii="Cambria Math" w:hAnsi="Cambria Math" w:eastAsia="仿宋" w:cs="仿宋"/>
              <w:b w:val="0"/>
              <w:i w:val="0"/>
            </w:rPr>
            <m:t>×</m:t>
          </m:r>
          <m:sSup>
            <m:sSupPr>
              <m:ctrlPr>
                <w:rPr>
                  <w:rFonts w:hint="eastAsia" w:ascii="Cambria Math" w:hAnsi="Cambria Math" w:eastAsia="仿宋" w:cs="仿宋"/>
                </w:rPr>
              </m:ctrlPr>
            </m:sSupPr>
            <m:e>
              <m:r>
                <m:rPr>
                  <m:nor/>
                  <m:sty m:val="p"/>
                </m:rPr>
                <w:rPr>
                  <w:rFonts w:hint="eastAsia" w:ascii="Cambria Math" w:hAnsi="Cambria Math" w:eastAsia="仿宋" w:cs="仿宋"/>
                  <w:b w:val="0"/>
                  <w:i w:val="0"/>
                </w:rPr>
                <m:t>D</m:t>
              </m:r>
              <m:ctrlPr>
                <w:rPr>
                  <w:rFonts w:hint="eastAsia" w:ascii="Cambria Math" w:hAnsi="Cambria Math" w:eastAsia="仿宋" w:cs="仿宋"/>
                </w:rPr>
              </m:ctrlPr>
            </m:e>
            <m:sup>
              <m:r>
                <m:rPr>
                  <m:nor/>
                  <m:sty m:val="p"/>
                </m:rPr>
                <w:rPr>
                  <w:rFonts w:hint="eastAsia" w:ascii="Cambria Math" w:hAnsi="Cambria Math" w:eastAsia="仿宋" w:cs="仿宋"/>
                  <w:b w:val="0"/>
                  <w:i w:val="0"/>
                </w:rPr>
                <m:t>2</m:t>
              </m:r>
              <m:ctrlPr>
                <w:rPr>
                  <w:rFonts w:hint="eastAsia" w:ascii="Cambria Math" w:hAnsi="Cambria Math" w:eastAsia="仿宋" w:cs="仿宋"/>
                </w:rPr>
              </m:ctrlPr>
            </m:sup>
          </m:sSup>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R</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r>
            <m:rPr>
              <m:nor/>
              <m:sty m:val="p"/>
            </m:rPr>
            <w:rPr>
              <w:rFonts w:hint="eastAsia" w:ascii="Cambria Math" w:hAnsi="Cambria Math" w:eastAsia="仿宋" w:cs="仿宋"/>
              <w:b w:val="0"/>
              <w:i w:val="0"/>
            </w:rPr>
            <m:t>÷1000</m:t>
          </m:r>
        </m:oMath>
      </m:oMathPara>
    </w:p>
    <w:p w14:paraId="1FCF1BCF">
      <w:pPr>
        <w:widowControl w:val="0"/>
        <w:tabs>
          <w:tab w:val="left" w:pos="1200"/>
        </w:tabs>
        <w:spacing w:line="360" w:lineRule="auto"/>
        <w:ind w:firstLine="0" w:firstLineChars="0"/>
        <w:jc w:val="both"/>
        <w:rPr>
          <w:rFonts w:hint="eastAsia" w:ascii="仿宋" w:hAnsi="仿宋" w:eastAsia="仿宋" w:cs="仿宋"/>
          <w:kern w:val="2"/>
          <w:sz w:val="24"/>
          <w:szCs w:val="21"/>
          <w:lang w:val="en-US" w:eastAsia="zh-CN" w:bidi="ar-SA"/>
        </w:rPr>
      </w:pPr>
      <w:r>
        <w:rPr>
          <w:rFonts w:hint="eastAsia" w:ascii="仿宋" w:hAnsi="仿宋" w:eastAsia="仿宋" w:cs="仿宋"/>
          <w:kern w:val="2"/>
          <w:sz w:val="24"/>
          <w:szCs w:val="21"/>
          <w:lang w:val="en-US" w:eastAsia="zh-CN" w:bidi="ar-SA"/>
        </w:rPr>
        <w:t>式中：</w:t>
      </w:r>
    </w:p>
    <w:tbl>
      <w:tblPr>
        <w:tblStyle w:val="19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4"/>
        <w:gridCol w:w="861"/>
        <w:gridCol w:w="7976"/>
      </w:tblGrid>
      <w:tr w14:paraId="3F7EF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5553B38B">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65" w:type="dxa"/>
            <w:vAlign w:val="center"/>
          </w:tcPr>
          <w:p w14:paraId="6AE69093">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F</w:t>
            </w:r>
            <w:r>
              <w:rPr>
                <w:rFonts w:hint="eastAsia" w:ascii="仿宋" w:hAnsi="仿宋" w:eastAsia="仿宋" w:cs="仿宋"/>
                <w:i/>
                <w:kern w:val="0"/>
                <w:sz w:val="24"/>
                <w:szCs w:val="20"/>
                <w:vertAlign w:val="subscript"/>
                <w:lang w:val="en-US" w:eastAsia="zh-CN" w:bidi="ar-SA"/>
              </w:rPr>
              <w:t>0</w:t>
            </w:r>
          </w:p>
        </w:tc>
        <w:tc>
          <w:tcPr>
            <w:tcW w:w="8063" w:type="dxa"/>
          </w:tcPr>
          <w:p w14:paraId="596CDED4">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——钢丝绳最小破断拉力，单位为kN；</w:t>
            </w:r>
          </w:p>
        </w:tc>
      </w:tr>
      <w:tr w14:paraId="09CAD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5BD8B710">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65" w:type="dxa"/>
            <w:vAlign w:val="center"/>
          </w:tcPr>
          <w:p w14:paraId="378AA9BD">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D</w:t>
            </w:r>
          </w:p>
        </w:tc>
        <w:tc>
          <w:tcPr>
            <w:tcW w:w="8063" w:type="dxa"/>
          </w:tcPr>
          <w:p w14:paraId="2E1A4DBA">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——钢丝绳公称直径，单位为mm；</w:t>
            </w:r>
          </w:p>
        </w:tc>
      </w:tr>
      <w:tr w14:paraId="46B7B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66DFB606">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65" w:type="dxa"/>
            <w:vAlign w:val="center"/>
          </w:tcPr>
          <w:p w14:paraId="509F1D93">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R</w:t>
            </w:r>
            <w:r>
              <w:rPr>
                <w:rFonts w:hint="eastAsia" w:ascii="仿宋" w:hAnsi="仿宋" w:eastAsia="仿宋" w:cs="仿宋"/>
                <w:i/>
                <w:kern w:val="0"/>
                <w:sz w:val="24"/>
                <w:szCs w:val="20"/>
                <w:vertAlign w:val="subscript"/>
                <w:lang w:val="en-US" w:eastAsia="zh-CN" w:bidi="ar-SA"/>
              </w:rPr>
              <w:t>0</w:t>
            </w:r>
          </w:p>
        </w:tc>
        <w:tc>
          <w:tcPr>
            <w:tcW w:w="8063" w:type="dxa"/>
          </w:tcPr>
          <w:p w14:paraId="61B143D9">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——钢丝绳公称抗拉强度，取1870MPa；</w:t>
            </w:r>
          </w:p>
        </w:tc>
      </w:tr>
      <w:tr w14:paraId="77C9F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tcPr>
          <w:p w14:paraId="78899390">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p>
        </w:tc>
        <w:tc>
          <w:tcPr>
            <w:tcW w:w="865" w:type="dxa"/>
            <w:vAlign w:val="center"/>
          </w:tcPr>
          <w:p w14:paraId="0CC317F7">
            <w:pPr>
              <w:widowControl w:val="0"/>
              <w:tabs>
                <w:tab w:val="left" w:pos="1320"/>
              </w:tabs>
              <w:spacing w:line="360" w:lineRule="auto"/>
              <w:ind w:firstLine="0" w:firstLineChars="0"/>
              <w:jc w:val="center"/>
              <w:rPr>
                <w:rFonts w:hint="eastAsia" w:ascii="仿宋" w:hAnsi="仿宋" w:eastAsia="仿宋" w:cs="仿宋"/>
                <w:i/>
                <w:kern w:val="0"/>
                <w:sz w:val="24"/>
                <w:szCs w:val="20"/>
                <w:lang w:val="en-US" w:eastAsia="zh-CN" w:bidi="ar-SA"/>
              </w:rPr>
            </w:pPr>
            <w:r>
              <w:rPr>
                <w:rFonts w:hint="eastAsia" w:ascii="仿宋" w:hAnsi="仿宋" w:eastAsia="仿宋" w:cs="仿宋"/>
                <w:i/>
                <w:kern w:val="0"/>
                <w:sz w:val="24"/>
                <w:szCs w:val="20"/>
                <w:lang w:val="en-US" w:eastAsia="zh-CN" w:bidi="ar-SA"/>
              </w:rPr>
              <w:t>K’</w:t>
            </w:r>
          </w:p>
        </w:tc>
        <w:tc>
          <w:tcPr>
            <w:tcW w:w="8063" w:type="dxa"/>
          </w:tcPr>
          <w:p w14:paraId="2C91CA3C">
            <w:pPr>
              <w:widowControl w:val="0"/>
              <w:tabs>
                <w:tab w:val="left" w:pos="1200"/>
              </w:tabs>
              <w:spacing w:line="360" w:lineRule="auto"/>
              <w:ind w:firstLine="0" w:firstLineChars="0"/>
              <w:jc w:val="both"/>
              <w:rPr>
                <w:rFonts w:hint="eastAsia" w:ascii="仿宋" w:hAnsi="仿宋" w:eastAsia="仿宋" w:cs="仿宋"/>
                <w:kern w:val="0"/>
                <w:sz w:val="24"/>
                <w:szCs w:val="20"/>
                <w:lang w:val="en-US" w:eastAsia="zh-CN" w:bidi="ar-SA"/>
              </w:rPr>
            </w:pPr>
            <w:r>
              <w:rPr>
                <w:rFonts w:hint="eastAsia" w:ascii="仿宋" w:hAnsi="仿宋" w:eastAsia="仿宋" w:cs="仿宋"/>
                <w:kern w:val="0"/>
                <w:sz w:val="24"/>
                <w:szCs w:val="20"/>
                <w:lang w:val="en-US" w:eastAsia="zh-CN" w:bidi="ar-SA"/>
              </w:rPr>
              <w:t>——钢丝绳的最小破断拉力系数，6×19W+IWR钢丝绳取0.33。</w:t>
            </w:r>
          </w:p>
        </w:tc>
      </w:tr>
    </w:tbl>
    <w:p w14:paraId="1EC9F671">
      <w:pPr>
        <w:ind w:firstLine="480"/>
        <w:rPr>
          <w:rFonts w:hint="eastAsia" w:ascii="仿宋" w:hAnsi="仿宋" w:eastAsia="仿宋" w:cs="仿宋"/>
        </w:rPr>
      </w:pPr>
      <w:r>
        <w:rPr>
          <w:rFonts w:hint="eastAsia" w:ascii="仿宋" w:hAnsi="仿宋" w:eastAsia="仿宋" w:cs="仿宋"/>
        </w:rPr>
        <w:t>采用四点吊的塔吊主要部件</w:t>
      </w:r>
      <w:r>
        <w:rPr>
          <w:rFonts w:hint="eastAsia" w:ascii="仿宋" w:hAnsi="仿宋" w:eastAsia="仿宋" w:cs="仿宋"/>
          <w:lang w:val="en-US" w:eastAsia="zh-CN"/>
        </w:rPr>
        <w:t>中</w:t>
      </w:r>
      <w:r>
        <w:rPr>
          <w:rFonts w:hint="eastAsia" w:ascii="仿宋" w:hAnsi="仿宋" w:eastAsia="仿宋" w:cs="仿宋"/>
        </w:rPr>
        <w:t>最大重量为</w:t>
      </w:r>
      <w:r>
        <w:rPr>
          <w:rFonts w:hint="eastAsia" w:ascii="仿宋" w:hAnsi="仿宋" w:eastAsia="仿宋" w:cs="仿宋"/>
          <w:lang w:val="en-US" w:eastAsia="zh-CN"/>
        </w:rPr>
        <w:t>T7020-12的</w:t>
      </w:r>
      <w:r>
        <w:rPr>
          <w:rFonts w:hint="eastAsia" w:ascii="仿宋" w:hAnsi="仿宋" w:cs="仿宋"/>
          <w:lang w:val="en-US" w:eastAsia="zh-CN"/>
        </w:rPr>
        <w:t>回转总成</w:t>
      </w:r>
      <w:r>
        <w:rPr>
          <w:rFonts w:hint="eastAsia" w:ascii="仿宋" w:hAnsi="仿宋" w:eastAsia="仿宋" w:cs="仿宋"/>
        </w:rPr>
        <w:t>，</w:t>
      </w:r>
      <w:r>
        <w:rPr>
          <w:rFonts w:hint="eastAsia" w:ascii="仿宋" w:hAnsi="仿宋" w:cs="仿宋"/>
          <w:lang w:val="en-US" w:eastAsia="zh-CN"/>
        </w:rPr>
        <w:t>回转总成</w:t>
      </w:r>
      <w:r>
        <w:rPr>
          <w:rFonts w:hint="eastAsia" w:ascii="仿宋" w:hAnsi="仿宋" w:eastAsia="仿宋" w:cs="仿宋"/>
        </w:rPr>
        <w:t>起重量约</w:t>
      </w:r>
      <w:r>
        <w:rPr>
          <w:rFonts w:hint="eastAsia" w:ascii="仿宋" w:hAnsi="仿宋" w:cs="仿宋"/>
          <w:lang w:val="en-US" w:eastAsia="zh-CN"/>
        </w:rPr>
        <w:t>7</w:t>
      </w:r>
      <w:r>
        <w:rPr>
          <w:rFonts w:hint="eastAsia" w:ascii="仿宋" w:hAnsi="仿宋" w:eastAsia="仿宋" w:cs="仿宋"/>
        </w:rPr>
        <w:t>t，钢丝绳与回转总成60°夹角，以</w:t>
      </w:r>
      <w:r>
        <w:rPr>
          <w:rFonts w:hint="eastAsia" w:ascii="仿宋" w:hAnsi="仿宋" w:cs="仿宋"/>
          <w:lang w:val="en-US" w:eastAsia="zh-CN"/>
        </w:rPr>
        <w:t>回转总成</w:t>
      </w:r>
      <w:r>
        <w:rPr>
          <w:rFonts w:hint="eastAsia" w:ascii="仿宋" w:hAnsi="仿宋" w:eastAsia="仿宋" w:cs="仿宋"/>
        </w:rPr>
        <w:t>四个销轴孔作为吊装孔，钢丝绳采用压制接头。</w:t>
      </w:r>
    </w:p>
    <w:p w14:paraId="29E2B39F">
      <w:pPr>
        <w:ind w:firstLine="480"/>
        <w:rPr>
          <w:rFonts w:hint="eastAsia" w:ascii="仿宋" w:hAnsi="仿宋" w:eastAsia="仿宋" w:cs="仿宋"/>
        </w:rPr>
      </w:pPr>
      <w:r>
        <w:rPr>
          <w:rFonts w:hint="eastAsia" w:ascii="仿宋" w:hAnsi="仿宋" w:eastAsia="仿宋" w:cs="仿宋"/>
        </w:rPr>
        <w:t>每根钢丝绳最小破断拉力：</w:t>
      </w:r>
    </w:p>
    <w:p w14:paraId="43B883B3">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f>
            <m:fPr>
              <m:ctrlPr>
                <w:rPr>
                  <w:rFonts w:hint="eastAsia" w:ascii="Cambria Math" w:hAnsi="Cambria Math" w:eastAsia="仿宋" w:cs="仿宋"/>
                </w:rPr>
              </m:ctrlPr>
            </m:fPr>
            <m:num>
              <m:r>
                <m:rPr>
                  <m:nor/>
                  <m:sty m:val="p"/>
                </m:rPr>
                <w:rPr>
                  <w:rFonts w:hint="eastAsia" w:ascii="Cambria Math" w:hAnsi="Cambria Math" w:eastAsia="仿宋" w:cs="仿宋"/>
                  <w:b w:val="0"/>
                  <w:i w:val="0"/>
                </w:rPr>
                <m:t>WLL×</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m</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u</m:t>
                  </m:r>
                  <m:ctrlPr>
                    <w:rPr>
                      <w:rFonts w:hint="eastAsia" w:ascii="Cambria Math" w:hAnsi="Cambria Math" w:eastAsia="仿宋" w:cs="仿宋"/>
                    </w:rPr>
                  </m:ctrlPr>
                </m:sub>
              </m:sSub>
              <m:ctrlPr>
                <w:rPr>
                  <w:rFonts w:hint="eastAsia" w:ascii="Cambria Math" w:hAnsi="Cambria Math" w:eastAsia="仿宋" w:cs="仿宋"/>
                </w:rPr>
              </m:ctrlPr>
            </m:num>
            <m:den>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e</m:t>
                  </m:r>
                  <m:ctrlPr>
                    <w:rPr>
                      <w:rFonts w:hint="eastAsia" w:ascii="Cambria Math" w:hAnsi="Cambria Math" w:eastAsia="仿宋" w:cs="仿宋"/>
                    </w:rPr>
                  </m:ctrlPr>
                </m:sub>
              </m:sSub>
              <m:r>
                <m:rPr>
                  <m:nor/>
                  <m:sty m:val="p"/>
                </m:rPr>
                <w:rPr>
                  <w:rFonts w:hint="eastAsia" w:ascii="Cambria Math" w:hAnsi="Cambria Math" w:eastAsia="仿宋" w:cs="仿宋"/>
                  <w:b w:val="0"/>
                  <w:i w:val="0"/>
                </w:rPr>
                <m:t>×K</m:t>
              </m:r>
              <m:ctrlPr>
                <w:rPr>
                  <w:rFonts w:hint="eastAsia" w:ascii="Cambria Math" w:hAnsi="Cambria Math" w:eastAsia="仿宋" w:cs="仿宋"/>
                </w:rPr>
              </m:ctrlPr>
            </m:den>
          </m:f>
          <m:r>
            <m:rPr>
              <m:nor/>
              <m:sty m:val="p"/>
            </m:rPr>
            <w:rPr>
              <w:rFonts w:hint="eastAsia" w:ascii="Cambria Math" w:hAnsi="Cambria Math" w:eastAsia="仿宋" w:cs="仿宋"/>
              <w:b w:val="0"/>
              <w:i w:val="0"/>
            </w:rPr>
            <m:t>=</m:t>
          </m:r>
          <m:f>
            <m:fPr>
              <m:ctrlPr>
                <w:rPr>
                  <w:rFonts w:hint="eastAsia" w:ascii="Cambria Math" w:hAnsi="Cambria Math" w:eastAsia="仿宋" w:cs="仿宋"/>
                </w:rPr>
              </m:ctrlPr>
            </m:fPr>
            <m:num>
              <m:r>
                <m:rPr>
                  <m:nor/>
                  <m:sty m:val="p"/>
                </m:rPr>
                <w:rPr>
                  <w:rFonts w:hint="default" w:ascii="Cambria Math" w:hAnsi="Cambria Math" w:cs="仿宋"/>
                  <w:b w:val="0"/>
                  <w:i w:val="0"/>
                  <w:lang w:val="en-US" w:eastAsia="zh-CN"/>
                </w:rPr>
                <m:t>7</m:t>
              </m:r>
              <m:r>
                <m:rPr>
                  <m:nor/>
                  <m:sty m:val="p"/>
                </m:rPr>
                <w:rPr>
                  <w:rFonts w:hint="eastAsia" w:ascii="Cambria Math" w:hAnsi="Cambria Math" w:eastAsia="仿宋" w:cs="仿宋"/>
                  <w:b w:val="0"/>
                  <w:i w:val="0"/>
                </w:rPr>
                <m:t>×9.80665×6</m:t>
              </m:r>
              <m:ctrlPr>
                <w:rPr>
                  <w:rFonts w:hint="eastAsia" w:ascii="Cambria Math" w:hAnsi="Cambria Math" w:eastAsia="仿宋" w:cs="仿宋"/>
                </w:rPr>
              </m:ctrlPr>
            </m:num>
            <m:den>
              <m:r>
                <m:rPr>
                  <m:nor/>
                  <m:sty m:val="p"/>
                </m:rPr>
                <w:rPr>
                  <w:rFonts w:hint="eastAsia" w:ascii="Cambria Math" w:hAnsi="Cambria Math" w:eastAsia="仿宋" w:cs="仿宋"/>
                  <w:b w:val="0"/>
                  <w:i w:val="0"/>
                </w:rPr>
                <m:t>0.9×2.1</m:t>
              </m:r>
              <m:ctrlPr>
                <w:rPr>
                  <w:rFonts w:hint="eastAsia" w:ascii="Cambria Math" w:hAnsi="Cambria Math" w:eastAsia="仿宋" w:cs="仿宋"/>
                </w:rPr>
              </m:ctrlPr>
            </m:den>
          </m:f>
          <m:r>
            <m:rPr>
              <m:nor/>
              <m:sty m:val="p"/>
            </m:rPr>
            <w:rPr>
              <w:rFonts w:hint="eastAsia" w:ascii="Cambria Math" w:hAnsi="Cambria Math" w:eastAsia="仿宋" w:cs="仿宋"/>
              <w:b w:val="0"/>
              <w:i w:val="0"/>
            </w:rPr>
            <m:t>=</m:t>
          </m:r>
          <m:r>
            <m:rPr>
              <m:nor/>
              <m:sty m:val="p"/>
            </m:rPr>
            <w:rPr>
              <w:rFonts w:hint="default" w:ascii="Cambria Math" w:hAnsi="Cambria Math" w:cs="仿宋"/>
              <w:b w:val="0"/>
              <w:i w:val="0"/>
              <w:lang w:val="en-US" w:eastAsia="zh-CN"/>
            </w:rPr>
            <m:t>217.93</m:t>
          </m:r>
          <m:r>
            <m:rPr>
              <m:nor/>
              <m:sty m:val="p"/>
            </m:rPr>
            <w:rPr>
              <w:rFonts w:hint="eastAsia" w:ascii="Cambria Math" w:hAnsi="Cambria Math" w:eastAsia="仿宋" w:cs="仿宋"/>
              <w:b w:val="0"/>
              <w:i w:val="0"/>
            </w:rPr>
            <m:t>N</m:t>
          </m:r>
        </m:oMath>
      </m:oMathPara>
    </w:p>
    <w:p w14:paraId="06A9C4B9">
      <w:pPr>
        <w:ind w:firstLine="480"/>
        <w:rPr>
          <w:rFonts w:hint="eastAsia" w:ascii="仿宋" w:hAnsi="仿宋" w:eastAsia="仿宋" w:cs="仿宋"/>
        </w:rPr>
      </w:pPr>
      <w:r>
        <w:rPr>
          <w:rFonts w:hint="eastAsia" w:ascii="仿宋" w:hAnsi="仿宋" w:eastAsia="仿宋" w:cs="仿宋"/>
        </w:rPr>
        <w:t>则钢丝绳最小公称直径：</w:t>
      </w:r>
    </w:p>
    <w:p w14:paraId="00435C2D">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r>
            <m:rPr>
              <m:nor/>
              <m:sty m:val="p"/>
            </m:rPr>
            <w:rPr>
              <w:rFonts w:hint="eastAsia" w:ascii="Cambria Math" w:hAnsi="Cambria Math" w:eastAsia="仿宋" w:cs="仿宋"/>
              <w:b w:val="0"/>
              <w:i w:val="0"/>
            </w:rPr>
            <m:t>D=</m:t>
          </m:r>
          <m:rad>
            <m:radPr>
              <m:degHide m:val="1"/>
              <m:ctrlPr>
                <w:rPr>
                  <w:rFonts w:hint="eastAsia" w:ascii="Cambria Math" w:hAnsi="Cambria Math" w:eastAsia="仿宋" w:cs="仿宋"/>
                </w:rPr>
              </m:ctrlPr>
            </m:radPr>
            <m:deg>
              <m:ctrlPr>
                <w:rPr>
                  <w:rFonts w:hint="eastAsia" w:ascii="Cambria Math" w:hAnsi="Cambria Math" w:eastAsia="仿宋" w:cs="仿宋"/>
                </w:rPr>
              </m:ctrlPr>
            </m:deg>
            <m:e>
              <m:f>
                <m:fPr>
                  <m:ctrlPr>
                    <w:rPr>
                      <w:rFonts w:hint="eastAsia" w:ascii="Cambria Math" w:hAnsi="Cambria Math" w:eastAsia="仿宋" w:cs="仿宋"/>
                    </w:rPr>
                  </m:ctrlPr>
                </m:fPr>
                <m:num>
                  <m:r>
                    <m:rPr>
                      <m:nor/>
                      <m:sty m:val="p"/>
                    </m:rPr>
                    <w:rPr>
                      <w:rFonts w:hint="eastAsia" w:ascii="Cambria Math" w:hAnsi="Cambria Math" w:eastAsia="仿宋" w:cs="仿宋"/>
                      <w:b w:val="0"/>
                      <w:i w:val="0"/>
                    </w:rPr>
                    <m:t>1000×</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ctrlPr>
                    <w:rPr>
                      <w:rFonts w:hint="eastAsia" w:ascii="Cambria Math" w:hAnsi="Cambria Math" w:eastAsia="仿宋" w:cs="仿宋"/>
                    </w:rPr>
                  </m:ctrlPr>
                </m:num>
                <m:den>
                  <m:sSup>
                    <m:sSupPr>
                      <m:ctrlPr>
                        <w:rPr>
                          <w:rFonts w:hint="eastAsia" w:ascii="Cambria Math" w:hAnsi="Cambria Math" w:eastAsia="仿宋" w:cs="仿宋"/>
                        </w:rPr>
                      </m:ctrlPr>
                    </m:sSupPr>
                    <m:e>
                      <m:r>
                        <m:rPr>
                          <m:nor/>
                          <m:sty m:val="p"/>
                        </m:rPr>
                        <w:rPr>
                          <w:rFonts w:hint="eastAsia" w:ascii="Cambria Math" w:hAnsi="Cambria Math" w:eastAsia="仿宋" w:cs="仿宋"/>
                          <w:b w:val="0"/>
                          <w:i w:val="0"/>
                        </w:rPr>
                        <m:t>K</m:t>
                      </m:r>
                      <m:ctrlPr>
                        <w:rPr>
                          <w:rFonts w:hint="eastAsia" w:ascii="Cambria Math" w:hAnsi="Cambria Math" w:eastAsia="仿宋" w:cs="仿宋"/>
                        </w:rPr>
                      </m:ctrlPr>
                    </m:e>
                    <m:sup>
                      <m:r>
                        <m:rPr>
                          <m:nor/>
                          <m:sty m:val="p"/>
                        </m:rPr>
                        <w:rPr>
                          <w:rFonts w:hint="eastAsia" w:ascii="Cambria Math" w:hAnsi="Cambria Math" w:eastAsia="仿宋" w:cs="仿宋"/>
                          <w:b w:val="0"/>
                          <w:i w:val="0"/>
                        </w:rPr>
                        <m:t>'</m:t>
                      </m:r>
                      <m:ctrlPr>
                        <w:rPr>
                          <w:rFonts w:hint="eastAsia" w:ascii="Cambria Math" w:hAnsi="Cambria Math" w:eastAsia="仿宋" w:cs="仿宋"/>
                        </w:rPr>
                      </m:ctrlPr>
                    </m:sup>
                  </m:sSup>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R</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ctrlPr>
                    <w:rPr>
                      <w:rFonts w:hint="eastAsia" w:ascii="Cambria Math" w:hAnsi="Cambria Math" w:eastAsia="仿宋" w:cs="仿宋"/>
                    </w:rPr>
                  </m:ctrlPr>
                </m:den>
              </m:f>
              <m:ctrlPr>
                <w:rPr>
                  <w:rFonts w:hint="eastAsia" w:ascii="Cambria Math" w:hAnsi="Cambria Math" w:eastAsia="仿宋" w:cs="仿宋"/>
                </w:rPr>
              </m:ctrlPr>
            </m:e>
          </m:rad>
          <m:r>
            <m:rPr>
              <m:nor/>
              <m:sty m:val="p"/>
            </m:rPr>
            <w:rPr>
              <w:rFonts w:hint="eastAsia" w:ascii="Cambria Math" w:hAnsi="Cambria Math" w:eastAsia="仿宋" w:cs="仿宋"/>
              <w:b w:val="0"/>
              <w:i w:val="0"/>
            </w:rPr>
            <m:t>=</m:t>
          </m:r>
          <m:rad>
            <m:radPr>
              <m:degHide m:val="1"/>
              <m:ctrlPr>
                <w:rPr>
                  <w:rFonts w:hint="eastAsia" w:ascii="Cambria Math" w:hAnsi="Cambria Math" w:eastAsia="仿宋" w:cs="仿宋"/>
                </w:rPr>
              </m:ctrlPr>
            </m:radPr>
            <m:deg>
              <m:ctrlPr>
                <w:rPr>
                  <w:rFonts w:hint="eastAsia" w:ascii="Cambria Math" w:hAnsi="Cambria Math" w:eastAsia="仿宋" w:cs="仿宋"/>
                </w:rPr>
              </m:ctrlPr>
            </m:deg>
            <m:e>
              <m:f>
                <m:fPr>
                  <m:ctrlPr>
                    <w:rPr>
                      <w:rFonts w:hint="eastAsia" w:ascii="Cambria Math" w:hAnsi="Cambria Math" w:eastAsia="仿宋" w:cs="仿宋"/>
                    </w:rPr>
                  </m:ctrlPr>
                </m:fPr>
                <m:num>
                  <m:r>
                    <m:rPr>
                      <m:nor/>
                      <m:sty m:val="p"/>
                    </m:rPr>
                    <w:rPr>
                      <w:rFonts w:hint="eastAsia" w:ascii="Cambria Math" w:hAnsi="Cambria Math" w:eastAsia="仿宋" w:cs="仿宋"/>
                      <w:b w:val="0"/>
                      <w:i w:val="0"/>
                    </w:rPr>
                    <m:t>1000×</m:t>
                  </m:r>
                  <m:r>
                    <m:rPr>
                      <m:nor/>
                      <m:sty m:val="p"/>
                    </m:rPr>
                    <w:rPr>
                      <w:rFonts w:hint="default" w:ascii="Cambria Math" w:hAnsi="Cambria Math" w:cs="仿宋"/>
                      <w:b w:val="0"/>
                      <w:i w:val="0"/>
                      <w:lang w:val="en-US" w:eastAsia="zh-CN"/>
                    </w:rPr>
                    <m:t>217.93</m:t>
                  </m:r>
                  <m:ctrlPr>
                    <w:rPr>
                      <w:rFonts w:hint="eastAsia" w:ascii="Cambria Math" w:hAnsi="Cambria Math" w:eastAsia="仿宋" w:cs="仿宋"/>
                    </w:rPr>
                  </m:ctrlPr>
                </m:num>
                <m:den>
                  <m:r>
                    <m:rPr>
                      <m:nor/>
                      <m:sty m:val="p"/>
                    </m:rPr>
                    <w:rPr>
                      <w:rFonts w:hint="eastAsia" w:ascii="Cambria Math" w:hAnsi="Cambria Math" w:eastAsia="仿宋" w:cs="仿宋"/>
                      <w:b w:val="0"/>
                      <w:i w:val="0"/>
                    </w:rPr>
                    <m:t>0.33×1</m:t>
                  </m:r>
                  <m:r>
                    <m:rPr>
                      <m:nor/>
                      <m:sty m:val="p"/>
                    </m:rPr>
                    <w:rPr>
                      <w:rFonts w:hint="eastAsia" w:ascii="Cambria Math" w:hAnsi="Cambria Math" w:eastAsia="仿宋" w:cs="仿宋"/>
                      <w:b w:val="0"/>
                      <w:i w:val="0"/>
                      <w:lang w:val="en-US" w:eastAsia="zh-CN"/>
                    </w:rPr>
                    <m:t>87</m:t>
                  </m:r>
                  <m:r>
                    <m:rPr>
                      <m:nor/>
                      <m:sty m:val="p"/>
                    </m:rPr>
                    <w:rPr>
                      <w:rFonts w:hint="eastAsia" w:ascii="Cambria Math" w:hAnsi="Cambria Math" w:eastAsia="仿宋" w:cs="仿宋"/>
                      <w:b w:val="0"/>
                      <w:i w:val="0"/>
                    </w:rPr>
                    <m:t>0</m:t>
                  </m:r>
                  <m:ctrlPr>
                    <w:rPr>
                      <w:rFonts w:hint="eastAsia" w:ascii="Cambria Math" w:hAnsi="Cambria Math" w:eastAsia="仿宋" w:cs="仿宋"/>
                    </w:rPr>
                  </m:ctrlPr>
                </m:den>
              </m:f>
              <m:ctrlPr>
                <w:rPr>
                  <w:rFonts w:hint="eastAsia" w:ascii="Cambria Math" w:hAnsi="Cambria Math" w:eastAsia="仿宋" w:cs="仿宋"/>
                </w:rPr>
              </m:ctrlPr>
            </m:e>
          </m:rad>
          <m:r>
            <m:rPr>
              <m:nor/>
              <m:sty m:val="p"/>
            </m:rPr>
            <w:rPr>
              <w:rFonts w:hint="eastAsia" w:ascii="Cambria Math" w:hAnsi="Cambria Math" w:eastAsia="仿宋" w:cs="仿宋"/>
              <w:b w:val="0"/>
              <w:i w:val="0"/>
            </w:rPr>
            <m:t>=</m:t>
          </m:r>
          <m:r>
            <m:rPr>
              <m:nor/>
              <m:sty m:val="p"/>
            </m:rPr>
            <w:rPr>
              <w:rFonts w:hint="default" w:ascii="Cambria Math" w:hAnsi="Cambria Math" w:cs="仿宋"/>
              <w:b w:val="0"/>
              <w:i w:val="0"/>
              <w:lang w:val="en-US" w:eastAsia="zh-CN"/>
            </w:rPr>
            <m:t>18.80</m:t>
          </m:r>
          <m:r>
            <m:rPr>
              <m:nor/>
              <m:sty m:val="p"/>
            </m:rPr>
            <w:rPr>
              <w:rFonts w:hint="eastAsia" w:ascii="Cambria Math" w:hAnsi="Cambria Math" w:eastAsia="仿宋" w:cs="仿宋"/>
              <w:b w:val="0"/>
              <w:i w:val="0"/>
            </w:rPr>
            <m:t>mm</m:t>
          </m:r>
        </m:oMath>
      </m:oMathPara>
    </w:p>
    <w:p w14:paraId="18519904">
      <w:pPr>
        <w:ind w:firstLine="480"/>
        <w:rPr>
          <w:rFonts w:hint="eastAsia" w:ascii="仿宋" w:hAnsi="仿宋" w:eastAsia="仿宋" w:cs="仿宋"/>
        </w:rPr>
      </w:pPr>
      <w:r>
        <w:rPr>
          <w:rFonts w:hint="eastAsia" w:ascii="仿宋" w:hAnsi="仿宋" w:eastAsia="仿宋" w:cs="仿宋"/>
        </w:rPr>
        <w:t>采用</w:t>
      </w:r>
      <w:r>
        <w:rPr>
          <w:rFonts w:hint="eastAsia" w:ascii="仿宋" w:hAnsi="仿宋" w:eastAsia="仿宋" w:cs="仿宋"/>
          <w:lang w:val="en-US" w:eastAsia="zh-CN"/>
        </w:rPr>
        <w:t>φ22</w:t>
      </w:r>
      <w:r>
        <w:rPr>
          <w:rFonts w:hint="eastAsia" w:ascii="仿宋" w:hAnsi="仿宋" w:eastAsia="仿宋" w:cs="仿宋"/>
        </w:rPr>
        <w:t>mm钢丝绳可满足要求。</w:t>
      </w:r>
    </w:p>
    <w:p w14:paraId="2C3CDE31">
      <w:pPr>
        <w:ind w:firstLine="480"/>
        <w:rPr>
          <w:rFonts w:hint="eastAsia" w:ascii="仿宋" w:hAnsi="仿宋" w:eastAsia="仿宋" w:cs="仿宋"/>
        </w:rPr>
      </w:pPr>
      <w:r>
        <w:rPr>
          <w:rFonts w:hint="eastAsia" w:ascii="仿宋" w:hAnsi="仿宋" w:eastAsia="仿宋" w:cs="仿宋"/>
        </w:rPr>
        <w:t>采用</w:t>
      </w:r>
      <w:r>
        <w:rPr>
          <w:rFonts w:hint="eastAsia" w:ascii="仿宋" w:hAnsi="仿宋" w:eastAsia="仿宋" w:cs="仿宋"/>
          <w:lang w:val="en-US" w:eastAsia="zh-CN"/>
        </w:rPr>
        <w:t>两</w:t>
      </w:r>
      <w:r>
        <w:rPr>
          <w:rFonts w:hint="eastAsia" w:ascii="仿宋" w:hAnsi="仿宋" w:eastAsia="仿宋" w:cs="仿宋"/>
        </w:rPr>
        <w:t>点吊的塔吊主要部件</w:t>
      </w:r>
      <w:r>
        <w:rPr>
          <w:rFonts w:hint="eastAsia" w:ascii="仿宋" w:hAnsi="仿宋" w:eastAsia="仿宋" w:cs="仿宋"/>
          <w:lang w:val="en-US" w:eastAsia="zh-CN"/>
        </w:rPr>
        <w:t>中</w:t>
      </w:r>
      <w:r>
        <w:rPr>
          <w:rFonts w:hint="eastAsia" w:ascii="仿宋" w:hAnsi="仿宋" w:eastAsia="仿宋" w:cs="仿宋"/>
        </w:rPr>
        <w:t>最大重量为</w:t>
      </w:r>
      <w:r>
        <w:rPr>
          <w:rFonts w:hint="eastAsia" w:ascii="仿宋" w:hAnsi="仿宋" w:eastAsia="仿宋" w:cs="仿宋"/>
          <w:lang w:val="en-US" w:eastAsia="zh-CN"/>
        </w:rPr>
        <w:t>XGT6015A-8S的起重臂</w:t>
      </w:r>
      <w:r>
        <w:rPr>
          <w:rFonts w:hint="eastAsia" w:ascii="仿宋" w:hAnsi="仿宋" w:eastAsia="仿宋" w:cs="仿宋"/>
          <w:lang w:eastAsia="zh-CN"/>
        </w:rPr>
        <w:t>，</w:t>
      </w:r>
      <w:r>
        <w:rPr>
          <w:rFonts w:hint="eastAsia" w:ascii="仿宋" w:hAnsi="仿宋" w:eastAsia="仿宋" w:cs="仿宋"/>
          <w:lang w:val="en-US" w:eastAsia="zh-CN"/>
        </w:rPr>
        <w:t>起重臂</w:t>
      </w:r>
      <w:r>
        <w:rPr>
          <w:rFonts w:hint="eastAsia" w:ascii="仿宋" w:hAnsi="仿宋" w:eastAsia="仿宋" w:cs="仿宋"/>
        </w:rPr>
        <w:t>最大重量约</w:t>
      </w:r>
      <w:r>
        <w:rPr>
          <w:rFonts w:hint="eastAsia" w:ascii="仿宋" w:hAnsi="仿宋" w:eastAsia="仿宋" w:cs="仿宋"/>
          <w:lang w:val="en-US" w:eastAsia="zh-CN"/>
        </w:rPr>
        <w:t>5.391</w:t>
      </w:r>
      <w:r>
        <w:rPr>
          <w:rFonts w:hint="eastAsia" w:ascii="仿宋" w:hAnsi="仿宋" w:eastAsia="仿宋" w:cs="仿宋"/>
        </w:rPr>
        <w:t>t，钢丝绳与</w:t>
      </w:r>
      <w:r>
        <w:rPr>
          <w:rFonts w:hint="eastAsia" w:ascii="仿宋" w:hAnsi="仿宋" w:eastAsia="仿宋" w:cs="仿宋"/>
          <w:lang w:val="en-US" w:eastAsia="zh-CN"/>
        </w:rPr>
        <w:t>起重臂</w:t>
      </w:r>
      <w:r>
        <w:rPr>
          <w:rFonts w:hint="eastAsia" w:ascii="仿宋" w:hAnsi="仿宋" w:eastAsia="仿宋" w:cs="仿宋"/>
        </w:rPr>
        <w:t>成60°夹角，</w:t>
      </w:r>
      <w:r>
        <w:rPr>
          <w:rFonts w:hint="eastAsia" w:ascii="仿宋" w:hAnsi="仿宋" w:eastAsia="仿宋" w:cs="仿宋"/>
          <w:lang w:val="en-US" w:eastAsia="zh-CN"/>
        </w:rPr>
        <w:t>平衡重</w:t>
      </w:r>
      <w:r>
        <w:rPr>
          <w:rFonts w:hint="eastAsia" w:ascii="仿宋" w:hAnsi="仿宋" w:eastAsia="仿宋" w:cs="仿宋"/>
        </w:rPr>
        <w:t>吊装采用两点吊，在</w:t>
      </w:r>
      <w:r>
        <w:rPr>
          <w:rFonts w:hint="eastAsia" w:ascii="仿宋" w:hAnsi="仿宋" w:eastAsia="仿宋" w:cs="仿宋"/>
          <w:lang w:val="en-US" w:eastAsia="zh-CN"/>
        </w:rPr>
        <w:t>平衡重上</w:t>
      </w:r>
      <w:r>
        <w:rPr>
          <w:rFonts w:hint="eastAsia" w:ascii="仿宋" w:hAnsi="仿宋" w:eastAsia="仿宋" w:cs="仿宋"/>
        </w:rPr>
        <w:t>设置2个吊点，钢丝绳采用压制接头。</w:t>
      </w:r>
    </w:p>
    <w:p w14:paraId="2FD087E0">
      <w:pPr>
        <w:ind w:firstLine="480"/>
        <w:rPr>
          <w:rFonts w:hint="eastAsia" w:ascii="仿宋" w:hAnsi="仿宋" w:eastAsia="仿宋" w:cs="仿宋"/>
        </w:rPr>
      </w:pPr>
      <w:r>
        <w:rPr>
          <w:rFonts w:hint="eastAsia" w:ascii="仿宋" w:hAnsi="仿宋" w:eastAsia="仿宋" w:cs="仿宋"/>
        </w:rPr>
        <w:t>每根钢丝绳最小破断拉力：</w:t>
      </w:r>
    </w:p>
    <w:p w14:paraId="59B6685C">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f>
            <m:fPr>
              <m:ctrlPr>
                <w:rPr>
                  <w:rFonts w:hint="eastAsia" w:ascii="Cambria Math" w:hAnsi="Cambria Math" w:eastAsia="仿宋" w:cs="仿宋"/>
                </w:rPr>
              </m:ctrlPr>
            </m:fPr>
            <m:num>
              <m:r>
                <m:rPr>
                  <m:nor/>
                  <m:sty m:val="p"/>
                </m:rPr>
                <w:rPr>
                  <w:rFonts w:hint="eastAsia" w:ascii="Cambria Math" w:hAnsi="Cambria Math" w:eastAsia="仿宋" w:cs="仿宋"/>
                  <w:b w:val="0"/>
                  <w:i w:val="0"/>
                </w:rPr>
                <m:t>WLL×</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m</m:t>
                  </m:r>
                  <m:ctrlPr>
                    <w:rPr>
                      <w:rFonts w:hint="eastAsia" w:ascii="Cambria Math" w:hAnsi="Cambria Math" w:eastAsia="仿宋" w:cs="仿宋"/>
                    </w:rPr>
                  </m:ctrlPr>
                </m:sub>
              </m:sSub>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u</m:t>
                  </m:r>
                  <m:ctrlPr>
                    <w:rPr>
                      <w:rFonts w:hint="eastAsia" w:ascii="Cambria Math" w:hAnsi="Cambria Math" w:eastAsia="仿宋" w:cs="仿宋"/>
                    </w:rPr>
                  </m:ctrlPr>
                </m:sub>
              </m:sSub>
              <m:ctrlPr>
                <w:rPr>
                  <w:rFonts w:hint="eastAsia" w:ascii="Cambria Math" w:hAnsi="Cambria Math" w:eastAsia="仿宋" w:cs="仿宋"/>
                </w:rPr>
              </m:ctrlPr>
            </m:num>
            <m:den>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K</m:t>
                  </m:r>
                  <m:ctrlPr>
                    <w:rPr>
                      <w:rFonts w:hint="eastAsia" w:ascii="Cambria Math" w:hAnsi="Cambria Math" w:eastAsia="仿宋" w:cs="仿宋"/>
                    </w:rPr>
                  </m:ctrlPr>
                </m:e>
                <m:sub>
                  <m:r>
                    <m:rPr>
                      <m:nor/>
                      <m:sty m:val="p"/>
                    </m:rPr>
                    <w:rPr>
                      <w:rFonts w:hint="eastAsia" w:ascii="Cambria Math" w:hAnsi="Cambria Math" w:eastAsia="仿宋" w:cs="仿宋"/>
                      <w:b w:val="0"/>
                      <w:i w:val="0"/>
                    </w:rPr>
                    <m:t>e</m:t>
                  </m:r>
                  <m:ctrlPr>
                    <w:rPr>
                      <w:rFonts w:hint="eastAsia" w:ascii="Cambria Math" w:hAnsi="Cambria Math" w:eastAsia="仿宋" w:cs="仿宋"/>
                    </w:rPr>
                  </m:ctrlPr>
                </m:sub>
              </m:sSub>
              <m:r>
                <m:rPr>
                  <m:nor/>
                  <m:sty m:val="p"/>
                </m:rPr>
                <w:rPr>
                  <w:rFonts w:hint="eastAsia" w:ascii="Cambria Math" w:hAnsi="Cambria Math" w:eastAsia="仿宋" w:cs="仿宋"/>
                  <w:b w:val="0"/>
                  <w:i w:val="0"/>
                </w:rPr>
                <m:t>×K</m:t>
              </m:r>
              <m:ctrlPr>
                <w:rPr>
                  <w:rFonts w:hint="eastAsia" w:ascii="Cambria Math" w:hAnsi="Cambria Math" w:eastAsia="仿宋" w:cs="仿宋"/>
                </w:rPr>
              </m:ctrlPr>
            </m:den>
          </m:f>
          <m:r>
            <m:rPr>
              <m:nor/>
              <m:sty m:val="p"/>
            </m:rPr>
            <w:rPr>
              <w:rFonts w:hint="eastAsia" w:ascii="Cambria Math" w:hAnsi="Cambria Math" w:eastAsia="仿宋" w:cs="仿宋"/>
              <w:b w:val="0"/>
              <w:i w:val="0"/>
            </w:rPr>
            <m:t>=</m:t>
          </m:r>
          <m:f>
            <m:fPr>
              <m:ctrlPr>
                <w:rPr>
                  <w:rFonts w:hint="eastAsia" w:ascii="Cambria Math" w:hAnsi="Cambria Math" w:eastAsia="仿宋" w:cs="仿宋"/>
                </w:rPr>
              </m:ctrlPr>
            </m:fPr>
            <m:num>
              <m:r>
                <m:rPr>
                  <m:nor/>
                  <m:sty m:val="p"/>
                </m:rPr>
                <w:rPr>
                  <w:rFonts w:hint="eastAsia" w:ascii="Cambria Math" w:hAnsi="Cambria Math" w:eastAsia="仿宋" w:cs="仿宋"/>
                  <w:b w:val="0"/>
                  <w:i w:val="0"/>
                  <w:lang w:val="en-US" w:eastAsia="zh-CN"/>
                </w:rPr>
                <m:t>5.391</m:t>
              </m:r>
              <m:r>
                <m:rPr>
                  <m:nor/>
                  <m:sty m:val="p"/>
                </m:rPr>
                <w:rPr>
                  <w:rFonts w:hint="eastAsia" w:ascii="Cambria Math" w:hAnsi="Cambria Math" w:eastAsia="仿宋" w:cs="仿宋"/>
                  <w:b w:val="0"/>
                  <w:i w:val="0"/>
                </w:rPr>
                <m:t>×9.80665×6</m:t>
              </m:r>
              <m:ctrlPr>
                <w:rPr>
                  <w:rFonts w:hint="eastAsia" w:ascii="Cambria Math" w:hAnsi="Cambria Math" w:eastAsia="仿宋" w:cs="仿宋"/>
                </w:rPr>
              </m:ctrlPr>
            </m:num>
            <m:den>
              <m:r>
                <m:rPr>
                  <m:nor/>
                  <m:sty m:val="p"/>
                </m:rPr>
                <w:rPr>
                  <w:rFonts w:hint="eastAsia" w:ascii="Cambria Math" w:hAnsi="Cambria Math" w:eastAsia="仿宋" w:cs="仿宋"/>
                  <w:b w:val="0"/>
                  <w:i w:val="0"/>
                </w:rPr>
                <m:t>0.9×1.4</m:t>
              </m:r>
              <m:ctrlPr>
                <w:rPr>
                  <w:rFonts w:hint="eastAsia" w:ascii="Cambria Math" w:hAnsi="Cambria Math" w:eastAsia="仿宋" w:cs="仿宋"/>
                </w:rPr>
              </m:ctrlPr>
            </m:den>
          </m:f>
          <m:r>
            <m:rPr>
              <m:nor/>
              <m:sty m:val="p"/>
            </m:rPr>
            <w:rPr>
              <w:rFonts w:hint="eastAsia" w:ascii="Cambria Math" w:hAnsi="Cambria Math" w:eastAsia="仿宋" w:cs="仿宋"/>
              <w:b w:val="0"/>
              <w:i w:val="0"/>
            </w:rPr>
            <m:t>=</m:t>
          </m:r>
          <m:r>
            <m:rPr>
              <m:nor/>
              <m:sty m:val="p"/>
            </m:rPr>
            <w:rPr>
              <w:rFonts w:hint="eastAsia" w:ascii="Cambria Math" w:hAnsi="Cambria Math" w:eastAsia="仿宋" w:cs="仿宋"/>
              <w:b w:val="0"/>
              <w:i w:val="0"/>
              <w:lang w:val="en-US" w:eastAsia="zh-CN"/>
            </w:rPr>
            <m:t>251.76</m:t>
          </m:r>
          <m:r>
            <m:rPr>
              <m:nor/>
              <m:sty m:val="p"/>
            </m:rPr>
            <w:rPr>
              <w:rFonts w:hint="eastAsia" w:ascii="Cambria Math" w:hAnsi="Cambria Math" w:eastAsia="仿宋" w:cs="仿宋"/>
              <w:b w:val="0"/>
              <w:i w:val="0"/>
            </w:rPr>
            <m:t>kN</m:t>
          </m:r>
        </m:oMath>
      </m:oMathPara>
    </w:p>
    <w:p w14:paraId="4745F7C5">
      <w:pPr>
        <w:ind w:firstLine="480"/>
        <w:rPr>
          <w:rFonts w:hint="eastAsia" w:ascii="仿宋" w:hAnsi="仿宋" w:eastAsia="仿宋" w:cs="仿宋"/>
        </w:rPr>
      </w:pPr>
      <w:r>
        <w:rPr>
          <w:rFonts w:hint="eastAsia" w:ascii="仿宋" w:hAnsi="仿宋" w:eastAsia="仿宋" w:cs="仿宋"/>
        </w:rPr>
        <w:t>则钢丝绳最小公称直径：</w:t>
      </w:r>
    </w:p>
    <w:p w14:paraId="2B158FF9">
      <w:pPr>
        <w:widowControl w:val="0"/>
        <w:tabs>
          <w:tab w:val="left" w:pos="1320"/>
        </w:tabs>
        <w:spacing w:line="360" w:lineRule="auto"/>
        <w:ind w:firstLine="0" w:firstLineChars="0"/>
        <w:jc w:val="center"/>
        <w:rPr>
          <w:rFonts w:hint="eastAsia" w:ascii="仿宋" w:hAnsi="仿宋" w:eastAsia="仿宋" w:cs="仿宋"/>
          <w:i/>
          <w:kern w:val="2"/>
          <w:sz w:val="24"/>
          <w:szCs w:val="21"/>
          <w:lang w:val="en-US" w:eastAsia="zh-CN" w:bidi="ar-SA"/>
        </w:rPr>
      </w:pPr>
      <m:oMathPara>
        <m:oMath>
          <m:r>
            <m:rPr>
              <m:nor/>
              <m:sty m:val="p"/>
            </m:rPr>
            <w:rPr>
              <w:rFonts w:hint="eastAsia" w:ascii="Cambria Math" w:hAnsi="Cambria Math" w:eastAsia="仿宋" w:cs="仿宋"/>
              <w:b w:val="0"/>
              <w:i w:val="0"/>
            </w:rPr>
            <m:t>D=</m:t>
          </m:r>
          <m:rad>
            <m:radPr>
              <m:degHide m:val="1"/>
              <m:ctrlPr>
                <w:rPr>
                  <w:rFonts w:hint="eastAsia" w:ascii="Cambria Math" w:hAnsi="Cambria Math" w:eastAsia="仿宋" w:cs="仿宋"/>
                </w:rPr>
              </m:ctrlPr>
            </m:radPr>
            <m:deg>
              <m:ctrlPr>
                <w:rPr>
                  <w:rFonts w:hint="eastAsia" w:ascii="Cambria Math" w:hAnsi="Cambria Math" w:eastAsia="仿宋" w:cs="仿宋"/>
                </w:rPr>
              </m:ctrlPr>
            </m:deg>
            <m:e>
              <m:f>
                <m:fPr>
                  <m:ctrlPr>
                    <w:rPr>
                      <w:rFonts w:hint="eastAsia" w:ascii="Cambria Math" w:hAnsi="Cambria Math" w:eastAsia="仿宋" w:cs="仿宋"/>
                    </w:rPr>
                  </m:ctrlPr>
                </m:fPr>
                <m:num>
                  <m:r>
                    <m:rPr>
                      <m:nor/>
                      <m:sty m:val="p"/>
                    </m:rPr>
                    <w:rPr>
                      <w:rFonts w:hint="eastAsia" w:ascii="Cambria Math" w:hAnsi="Cambria Math" w:eastAsia="仿宋" w:cs="仿宋"/>
                      <w:b w:val="0"/>
                      <w:i w:val="0"/>
                    </w:rPr>
                    <m:t>1000×</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F</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ctrlPr>
                    <w:rPr>
                      <w:rFonts w:hint="eastAsia" w:ascii="Cambria Math" w:hAnsi="Cambria Math" w:eastAsia="仿宋" w:cs="仿宋"/>
                    </w:rPr>
                  </m:ctrlPr>
                </m:num>
                <m:den>
                  <m:sSup>
                    <m:sSupPr>
                      <m:ctrlPr>
                        <w:rPr>
                          <w:rFonts w:hint="eastAsia" w:ascii="Cambria Math" w:hAnsi="Cambria Math" w:eastAsia="仿宋" w:cs="仿宋"/>
                        </w:rPr>
                      </m:ctrlPr>
                    </m:sSupPr>
                    <m:e>
                      <m:r>
                        <m:rPr>
                          <m:nor/>
                          <m:sty m:val="p"/>
                        </m:rPr>
                        <w:rPr>
                          <w:rFonts w:hint="eastAsia" w:ascii="Cambria Math" w:hAnsi="Cambria Math" w:eastAsia="仿宋" w:cs="仿宋"/>
                          <w:b w:val="0"/>
                          <w:i w:val="0"/>
                        </w:rPr>
                        <m:t>K</m:t>
                      </m:r>
                      <m:ctrlPr>
                        <w:rPr>
                          <w:rFonts w:hint="eastAsia" w:ascii="Cambria Math" w:hAnsi="Cambria Math" w:eastAsia="仿宋" w:cs="仿宋"/>
                        </w:rPr>
                      </m:ctrlPr>
                    </m:e>
                    <m:sup>
                      <m:r>
                        <m:rPr>
                          <m:nor/>
                          <m:sty m:val="p"/>
                        </m:rPr>
                        <w:rPr>
                          <w:rFonts w:hint="eastAsia" w:ascii="Cambria Math" w:hAnsi="Cambria Math" w:eastAsia="仿宋" w:cs="仿宋"/>
                          <w:b w:val="0"/>
                          <w:i w:val="0"/>
                        </w:rPr>
                        <m:t>'</m:t>
                      </m:r>
                      <m:ctrlPr>
                        <w:rPr>
                          <w:rFonts w:hint="eastAsia" w:ascii="Cambria Math" w:hAnsi="Cambria Math" w:eastAsia="仿宋" w:cs="仿宋"/>
                        </w:rPr>
                      </m:ctrlPr>
                    </m:sup>
                  </m:sSup>
                  <m:r>
                    <m:rPr>
                      <m:nor/>
                      <m:sty m:val="p"/>
                    </m:rPr>
                    <w:rPr>
                      <w:rFonts w:hint="eastAsia" w:ascii="Cambria Math" w:hAnsi="Cambria Math" w:eastAsia="仿宋" w:cs="仿宋"/>
                      <w:b w:val="0"/>
                      <w:i w:val="0"/>
                    </w:rPr>
                    <m:t>×</m:t>
                  </m:r>
                  <m:sSub>
                    <m:sSubPr>
                      <m:ctrlPr>
                        <w:rPr>
                          <w:rFonts w:hint="eastAsia" w:ascii="Cambria Math" w:hAnsi="Cambria Math" w:eastAsia="仿宋" w:cs="仿宋"/>
                        </w:rPr>
                      </m:ctrlPr>
                    </m:sSubPr>
                    <m:e>
                      <m:r>
                        <m:rPr>
                          <m:nor/>
                          <m:sty m:val="p"/>
                        </m:rPr>
                        <w:rPr>
                          <w:rFonts w:hint="eastAsia" w:ascii="Cambria Math" w:hAnsi="Cambria Math" w:eastAsia="仿宋" w:cs="仿宋"/>
                          <w:b w:val="0"/>
                          <w:i w:val="0"/>
                        </w:rPr>
                        <m:t>R</m:t>
                      </m:r>
                      <m:ctrlPr>
                        <w:rPr>
                          <w:rFonts w:hint="eastAsia" w:ascii="Cambria Math" w:hAnsi="Cambria Math" w:eastAsia="仿宋" w:cs="仿宋"/>
                        </w:rPr>
                      </m:ctrlPr>
                    </m:e>
                    <m:sub>
                      <m:r>
                        <m:rPr>
                          <m:nor/>
                          <m:sty m:val="p"/>
                        </m:rPr>
                        <w:rPr>
                          <w:rFonts w:hint="eastAsia" w:ascii="Cambria Math" w:hAnsi="Cambria Math" w:eastAsia="仿宋" w:cs="仿宋"/>
                          <w:b w:val="0"/>
                          <w:i w:val="0"/>
                        </w:rPr>
                        <m:t>0</m:t>
                      </m:r>
                      <m:ctrlPr>
                        <w:rPr>
                          <w:rFonts w:hint="eastAsia" w:ascii="Cambria Math" w:hAnsi="Cambria Math" w:eastAsia="仿宋" w:cs="仿宋"/>
                        </w:rPr>
                      </m:ctrlPr>
                    </m:sub>
                  </m:sSub>
                  <m:ctrlPr>
                    <w:rPr>
                      <w:rFonts w:hint="eastAsia" w:ascii="Cambria Math" w:hAnsi="Cambria Math" w:eastAsia="仿宋" w:cs="仿宋"/>
                    </w:rPr>
                  </m:ctrlPr>
                </m:den>
              </m:f>
              <m:ctrlPr>
                <w:rPr>
                  <w:rFonts w:hint="eastAsia" w:ascii="Cambria Math" w:hAnsi="Cambria Math" w:eastAsia="仿宋" w:cs="仿宋"/>
                </w:rPr>
              </m:ctrlPr>
            </m:e>
          </m:rad>
          <m:r>
            <m:rPr>
              <m:nor/>
              <m:sty m:val="p"/>
            </m:rPr>
            <w:rPr>
              <w:rFonts w:hint="eastAsia" w:ascii="Cambria Math" w:hAnsi="Cambria Math" w:eastAsia="仿宋" w:cs="仿宋"/>
              <w:b w:val="0"/>
              <w:i w:val="0"/>
            </w:rPr>
            <m:t>=</m:t>
          </m:r>
          <m:rad>
            <m:radPr>
              <m:degHide m:val="1"/>
              <m:ctrlPr>
                <w:rPr>
                  <w:rFonts w:hint="eastAsia" w:ascii="Cambria Math" w:hAnsi="Cambria Math" w:eastAsia="仿宋" w:cs="仿宋"/>
                </w:rPr>
              </m:ctrlPr>
            </m:radPr>
            <m:deg>
              <m:ctrlPr>
                <w:rPr>
                  <w:rFonts w:hint="eastAsia" w:ascii="Cambria Math" w:hAnsi="Cambria Math" w:eastAsia="仿宋" w:cs="仿宋"/>
                </w:rPr>
              </m:ctrlPr>
            </m:deg>
            <m:e>
              <m:f>
                <m:fPr>
                  <m:ctrlPr>
                    <w:rPr>
                      <w:rFonts w:hint="eastAsia" w:ascii="Cambria Math" w:hAnsi="Cambria Math" w:eastAsia="仿宋" w:cs="仿宋"/>
                    </w:rPr>
                  </m:ctrlPr>
                </m:fPr>
                <m:num>
                  <m:r>
                    <m:rPr>
                      <m:nor/>
                      <m:sty m:val="p"/>
                    </m:rPr>
                    <w:rPr>
                      <w:rFonts w:hint="eastAsia" w:ascii="Cambria Math" w:hAnsi="Cambria Math" w:eastAsia="仿宋" w:cs="仿宋"/>
                      <w:b w:val="0"/>
                      <w:i w:val="0"/>
                    </w:rPr>
                    <m:t>1000×</m:t>
                  </m:r>
                  <m:r>
                    <m:rPr>
                      <m:nor/>
                      <m:sty m:val="p"/>
                    </m:rPr>
                    <w:rPr>
                      <w:rFonts w:hint="eastAsia" w:ascii="Cambria Math" w:hAnsi="Cambria Math" w:eastAsia="仿宋" w:cs="仿宋"/>
                      <w:b w:val="0"/>
                      <w:i w:val="0"/>
                      <w:lang w:val="en-US" w:eastAsia="zh-CN"/>
                    </w:rPr>
                    <m:t>251.76</m:t>
                  </m:r>
                  <m:ctrlPr>
                    <w:rPr>
                      <w:rFonts w:hint="eastAsia" w:ascii="Cambria Math" w:hAnsi="Cambria Math" w:eastAsia="仿宋" w:cs="仿宋"/>
                    </w:rPr>
                  </m:ctrlPr>
                </m:num>
                <m:den>
                  <m:r>
                    <m:rPr>
                      <m:nor/>
                      <m:sty m:val="p"/>
                    </m:rPr>
                    <w:rPr>
                      <w:rFonts w:hint="eastAsia" w:ascii="Cambria Math" w:hAnsi="Cambria Math" w:eastAsia="仿宋" w:cs="仿宋"/>
                      <w:b w:val="0"/>
                      <w:i w:val="0"/>
                    </w:rPr>
                    <m:t>0.33×1</m:t>
                  </m:r>
                  <m:r>
                    <m:rPr>
                      <m:nor/>
                      <m:sty m:val="p"/>
                    </m:rPr>
                    <w:rPr>
                      <w:rFonts w:hint="eastAsia" w:ascii="Cambria Math" w:hAnsi="Cambria Math" w:eastAsia="仿宋" w:cs="仿宋"/>
                      <w:b w:val="0"/>
                      <w:i w:val="0"/>
                      <w:lang w:val="en-US" w:eastAsia="zh-CN"/>
                    </w:rPr>
                    <m:t>87</m:t>
                  </m:r>
                  <m:r>
                    <m:rPr>
                      <m:nor/>
                      <m:sty m:val="p"/>
                    </m:rPr>
                    <w:rPr>
                      <w:rFonts w:hint="eastAsia" w:ascii="Cambria Math" w:hAnsi="Cambria Math" w:eastAsia="仿宋" w:cs="仿宋"/>
                      <w:b w:val="0"/>
                      <w:i w:val="0"/>
                    </w:rPr>
                    <m:t>0</m:t>
                  </m:r>
                  <m:ctrlPr>
                    <w:rPr>
                      <w:rFonts w:hint="eastAsia" w:ascii="Cambria Math" w:hAnsi="Cambria Math" w:eastAsia="仿宋" w:cs="仿宋"/>
                    </w:rPr>
                  </m:ctrlPr>
                </m:den>
              </m:f>
              <m:ctrlPr>
                <w:rPr>
                  <w:rFonts w:hint="eastAsia" w:ascii="Cambria Math" w:hAnsi="Cambria Math" w:eastAsia="仿宋" w:cs="仿宋"/>
                </w:rPr>
              </m:ctrlPr>
            </m:e>
          </m:rad>
          <m:r>
            <m:rPr>
              <m:nor/>
              <m:sty m:val="p"/>
            </m:rPr>
            <w:rPr>
              <w:rFonts w:hint="eastAsia" w:ascii="Cambria Math" w:hAnsi="Cambria Math" w:eastAsia="仿宋" w:cs="仿宋"/>
              <w:b w:val="0"/>
              <w:i w:val="0"/>
            </w:rPr>
            <m:t>=</m:t>
          </m:r>
          <m:r>
            <m:rPr>
              <m:nor/>
              <m:sty m:val="p"/>
            </m:rPr>
            <w:rPr>
              <w:rFonts w:hint="eastAsia" w:ascii="Cambria Math" w:hAnsi="Cambria Math" w:eastAsia="仿宋" w:cs="仿宋"/>
              <w:b w:val="0"/>
              <w:i w:val="0"/>
              <w:lang w:val="en-US" w:eastAsia="zh-CN"/>
            </w:rPr>
            <m:t>20.20</m:t>
          </m:r>
          <m:r>
            <m:rPr>
              <m:nor/>
              <m:sty m:val="p"/>
            </m:rPr>
            <w:rPr>
              <w:rFonts w:hint="eastAsia" w:ascii="Cambria Math" w:hAnsi="Cambria Math" w:eastAsia="仿宋" w:cs="仿宋"/>
              <w:b w:val="0"/>
              <w:i w:val="0"/>
            </w:rPr>
            <m:t>mm</m:t>
          </m:r>
        </m:oMath>
      </m:oMathPara>
    </w:p>
    <w:p w14:paraId="28262E98">
      <w:pPr>
        <w:spacing w:line="360" w:lineRule="auto"/>
        <w:rPr>
          <w:rFonts w:hint="eastAsia" w:ascii="仿宋" w:hAnsi="仿宋" w:eastAsia="仿宋" w:cs="仿宋"/>
        </w:rPr>
      </w:pPr>
      <w:r>
        <w:rPr>
          <w:rFonts w:hint="eastAsia" w:ascii="仿宋" w:hAnsi="仿宋" w:eastAsia="仿宋" w:cs="仿宋"/>
        </w:rPr>
        <w:t>采用</w:t>
      </w:r>
      <w:r>
        <w:rPr>
          <w:rFonts w:hint="eastAsia" w:ascii="仿宋" w:hAnsi="仿宋" w:eastAsia="仿宋" w:cs="仿宋"/>
          <w:lang w:val="en-US" w:eastAsia="zh-CN"/>
        </w:rPr>
        <w:t>φ22</w:t>
      </w:r>
      <w:r>
        <w:rPr>
          <w:rFonts w:hint="eastAsia" w:ascii="仿宋" w:hAnsi="仿宋" w:eastAsia="仿宋" w:cs="仿宋"/>
        </w:rPr>
        <w:t>mm钢丝绳可满足要求。</w:t>
      </w:r>
    </w:p>
    <w:p w14:paraId="4D40B44E">
      <w:pPr>
        <w:rPr>
          <w:rFonts w:hint="eastAsia" w:ascii="仿宋" w:hAnsi="仿宋" w:eastAsia="仿宋" w:cs="仿宋"/>
          <w:color w:val="auto"/>
          <w:lang w:val="en-US" w:eastAsia="zh-CN"/>
        </w:rPr>
      </w:pPr>
      <w:r>
        <w:rPr>
          <w:rFonts w:hint="eastAsia" w:ascii="仿宋" w:hAnsi="仿宋" w:eastAsia="仿宋" w:cs="仿宋"/>
          <w:color w:val="auto"/>
          <w:lang w:val="en-US" w:eastAsia="zh-CN"/>
        </w:rPr>
        <w:t>2、卸扣选型</w:t>
      </w:r>
    </w:p>
    <w:p w14:paraId="3D37EBCC">
      <w:pPr>
        <w:ind w:firstLine="480"/>
        <w:rPr>
          <w:rFonts w:hint="eastAsia" w:ascii="仿宋" w:hAnsi="仿宋" w:eastAsia="仿宋" w:cs="仿宋"/>
        </w:rPr>
      </w:pPr>
      <w:r>
        <w:rPr>
          <w:rFonts w:hint="eastAsia" w:ascii="仿宋" w:hAnsi="仿宋" w:eastAsia="仿宋" w:cs="仿宋"/>
        </w:rPr>
        <w:t>卸扣根据《一般起重用D形和弓形锻造卸扣》（GB/T25854-2010）的规定选用。</w:t>
      </w:r>
    </w:p>
    <w:p w14:paraId="3217C250">
      <w:pPr>
        <w:pStyle w:val="16"/>
        <w:bidi w:val="0"/>
        <w:rPr>
          <w:rFonts w:hint="eastAsia"/>
          <w:lang w:val="en-US" w:eastAsia="zh-CN"/>
        </w:rPr>
      </w:pPr>
      <w:r>
        <w:rPr>
          <w:rFonts w:hint="eastAsia"/>
          <w:lang w:val="en-US" w:eastAsia="zh-CN"/>
        </w:rPr>
        <w:t xml:space="preserve">表 4.4.3.2-1 </w:t>
      </w:r>
      <w:r>
        <w:rPr>
          <w:rFonts w:hint="eastAsia"/>
          <w:lang w:val="en-US" w:eastAsia="zh-CN"/>
        </w:rPr>
        <w:noBreakHyphen/>
      </w:r>
      <w:r>
        <w:rPr>
          <w:rFonts w:hint="eastAsia"/>
          <w:lang w:val="en-US" w:eastAsia="zh-CN"/>
        </w:rPr>
        <w:t>1D形卸扣尺寸</w:t>
      </w:r>
    </w:p>
    <w:tbl>
      <w:tblPr>
        <w:tblStyle w:val="19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197"/>
        <w:gridCol w:w="1197"/>
        <w:gridCol w:w="1198"/>
        <w:gridCol w:w="1066"/>
        <w:gridCol w:w="1066"/>
        <w:gridCol w:w="1221"/>
        <w:gridCol w:w="1006"/>
        <w:gridCol w:w="1094"/>
      </w:tblGrid>
      <w:tr w14:paraId="3EA618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blHeader/>
        </w:trPr>
        <w:tc>
          <w:tcPr>
            <w:tcW w:w="1986" w:type="pct"/>
            <w:gridSpan w:val="3"/>
            <w:shd w:val="clear" w:color="auto" w:fill="4472C4"/>
            <w:vAlign w:val="center"/>
          </w:tcPr>
          <w:p w14:paraId="1826A8FF">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极限工作荷载WLL</w:t>
            </w:r>
          </w:p>
        </w:tc>
        <w:tc>
          <w:tcPr>
            <w:tcW w:w="589" w:type="pct"/>
            <w:vMerge w:val="restart"/>
            <w:shd w:val="clear" w:color="auto" w:fill="4472C4"/>
            <w:vAlign w:val="center"/>
          </w:tcPr>
          <w:p w14:paraId="52F14F03">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d</w:t>
            </w:r>
            <w:r>
              <w:rPr>
                <w:rFonts w:hint="eastAsia" w:ascii="仿宋" w:hAnsi="仿宋" w:eastAsia="仿宋" w:cs="仿宋"/>
                <w:b/>
                <w:color w:val="FFFFFF"/>
                <w:kern w:val="0"/>
                <w:sz w:val="21"/>
                <w:szCs w:val="21"/>
                <w:vertAlign w:val="superscript"/>
                <w:lang w:val="en-US" w:eastAsia="zh-CN" w:bidi="ar-SA"/>
              </w:rPr>
              <w:t>a</w:t>
            </w:r>
          </w:p>
          <w:p w14:paraId="79D5F313">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max</w:t>
            </w:r>
          </w:p>
        </w:tc>
        <w:tc>
          <w:tcPr>
            <w:tcW w:w="589" w:type="pct"/>
            <w:vMerge w:val="restart"/>
            <w:shd w:val="clear" w:color="auto" w:fill="4472C4"/>
            <w:vAlign w:val="center"/>
          </w:tcPr>
          <w:p w14:paraId="02F8C4C6">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D</w:t>
            </w:r>
            <w:r>
              <w:rPr>
                <w:rFonts w:hint="eastAsia" w:ascii="仿宋" w:hAnsi="仿宋" w:eastAsia="仿宋" w:cs="仿宋"/>
                <w:b/>
                <w:color w:val="FFFFFF"/>
                <w:kern w:val="0"/>
                <w:sz w:val="21"/>
                <w:szCs w:val="21"/>
                <w:vertAlign w:val="superscript"/>
                <w:lang w:val="en-US" w:eastAsia="zh-CN" w:bidi="ar-SA"/>
              </w:rPr>
              <w:t>b</w:t>
            </w:r>
          </w:p>
          <w:p w14:paraId="6C8AD3AB">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max</w:t>
            </w:r>
          </w:p>
        </w:tc>
        <w:tc>
          <w:tcPr>
            <w:tcW w:w="675" w:type="pct"/>
            <w:vMerge w:val="restart"/>
            <w:shd w:val="clear" w:color="auto" w:fill="4472C4"/>
            <w:vAlign w:val="center"/>
          </w:tcPr>
          <w:p w14:paraId="2B7761CF">
            <w:pPr>
              <w:widowControl w:val="0"/>
              <w:spacing w:line="240" w:lineRule="auto"/>
              <w:ind w:firstLine="0" w:firstLineChars="0"/>
              <w:jc w:val="center"/>
              <w:rPr>
                <w:rFonts w:hint="eastAsia" w:ascii="仿宋" w:hAnsi="仿宋" w:eastAsia="仿宋" w:cs="仿宋"/>
                <w:b w:val="0"/>
                <w:color w:val="FFFFFF"/>
                <w:kern w:val="0"/>
                <w:sz w:val="21"/>
                <w:szCs w:val="21"/>
                <w:vertAlign w:val="superscript"/>
                <w:lang w:val="en-US" w:eastAsia="zh-CN" w:bidi="ar-SA"/>
              </w:rPr>
            </w:pPr>
            <w:r>
              <w:rPr>
                <w:rFonts w:hint="eastAsia" w:ascii="仿宋" w:hAnsi="仿宋" w:eastAsia="仿宋" w:cs="仿宋"/>
                <w:b/>
                <w:color w:val="FFFFFF"/>
                <w:kern w:val="0"/>
                <w:sz w:val="21"/>
                <w:szCs w:val="21"/>
                <w:lang w:val="en-US" w:eastAsia="zh-CN" w:bidi="ar-SA"/>
              </w:rPr>
              <w:t>e</w:t>
            </w:r>
            <w:r>
              <w:rPr>
                <w:rFonts w:hint="eastAsia" w:ascii="仿宋" w:hAnsi="仿宋" w:eastAsia="仿宋" w:cs="仿宋"/>
                <w:b/>
                <w:color w:val="FFFFFF"/>
                <w:kern w:val="0"/>
                <w:sz w:val="21"/>
                <w:szCs w:val="21"/>
                <w:vertAlign w:val="superscript"/>
                <w:lang w:val="en-US" w:eastAsia="zh-CN" w:bidi="ar-SA"/>
              </w:rPr>
              <w:t>c</w:t>
            </w:r>
          </w:p>
          <w:p w14:paraId="50C805D2">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max</w:t>
            </w:r>
          </w:p>
        </w:tc>
        <w:tc>
          <w:tcPr>
            <w:tcW w:w="556" w:type="pct"/>
            <w:vMerge w:val="restart"/>
            <w:shd w:val="clear" w:color="auto" w:fill="4472C4"/>
            <w:vAlign w:val="center"/>
          </w:tcPr>
          <w:p w14:paraId="2D6CD00C">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S</w:t>
            </w:r>
            <w:r>
              <w:rPr>
                <w:rFonts w:hint="eastAsia" w:ascii="仿宋" w:hAnsi="仿宋" w:eastAsia="仿宋" w:cs="仿宋"/>
                <w:b/>
                <w:color w:val="FFFFFF"/>
                <w:kern w:val="0"/>
                <w:sz w:val="21"/>
                <w:szCs w:val="21"/>
                <w:vertAlign w:val="superscript"/>
                <w:lang w:val="en-US" w:eastAsia="zh-CN" w:bidi="ar-SA"/>
              </w:rPr>
              <w:t>d</w:t>
            </w:r>
          </w:p>
          <w:p w14:paraId="77AFA83C">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min</w:t>
            </w:r>
          </w:p>
        </w:tc>
        <w:tc>
          <w:tcPr>
            <w:tcW w:w="605" w:type="pct"/>
            <w:vMerge w:val="restart"/>
            <w:shd w:val="clear" w:color="auto" w:fill="4472C4"/>
            <w:vAlign w:val="center"/>
          </w:tcPr>
          <w:p w14:paraId="7626A280">
            <w:pPr>
              <w:widowControl w:val="0"/>
              <w:spacing w:line="240" w:lineRule="auto"/>
              <w:ind w:firstLine="0" w:firstLineChars="0"/>
              <w:jc w:val="center"/>
              <w:rPr>
                <w:rFonts w:hint="eastAsia" w:ascii="仿宋" w:hAnsi="仿宋" w:eastAsia="仿宋" w:cs="仿宋"/>
                <w:b w:val="0"/>
                <w:color w:val="FFFFFF"/>
                <w:kern w:val="0"/>
                <w:sz w:val="21"/>
                <w:szCs w:val="21"/>
                <w:vertAlign w:val="superscript"/>
                <w:lang w:val="en-US" w:eastAsia="zh-CN" w:bidi="ar-SA"/>
              </w:rPr>
            </w:pPr>
            <w:r>
              <w:rPr>
                <w:rFonts w:hint="eastAsia" w:ascii="仿宋" w:hAnsi="仿宋" w:eastAsia="仿宋" w:cs="仿宋"/>
                <w:b/>
                <w:color w:val="FFFFFF"/>
                <w:kern w:val="0"/>
                <w:sz w:val="21"/>
                <w:szCs w:val="21"/>
                <w:lang w:val="en-US" w:eastAsia="zh-CN" w:bidi="ar-SA"/>
              </w:rPr>
              <w:t>W</w:t>
            </w:r>
            <w:r>
              <w:rPr>
                <w:rFonts w:hint="eastAsia" w:ascii="仿宋" w:hAnsi="仿宋" w:eastAsia="仿宋" w:cs="仿宋"/>
                <w:b/>
                <w:color w:val="FFFFFF"/>
                <w:kern w:val="0"/>
                <w:sz w:val="21"/>
                <w:szCs w:val="21"/>
                <w:vertAlign w:val="superscript"/>
                <w:lang w:val="en-US" w:eastAsia="zh-CN" w:bidi="ar-SA"/>
              </w:rPr>
              <w:t>b</w:t>
            </w:r>
          </w:p>
          <w:p w14:paraId="57429C28">
            <w:pPr>
              <w:widowControl w:val="0"/>
              <w:spacing w:line="240" w:lineRule="auto"/>
              <w:ind w:firstLine="0" w:firstLineChars="0"/>
              <w:jc w:val="center"/>
              <w:rPr>
                <w:rFonts w:hint="eastAsia" w:ascii="仿宋" w:hAnsi="仿宋" w:eastAsia="仿宋" w:cs="仿宋"/>
                <w:b w:val="0"/>
                <w:color w:val="FFFFFF"/>
                <w:kern w:val="0"/>
                <w:sz w:val="21"/>
                <w:szCs w:val="21"/>
                <w:lang w:val="en-US" w:eastAsia="zh-CN" w:bidi="ar-SA"/>
              </w:rPr>
            </w:pPr>
            <w:r>
              <w:rPr>
                <w:rFonts w:hint="eastAsia" w:ascii="仿宋" w:hAnsi="仿宋" w:eastAsia="仿宋" w:cs="仿宋"/>
                <w:b/>
                <w:color w:val="FFFFFF"/>
                <w:kern w:val="0"/>
                <w:sz w:val="21"/>
                <w:szCs w:val="21"/>
                <w:lang w:val="en-US" w:eastAsia="zh-CN" w:bidi="ar-SA"/>
              </w:rPr>
              <w:t>min</w:t>
            </w:r>
          </w:p>
        </w:tc>
      </w:tr>
      <w:tr w14:paraId="3EA25A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4472C4"/>
            <w:vAlign w:val="center"/>
          </w:tcPr>
          <w:p w14:paraId="004C9028">
            <w:pPr>
              <w:widowControl w:val="0"/>
              <w:spacing w:line="240" w:lineRule="auto"/>
              <w:ind w:firstLine="0" w:firstLineChars="0"/>
              <w:jc w:val="center"/>
              <w:rPr>
                <w:rFonts w:hint="eastAsia" w:ascii="仿宋" w:hAnsi="仿宋" w:eastAsia="仿宋" w:cs="仿宋"/>
                <w:b/>
                <w:bCs/>
                <w:color w:val="FFFFFF"/>
                <w:kern w:val="0"/>
                <w:sz w:val="21"/>
                <w:szCs w:val="21"/>
                <w:lang w:val="en-US" w:eastAsia="zh-CN" w:bidi="ar-SA"/>
              </w:rPr>
            </w:pPr>
            <w:r>
              <w:rPr>
                <w:rFonts w:hint="eastAsia" w:ascii="仿宋" w:hAnsi="仿宋" w:eastAsia="仿宋" w:cs="仿宋"/>
                <w:b/>
                <w:bCs/>
                <w:color w:val="FFFFFF"/>
                <w:kern w:val="0"/>
                <w:sz w:val="21"/>
                <w:szCs w:val="21"/>
                <w:lang w:val="en-US" w:eastAsia="zh-CN" w:bidi="ar-SA"/>
              </w:rPr>
              <w:t>4级</w:t>
            </w:r>
          </w:p>
        </w:tc>
        <w:tc>
          <w:tcPr>
            <w:tcW w:w="662" w:type="pct"/>
            <w:shd w:val="clear" w:color="auto" w:fill="4472C4"/>
            <w:vAlign w:val="center"/>
          </w:tcPr>
          <w:p w14:paraId="25AE1A43">
            <w:pPr>
              <w:widowControl w:val="0"/>
              <w:spacing w:line="240" w:lineRule="auto"/>
              <w:ind w:firstLine="0" w:firstLineChars="0"/>
              <w:jc w:val="center"/>
              <w:rPr>
                <w:rFonts w:hint="eastAsia" w:ascii="仿宋" w:hAnsi="仿宋" w:eastAsia="仿宋" w:cs="仿宋"/>
                <w:b/>
                <w:bCs/>
                <w:color w:val="FFFFFF"/>
                <w:kern w:val="0"/>
                <w:sz w:val="21"/>
                <w:szCs w:val="21"/>
                <w:lang w:val="en-US" w:eastAsia="zh-CN" w:bidi="ar-SA"/>
              </w:rPr>
            </w:pPr>
            <w:r>
              <w:rPr>
                <w:rFonts w:hint="eastAsia" w:ascii="仿宋" w:hAnsi="仿宋" w:eastAsia="仿宋" w:cs="仿宋"/>
                <w:b/>
                <w:bCs/>
                <w:color w:val="FFFFFF"/>
                <w:kern w:val="0"/>
                <w:sz w:val="21"/>
                <w:szCs w:val="21"/>
                <w:lang w:val="en-US" w:eastAsia="zh-CN" w:bidi="ar-SA"/>
              </w:rPr>
              <w:t>6级</w:t>
            </w:r>
          </w:p>
        </w:tc>
        <w:tc>
          <w:tcPr>
            <w:tcW w:w="662" w:type="pct"/>
            <w:shd w:val="clear" w:color="auto" w:fill="4472C4"/>
            <w:vAlign w:val="center"/>
          </w:tcPr>
          <w:p w14:paraId="02D07FAB">
            <w:pPr>
              <w:widowControl w:val="0"/>
              <w:spacing w:line="240" w:lineRule="auto"/>
              <w:ind w:firstLine="0" w:firstLineChars="0"/>
              <w:jc w:val="center"/>
              <w:rPr>
                <w:rFonts w:hint="eastAsia" w:ascii="仿宋" w:hAnsi="仿宋" w:eastAsia="仿宋" w:cs="仿宋"/>
                <w:b/>
                <w:bCs/>
                <w:color w:val="FFFFFF"/>
                <w:kern w:val="0"/>
                <w:sz w:val="21"/>
                <w:szCs w:val="21"/>
                <w:lang w:val="en-US" w:eastAsia="zh-CN" w:bidi="ar-SA"/>
              </w:rPr>
            </w:pPr>
            <w:r>
              <w:rPr>
                <w:rFonts w:hint="eastAsia" w:ascii="仿宋" w:hAnsi="仿宋" w:eastAsia="仿宋" w:cs="仿宋"/>
                <w:b/>
                <w:bCs/>
                <w:color w:val="FFFFFF"/>
                <w:kern w:val="0"/>
                <w:sz w:val="21"/>
                <w:szCs w:val="21"/>
                <w:lang w:val="en-US" w:eastAsia="zh-CN" w:bidi="ar-SA"/>
              </w:rPr>
              <w:t>8级</w:t>
            </w:r>
          </w:p>
        </w:tc>
        <w:tc>
          <w:tcPr>
            <w:tcW w:w="589" w:type="pct"/>
            <w:vMerge w:val="continue"/>
            <w:shd w:val="clear" w:color="auto" w:fill="auto"/>
            <w:vAlign w:val="center"/>
          </w:tcPr>
          <w:p w14:paraId="03F587A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p>
        </w:tc>
        <w:tc>
          <w:tcPr>
            <w:tcW w:w="589" w:type="pct"/>
            <w:vMerge w:val="continue"/>
            <w:shd w:val="clear" w:color="auto" w:fill="auto"/>
            <w:vAlign w:val="center"/>
          </w:tcPr>
          <w:p w14:paraId="59B9C576">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p>
        </w:tc>
        <w:tc>
          <w:tcPr>
            <w:tcW w:w="675" w:type="pct"/>
            <w:vMerge w:val="continue"/>
            <w:shd w:val="clear" w:color="auto" w:fill="auto"/>
            <w:vAlign w:val="center"/>
          </w:tcPr>
          <w:p w14:paraId="1E5AB9AB">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p>
        </w:tc>
        <w:tc>
          <w:tcPr>
            <w:tcW w:w="556" w:type="pct"/>
            <w:vMerge w:val="continue"/>
            <w:shd w:val="clear" w:color="auto" w:fill="auto"/>
            <w:vAlign w:val="center"/>
          </w:tcPr>
          <w:p w14:paraId="18905452">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p>
        </w:tc>
        <w:tc>
          <w:tcPr>
            <w:tcW w:w="605" w:type="pct"/>
            <w:vMerge w:val="continue"/>
            <w:shd w:val="clear" w:color="auto" w:fill="auto"/>
            <w:vAlign w:val="center"/>
          </w:tcPr>
          <w:p w14:paraId="2654DF4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p>
        </w:tc>
      </w:tr>
      <w:tr w14:paraId="5F1E8E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986" w:type="pct"/>
            <w:gridSpan w:val="3"/>
            <w:shd w:val="clear" w:color="auto" w:fill="auto"/>
            <w:vAlign w:val="center"/>
          </w:tcPr>
          <w:p w14:paraId="35415C88">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t</w:t>
            </w:r>
          </w:p>
        </w:tc>
        <w:tc>
          <w:tcPr>
            <w:tcW w:w="3014" w:type="pct"/>
            <w:gridSpan w:val="5"/>
            <w:shd w:val="clear" w:color="auto" w:fill="auto"/>
            <w:vAlign w:val="center"/>
          </w:tcPr>
          <w:p w14:paraId="4EA5F10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mm</w:t>
            </w:r>
          </w:p>
        </w:tc>
      </w:tr>
      <w:tr w14:paraId="166FF9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16AAE60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w:t>
            </w:r>
          </w:p>
        </w:tc>
        <w:tc>
          <w:tcPr>
            <w:tcW w:w="662" w:type="pct"/>
            <w:shd w:val="clear" w:color="auto" w:fill="auto"/>
            <w:vAlign w:val="center"/>
          </w:tcPr>
          <w:p w14:paraId="07E7758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w:t>
            </w:r>
          </w:p>
        </w:tc>
        <w:tc>
          <w:tcPr>
            <w:tcW w:w="662" w:type="pct"/>
            <w:shd w:val="clear" w:color="auto" w:fill="auto"/>
            <w:vAlign w:val="center"/>
          </w:tcPr>
          <w:p w14:paraId="28C6A72D">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w:t>
            </w:r>
          </w:p>
        </w:tc>
        <w:tc>
          <w:tcPr>
            <w:tcW w:w="589" w:type="pct"/>
            <w:shd w:val="clear" w:color="auto" w:fill="auto"/>
            <w:vAlign w:val="center"/>
          </w:tcPr>
          <w:p w14:paraId="6561FA8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31.5</w:t>
            </w:r>
          </w:p>
        </w:tc>
        <w:tc>
          <w:tcPr>
            <w:tcW w:w="589" w:type="pct"/>
            <w:shd w:val="clear" w:color="auto" w:fill="auto"/>
            <w:vAlign w:val="center"/>
          </w:tcPr>
          <w:p w14:paraId="78BC6884">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35.5</w:t>
            </w:r>
          </w:p>
        </w:tc>
        <w:tc>
          <w:tcPr>
            <w:tcW w:w="675" w:type="pct"/>
            <w:shd w:val="clear" w:color="auto" w:fill="auto"/>
            <w:vAlign w:val="center"/>
          </w:tcPr>
          <w:p w14:paraId="53B7472D">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78.1</w:t>
            </w:r>
          </w:p>
        </w:tc>
        <w:tc>
          <w:tcPr>
            <w:tcW w:w="556" w:type="pct"/>
            <w:shd w:val="clear" w:color="auto" w:fill="auto"/>
            <w:vAlign w:val="center"/>
          </w:tcPr>
          <w:p w14:paraId="7FA851C5">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71</w:t>
            </w:r>
          </w:p>
        </w:tc>
        <w:tc>
          <w:tcPr>
            <w:tcW w:w="605" w:type="pct"/>
            <w:shd w:val="clear" w:color="auto" w:fill="auto"/>
            <w:vAlign w:val="center"/>
          </w:tcPr>
          <w:p w14:paraId="02CB383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35.5</w:t>
            </w:r>
          </w:p>
        </w:tc>
      </w:tr>
      <w:tr w14:paraId="701922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6338DC0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c>
          <w:tcPr>
            <w:tcW w:w="662" w:type="pct"/>
            <w:shd w:val="clear" w:color="auto" w:fill="auto"/>
            <w:vAlign w:val="center"/>
          </w:tcPr>
          <w:p w14:paraId="2FFF892F">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w:t>
            </w:r>
          </w:p>
        </w:tc>
        <w:tc>
          <w:tcPr>
            <w:tcW w:w="662" w:type="pct"/>
            <w:shd w:val="clear" w:color="auto" w:fill="auto"/>
            <w:vAlign w:val="center"/>
          </w:tcPr>
          <w:p w14:paraId="76F6779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12.5</w:t>
            </w:r>
          </w:p>
        </w:tc>
        <w:tc>
          <w:tcPr>
            <w:tcW w:w="589" w:type="pct"/>
            <w:shd w:val="clear" w:color="auto" w:fill="auto"/>
            <w:vAlign w:val="center"/>
          </w:tcPr>
          <w:p w14:paraId="3E2773E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35.5</w:t>
            </w:r>
          </w:p>
        </w:tc>
        <w:tc>
          <w:tcPr>
            <w:tcW w:w="589" w:type="pct"/>
            <w:shd w:val="clear" w:color="auto" w:fill="auto"/>
            <w:vAlign w:val="center"/>
          </w:tcPr>
          <w:p w14:paraId="50AEFA2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c>
          <w:tcPr>
            <w:tcW w:w="675" w:type="pct"/>
            <w:shd w:val="clear" w:color="auto" w:fill="auto"/>
            <w:vAlign w:val="center"/>
          </w:tcPr>
          <w:p w14:paraId="2E419CC2">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88</w:t>
            </w:r>
          </w:p>
        </w:tc>
        <w:tc>
          <w:tcPr>
            <w:tcW w:w="556" w:type="pct"/>
            <w:shd w:val="clear" w:color="auto" w:fill="auto"/>
            <w:vAlign w:val="center"/>
          </w:tcPr>
          <w:p w14:paraId="3C0AB1A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80</w:t>
            </w:r>
          </w:p>
        </w:tc>
        <w:tc>
          <w:tcPr>
            <w:tcW w:w="605" w:type="pct"/>
            <w:shd w:val="clear" w:color="auto" w:fill="auto"/>
            <w:vAlign w:val="center"/>
          </w:tcPr>
          <w:p w14:paraId="74B1FE4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r>
      <w:tr w14:paraId="472FB4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0C280D85">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w:t>
            </w:r>
          </w:p>
        </w:tc>
        <w:tc>
          <w:tcPr>
            <w:tcW w:w="662" w:type="pct"/>
            <w:shd w:val="clear" w:color="auto" w:fill="auto"/>
            <w:vAlign w:val="center"/>
          </w:tcPr>
          <w:p w14:paraId="19538AD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12.5</w:t>
            </w:r>
          </w:p>
        </w:tc>
        <w:tc>
          <w:tcPr>
            <w:tcW w:w="662" w:type="pct"/>
            <w:shd w:val="clear" w:color="auto" w:fill="auto"/>
            <w:vAlign w:val="center"/>
          </w:tcPr>
          <w:p w14:paraId="0F719E8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16</w:t>
            </w:r>
          </w:p>
        </w:tc>
        <w:tc>
          <w:tcPr>
            <w:tcW w:w="589" w:type="pct"/>
            <w:shd w:val="clear" w:color="auto" w:fill="auto"/>
            <w:vAlign w:val="center"/>
          </w:tcPr>
          <w:p w14:paraId="7042ACEB">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c>
          <w:tcPr>
            <w:tcW w:w="589" w:type="pct"/>
            <w:shd w:val="clear" w:color="auto" w:fill="auto"/>
            <w:vAlign w:val="center"/>
          </w:tcPr>
          <w:p w14:paraId="4BBAB16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45</w:t>
            </w:r>
          </w:p>
        </w:tc>
        <w:tc>
          <w:tcPr>
            <w:tcW w:w="675" w:type="pct"/>
            <w:shd w:val="clear" w:color="auto" w:fill="auto"/>
            <w:vAlign w:val="center"/>
          </w:tcPr>
          <w:p w14:paraId="3027480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99</w:t>
            </w:r>
          </w:p>
        </w:tc>
        <w:tc>
          <w:tcPr>
            <w:tcW w:w="556" w:type="pct"/>
            <w:shd w:val="clear" w:color="auto" w:fill="auto"/>
            <w:vAlign w:val="center"/>
          </w:tcPr>
          <w:p w14:paraId="23E2571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90</w:t>
            </w:r>
          </w:p>
        </w:tc>
        <w:tc>
          <w:tcPr>
            <w:tcW w:w="605" w:type="pct"/>
            <w:shd w:val="clear" w:color="auto" w:fill="auto"/>
            <w:vAlign w:val="center"/>
          </w:tcPr>
          <w:p w14:paraId="44F9EA4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45</w:t>
            </w:r>
          </w:p>
        </w:tc>
      </w:tr>
      <w:tr w14:paraId="249D90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31874354">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w:t>
            </w:r>
          </w:p>
        </w:tc>
        <w:tc>
          <w:tcPr>
            <w:tcW w:w="662" w:type="pct"/>
            <w:shd w:val="clear" w:color="auto" w:fill="auto"/>
            <w:vAlign w:val="center"/>
          </w:tcPr>
          <w:p w14:paraId="4308623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16</w:t>
            </w:r>
          </w:p>
        </w:tc>
        <w:tc>
          <w:tcPr>
            <w:tcW w:w="662" w:type="pct"/>
            <w:shd w:val="clear" w:color="auto" w:fill="auto"/>
            <w:vAlign w:val="center"/>
          </w:tcPr>
          <w:p w14:paraId="03242EB6">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20</w:t>
            </w:r>
          </w:p>
        </w:tc>
        <w:tc>
          <w:tcPr>
            <w:tcW w:w="589" w:type="pct"/>
            <w:shd w:val="clear" w:color="auto" w:fill="auto"/>
            <w:vAlign w:val="center"/>
          </w:tcPr>
          <w:p w14:paraId="49F4EF8B">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45</w:t>
            </w:r>
          </w:p>
        </w:tc>
        <w:tc>
          <w:tcPr>
            <w:tcW w:w="589" w:type="pct"/>
            <w:shd w:val="clear" w:color="auto" w:fill="auto"/>
            <w:vAlign w:val="center"/>
          </w:tcPr>
          <w:p w14:paraId="34EF92C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50</w:t>
            </w:r>
          </w:p>
        </w:tc>
        <w:tc>
          <w:tcPr>
            <w:tcW w:w="675" w:type="pct"/>
            <w:shd w:val="clear" w:color="auto" w:fill="auto"/>
            <w:vAlign w:val="center"/>
          </w:tcPr>
          <w:p w14:paraId="2293893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110</w:t>
            </w:r>
          </w:p>
        </w:tc>
        <w:tc>
          <w:tcPr>
            <w:tcW w:w="556" w:type="pct"/>
            <w:shd w:val="clear" w:color="auto" w:fill="auto"/>
            <w:vAlign w:val="center"/>
          </w:tcPr>
          <w:p w14:paraId="100CD9D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100</w:t>
            </w:r>
          </w:p>
        </w:tc>
        <w:tc>
          <w:tcPr>
            <w:tcW w:w="605" w:type="pct"/>
            <w:shd w:val="clear" w:color="auto" w:fill="auto"/>
            <w:vAlign w:val="center"/>
          </w:tcPr>
          <w:p w14:paraId="39C1F56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50</w:t>
            </w:r>
          </w:p>
        </w:tc>
      </w:tr>
      <w:tr w14:paraId="03FED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448C8CB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12.5</w:t>
            </w:r>
          </w:p>
        </w:tc>
        <w:tc>
          <w:tcPr>
            <w:tcW w:w="662" w:type="pct"/>
            <w:shd w:val="clear" w:color="auto" w:fill="auto"/>
            <w:vAlign w:val="center"/>
          </w:tcPr>
          <w:p w14:paraId="2AC2DD8F">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20</w:t>
            </w:r>
          </w:p>
        </w:tc>
        <w:tc>
          <w:tcPr>
            <w:tcW w:w="662" w:type="pct"/>
            <w:shd w:val="clear" w:color="auto" w:fill="auto"/>
            <w:vAlign w:val="center"/>
          </w:tcPr>
          <w:p w14:paraId="24729BB4">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25</w:t>
            </w:r>
          </w:p>
        </w:tc>
        <w:tc>
          <w:tcPr>
            <w:tcW w:w="589" w:type="pct"/>
            <w:shd w:val="clear" w:color="auto" w:fill="auto"/>
            <w:vAlign w:val="center"/>
          </w:tcPr>
          <w:p w14:paraId="57A932B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50</w:t>
            </w:r>
          </w:p>
        </w:tc>
        <w:tc>
          <w:tcPr>
            <w:tcW w:w="589" w:type="pct"/>
            <w:shd w:val="clear" w:color="auto" w:fill="auto"/>
            <w:vAlign w:val="center"/>
          </w:tcPr>
          <w:p w14:paraId="12BD091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56</w:t>
            </w:r>
          </w:p>
        </w:tc>
        <w:tc>
          <w:tcPr>
            <w:tcW w:w="675" w:type="pct"/>
            <w:shd w:val="clear" w:color="auto" w:fill="auto"/>
            <w:vAlign w:val="center"/>
          </w:tcPr>
          <w:p w14:paraId="7FAC955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123.2</w:t>
            </w:r>
          </w:p>
        </w:tc>
        <w:tc>
          <w:tcPr>
            <w:tcW w:w="556" w:type="pct"/>
            <w:shd w:val="clear" w:color="auto" w:fill="auto"/>
            <w:vAlign w:val="center"/>
          </w:tcPr>
          <w:p w14:paraId="45F41F61">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112</w:t>
            </w:r>
          </w:p>
        </w:tc>
        <w:tc>
          <w:tcPr>
            <w:tcW w:w="605" w:type="pct"/>
            <w:shd w:val="clear" w:color="auto" w:fill="auto"/>
            <w:vAlign w:val="center"/>
          </w:tcPr>
          <w:p w14:paraId="2910878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56</w:t>
            </w:r>
          </w:p>
        </w:tc>
      </w:tr>
      <w:tr w14:paraId="69453C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03ACF34D">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16</w:t>
            </w:r>
          </w:p>
        </w:tc>
        <w:tc>
          <w:tcPr>
            <w:tcW w:w="662" w:type="pct"/>
            <w:shd w:val="clear" w:color="auto" w:fill="auto"/>
            <w:vAlign w:val="center"/>
          </w:tcPr>
          <w:p w14:paraId="43DAC42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25</w:t>
            </w:r>
          </w:p>
        </w:tc>
        <w:tc>
          <w:tcPr>
            <w:tcW w:w="662" w:type="pct"/>
            <w:shd w:val="clear" w:color="auto" w:fill="auto"/>
            <w:vAlign w:val="center"/>
          </w:tcPr>
          <w:p w14:paraId="0F88801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32</w:t>
            </w:r>
          </w:p>
        </w:tc>
        <w:tc>
          <w:tcPr>
            <w:tcW w:w="589" w:type="pct"/>
            <w:shd w:val="clear" w:color="auto" w:fill="auto"/>
            <w:vAlign w:val="center"/>
          </w:tcPr>
          <w:p w14:paraId="0C32F12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56</w:t>
            </w:r>
          </w:p>
        </w:tc>
        <w:tc>
          <w:tcPr>
            <w:tcW w:w="589" w:type="pct"/>
            <w:shd w:val="clear" w:color="auto" w:fill="auto"/>
            <w:vAlign w:val="center"/>
          </w:tcPr>
          <w:p w14:paraId="772E845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c>
          <w:tcPr>
            <w:tcW w:w="675" w:type="pct"/>
            <w:shd w:val="clear" w:color="auto" w:fill="auto"/>
            <w:vAlign w:val="center"/>
          </w:tcPr>
          <w:p w14:paraId="49976A9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138.6</w:t>
            </w:r>
          </w:p>
        </w:tc>
        <w:tc>
          <w:tcPr>
            <w:tcW w:w="556" w:type="pct"/>
            <w:shd w:val="clear" w:color="auto" w:fill="auto"/>
            <w:vAlign w:val="center"/>
          </w:tcPr>
          <w:p w14:paraId="2A43632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125</w:t>
            </w:r>
          </w:p>
        </w:tc>
        <w:tc>
          <w:tcPr>
            <w:tcW w:w="605" w:type="pct"/>
            <w:shd w:val="clear" w:color="auto" w:fill="auto"/>
            <w:vAlign w:val="center"/>
          </w:tcPr>
          <w:p w14:paraId="4C26B7DB">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r>
      <w:tr w14:paraId="535BE4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07181D4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20</w:t>
            </w:r>
          </w:p>
        </w:tc>
        <w:tc>
          <w:tcPr>
            <w:tcW w:w="662" w:type="pct"/>
            <w:shd w:val="clear" w:color="auto" w:fill="auto"/>
            <w:vAlign w:val="center"/>
          </w:tcPr>
          <w:p w14:paraId="00168E1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32</w:t>
            </w:r>
          </w:p>
        </w:tc>
        <w:tc>
          <w:tcPr>
            <w:tcW w:w="662" w:type="pct"/>
            <w:shd w:val="clear" w:color="auto" w:fill="auto"/>
            <w:vAlign w:val="center"/>
          </w:tcPr>
          <w:p w14:paraId="054DB8F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c>
          <w:tcPr>
            <w:tcW w:w="589" w:type="pct"/>
            <w:shd w:val="clear" w:color="auto" w:fill="auto"/>
            <w:vAlign w:val="center"/>
          </w:tcPr>
          <w:p w14:paraId="7BC70D38">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c>
          <w:tcPr>
            <w:tcW w:w="589" w:type="pct"/>
            <w:shd w:val="clear" w:color="auto" w:fill="auto"/>
            <w:vAlign w:val="center"/>
          </w:tcPr>
          <w:p w14:paraId="730CDBBF">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71</w:t>
            </w:r>
          </w:p>
        </w:tc>
        <w:tc>
          <w:tcPr>
            <w:tcW w:w="675" w:type="pct"/>
            <w:shd w:val="clear" w:color="auto" w:fill="auto"/>
            <w:vAlign w:val="center"/>
          </w:tcPr>
          <w:p w14:paraId="373C8B25">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156.2</w:t>
            </w:r>
          </w:p>
        </w:tc>
        <w:tc>
          <w:tcPr>
            <w:tcW w:w="556" w:type="pct"/>
            <w:shd w:val="clear" w:color="auto" w:fill="auto"/>
            <w:vAlign w:val="center"/>
          </w:tcPr>
          <w:p w14:paraId="1F75485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140</w:t>
            </w:r>
          </w:p>
        </w:tc>
        <w:tc>
          <w:tcPr>
            <w:tcW w:w="605" w:type="pct"/>
            <w:shd w:val="clear" w:color="auto" w:fill="auto"/>
            <w:vAlign w:val="center"/>
          </w:tcPr>
          <w:p w14:paraId="3223A06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71</w:t>
            </w:r>
          </w:p>
        </w:tc>
      </w:tr>
      <w:tr w14:paraId="0C0554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24617815">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25</w:t>
            </w:r>
          </w:p>
        </w:tc>
        <w:tc>
          <w:tcPr>
            <w:tcW w:w="662" w:type="pct"/>
            <w:shd w:val="clear" w:color="auto" w:fill="auto"/>
            <w:vAlign w:val="center"/>
          </w:tcPr>
          <w:p w14:paraId="27401184">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c>
          <w:tcPr>
            <w:tcW w:w="662" w:type="pct"/>
            <w:shd w:val="clear" w:color="auto" w:fill="auto"/>
            <w:vAlign w:val="center"/>
          </w:tcPr>
          <w:p w14:paraId="0A950E11">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50</w:t>
            </w:r>
          </w:p>
        </w:tc>
        <w:tc>
          <w:tcPr>
            <w:tcW w:w="589" w:type="pct"/>
            <w:shd w:val="clear" w:color="auto" w:fill="auto"/>
            <w:vAlign w:val="center"/>
          </w:tcPr>
          <w:p w14:paraId="3A6CDD7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71</w:t>
            </w:r>
          </w:p>
        </w:tc>
        <w:tc>
          <w:tcPr>
            <w:tcW w:w="589" w:type="pct"/>
            <w:shd w:val="clear" w:color="auto" w:fill="auto"/>
            <w:vAlign w:val="center"/>
          </w:tcPr>
          <w:p w14:paraId="52988414">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80</w:t>
            </w:r>
          </w:p>
        </w:tc>
        <w:tc>
          <w:tcPr>
            <w:tcW w:w="675" w:type="pct"/>
            <w:shd w:val="clear" w:color="auto" w:fill="auto"/>
            <w:vAlign w:val="center"/>
          </w:tcPr>
          <w:p w14:paraId="46217447">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178</w:t>
            </w:r>
          </w:p>
        </w:tc>
        <w:tc>
          <w:tcPr>
            <w:tcW w:w="556" w:type="pct"/>
            <w:shd w:val="clear" w:color="auto" w:fill="auto"/>
            <w:vAlign w:val="center"/>
          </w:tcPr>
          <w:p w14:paraId="015C7E19">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160</w:t>
            </w:r>
          </w:p>
        </w:tc>
        <w:tc>
          <w:tcPr>
            <w:tcW w:w="605" w:type="pct"/>
            <w:shd w:val="clear" w:color="auto" w:fill="auto"/>
            <w:vAlign w:val="center"/>
          </w:tcPr>
          <w:p w14:paraId="7BE7316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80</w:t>
            </w:r>
          </w:p>
        </w:tc>
      </w:tr>
      <w:tr w14:paraId="384756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65ECC49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32</w:t>
            </w:r>
          </w:p>
        </w:tc>
        <w:tc>
          <w:tcPr>
            <w:tcW w:w="662" w:type="pct"/>
            <w:shd w:val="clear" w:color="auto" w:fill="auto"/>
            <w:vAlign w:val="center"/>
          </w:tcPr>
          <w:p w14:paraId="6F881EA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50</w:t>
            </w:r>
          </w:p>
        </w:tc>
        <w:tc>
          <w:tcPr>
            <w:tcW w:w="662" w:type="pct"/>
            <w:shd w:val="clear" w:color="auto" w:fill="auto"/>
            <w:vAlign w:val="center"/>
          </w:tcPr>
          <w:p w14:paraId="6AE1AED8">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c>
          <w:tcPr>
            <w:tcW w:w="589" w:type="pct"/>
            <w:shd w:val="clear" w:color="auto" w:fill="auto"/>
            <w:vAlign w:val="center"/>
          </w:tcPr>
          <w:p w14:paraId="3165601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80</w:t>
            </w:r>
          </w:p>
        </w:tc>
        <w:tc>
          <w:tcPr>
            <w:tcW w:w="589" w:type="pct"/>
            <w:shd w:val="clear" w:color="auto" w:fill="auto"/>
            <w:vAlign w:val="center"/>
          </w:tcPr>
          <w:p w14:paraId="122FA1F1">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90</w:t>
            </w:r>
          </w:p>
        </w:tc>
        <w:tc>
          <w:tcPr>
            <w:tcW w:w="675" w:type="pct"/>
            <w:shd w:val="clear" w:color="auto" w:fill="auto"/>
            <w:vAlign w:val="center"/>
          </w:tcPr>
          <w:p w14:paraId="21B605E6">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198</w:t>
            </w:r>
          </w:p>
        </w:tc>
        <w:tc>
          <w:tcPr>
            <w:tcW w:w="556" w:type="pct"/>
            <w:shd w:val="clear" w:color="auto" w:fill="auto"/>
            <w:vAlign w:val="center"/>
          </w:tcPr>
          <w:p w14:paraId="4870B0AE">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180</w:t>
            </w:r>
          </w:p>
        </w:tc>
        <w:tc>
          <w:tcPr>
            <w:tcW w:w="605" w:type="pct"/>
            <w:shd w:val="clear" w:color="auto" w:fill="auto"/>
            <w:vAlign w:val="center"/>
          </w:tcPr>
          <w:p w14:paraId="69763C33">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90</w:t>
            </w:r>
          </w:p>
        </w:tc>
      </w:tr>
      <w:tr w14:paraId="047A4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662" w:type="pct"/>
            <w:shd w:val="clear" w:color="auto" w:fill="auto"/>
            <w:vAlign w:val="center"/>
          </w:tcPr>
          <w:p w14:paraId="7325008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40</w:t>
            </w:r>
          </w:p>
        </w:tc>
        <w:tc>
          <w:tcPr>
            <w:tcW w:w="662" w:type="pct"/>
            <w:shd w:val="clear" w:color="auto" w:fill="auto"/>
            <w:vAlign w:val="center"/>
          </w:tcPr>
          <w:p w14:paraId="34003AF0">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63</w:t>
            </w:r>
          </w:p>
        </w:tc>
        <w:tc>
          <w:tcPr>
            <w:tcW w:w="662" w:type="pct"/>
            <w:shd w:val="clear" w:color="auto" w:fill="auto"/>
            <w:vAlign w:val="center"/>
          </w:tcPr>
          <w:p w14:paraId="3BF7DE8A">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80</w:t>
            </w:r>
          </w:p>
        </w:tc>
        <w:tc>
          <w:tcPr>
            <w:tcW w:w="589" w:type="pct"/>
            <w:shd w:val="clear" w:color="auto" w:fill="auto"/>
            <w:vAlign w:val="center"/>
          </w:tcPr>
          <w:p w14:paraId="3E08E83C">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90</w:t>
            </w:r>
          </w:p>
        </w:tc>
        <w:tc>
          <w:tcPr>
            <w:tcW w:w="589" w:type="pct"/>
            <w:shd w:val="clear" w:color="auto" w:fill="auto"/>
            <w:vAlign w:val="center"/>
          </w:tcPr>
          <w:p w14:paraId="7C575B7F">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100</w:t>
            </w:r>
          </w:p>
        </w:tc>
        <w:tc>
          <w:tcPr>
            <w:tcW w:w="675" w:type="pct"/>
            <w:shd w:val="clear" w:color="auto" w:fill="auto"/>
            <w:vAlign w:val="center"/>
          </w:tcPr>
          <w:p w14:paraId="6D67FC1F">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220</w:t>
            </w:r>
          </w:p>
        </w:tc>
        <w:tc>
          <w:tcPr>
            <w:tcW w:w="556" w:type="pct"/>
            <w:shd w:val="clear" w:color="auto" w:fill="auto"/>
            <w:vAlign w:val="center"/>
          </w:tcPr>
          <w:p w14:paraId="0CE7FD96">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200</w:t>
            </w:r>
          </w:p>
        </w:tc>
        <w:tc>
          <w:tcPr>
            <w:tcW w:w="605" w:type="pct"/>
            <w:shd w:val="clear" w:color="auto" w:fill="auto"/>
            <w:vAlign w:val="center"/>
          </w:tcPr>
          <w:p w14:paraId="4B67B221">
            <w:pPr>
              <w:widowControl w:val="0"/>
              <w:spacing w:line="240" w:lineRule="auto"/>
              <w:ind w:firstLine="0" w:firstLineChars="0"/>
              <w:jc w:val="center"/>
              <w:rPr>
                <w:rFonts w:hint="eastAsia" w:ascii="仿宋" w:hAnsi="仿宋" w:eastAsia="仿宋" w:cs="仿宋"/>
                <w:color w:val="000000"/>
                <w:kern w:val="0"/>
                <w:sz w:val="21"/>
                <w:szCs w:val="21"/>
                <w:lang w:val="en-US" w:eastAsia="zh-CN" w:bidi="ar-SA"/>
              </w:rPr>
            </w:pPr>
            <w:r>
              <w:rPr>
                <w:rFonts w:hint="eastAsia" w:ascii="仿宋" w:hAnsi="仿宋" w:eastAsia="仿宋" w:cs="仿宋"/>
                <w:color w:val="000000"/>
                <w:kern w:val="0"/>
                <w:sz w:val="21"/>
                <w:szCs w:val="21"/>
                <w:lang w:val="en-US" w:eastAsia="zh-CN" w:bidi="ar-SA"/>
              </w:rPr>
              <w:t>100</w:t>
            </w:r>
          </w:p>
        </w:tc>
      </w:tr>
    </w:tbl>
    <w:p w14:paraId="1DF7CA2E">
      <w:pPr>
        <w:rPr>
          <w:rFonts w:hint="eastAsia"/>
          <w:color w:val="auto"/>
        </w:rPr>
      </w:pPr>
      <w:r>
        <w:rPr>
          <w:rFonts w:hint="eastAsia"/>
          <w:color w:val="auto"/>
        </w:rPr>
        <w:t>四点吊的塔吊主要部件</w:t>
      </w:r>
      <w:r>
        <w:rPr>
          <w:rFonts w:hint="eastAsia"/>
          <w:color w:val="auto"/>
          <w:lang w:val="en-US" w:eastAsia="zh-CN"/>
        </w:rPr>
        <w:t>T7020-12的回转总成，回转总成</w:t>
      </w:r>
      <w:r>
        <w:rPr>
          <w:rFonts w:hint="eastAsia"/>
          <w:color w:val="auto"/>
        </w:rPr>
        <w:t>最大重量约</w:t>
      </w:r>
      <w:r>
        <w:rPr>
          <w:rFonts w:hint="eastAsia"/>
          <w:color w:val="auto"/>
          <w:lang w:val="en-US" w:eastAsia="zh-CN"/>
        </w:rPr>
        <w:t>7</w:t>
      </w:r>
      <w:r>
        <w:rPr>
          <w:rFonts w:hint="eastAsia"/>
          <w:color w:val="auto"/>
        </w:rPr>
        <w:t>t，钢丝绳连接卸扣工作荷载：</w:t>
      </w:r>
    </w:p>
    <w:p w14:paraId="55EBD9C8">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仿宋" w:hAnsi="仿宋" w:eastAsia="仿宋" w:cs="仿宋"/>
        </w:rPr>
      </w:pPr>
      <m:oMath>
        <m:r>
          <m:rPr>
            <m:nor/>
            <m:sty m:val="p"/>
          </m:rPr>
          <w:rPr>
            <w:rFonts w:hint="eastAsia" w:ascii="Cambria Math" w:hAnsi="Cambria Math" w:eastAsia="仿宋" w:cs="仿宋"/>
            <w:b w:val="0"/>
            <w:i w:val="0"/>
          </w:rPr>
          <m:t>WL</m:t>
        </m:r>
        <m:sSub>
          <m:sSubPr>
            <m:ctrlPr>
              <w:rPr>
                <w:rFonts w:hint="eastAsia" w:ascii="Cambria Math" w:hAnsi="Cambria Math" w:eastAsia="仿宋" w:cs="仿宋"/>
                <w:i/>
              </w:rPr>
            </m:ctrlPr>
          </m:sSubPr>
          <m:e>
            <m:r>
              <m:rPr>
                <m:nor/>
                <m:sty m:val="p"/>
              </m:rPr>
              <w:rPr>
                <w:rFonts w:hint="eastAsia" w:ascii="Cambria Math" w:hAnsi="Cambria Math" w:eastAsia="仿宋" w:cs="仿宋"/>
                <w:b w:val="0"/>
                <w:i w:val="0"/>
              </w:rPr>
              <m:t>L</m:t>
            </m:r>
            <m:ctrlPr>
              <w:rPr>
                <w:rFonts w:hint="eastAsia" w:ascii="Cambria Math" w:hAnsi="Cambria Math" w:eastAsia="仿宋" w:cs="仿宋"/>
                <w:i/>
              </w:rPr>
            </m:ctrlPr>
          </m:e>
          <m:sub>
            <m:r>
              <m:rPr>
                <m:nor/>
                <m:sty m:val="p"/>
              </m:rPr>
              <w:rPr>
                <w:rFonts w:hint="eastAsia" w:ascii="Cambria Math" w:hAnsi="Cambria Math" w:eastAsia="仿宋" w:cs="仿宋"/>
                <w:b w:val="0"/>
                <w:i w:val="0"/>
              </w:rPr>
              <m:t>0</m:t>
            </m:r>
            <m:ctrlPr>
              <w:rPr>
                <w:rFonts w:hint="eastAsia" w:ascii="Cambria Math" w:hAnsi="Cambria Math" w:eastAsia="仿宋" w:cs="仿宋"/>
                <w:i/>
              </w:rPr>
            </m:ctrlPr>
          </m:sub>
        </m:sSub>
        <m:r>
          <m:rPr>
            <m:nor/>
            <m:sty m:val="p"/>
          </m:rPr>
          <w:rPr>
            <w:rFonts w:hint="eastAsia" w:ascii="Cambria Math" w:hAnsi="Cambria Math" w:eastAsia="仿宋" w:cs="仿宋"/>
            <w:b w:val="0"/>
            <w:i w:val="0"/>
          </w:rPr>
          <m:t>=</m:t>
        </m:r>
        <m:f>
          <m:fPr>
            <m:ctrlPr>
              <w:rPr>
                <w:rFonts w:hint="eastAsia" w:ascii="Cambria Math" w:hAnsi="Cambria Math" w:eastAsia="仿宋" w:cs="仿宋"/>
                <w:i/>
              </w:rPr>
            </m:ctrlPr>
          </m:fPr>
          <m:num>
            <m:r>
              <m:rPr/>
              <w:rPr>
                <w:rFonts w:hint="default" w:ascii="Cambria Math" w:hAnsi="Cambria Math" w:cs="仿宋"/>
                <w:lang w:val="en-US" w:eastAsia="zh-CN"/>
              </w:rPr>
              <m:t>217.93</m:t>
            </m:r>
            <m:ctrlPr>
              <w:rPr>
                <w:rFonts w:hint="eastAsia" w:ascii="Cambria Math" w:hAnsi="Cambria Math" w:eastAsia="仿宋" w:cs="仿宋"/>
                <w:i/>
              </w:rPr>
            </m:ctrlPr>
          </m:num>
          <m:den>
            <m:r>
              <m:rPr>
                <m:nor/>
                <m:sty m:val="p"/>
              </m:rPr>
              <w:rPr>
                <w:rFonts w:hint="eastAsia" w:ascii="Cambria Math" w:hAnsi="Cambria Math" w:eastAsia="仿宋" w:cs="仿宋"/>
                <w:b w:val="0"/>
                <w:i w:val="0"/>
              </w:rPr>
              <m:t>6</m:t>
            </m:r>
            <m:ctrlPr>
              <w:rPr>
                <w:rFonts w:hint="eastAsia" w:ascii="Cambria Math" w:hAnsi="Cambria Math" w:eastAsia="仿宋" w:cs="仿宋"/>
                <w:i/>
              </w:rPr>
            </m:ctrlPr>
          </m:den>
        </m:f>
        <m:r>
          <m:rPr>
            <m:nor/>
            <m:sty m:val="p"/>
          </m:rPr>
          <w:rPr>
            <w:rFonts w:hint="eastAsia" w:ascii="Cambria Math" w:hAnsi="Cambria Math" w:eastAsia="仿宋" w:cs="仿宋"/>
            <w:b w:val="0"/>
            <w:i w:val="0"/>
          </w:rPr>
          <m:t>=</m:t>
        </m:r>
        <m:r>
          <m:rPr>
            <m:nor/>
            <m:sty m:val="p"/>
          </m:rPr>
          <w:rPr>
            <w:rFonts w:hint="default" w:ascii="Cambria Math" w:hAnsi="Cambria Math" w:cs="仿宋"/>
            <w:b w:val="0"/>
            <w:i w:val="0"/>
            <w:lang w:val="en-US" w:eastAsia="zh-CN"/>
          </w:rPr>
          <m:t>36.33</m:t>
        </m:r>
        <m:r>
          <m:rPr>
            <m:nor/>
            <m:sty m:val="p"/>
          </m:rPr>
          <w:rPr>
            <w:rFonts w:hint="eastAsia" w:ascii="Cambria Math" w:hAnsi="Cambria Math" w:eastAsia="仿宋" w:cs="仿宋"/>
            <w:b w:val="0"/>
            <w:i w:val="0"/>
          </w:rPr>
          <m:t>kN</m:t>
        </m:r>
      </m:oMath>
      <w:r>
        <w:rPr>
          <w:rFonts w:hint="eastAsia" w:ascii="仿宋" w:hAnsi="仿宋" w:eastAsia="仿宋" w:cs="仿宋"/>
        </w:rPr>
        <w:t>，选用卸扣</w:t>
      </w:r>
      <w:r>
        <w:rPr>
          <w:rFonts w:hint="eastAsia" w:ascii="Cambria Math" w:hAnsi="Cambria Math" w:eastAsia="仿宋" w:cs="仿宋"/>
          <w:b w:val="0"/>
          <w:i w:val="0"/>
        </w:rPr>
        <w:t>GB/T25854-6-DW</w:t>
      </w:r>
      <w:r>
        <w:rPr>
          <w:rFonts w:hint="eastAsia" w:ascii="Cambria Math" w:hAnsi="Cambria Math" w:eastAsia="仿宋" w:cs="仿宋"/>
          <w:b w:val="0"/>
          <w:i w:val="0"/>
          <w:lang w:val="en-US" w:eastAsia="zh-CN"/>
        </w:rPr>
        <w:t>5</w:t>
      </w:r>
      <w:r>
        <w:rPr>
          <w:rFonts w:hint="eastAsia" w:ascii="仿宋" w:hAnsi="仿宋" w:eastAsia="仿宋" w:cs="仿宋"/>
        </w:rPr>
        <w:t>。</w:t>
      </w:r>
    </w:p>
    <w:p w14:paraId="6FF52FF3">
      <w:pPr>
        <w:ind w:firstLine="480"/>
        <w:rPr>
          <w:rFonts w:hint="eastAsia" w:ascii="仿宋" w:hAnsi="仿宋" w:eastAsia="仿宋" w:cs="仿宋"/>
        </w:rPr>
      </w:pPr>
      <w:r>
        <w:rPr>
          <w:rFonts w:hint="eastAsia"/>
          <w:color w:val="auto"/>
          <w:lang w:val="en-US" w:eastAsia="zh-CN"/>
        </w:rPr>
        <w:t>两</w:t>
      </w:r>
      <w:r>
        <w:rPr>
          <w:rFonts w:hint="eastAsia"/>
          <w:color w:val="auto"/>
        </w:rPr>
        <w:t>点吊的塔吊主要部件</w:t>
      </w:r>
      <w:r>
        <w:rPr>
          <w:rFonts w:hint="eastAsia"/>
          <w:color w:val="auto"/>
          <w:lang w:val="en-US" w:eastAsia="zh-CN"/>
        </w:rPr>
        <w:t>为XGT6015A-8S的起重臂</w:t>
      </w:r>
      <w:r>
        <w:rPr>
          <w:rFonts w:hint="eastAsia"/>
          <w:color w:val="auto"/>
          <w:lang w:eastAsia="zh-CN"/>
        </w:rPr>
        <w:t>，</w:t>
      </w:r>
      <w:r>
        <w:rPr>
          <w:rFonts w:hint="eastAsia"/>
          <w:color w:val="auto"/>
          <w:lang w:val="en-US" w:eastAsia="zh-CN"/>
        </w:rPr>
        <w:t>平衡重</w:t>
      </w:r>
      <w:r>
        <w:rPr>
          <w:rFonts w:hint="eastAsia"/>
          <w:color w:val="auto"/>
        </w:rPr>
        <w:t>最大重量约</w:t>
      </w:r>
      <w:r>
        <w:rPr>
          <w:rFonts w:hint="eastAsia"/>
          <w:color w:val="auto"/>
          <w:lang w:val="en-US" w:eastAsia="zh-CN"/>
        </w:rPr>
        <w:t>5.391</w:t>
      </w:r>
      <w:r>
        <w:rPr>
          <w:rFonts w:hint="eastAsia"/>
          <w:color w:val="auto"/>
        </w:rPr>
        <w:t>t，钢丝绳连接卸扣工作荷载</w:t>
      </w:r>
      <w:r>
        <w:rPr>
          <w:rFonts w:hint="eastAsia" w:ascii="仿宋" w:hAnsi="仿宋" w:eastAsia="仿宋" w:cs="仿宋"/>
        </w:rPr>
        <w:t>：</w:t>
      </w:r>
    </w:p>
    <w:p w14:paraId="50BE94E2">
      <w:pPr>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Cambria Math" w:hAnsi="Cambria Math" w:eastAsia="仿宋" w:cs="仿宋"/>
          <w:b w:val="0"/>
          <w:i w:val="0"/>
        </w:rPr>
      </w:pPr>
      <m:oMath>
        <m:r>
          <m:rPr>
            <m:nor/>
            <m:sty m:val="p"/>
          </m:rPr>
          <w:rPr>
            <w:rFonts w:hint="eastAsia" w:ascii="Cambria Math" w:hAnsi="Cambria Math" w:eastAsia="仿宋" w:cs="仿宋"/>
            <w:b w:val="0"/>
            <w:i w:val="0"/>
          </w:rPr>
          <m:t>WL</m:t>
        </m:r>
        <m:sSub>
          <m:sSubPr>
            <m:ctrlPr>
              <w:rPr>
                <w:rFonts w:hint="eastAsia" w:ascii="Cambria Math" w:hAnsi="Cambria Math" w:eastAsia="仿宋" w:cs="仿宋"/>
                <w:b w:val="0"/>
                <w:i w:val="0"/>
              </w:rPr>
            </m:ctrlPr>
          </m:sSubPr>
          <m:e>
            <m:r>
              <m:rPr>
                <m:nor/>
                <m:sty m:val="p"/>
              </m:rPr>
              <w:rPr>
                <w:rFonts w:hint="eastAsia" w:ascii="Cambria Math" w:hAnsi="Cambria Math" w:eastAsia="仿宋" w:cs="仿宋"/>
                <w:b w:val="0"/>
                <w:i w:val="0"/>
              </w:rPr>
              <m:t>L</m:t>
            </m:r>
            <m:ctrlPr>
              <w:rPr>
                <w:rFonts w:hint="eastAsia" w:ascii="Cambria Math" w:hAnsi="Cambria Math" w:eastAsia="仿宋" w:cs="仿宋"/>
                <w:b w:val="0"/>
                <w:i w:val="0"/>
              </w:rPr>
            </m:ctrlPr>
          </m:e>
          <m:sub>
            <m:r>
              <m:rPr>
                <m:nor/>
                <m:sty m:val="p"/>
              </m:rPr>
              <w:rPr>
                <w:rFonts w:hint="eastAsia" w:ascii="Cambria Math" w:hAnsi="Cambria Math" w:eastAsia="仿宋" w:cs="仿宋"/>
                <w:b w:val="0"/>
                <w:i w:val="0"/>
              </w:rPr>
              <m:t>0</m:t>
            </m:r>
            <m:ctrlPr>
              <w:rPr>
                <w:rFonts w:hint="eastAsia" w:ascii="Cambria Math" w:hAnsi="Cambria Math" w:eastAsia="仿宋" w:cs="仿宋"/>
                <w:b w:val="0"/>
                <w:i w:val="0"/>
              </w:rPr>
            </m:ctrlPr>
          </m:sub>
        </m:sSub>
        <m:r>
          <m:rPr>
            <m:nor/>
            <m:sty m:val="p"/>
          </m:rPr>
          <w:rPr>
            <w:rFonts w:hint="eastAsia" w:ascii="Cambria Math" w:hAnsi="Cambria Math" w:eastAsia="仿宋" w:cs="仿宋"/>
            <w:b w:val="0"/>
            <w:i w:val="0"/>
          </w:rPr>
          <m:t>=</m:t>
        </m:r>
        <m:f>
          <m:fPr>
            <m:ctrlPr>
              <w:rPr>
                <w:rFonts w:hint="eastAsia" w:ascii="Cambria Math" w:hAnsi="Cambria Math" w:eastAsia="仿宋" w:cs="仿宋"/>
                <w:b w:val="0"/>
                <w:i w:val="0"/>
              </w:rPr>
            </m:ctrlPr>
          </m:fPr>
          <m:num>
            <m:r>
              <m:rPr>
                <m:sty m:val="p"/>
              </m:rPr>
              <w:rPr>
                <w:rFonts w:hint="eastAsia" w:ascii="Cambria Math" w:hAnsi="Cambria Math" w:eastAsia="仿宋" w:cs="仿宋"/>
                <w:lang w:val="en-US" w:eastAsia="zh-CN"/>
              </w:rPr>
              <m:t>251.76</m:t>
            </m:r>
            <m:ctrlPr>
              <w:rPr>
                <w:rFonts w:hint="eastAsia" w:ascii="Cambria Math" w:hAnsi="Cambria Math" w:eastAsia="仿宋" w:cs="仿宋"/>
                <w:b w:val="0"/>
                <w:i w:val="0"/>
              </w:rPr>
            </m:ctrlPr>
          </m:num>
          <m:den>
            <m:r>
              <m:rPr>
                <m:nor/>
                <m:sty m:val="p"/>
              </m:rPr>
              <w:rPr>
                <w:rFonts w:hint="eastAsia" w:ascii="Cambria Math" w:hAnsi="Cambria Math" w:eastAsia="仿宋" w:cs="仿宋"/>
                <w:b w:val="0"/>
                <w:i w:val="0"/>
              </w:rPr>
              <m:t>6</m:t>
            </m:r>
            <m:ctrlPr>
              <w:rPr>
                <w:rFonts w:hint="eastAsia" w:ascii="Cambria Math" w:hAnsi="Cambria Math" w:eastAsia="仿宋" w:cs="仿宋"/>
                <w:b w:val="0"/>
                <w:i w:val="0"/>
              </w:rPr>
            </m:ctrlPr>
          </m:den>
        </m:f>
        <m:r>
          <m:rPr>
            <m:nor/>
            <m:sty m:val="p"/>
          </m:rPr>
          <w:rPr>
            <w:rFonts w:hint="eastAsia" w:ascii="Cambria Math" w:hAnsi="Cambria Math" w:eastAsia="仿宋" w:cs="仿宋"/>
            <w:b w:val="0"/>
            <w:i w:val="0"/>
          </w:rPr>
          <m:t>=</m:t>
        </m:r>
        <m:r>
          <m:rPr>
            <m:nor/>
            <m:sty m:val="p"/>
          </m:rPr>
          <w:rPr>
            <w:rFonts w:hint="eastAsia" w:ascii="Cambria Math" w:hAnsi="Cambria Math" w:eastAsia="仿宋" w:cs="仿宋"/>
            <w:b w:val="0"/>
            <w:i w:val="0"/>
            <w:lang w:val="en-US" w:eastAsia="zh-CN"/>
          </w:rPr>
          <m:t>41.96</m:t>
        </m:r>
        <m:r>
          <m:rPr>
            <m:nor/>
            <m:sty m:val="p"/>
          </m:rPr>
          <w:rPr>
            <w:rFonts w:hint="eastAsia" w:ascii="Cambria Math" w:hAnsi="Cambria Math" w:eastAsia="仿宋" w:cs="仿宋"/>
            <w:b w:val="0"/>
            <w:i w:val="0"/>
          </w:rPr>
          <m:t>kN</m:t>
        </m:r>
      </m:oMath>
      <w:r>
        <w:rPr>
          <w:rFonts w:hint="eastAsia" w:ascii="Cambria Math" w:hAnsi="Cambria Math" w:eastAsia="仿宋" w:cs="仿宋"/>
          <w:b w:val="0"/>
          <w:i w:val="0"/>
        </w:rPr>
        <w:t>，选用卸扣GB/T25854-6-DW</w:t>
      </w:r>
      <w:r>
        <w:rPr>
          <w:rFonts w:hint="eastAsia" w:ascii="Cambria Math" w:hAnsi="Cambria Math" w:eastAsia="仿宋" w:cs="仿宋"/>
          <w:b w:val="0"/>
          <w:i w:val="0"/>
          <w:lang w:val="en-US" w:eastAsia="zh-CN"/>
        </w:rPr>
        <w:t>5</w:t>
      </w:r>
      <w:r>
        <w:rPr>
          <w:rFonts w:hint="eastAsia" w:ascii="Cambria Math" w:hAnsi="Cambria Math" w:eastAsia="仿宋" w:cs="仿宋"/>
          <w:b w:val="0"/>
          <w:i w:val="0"/>
        </w:rPr>
        <w:t>。</w:t>
      </w:r>
    </w:p>
    <w:p w14:paraId="649A9093">
      <w:r>
        <w:rPr>
          <w:color w:val="auto"/>
        </w:rPr>
        <w:t>根据塔吊基础设计参数及塔吊主要部件重量及吊</w:t>
      </w:r>
      <w:r>
        <w:rPr>
          <w:rFonts w:hint="eastAsia"/>
          <w:color w:val="auto"/>
        </w:rPr>
        <w:t>装</w:t>
      </w:r>
      <w:r>
        <w:rPr>
          <w:color w:val="auto"/>
        </w:rPr>
        <w:t>高度，确定安装过程中所需的最大吊重、最大钢丝绳夹角，结合施工现场实际情况，确定起重钢丝绳型号。钢丝绳及卸扣选型见下表。</w:t>
      </w:r>
    </w:p>
    <w:p w14:paraId="3A474E1C">
      <w:pPr>
        <w:pStyle w:val="16"/>
        <w:jc w:val="center"/>
        <w:rPr>
          <w:color w:val="auto"/>
        </w:rPr>
      </w:pPr>
      <w:r>
        <w:rPr>
          <w:color w:val="auto"/>
        </w:rPr>
        <w:t xml:space="preserve">表 </w:t>
      </w:r>
      <w:r>
        <w:rPr>
          <w:rFonts w:hint="eastAsia"/>
          <w:color w:val="auto"/>
          <w:lang w:val="en-US" w:eastAsia="zh-CN"/>
        </w:rPr>
        <w:t>4.4.3.2-2</w:t>
      </w:r>
      <w:r>
        <w:rPr>
          <w:color w:val="auto"/>
        </w:rPr>
        <w:t>钢丝绳选型表</w:t>
      </w:r>
    </w:p>
    <w:tbl>
      <w:tblPr>
        <w:tblStyle w:val="45"/>
        <w:tblW w:w="593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1"/>
        <w:gridCol w:w="1559"/>
        <w:gridCol w:w="2835"/>
        <w:gridCol w:w="567"/>
        <w:gridCol w:w="567"/>
      </w:tblGrid>
      <w:tr w14:paraId="2365D2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11" w:type="dxa"/>
            <w:vAlign w:val="center"/>
          </w:tcPr>
          <w:p w14:paraId="005AE963">
            <w:pPr>
              <w:pStyle w:val="193"/>
              <w:rPr>
                <w:b w:val="0"/>
                <w:color w:val="auto"/>
              </w:rPr>
            </w:pPr>
            <w:r>
              <w:rPr>
                <w:b/>
                <w:color w:val="auto"/>
              </w:rPr>
              <w:t>序号</w:t>
            </w:r>
          </w:p>
        </w:tc>
        <w:tc>
          <w:tcPr>
            <w:tcW w:w="1559" w:type="dxa"/>
            <w:vAlign w:val="center"/>
          </w:tcPr>
          <w:p w14:paraId="3E949DCF">
            <w:pPr>
              <w:pStyle w:val="193"/>
              <w:rPr>
                <w:b w:val="0"/>
                <w:color w:val="auto"/>
              </w:rPr>
            </w:pPr>
            <w:r>
              <w:rPr>
                <w:b/>
                <w:color w:val="auto"/>
              </w:rPr>
              <w:t>设备名称</w:t>
            </w:r>
          </w:p>
        </w:tc>
        <w:tc>
          <w:tcPr>
            <w:tcW w:w="2835" w:type="dxa"/>
            <w:vAlign w:val="center"/>
          </w:tcPr>
          <w:p w14:paraId="37331C4F">
            <w:pPr>
              <w:pStyle w:val="193"/>
              <w:rPr>
                <w:b w:val="0"/>
                <w:color w:val="auto"/>
              </w:rPr>
            </w:pPr>
            <w:r>
              <w:rPr>
                <w:b/>
                <w:color w:val="auto"/>
              </w:rPr>
              <w:t>规格型号</w:t>
            </w:r>
          </w:p>
        </w:tc>
        <w:tc>
          <w:tcPr>
            <w:tcW w:w="567" w:type="dxa"/>
            <w:vAlign w:val="center"/>
          </w:tcPr>
          <w:p w14:paraId="74C8F622">
            <w:pPr>
              <w:pStyle w:val="193"/>
              <w:rPr>
                <w:b w:val="0"/>
                <w:color w:val="auto"/>
              </w:rPr>
            </w:pPr>
            <w:r>
              <w:rPr>
                <w:b/>
                <w:color w:val="auto"/>
              </w:rPr>
              <w:t>单位</w:t>
            </w:r>
          </w:p>
        </w:tc>
        <w:tc>
          <w:tcPr>
            <w:tcW w:w="567" w:type="dxa"/>
            <w:vAlign w:val="center"/>
          </w:tcPr>
          <w:p w14:paraId="193C9FC7">
            <w:pPr>
              <w:pStyle w:val="193"/>
              <w:rPr>
                <w:b w:val="0"/>
                <w:color w:val="auto"/>
              </w:rPr>
            </w:pPr>
            <w:r>
              <w:rPr>
                <w:b/>
                <w:color w:val="auto"/>
              </w:rPr>
              <w:t>数量</w:t>
            </w:r>
          </w:p>
        </w:tc>
      </w:tr>
      <w:tr w14:paraId="37CCB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1" w:type="dxa"/>
            <w:vAlign w:val="center"/>
          </w:tcPr>
          <w:p w14:paraId="57B74A77">
            <w:pPr>
              <w:pStyle w:val="193"/>
              <w:rPr>
                <w:rFonts w:hint="default" w:eastAsia="宋体"/>
                <w:color w:val="auto"/>
                <w:lang w:val="en-US" w:eastAsia="zh-CN"/>
              </w:rPr>
            </w:pPr>
            <w:r>
              <w:rPr>
                <w:rFonts w:hint="eastAsia"/>
                <w:color w:val="auto"/>
                <w:lang w:val="en-US" w:eastAsia="zh-CN"/>
              </w:rPr>
              <w:t>1</w:t>
            </w:r>
          </w:p>
        </w:tc>
        <w:tc>
          <w:tcPr>
            <w:tcW w:w="1559" w:type="dxa"/>
            <w:vAlign w:val="center"/>
          </w:tcPr>
          <w:p w14:paraId="286BCD8D">
            <w:pPr>
              <w:pStyle w:val="193"/>
              <w:rPr>
                <w:color w:val="auto"/>
              </w:rPr>
            </w:pPr>
            <w:r>
              <w:rPr>
                <w:color w:val="auto"/>
              </w:rPr>
              <w:t>起重用钢丝绳</w:t>
            </w:r>
          </w:p>
        </w:tc>
        <w:tc>
          <w:tcPr>
            <w:tcW w:w="2835" w:type="dxa"/>
            <w:vAlign w:val="center"/>
          </w:tcPr>
          <w:p w14:paraId="603C9F98">
            <w:pPr>
              <w:pStyle w:val="193"/>
              <w:rPr>
                <w:rFonts w:hint="eastAsia" w:eastAsia="仿宋"/>
                <w:color w:val="auto"/>
                <w:lang w:eastAsia="zh-CN"/>
              </w:rPr>
            </w:pPr>
            <w:r>
              <w:rPr>
                <w:rFonts w:hint="eastAsia" w:cs="Times New Roman"/>
                <w:b w:val="0"/>
                <w:bCs w:val="0"/>
                <w:lang w:val="en-US" w:eastAsia="zh-CN"/>
              </w:rPr>
              <w:t>22</w:t>
            </w:r>
            <w:r>
              <w:rPr>
                <w:rFonts w:cs="Times New Roman"/>
                <w:b w:val="0"/>
                <w:bCs w:val="0"/>
              </w:rPr>
              <w:t>mm</w:t>
            </w:r>
            <w:r>
              <w:rPr>
                <w:rFonts w:hint="eastAsia" w:cs="Times New Roman"/>
                <w:b w:val="0"/>
                <w:bCs w:val="0"/>
                <w:lang w:eastAsia="zh-CN"/>
              </w:rPr>
              <w:t>6×19W+IWR1870Mpa</w:t>
            </w:r>
          </w:p>
        </w:tc>
        <w:tc>
          <w:tcPr>
            <w:tcW w:w="567" w:type="dxa"/>
            <w:vAlign w:val="center"/>
          </w:tcPr>
          <w:p w14:paraId="4D9918D6">
            <w:pPr>
              <w:pStyle w:val="193"/>
              <w:rPr>
                <w:color w:val="auto"/>
              </w:rPr>
            </w:pPr>
            <w:r>
              <w:rPr>
                <w:color w:val="auto"/>
              </w:rPr>
              <w:t>根</w:t>
            </w:r>
          </w:p>
        </w:tc>
        <w:tc>
          <w:tcPr>
            <w:tcW w:w="567" w:type="dxa"/>
            <w:vAlign w:val="center"/>
          </w:tcPr>
          <w:p w14:paraId="7D960F5B">
            <w:pPr>
              <w:pStyle w:val="193"/>
              <w:rPr>
                <w:rFonts w:hint="eastAsia" w:eastAsia="宋体"/>
                <w:color w:val="auto"/>
                <w:lang w:eastAsia="zh-CN"/>
              </w:rPr>
            </w:pPr>
            <w:r>
              <w:rPr>
                <w:rFonts w:hint="eastAsia"/>
                <w:color w:val="auto"/>
                <w:lang w:val="en-US" w:eastAsia="zh-CN"/>
              </w:rPr>
              <w:t>4</w:t>
            </w:r>
          </w:p>
        </w:tc>
      </w:tr>
      <w:tr w14:paraId="522105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11" w:type="dxa"/>
            <w:vAlign w:val="center"/>
          </w:tcPr>
          <w:p w14:paraId="04EE0976">
            <w:pPr>
              <w:pStyle w:val="193"/>
              <w:rPr>
                <w:rFonts w:hint="eastAsia" w:eastAsia="宋体"/>
                <w:color w:val="auto"/>
                <w:lang w:val="en-US" w:eastAsia="zh-CN"/>
              </w:rPr>
            </w:pPr>
            <w:r>
              <w:rPr>
                <w:rFonts w:hint="eastAsia"/>
                <w:color w:val="auto"/>
                <w:lang w:val="en-US" w:eastAsia="zh-CN"/>
              </w:rPr>
              <w:t>2</w:t>
            </w:r>
          </w:p>
        </w:tc>
        <w:tc>
          <w:tcPr>
            <w:tcW w:w="1559" w:type="dxa"/>
            <w:vAlign w:val="center"/>
          </w:tcPr>
          <w:p w14:paraId="463DE233">
            <w:pPr>
              <w:pStyle w:val="193"/>
              <w:rPr>
                <w:color w:val="auto"/>
              </w:rPr>
            </w:pPr>
            <w:r>
              <w:rPr>
                <w:color w:val="auto"/>
              </w:rPr>
              <w:t>卸扣</w:t>
            </w:r>
          </w:p>
        </w:tc>
        <w:tc>
          <w:tcPr>
            <w:tcW w:w="2835" w:type="dxa"/>
            <w:vAlign w:val="center"/>
          </w:tcPr>
          <w:p w14:paraId="47527A21">
            <w:pPr>
              <w:pStyle w:val="193"/>
              <w:rPr>
                <w:rFonts w:hint="eastAsia" w:eastAsia="宋体"/>
                <w:color w:val="auto"/>
                <w:lang w:val="en-US" w:eastAsia="zh-CN"/>
              </w:rPr>
            </w:pPr>
            <w:r>
              <w:t>GB/T 25854-6-DW</w:t>
            </w:r>
            <w:r>
              <w:rPr>
                <w:rFonts w:hint="eastAsia"/>
                <w:lang w:val="en-US" w:eastAsia="zh-CN"/>
              </w:rPr>
              <w:t>5</w:t>
            </w:r>
          </w:p>
        </w:tc>
        <w:tc>
          <w:tcPr>
            <w:tcW w:w="567" w:type="dxa"/>
            <w:vAlign w:val="center"/>
          </w:tcPr>
          <w:p w14:paraId="2891612A">
            <w:pPr>
              <w:pStyle w:val="193"/>
              <w:rPr>
                <w:color w:val="auto"/>
              </w:rPr>
            </w:pPr>
            <w:r>
              <w:rPr>
                <w:color w:val="auto"/>
              </w:rPr>
              <w:t>个</w:t>
            </w:r>
          </w:p>
        </w:tc>
        <w:tc>
          <w:tcPr>
            <w:tcW w:w="567" w:type="dxa"/>
            <w:vAlign w:val="center"/>
          </w:tcPr>
          <w:p w14:paraId="62519F75">
            <w:pPr>
              <w:pStyle w:val="193"/>
              <w:rPr>
                <w:color w:val="auto"/>
              </w:rPr>
            </w:pPr>
            <w:r>
              <w:rPr>
                <w:color w:val="auto"/>
              </w:rPr>
              <w:t>4</w:t>
            </w:r>
          </w:p>
        </w:tc>
      </w:tr>
    </w:tbl>
    <w:p w14:paraId="7CA96C7D">
      <w:pPr>
        <w:rPr>
          <w:rFonts w:hint="eastAsia" w:ascii="Times New Roman" w:hAnsi="Times New Roman" w:eastAsia="宋体" w:cs="Times New Roman"/>
        </w:rPr>
      </w:pPr>
    </w:p>
    <w:p w14:paraId="70B25A9A">
      <w:pPr>
        <w:pStyle w:val="2"/>
        <w:bidi w:val="0"/>
        <w:ind w:left="432" w:leftChars="0" w:hanging="432" w:firstLineChars="0"/>
        <w:rPr>
          <w:rFonts w:hint="default"/>
          <w:lang w:val="en-US" w:eastAsia="zh-CN"/>
        </w:rPr>
      </w:pPr>
      <w:bookmarkStart w:id="263" w:name="_Toc16176"/>
      <w:r>
        <w:rPr>
          <w:rFonts w:hint="eastAsia"/>
          <w:lang w:eastAsia="zh-CN"/>
        </w:rPr>
        <w:t>XGT6015A-8S</w:t>
      </w:r>
      <w:r>
        <w:rPr>
          <w:rFonts w:hint="eastAsia"/>
        </w:rPr>
        <w:t>安装施工方案</w:t>
      </w:r>
      <w:bookmarkEnd w:id="263"/>
    </w:p>
    <w:bookmarkEnd w:id="255"/>
    <w:bookmarkEnd w:id="256"/>
    <w:bookmarkEnd w:id="257"/>
    <w:bookmarkEnd w:id="258"/>
    <w:bookmarkEnd w:id="259"/>
    <w:bookmarkEnd w:id="260"/>
    <w:bookmarkEnd w:id="261"/>
    <w:p w14:paraId="18D1556A">
      <w:pPr>
        <w:pStyle w:val="3"/>
        <w:bidi w:val="0"/>
        <w:ind w:left="575" w:leftChars="0" w:hanging="575" w:firstLineChars="0"/>
      </w:pPr>
      <w:bookmarkStart w:id="264" w:name="_Toc525111828"/>
      <w:bookmarkStart w:id="265" w:name="_Toc2298_WPSOffice_Level2"/>
      <w:bookmarkStart w:id="266" w:name="_Toc14104"/>
      <w:bookmarkStart w:id="267" w:name="_Toc31742"/>
      <w:bookmarkStart w:id="268" w:name="_Toc4906"/>
      <w:bookmarkStart w:id="269" w:name="_Toc26544_WPSOffice_Level2"/>
      <w:bookmarkStart w:id="270" w:name="_Toc26453"/>
      <w:bookmarkStart w:id="271" w:name="_Toc8978"/>
      <w:r>
        <w:rPr>
          <w:rFonts w:hint="eastAsia"/>
        </w:rPr>
        <w:t>塔机安装</w:t>
      </w:r>
      <w:bookmarkEnd w:id="264"/>
      <w:r>
        <w:rPr>
          <w:rFonts w:hint="eastAsia"/>
        </w:rPr>
        <w:t>流程</w:t>
      </w:r>
      <w:bookmarkEnd w:id="265"/>
      <w:bookmarkEnd w:id="266"/>
      <w:bookmarkEnd w:id="267"/>
      <w:bookmarkEnd w:id="268"/>
      <w:bookmarkEnd w:id="269"/>
      <w:bookmarkEnd w:id="270"/>
      <w:bookmarkEnd w:id="271"/>
    </w:p>
    <w:p w14:paraId="60BFEB1C">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588000" cy="2705735"/>
            <wp:effectExtent l="0" t="0" r="0" b="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pic:cNvPicPr>
                      <a:picLocks noChangeAspect="1"/>
                    </pic:cNvPicPr>
                  </pic:nvPicPr>
                  <pic:blipFill>
                    <a:blip r:embed="rId39"/>
                    <a:srcRect l="2934"/>
                    <a:stretch>
                      <a:fillRect/>
                    </a:stretch>
                  </pic:blipFill>
                  <pic:spPr>
                    <a:xfrm>
                      <a:off x="0" y="0"/>
                      <a:ext cx="5588000" cy="2705735"/>
                    </a:xfrm>
                    <a:prstGeom prst="rect">
                      <a:avLst/>
                    </a:prstGeom>
                    <a:noFill/>
                    <a:ln>
                      <a:noFill/>
                    </a:ln>
                  </pic:spPr>
                </pic:pic>
              </a:graphicData>
            </a:graphic>
          </wp:inline>
        </w:drawing>
      </w:r>
    </w:p>
    <w:p w14:paraId="0AD78839">
      <w:pPr>
        <w:pStyle w:val="3"/>
        <w:bidi w:val="0"/>
        <w:ind w:left="575" w:leftChars="0" w:hanging="575" w:firstLineChars="0"/>
      </w:pPr>
      <w:bookmarkStart w:id="272" w:name="_Toc19302"/>
      <w:r>
        <w:rPr>
          <w:rFonts w:hint="eastAsia"/>
        </w:rPr>
        <w:t>安装前准备工作</w:t>
      </w:r>
      <w:bookmarkEnd w:id="16"/>
      <w:bookmarkEnd w:id="17"/>
      <w:bookmarkEnd w:id="272"/>
    </w:p>
    <w:p w14:paraId="0991A330">
      <w:pPr>
        <w:autoSpaceDE w:val="0"/>
        <w:autoSpaceDN w:val="0"/>
        <w:adjustRightInd w:val="0"/>
        <w:ind w:firstLine="560"/>
        <w:rPr>
          <w:rFonts w:ascii="宋体" w:hAnsi="宋体" w:cs="宋体"/>
          <w:color w:val="1E1C11" w:themeColor="background2" w:themeShade="1A"/>
          <w:kern w:val="0"/>
        </w:rPr>
      </w:pPr>
      <w:bookmarkStart w:id="273" w:name="_Toc12209"/>
      <w:bookmarkStart w:id="274" w:name="_Toc27181"/>
      <w:bookmarkStart w:id="275" w:name="_Toc23602"/>
      <w:bookmarkStart w:id="276" w:name="_Toc14060"/>
      <w:bookmarkStart w:id="277" w:name="_Toc9330"/>
      <w:bookmarkStart w:id="278" w:name="_Toc18971"/>
      <w:r>
        <w:rPr>
          <w:rFonts w:hint="eastAsia" w:ascii="宋体" w:hAnsi="宋体" w:cs="宋体"/>
          <w:color w:val="1E1C11" w:themeColor="background2" w:themeShade="1A"/>
          <w:kern w:val="0"/>
        </w:rPr>
        <w:t>1．由塔机使用单位对施工现场的道路进行铺设与平整，并清除障碍等。</w:t>
      </w:r>
    </w:p>
    <w:p w14:paraId="332E2FE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2．由塔机使用单位与塔机安装技术负责人按基础制作的技术要求共同对塔机砼基础进行验收。</w:t>
      </w:r>
    </w:p>
    <w:p w14:paraId="0DF12F27">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3．由塔机质检人员对塔机进行检查，检查内容如下：</w:t>
      </w:r>
    </w:p>
    <w:p w14:paraId="78AAAA68">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A.钢结构件有无严重锈蚀变形开裂与脱焊；</w:t>
      </w:r>
    </w:p>
    <w:p w14:paraId="46583D4F">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B.钢丝绳是否牢固可靠，完好状态是否符合要求，绳扎头是否可靠；</w:t>
      </w:r>
    </w:p>
    <w:p w14:paraId="4234DE55">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C.各电路及电气元件是否正常；</w:t>
      </w:r>
    </w:p>
    <w:p w14:paraId="01424C88">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D.爬升机构导向轮是否转动灵活，与塔机间隙是否符合要求</w:t>
      </w:r>
    </w:p>
    <w:p w14:paraId="677EB53A">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E.顶升液压装置是否正常；</w:t>
      </w:r>
    </w:p>
    <w:p w14:paraId="02FB5847">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F.转场塔机安装前应认真进行检修、保养，对变形件及时修复，必要时全机涂装油漆。</w:t>
      </w:r>
    </w:p>
    <w:p w14:paraId="7F76517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4．按要求做好人员的组织工作。</w:t>
      </w:r>
    </w:p>
    <w:p w14:paraId="791F37FD">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5．要求做好常用工具、索具及材料的配备。</w:t>
      </w:r>
    </w:p>
    <w:p w14:paraId="3DB3D0E2">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6．由技术负责人对全体作业人员进行技术交底。</w:t>
      </w:r>
    </w:p>
    <w:p w14:paraId="36613E33">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7．由安全员对全体作业人员进行安全交底。</w:t>
      </w:r>
    </w:p>
    <w:p w14:paraId="4B9C0B09">
      <w:pPr>
        <w:autoSpaceDE w:val="0"/>
        <w:autoSpaceDN w:val="0"/>
        <w:adjustRightInd w:val="0"/>
        <w:ind w:firstLine="560"/>
        <w:rPr>
          <w:color w:val="000000"/>
        </w:rPr>
      </w:pPr>
      <w:r>
        <w:rPr>
          <w:rFonts w:hint="eastAsia" w:ascii="宋体" w:hAnsi="宋体" w:cs="宋体"/>
          <w:color w:val="1E1C11" w:themeColor="background2" w:themeShade="1A"/>
          <w:kern w:val="0"/>
        </w:rPr>
        <w:t>8．明确分工职责，持证上岗，作业过程中做好安全防护。</w:t>
      </w:r>
    </w:p>
    <w:p w14:paraId="3C603050">
      <w:pPr>
        <w:pStyle w:val="3"/>
        <w:bidi w:val="0"/>
        <w:ind w:left="575" w:leftChars="0" w:hanging="575" w:firstLineChars="0"/>
      </w:pPr>
      <w:bookmarkStart w:id="279" w:name="_Toc28578"/>
      <w:r>
        <w:rPr>
          <w:rFonts w:hint="eastAsia"/>
          <w:lang w:eastAsia="zh-CN"/>
        </w:rPr>
        <w:t>XGT6015A-8S</w:t>
      </w:r>
      <w:r>
        <w:rPr>
          <w:rFonts w:hint="eastAsia"/>
        </w:rPr>
        <w:t>塔机主机安装过程</w:t>
      </w:r>
      <w:bookmarkEnd w:id="273"/>
      <w:bookmarkEnd w:id="274"/>
      <w:bookmarkEnd w:id="275"/>
      <w:bookmarkEnd w:id="276"/>
      <w:bookmarkEnd w:id="277"/>
      <w:bookmarkEnd w:id="278"/>
      <w:bookmarkEnd w:id="279"/>
    </w:p>
    <w:p w14:paraId="36D4984E">
      <w:pPr>
        <w:autoSpaceDE w:val="0"/>
        <w:autoSpaceDN w:val="0"/>
        <w:adjustRightInd w:val="0"/>
        <w:ind w:firstLine="560"/>
        <w:rPr>
          <w:rFonts w:hint="eastAsia" w:ascii="宋体" w:hAnsi="宋体" w:cs="宋体"/>
          <w:color w:val="1E1C11" w:themeColor="background2" w:themeShade="1A"/>
          <w:kern w:val="0"/>
        </w:rPr>
      </w:pPr>
      <w:bookmarkStart w:id="280" w:name="_Toc22888"/>
      <w:bookmarkStart w:id="281" w:name="_Toc10727"/>
      <w:bookmarkStart w:id="282" w:name="_Toc22837"/>
      <w:bookmarkStart w:id="283" w:name="_Toc29112"/>
      <w:bookmarkStart w:id="284" w:name="_Toc16577"/>
      <w:bookmarkStart w:id="285" w:name="_Toc1401"/>
      <w:bookmarkStart w:id="286" w:name="_Toc27416"/>
      <w:bookmarkStart w:id="287" w:name="_Toc535"/>
      <w:bookmarkStart w:id="288" w:name="_Toc9554"/>
      <w:bookmarkStart w:id="289" w:name="_Toc2085"/>
      <w:bookmarkStart w:id="290" w:name="_Toc26064"/>
      <w:bookmarkStart w:id="291" w:name="_Toc2791"/>
      <w:bookmarkStart w:id="292" w:name="_Toc20360"/>
      <w:bookmarkStart w:id="293" w:name="_Toc326854323"/>
      <w:bookmarkStart w:id="294" w:name="_Toc31593"/>
      <w:bookmarkStart w:id="295" w:name="_Toc533610108"/>
      <w:r>
        <w:rPr>
          <w:rFonts w:hint="eastAsia" w:ascii="宋体" w:hAnsi="宋体" w:cs="宋体"/>
          <w:color w:val="1E1C11" w:themeColor="background2" w:themeShade="1A"/>
          <w:kern w:val="0"/>
        </w:rPr>
        <w:t>在塔机安装过程中只需要安装一节基础节、1节标准节即可安装爬升架和回转总成等部件。在安装平衡臂和大臂前要先接通回转电源，以便于大臂的安装。</w:t>
      </w:r>
    </w:p>
    <w:p w14:paraId="66635074">
      <w:pPr>
        <w:pStyle w:val="4"/>
        <w:bidi w:val="0"/>
        <w:ind w:left="720" w:leftChars="0" w:hanging="720" w:firstLineChars="0"/>
        <w:rPr>
          <w:rFonts w:hint="eastAsia"/>
          <w:lang w:val="en-US" w:eastAsia="zh-CN"/>
        </w:rPr>
      </w:pPr>
      <w:r>
        <w:rPr>
          <w:rFonts w:hint="eastAsia"/>
          <w:lang w:val="en-US" w:eastAsia="zh-CN"/>
        </w:rPr>
        <w:t>塔吊基础</w:t>
      </w:r>
    </w:p>
    <w:p w14:paraId="3D1BFDE2">
      <w:pPr>
        <w:autoSpaceDE w:val="0"/>
        <w:autoSpaceDN w:val="0"/>
        <w:adjustRightInd w:val="0"/>
        <w:ind w:firstLine="560"/>
        <w:rPr>
          <w:rFonts w:hint="eastAsia" w:ascii="宋体" w:hAnsi="宋体" w:cs="宋体"/>
          <w:color w:val="1E1C11" w:themeColor="background2" w:themeShade="1A"/>
          <w:kern w:val="0"/>
        </w:rPr>
      </w:pPr>
      <w:r>
        <w:rPr>
          <w:rFonts w:hint="eastAsia" w:ascii="宋体" w:hAnsi="宋体" w:cs="宋体"/>
          <w:color w:val="1E1C11" w:themeColor="background2" w:themeShade="1A"/>
          <w:kern w:val="0"/>
          <w:lang w:val="en-US" w:eastAsia="zh-CN"/>
        </w:rPr>
        <w:t>基础开挖至老土找平，基础承载力必须达到各形式要求，当地基承载力≤</w:t>
      </w:r>
      <w:r>
        <w:rPr>
          <w:rFonts w:hint="default" w:ascii="宋体" w:hAnsi="宋体" w:cs="宋体"/>
          <w:color w:val="1E1C11" w:themeColor="background2" w:themeShade="1A"/>
          <w:kern w:val="0"/>
          <w:lang w:val="en-US" w:eastAsia="zh-CN"/>
        </w:rPr>
        <w:t>0.2Mpa</w:t>
      </w:r>
      <w:r>
        <w:rPr>
          <w:rFonts w:hint="eastAsia" w:ascii="宋体" w:hAnsi="宋体" w:cs="宋体"/>
          <w:color w:val="1E1C11" w:themeColor="background2" w:themeShade="1A"/>
          <w:kern w:val="0"/>
          <w:lang w:val="en-US" w:eastAsia="zh-CN"/>
        </w:rPr>
        <w:t>时，须回填不小于</w:t>
      </w:r>
      <w:r>
        <w:rPr>
          <w:rFonts w:hint="default" w:ascii="宋体" w:hAnsi="宋体" w:cs="宋体"/>
          <w:color w:val="1E1C11" w:themeColor="background2" w:themeShade="1A"/>
          <w:kern w:val="0"/>
          <w:lang w:val="en-US" w:eastAsia="zh-CN"/>
        </w:rPr>
        <w:t>200mm</w:t>
      </w:r>
      <w:r>
        <w:rPr>
          <w:rFonts w:hint="eastAsia" w:ascii="宋体" w:hAnsi="宋体" w:cs="宋体"/>
          <w:color w:val="1E1C11" w:themeColor="background2" w:themeShade="1A"/>
          <w:kern w:val="0"/>
          <w:lang w:val="en-US" w:eastAsia="zh-CN"/>
        </w:rPr>
        <w:t>厚度的碎石或卵石夯实，周边配模或砌砖后再进行编筋浇注混凝土，基础周围地面 低于混凝土表面</w:t>
      </w:r>
      <w:r>
        <w:rPr>
          <w:rFonts w:hint="default" w:ascii="宋体" w:hAnsi="宋体" w:cs="宋体"/>
          <w:color w:val="1E1C11" w:themeColor="background2" w:themeShade="1A"/>
          <w:kern w:val="0"/>
          <w:lang w:val="en-US" w:eastAsia="zh-CN"/>
        </w:rPr>
        <w:t>100mm</w:t>
      </w:r>
      <w:r>
        <w:rPr>
          <w:rFonts w:hint="eastAsia" w:ascii="宋体" w:hAnsi="宋体" w:cs="宋体"/>
          <w:color w:val="1E1C11" w:themeColor="background2" w:themeShade="1A"/>
          <w:kern w:val="0"/>
          <w:lang w:val="en-US" w:eastAsia="zh-CN"/>
        </w:rPr>
        <w:t>以上以利排水，周边配模，拆模以后回填卵石或碎石。</w:t>
      </w:r>
    </w:p>
    <w:p w14:paraId="4FB36A1E">
      <w:pPr>
        <w:keepNext w:val="0"/>
        <w:keepLines w:val="0"/>
        <w:pageBreakBefore w:val="0"/>
        <w:widowControl w:val="0"/>
        <w:kinsoku/>
        <w:wordWrap/>
        <w:overflowPunct/>
        <w:topLinePunct w:val="0"/>
        <w:autoSpaceDE w:val="0"/>
        <w:autoSpaceDN w:val="0"/>
        <w:bidi w:val="0"/>
        <w:adjustRightInd w:val="0"/>
        <w:snapToGrid/>
        <w:spacing w:line="240" w:lineRule="auto"/>
        <w:ind w:firstLine="560"/>
        <w:jc w:val="center"/>
        <w:textAlignment w:val="auto"/>
        <w:rPr>
          <w:rFonts w:hint="eastAsia" w:ascii="宋体" w:hAnsi="宋体" w:cs="宋体"/>
          <w:color w:val="1E1C11" w:themeColor="background2" w:themeShade="1A"/>
          <w:kern w:val="0"/>
        </w:rPr>
      </w:pPr>
      <w:r>
        <w:drawing>
          <wp:inline distT="0" distB="0" distL="114300" distR="114300">
            <wp:extent cx="5144770" cy="1075690"/>
            <wp:effectExtent l="0" t="0" r="17780" b="1016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0"/>
                    <a:stretch>
                      <a:fillRect/>
                    </a:stretch>
                  </pic:blipFill>
                  <pic:spPr>
                    <a:xfrm>
                      <a:off x="0" y="0"/>
                      <a:ext cx="5144770" cy="1075690"/>
                    </a:xfrm>
                    <a:prstGeom prst="rect">
                      <a:avLst/>
                    </a:prstGeom>
                    <a:noFill/>
                    <a:ln>
                      <a:noFill/>
                    </a:ln>
                  </pic:spPr>
                </pic:pic>
              </a:graphicData>
            </a:graphic>
          </wp:inline>
        </w:drawing>
      </w:r>
      <w:r>
        <w:drawing>
          <wp:inline distT="0" distB="0" distL="114300" distR="114300">
            <wp:extent cx="5029200" cy="3971925"/>
            <wp:effectExtent l="0" t="0" r="0" b="952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1"/>
                    <a:stretch>
                      <a:fillRect/>
                    </a:stretch>
                  </pic:blipFill>
                  <pic:spPr>
                    <a:xfrm>
                      <a:off x="0" y="0"/>
                      <a:ext cx="5029200" cy="3971925"/>
                    </a:xfrm>
                    <a:prstGeom prst="rect">
                      <a:avLst/>
                    </a:prstGeom>
                    <a:noFill/>
                    <a:ln>
                      <a:noFill/>
                    </a:ln>
                  </pic:spPr>
                </pic:pic>
              </a:graphicData>
            </a:graphic>
          </wp:inline>
        </w:drawing>
      </w:r>
    </w:p>
    <w:bookmarkEnd w:id="280"/>
    <w:p w14:paraId="696A08B9">
      <w:pPr>
        <w:pStyle w:val="4"/>
        <w:bidi w:val="0"/>
        <w:ind w:left="720" w:leftChars="0" w:hanging="720" w:firstLineChars="0"/>
      </w:pPr>
      <w:bookmarkStart w:id="296" w:name="_Toc32208"/>
      <w:r>
        <w:rPr>
          <w:rFonts w:hint="eastAsia"/>
        </w:rPr>
        <w:t>吊装一节基础节</w:t>
      </w:r>
    </w:p>
    <w:p w14:paraId="79209147">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基础节是一个整体节，不需要进行再拼装，安装前需注意顶升方向。</w:t>
      </w:r>
    </w:p>
    <w:p w14:paraId="51F2C1D8">
      <w:pPr>
        <w:autoSpaceDE w:val="0"/>
        <w:autoSpaceDN w:val="0"/>
        <w:adjustRightInd w:val="0"/>
        <w:ind w:firstLine="560"/>
        <w:rPr>
          <w:rFonts w:ascii="宋体" w:hAnsi="宋体" w:cs="宋体"/>
          <w:color w:val="1E1C11" w:themeColor="background2" w:themeShade="1A"/>
          <w:kern w:val="0"/>
        </w:rPr>
      </w:pPr>
      <w:r>
        <w:rPr>
          <w:rFonts w:hint="eastAsia"/>
          <w:color w:val="000000"/>
        </w:rPr>
        <w:t>基础节重</w:t>
      </w:r>
      <w:r>
        <w:rPr>
          <w:rFonts w:hint="eastAsia"/>
          <w:color w:val="000000"/>
          <w:lang w:val="en-US" w:eastAsia="zh-CN"/>
        </w:rPr>
        <w:t>1.598</w:t>
      </w:r>
      <w:r>
        <w:rPr>
          <w:rFonts w:hint="eastAsia"/>
          <w:color w:val="000000"/>
        </w:rPr>
        <w:t>t，使用</w:t>
      </w:r>
      <w:r>
        <w:rPr>
          <w:rFonts w:hint="eastAsia"/>
          <w:color w:val="000000"/>
          <w:lang w:eastAsia="zh-CN"/>
        </w:rPr>
        <w:t>25T</w:t>
      </w:r>
      <w:r>
        <w:rPr>
          <w:rFonts w:hint="eastAsia"/>
          <w:color w:val="000000"/>
        </w:rPr>
        <w:t>汽车吊，采用</w:t>
      </w:r>
      <w:r>
        <w:rPr>
          <w:rFonts w:hint="eastAsia"/>
          <w:color w:val="000000"/>
          <w:lang w:val="en-US" w:eastAsia="zh-CN"/>
        </w:rPr>
        <w:t>四</w:t>
      </w:r>
      <w:r>
        <w:rPr>
          <w:rFonts w:hint="eastAsia"/>
          <w:color w:val="000000"/>
        </w:rPr>
        <w:t>根</w:t>
      </w:r>
      <w:r>
        <w:rPr>
          <w:rFonts w:hint="eastAsia"/>
          <w:color w:val="000000"/>
          <w:lang w:eastAsia="zh-CN"/>
        </w:rPr>
        <w:t>22mm6×19W+IWR1870Mpa</w:t>
      </w:r>
      <w:r>
        <w:rPr>
          <w:rFonts w:hint="eastAsia"/>
          <w:color w:val="000000"/>
        </w:rPr>
        <w:t>钢丝绳，4个</w:t>
      </w:r>
      <w:r>
        <w:rPr>
          <w:rFonts w:hint="eastAsia"/>
          <w:color w:val="000000"/>
          <w:lang w:val="en-US" w:eastAsia="zh-CN"/>
        </w:rPr>
        <w:t>GB/T25854-6-DW5卸扣</w:t>
      </w:r>
      <w:r>
        <w:rPr>
          <w:rFonts w:hint="eastAsia"/>
          <w:color w:val="000000"/>
        </w:rPr>
        <w:t>，4吊点起吊。</w:t>
      </w:r>
    </w:p>
    <w:p w14:paraId="061B7C3F">
      <w:pPr>
        <w:keepNext w:val="0"/>
        <w:keepLines w:val="0"/>
        <w:pageBreakBefore w:val="0"/>
        <w:widowControl w:val="0"/>
        <w:kinsoku/>
        <w:wordWrap/>
        <w:overflowPunct/>
        <w:topLinePunct w:val="0"/>
        <w:autoSpaceDE w:val="0"/>
        <w:autoSpaceDN w:val="0"/>
        <w:bidi w:val="0"/>
        <w:adjustRightInd w:val="0"/>
        <w:snapToGrid/>
        <w:spacing w:line="500" w:lineRule="exact"/>
        <w:ind w:firstLine="0" w:firstLineChars="0"/>
        <w:jc w:val="center"/>
        <w:textAlignment w:val="auto"/>
        <w:rPr>
          <w:rFonts w:hint="eastAsia" w:ascii="宋体" w:hAnsi="宋体" w:cs="宋体"/>
          <w:color w:val="1E1C11" w:themeColor="background2" w:themeShade="1A"/>
          <w:kern w:val="0"/>
        </w:rPr>
      </w:pPr>
      <w:r>
        <w:rPr>
          <w:rFonts w:hint="eastAsia" w:ascii="Times New Roman" w:hAnsi="Times New Roman" w:cs="Times New Roman"/>
          <w:color w:val="000000"/>
        </w:rPr>
        <w:t>如下图所示，将基础节总成（1）吊起至固定支腿（2）的上方，缓缓放下，将主弦对齐，连接套孔（5、6）对准，用高强螺栓（3、4、7）将其紧固。</w:t>
      </w:r>
    </w:p>
    <w:p w14:paraId="4DDEBB3B">
      <w:pPr>
        <w:autoSpaceDE w:val="0"/>
        <w:autoSpaceDN w:val="0"/>
        <w:adjustRightInd w:val="0"/>
        <w:spacing w:line="240" w:lineRule="auto"/>
        <w:ind w:firstLine="0" w:firstLineChars="0"/>
        <w:jc w:val="center"/>
      </w:pPr>
      <w:r>
        <w:drawing>
          <wp:inline distT="0" distB="0" distL="114300" distR="114300">
            <wp:extent cx="1645285" cy="2560320"/>
            <wp:effectExtent l="0" t="0" r="12065" b="11430"/>
            <wp:docPr id="16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6"/>
                    <pic:cNvPicPr>
                      <a:picLocks noChangeAspect="1"/>
                    </pic:cNvPicPr>
                  </pic:nvPicPr>
                  <pic:blipFill>
                    <a:blip r:embed="rId42"/>
                    <a:stretch>
                      <a:fillRect/>
                    </a:stretch>
                  </pic:blipFill>
                  <pic:spPr>
                    <a:xfrm>
                      <a:off x="0" y="0"/>
                      <a:ext cx="1645285" cy="2560320"/>
                    </a:xfrm>
                    <a:prstGeom prst="rect">
                      <a:avLst/>
                    </a:prstGeom>
                    <a:noFill/>
                    <a:ln>
                      <a:noFill/>
                    </a:ln>
                  </pic:spPr>
                </pic:pic>
              </a:graphicData>
            </a:graphic>
          </wp:inline>
        </w:drawing>
      </w:r>
      <w:r>
        <w:drawing>
          <wp:inline distT="0" distB="0" distL="114300" distR="114300">
            <wp:extent cx="4024630" cy="2097405"/>
            <wp:effectExtent l="0" t="0" r="13970" b="17145"/>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43"/>
                    <a:stretch>
                      <a:fillRect/>
                    </a:stretch>
                  </pic:blipFill>
                  <pic:spPr>
                    <a:xfrm>
                      <a:off x="0" y="0"/>
                      <a:ext cx="4024630" cy="2097405"/>
                    </a:xfrm>
                    <a:prstGeom prst="rect">
                      <a:avLst/>
                    </a:prstGeom>
                    <a:noFill/>
                    <a:ln>
                      <a:noFill/>
                    </a:ln>
                  </pic:spPr>
                </pic:pic>
              </a:graphicData>
            </a:graphic>
          </wp:inline>
        </w:drawing>
      </w:r>
      <w:r>
        <w:drawing>
          <wp:inline distT="0" distB="0" distL="114300" distR="114300">
            <wp:extent cx="5417820" cy="3376295"/>
            <wp:effectExtent l="0" t="0" r="0" b="0"/>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44"/>
                    <a:srcRect l="5189"/>
                    <a:stretch>
                      <a:fillRect/>
                    </a:stretch>
                  </pic:blipFill>
                  <pic:spPr>
                    <a:xfrm>
                      <a:off x="0" y="0"/>
                      <a:ext cx="5417820" cy="3376295"/>
                    </a:xfrm>
                    <a:prstGeom prst="rect">
                      <a:avLst/>
                    </a:prstGeom>
                    <a:noFill/>
                    <a:ln>
                      <a:noFill/>
                    </a:ln>
                  </pic:spPr>
                </pic:pic>
              </a:graphicData>
            </a:graphic>
          </wp:inline>
        </w:drawing>
      </w:r>
    </w:p>
    <w:p w14:paraId="5ED4BA58">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5.3.2</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9#墩</w:t>
      </w:r>
      <w:r>
        <w:rPr>
          <w:rFonts w:hint="eastAsia"/>
        </w:rPr>
        <w:t>基础节安装示意图</w:t>
      </w:r>
    </w:p>
    <w:p w14:paraId="65DE920A">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400675" cy="3977640"/>
            <wp:effectExtent l="0" t="0" r="9525" b="381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45"/>
                    <a:stretch>
                      <a:fillRect/>
                    </a:stretch>
                  </pic:blipFill>
                  <pic:spPr>
                    <a:xfrm>
                      <a:off x="0" y="0"/>
                      <a:ext cx="5400675" cy="3977640"/>
                    </a:xfrm>
                    <a:prstGeom prst="rect">
                      <a:avLst/>
                    </a:prstGeom>
                    <a:noFill/>
                    <a:ln>
                      <a:noFill/>
                    </a:ln>
                  </pic:spPr>
                </pic:pic>
              </a:graphicData>
            </a:graphic>
          </wp:inline>
        </w:drawing>
      </w:r>
    </w:p>
    <w:p w14:paraId="4D39CE94">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5.3.2</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w:t>
      </w:r>
      <w:r>
        <w:rPr>
          <w:rFonts w:hint="eastAsia"/>
        </w:rPr>
        <w:t>基础节安装示意图</w:t>
      </w:r>
    </w:p>
    <w:p w14:paraId="469CA495">
      <w:pPr>
        <w:ind w:firstLine="560"/>
      </w:pPr>
      <w:r>
        <w:rPr>
          <w:rFonts w:hint="eastAsia"/>
        </w:rPr>
        <w:t>注意；</w:t>
      </w:r>
    </w:p>
    <w:p w14:paraId="7051DC83">
      <w:pPr>
        <w:ind w:firstLine="560"/>
      </w:pPr>
      <w:r>
        <w:rPr>
          <w:rFonts w:hint="eastAsia"/>
        </w:rPr>
        <w:t>1）确保安装过程中的吊装安全可靠。</w:t>
      </w:r>
    </w:p>
    <w:p w14:paraId="7D14AFB5">
      <w:pPr>
        <w:ind w:firstLine="560"/>
      </w:pPr>
      <w:r>
        <w:rPr>
          <w:rFonts w:hint="eastAsia"/>
        </w:rPr>
        <w:t>2）注意基础节踏步安装方向应与建筑物方向垂直，否则将会造成后期无法降塔！</w:t>
      </w:r>
    </w:p>
    <w:p w14:paraId="56820E52">
      <w:pPr>
        <w:ind w:firstLine="560"/>
      </w:pPr>
      <w:r>
        <w:rPr>
          <w:rFonts w:hint="eastAsia"/>
        </w:rPr>
        <w:t>3）此处因受安装空间的限制，高强螺栓的安装方向为从上往下穿入。</w:t>
      </w:r>
    </w:p>
    <w:p w14:paraId="566C32BC">
      <w:pPr>
        <w:ind w:firstLine="560"/>
      </w:pPr>
      <w:r>
        <w:rPr>
          <w:rFonts w:hint="eastAsia"/>
        </w:rPr>
        <w:t xml:space="preserve">4）高强螺栓安装前，须涂抹润滑脂，M30 高强螺栓的预紧力矩为 </w:t>
      </w:r>
      <w:r>
        <w:rPr>
          <w:rFonts w:hint="eastAsia"/>
          <w:lang w:eastAsia="zh-CN"/>
        </w:rPr>
        <w:t>1400N·m</w:t>
      </w:r>
      <w:r>
        <w:rPr>
          <w:rFonts w:hint="eastAsia"/>
        </w:rPr>
        <w:t>，每根高强度螺栓均应装配两个垫圈（一个垫在螺栓头下，一个垫在螺母下，且使有倒角的一面朝向螺栓头或螺母）及两个螺母并拧紧防松，双螺母中防松螺母拧紧力矩应同样达到</w:t>
      </w:r>
      <w:r>
        <w:rPr>
          <w:rFonts w:hint="eastAsia"/>
          <w:lang w:eastAsia="zh-CN"/>
        </w:rPr>
        <w:t>1400N·m</w:t>
      </w:r>
      <w:r>
        <w:rPr>
          <w:rFonts w:hint="eastAsia"/>
        </w:rPr>
        <w:t>。</w:t>
      </w:r>
    </w:p>
    <w:p w14:paraId="6FBE00B6">
      <w:pPr>
        <w:spacing w:line="240" w:lineRule="auto"/>
        <w:ind w:firstLine="0" w:firstLineChars="0"/>
        <w:jc w:val="center"/>
      </w:pPr>
      <w:r>
        <w:drawing>
          <wp:inline distT="0" distB="0" distL="114300" distR="114300">
            <wp:extent cx="2924175" cy="1847850"/>
            <wp:effectExtent l="0" t="0" r="9525" b="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46"/>
                    <a:stretch>
                      <a:fillRect/>
                    </a:stretch>
                  </pic:blipFill>
                  <pic:spPr>
                    <a:xfrm>
                      <a:off x="0" y="0"/>
                      <a:ext cx="2924175" cy="1847850"/>
                    </a:xfrm>
                    <a:prstGeom prst="rect">
                      <a:avLst/>
                    </a:prstGeom>
                    <a:noFill/>
                    <a:ln>
                      <a:noFill/>
                    </a:ln>
                  </pic:spPr>
                </pic:pic>
              </a:graphicData>
            </a:graphic>
          </wp:inline>
        </w:drawing>
      </w:r>
    </w:p>
    <w:p w14:paraId="18CCD832">
      <w:pPr>
        <w:pStyle w:val="16"/>
        <w:bidi w:val="0"/>
      </w:pPr>
      <w:r>
        <w:rPr>
          <w:rFonts w:hint="eastAsia"/>
        </w:rPr>
        <w:t>图</w:t>
      </w:r>
      <w:r>
        <w:fldChar w:fldCharType="begin"/>
      </w:r>
      <w:r>
        <w:instrText xml:space="preserve"> STYLEREF 3 \s </w:instrText>
      </w:r>
      <w:r>
        <w:fldChar w:fldCharType="separate"/>
      </w:r>
      <w:r>
        <w:t>5.3.2</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rPr>
        <w:t>基础节安装方向示意图</w:t>
      </w:r>
    </w:p>
    <w:p w14:paraId="6F965116">
      <w:pPr>
        <w:pStyle w:val="4"/>
        <w:bidi w:val="0"/>
        <w:ind w:left="720" w:leftChars="0" w:hanging="720" w:firstLineChars="0"/>
      </w:pPr>
      <w:r>
        <w:rPr>
          <w:rFonts w:hint="eastAsia"/>
        </w:rPr>
        <w:t>吊装一节标准节</w:t>
      </w:r>
    </w:p>
    <w:p w14:paraId="74B1BC30">
      <w:pPr>
        <w:autoSpaceDE w:val="0"/>
        <w:autoSpaceDN w:val="0"/>
        <w:adjustRightInd w:val="0"/>
        <w:ind w:firstLine="560"/>
        <w:rPr>
          <w:rFonts w:ascii="宋体" w:hAnsi="宋体" w:cs="宋体"/>
          <w:color w:val="1E1C11" w:themeColor="background2" w:themeShade="1A"/>
          <w:kern w:val="0"/>
        </w:rPr>
      </w:pPr>
      <w:r>
        <w:rPr>
          <w:rFonts w:hint="eastAsia"/>
          <w:color w:val="000000"/>
        </w:rPr>
        <w:t>标准节重</w:t>
      </w:r>
      <w:r>
        <w:rPr>
          <w:rFonts w:hint="eastAsia"/>
          <w:color w:val="000000"/>
          <w:lang w:val="en-US" w:eastAsia="zh-CN"/>
        </w:rPr>
        <w:t>0.838</w:t>
      </w:r>
      <w:r>
        <w:rPr>
          <w:rFonts w:hint="eastAsia"/>
          <w:color w:val="000000"/>
        </w:rPr>
        <w:t>t，使用</w:t>
      </w:r>
      <w:r>
        <w:rPr>
          <w:rFonts w:hint="eastAsia"/>
          <w:color w:val="000000"/>
          <w:lang w:eastAsia="zh-CN"/>
        </w:rPr>
        <w:t>25T</w:t>
      </w:r>
      <w:r>
        <w:rPr>
          <w:rFonts w:hint="eastAsia"/>
          <w:color w:val="000000"/>
        </w:rPr>
        <w:t>汽车吊，采用</w:t>
      </w:r>
      <w:r>
        <w:rPr>
          <w:rFonts w:hint="eastAsia"/>
          <w:color w:val="000000"/>
          <w:lang w:val="en-US" w:eastAsia="zh-CN"/>
        </w:rPr>
        <w:t>四</w:t>
      </w:r>
      <w:r>
        <w:rPr>
          <w:rFonts w:hint="eastAsia"/>
          <w:color w:val="000000"/>
        </w:rPr>
        <w:t>根</w:t>
      </w:r>
      <w:r>
        <w:rPr>
          <w:rFonts w:hint="eastAsia"/>
          <w:color w:val="000000"/>
          <w:lang w:eastAsia="zh-CN"/>
        </w:rPr>
        <w:t>22mm6×19W+IWR1870Mpa</w:t>
      </w:r>
      <w:r>
        <w:rPr>
          <w:rFonts w:hint="eastAsia"/>
          <w:color w:val="000000"/>
        </w:rPr>
        <w:t>钢丝绳，4个</w:t>
      </w:r>
      <w:r>
        <w:rPr>
          <w:rFonts w:hint="eastAsia"/>
          <w:color w:val="000000"/>
          <w:lang w:val="en-US" w:eastAsia="zh-CN"/>
        </w:rPr>
        <w:t>GB/T25854-6-DW5卸扣</w:t>
      </w:r>
      <w:r>
        <w:rPr>
          <w:rFonts w:hint="eastAsia"/>
          <w:color w:val="000000"/>
        </w:rPr>
        <w:t>，4吊点起吊。</w:t>
      </w:r>
    </w:p>
    <w:p w14:paraId="618D7FB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如下图所示，将标准节吊起至下方塔身节的上方，缓缓放下，对准将连接套（4、5），用高强螺栓以及对应垫圈、螺母（2、3、6）将其连接。</w:t>
      </w:r>
    </w:p>
    <w:p w14:paraId="0C6A4AB5">
      <w:pPr>
        <w:wordWrap w:val="0"/>
        <w:spacing w:line="360" w:lineRule="auto"/>
        <w:ind w:firstLine="0" w:firstLineChars="0"/>
        <w:jc w:val="center"/>
        <w:rPr>
          <w:rFonts w:ascii="宋体" w:hAnsi="宋体" w:eastAsia="宋体" w:cs="宋体"/>
          <w:color w:val="000000"/>
          <w:sz w:val="24"/>
          <w:szCs w:val="20"/>
        </w:rPr>
      </w:pPr>
      <w:r>
        <w:drawing>
          <wp:inline distT="0" distB="0" distL="114300" distR="114300">
            <wp:extent cx="1619885" cy="2650490"/>
            <wp:effectExtent l="0" t="0" r="18415" b="16510"/>
            <wp:docPr id="1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1"/>
                    </pic:cNvPicPr>
                  </pic:nvPicPr>
                  <pic:blipFill>
                    <a:blip r:embed="rId47"/>
                    <a:stretch>
                      <a:fillRect/>
                    </a:stretch>
                  </pic:blipFill>
                  <pic:spPr>
                    <a:xfrm>
                      <a:off x="0" y="0"/>
                      <a:ext cx="1619885" cy="2650490"/>
                    </a:xfrm>
                    <a:prstGeom prst="rect">
                      <a:avLst/>
                    </a:prstGeom>
                    <a:noFill/>
                    <a:ln>
                      <a:noFill/>
                    </a:ln>
                  </pic:spPr>
                </pic:pic>
              </a:graphicData>
            </a:graphic>
          </wp:inline>
        </w:drawing>
      </w:r>
      <w:r>
        <w:drawing>
          <wp:inline distT="0" distB="0" distL="114300" distR="114300">
            <wp:extent cx="3992245" cy="2673985"/>
            <wp:effectExtent l="0" t="0" r="8255" b="12065"/>
            <wp:docPr id="1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0"/>
                    <pic:cNvPicPr>
                      <a:picLocks noChangeAspect="1"/>
                    </pic:cNvPicPr>
                  </pic:nvPicPr>
                  <pic:blipFill>
                    <a:blip r:embed="rId48"/>
                    <a:stretch>
                      <a:fillRect/>
                    </a:stretch>
                  </pic:blipFill>
                  <pic:spPr>
                    <a:xfrm>
                      <a:off x="0" y="0"/>
                      <a:ext cx="3992245" cy="2673985"/>
                    </a:xfrm>
                    <a:prstGeom prst="rect">
                      <a:avLst/>
                    </a:prstGeom>
                    <a:noFill/>
                    <a:ln>
                      <a:noFill/>
                    </a:ln>
                  </pic:spPr>
                </pic:pic>
              </a:graphicData>
            </a:graphic>
          </wp:inline>
        </w:drawing>
      </w:r>
    </w:p>
    <w:p w14:paraId="52FFB200">
      <w:pPr>
        <w:autoSpaceDE w:val="0"/>
        <w:autoSpaceDN w:val="0"/>
        <w:adjustRightInd w:val="0"/>
        <w:spacing w:line="240" w:lineRule="auto"/>
        <w:ind w:firstLine="0" w:firstLineChars="0"/>
        <w:jc w:val="center"/>
      </w:pPr>
      <w:r>
        <w:drawing>
          <wp:inline distT="0" distB="0" distL="114300" distR="114300">
            <wp:extent cx="5417820" cy="3376295"/>
            <wp:effectExtent l="0" t="0" r="11430" b="1460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44"/>
                    <a:srcRect l="5189"/>
                    <a:stretch>
                      <a:fillRect/>
                    </a:stretch>
                  </pic:blipFill>
                  <pic:spPr>
                    <a:xfrm>
                      <a:off x="0" y="0"/>
                      <a:ext cx="5417820" cy="3376295"/>
                    </a:xfrm>
                    <a:prstGeom prst="rect">
                      <a:avLst/>
                    </a:prstGeom>
                    <a:noFill/>
                    <a:ln>
                      <a:noFill/>
                    </a:ln>
                  </pic:spPr>
                </pic:pic>
              </a:graphicData>
            </a:graphic>
          </wp:inline>
        </w:drawing>
      </w:r>
    </w:p>
    <w:p w14:paraId="4CFC1F0F">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5.3.3</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9#墩塔机标准</w:t>
      </w:r>
      <w:r>
        <w:rPr>
          <w:rFonts w:hint="eastAsia"/>
        </w:rPr>
        <w:t>节安装示意图</w:t>
      </w:r>
    </w:p>
    <w:p w14:paraId="7862BC49">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400675" cy="3977640"/>
            <wp:effectExtent l="0" t="0" r="9525" b="381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45"/>
                    <a:stretch>
                      <a:fillRect/>
                    </a:stretch>
                  </pic:blipFill>
                  <pic:spPr>
                    <a:xfrm>
                      <a:off x="0" y="0"/>
                      <a:ext cx="5400675" cy="3977640"/>
                    </a:xfrm>
                    <a:prstGeom prst="rect">
                      <a:avLst/>
                    </a:prstGeom>
                    <a:noFill/>
                    <a:ln>
                      <a:noFill/>
                    </a:ln>
                  </pic:spPr>
                </pic:pic>
              </a:graphicData>
            </a:graphic>
          </wp:inline>
        </w:drawing>
      </w:r>
    </w:p>
    <w:p w14:paraId="43BC9155">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5.3.3</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11#墩塔机标准</w:t>
      </w:r>
      <w:r>
        <w:rPr>
          <w:rFonts w:hint="eastAsia"/>
        </w:rPr>
        <w:t>节安装示意图</w:t>
      </w:r>
    </w:p>
    <w:p w14:paraId="50E3FF5F">
      <w:pPr>
        <w:ind w:firstLine="560"/>
      </w:pPr>
      <w:r>
        <w:rPr>
          <w:rFonts w:hint="eastAsia"/>
        </w:rPr>
        <w:t>注意；</w:t>
      </w:r>
    </w:p>
    <w:p w14:paraId="55C8BC1F">
      <w:pPr>
        <w:ind w:firstLine="560"/>
      </w:pPr>
      <w:r>
        <w:rPr>
          <w:rFonts w:hint="eastAsia"/>
        </w:rPr>
        <w:t>1）该机型塔机的标准安装流程：安装基础节，再安装完一节标准节后，进行爬升架以及上部结构的安装，其余塔身节的安装依靠塔机自身顶升系统进行，否则将会提高安装所需吊装器械的需求。</w:t>
      </w:r>
    </w:p>
    <w:p w14:paraId="10E5DE96">
      <w:pPr>
        <w:ind w:firstLine="560"/>
      </w:pPr>
      <w:r>
        <w:rPr>
          <w:rFonts w:hint="eastAsia"/>
        </w:rPr>
        <w:t>2）注意顶升踏步的方向，确保和基础节踏步方向一致，否则会导致无法顶升。</w:t>
      </w:r>
    </w:p>
    <w:p w14:paraId="5D98D47E">
      <w:pPr>
        <w:ind w:firstLine="560"/>
      </w:pPr>
      <w:r>
        <w:rPr>
          <w:rFonts w:hint="eastAsia"/>
        </w:rPr>
        <w:t>3）注意高强螺栓的安装方向为从下往上穿入。</w:t>
      </w:r>
    </w:p>
    <w:p w14:paraId="4B1CC1DC">
      <w:pPr>
        <w:ind w:firstLine="560"/>
      </w:pPr>
      <w:r>
        <w:rPr>
          <w:rFonts w:hint="eastAsia"/>
        </w:rPr>
        <w:t xml:space="preserve">4）高强螺栓安装前，须涂抹润滑脂，M30 高强螺栓的预紧力矩为 </w:t>
      </w:r>
      <w:r>
        <w:rPr>
          <w:rFonts w:hint="eastAsia"/>
          <w:lang w:eastAsia="zh-CN"/>
        </w:rPr>
        <w:t>1400N·m</w:t>
      </w:r>
      <w:r>
        <w:rPr>
          <w:rFonts w:hint="eastAsia"/>
        </w:rPr>
        <w:t>，每根高强度螺栓均应装配两个垫圈（一个垫在螺栓头下，一个垫在螺母下，且使有倒角的一面朝向螺栓头或螺母）及两个螺母并拧紧防松，双螺母中防松螺母拧紧力矩应同样达到</w:t>
      </w:r>
      <w:r>
        <w:rPr>
          <w:rFonts w:hint="eastAsia"/>
          <w:lang w:eastAsia="zh-CN"/>
        </w:rPr>
        <w:t>1400N·m</w:t>
      </w:r>
      <w:r>
        <w:rPr>
          <w:rFonts w:hint="eastAsia"/>
        </w:rPr>
        <w:t>。</w:t>
      </w:r>
    </w:p>
    <w:p w14:paraId="2945F7D4">
      <w:pPr>
        <w:pStyle w:val="4"/>
        <w:bidi w:val="0"/>
        <w:ind w:left="720" w:leftChars="0" w:hanging="720" w:firstLineChars="0"/>
      </w:pPr>
      <w:r>
        <w:rPr>
          <w:rFonts w:hint="eastAsia"/>
        </w:rPr>
        <w:t>吊装爬升架</w:t>
      </w:r>
      <w:bookmarkEnd w:id="296"/>
    </w:p>
    <w:p w14:paraId="7C4150DC">
      <w:pPr>
        <w:ind w:firstLine="560"/>
        <w:rPr>
          <w:color w:val="000000"/>
          <w:highlight w:val="none"/>
        </w:rPr>
      </w:pPr>
      <w:r>
        <w:rPr>
          <w:rFonts w:hint="eastAsia"/>
          <w:color w:val="000000"/>
        </w:rPr>
        <w:t>爬升架总重</w:t>
      </w:r>
      <w:r>
        <w:rPr>
          <w:rFonts w:hint="eastAsia"/>
          <w:color w:val="000000"/>
          <w:lang w:val="en-US" w:eastAsia="zh-CN"/>
        </w:rPr>
        <w:t>3.381</w:t>
      </w:r>
      <w:r>
        <w:rPr>
          <w:rFonts w:hint="eastAsia"/>
          <w:color w:val="000000"/>
        </w:rPr>
        <w:t>t</w:t>
      </w:r>
      <w:r>
        <w:rPr>
          <w:rFonts w:hint="eastAsia"/>
          <w:color w:val="000000"/>
          <w:highlight w:val="none"/>
        </w:rPr>
        <w:t>，使用</w:t>
      </w:r>
      <w:r>
        <w:rPr>
          <w:rFonts w:hint="eastAsia"/>
          <w:color w:val="000000"/>
          <w:highlight w:val="none"/>
          <w:lang w:eastAsia="zh-CN"/>
        </w:rPr>
        <w:t>25T</w:t>
      </w:r>
      <w:r>
        <w:rPr>
          <w:rFonts w:hint="eastAsia"/>
          <w:color w:val="000000"/>
          <w:highlight w:val="none"/>
        </w:rPr>
        <w:t>汽车吊，采用</w:t>
      </w:r>
      <w:r>
        <w:rPr>
          <w:rFonts w:hint="eastAsia"/>
          <w:color w:val="000000"/>
          <w:highlight w:val="none"/>
          <w:lang w:val="en-US" w:eastAsia="zh-CN"/>
        </w:rPr>
        <w:t>四</w:t>
      </w:r>
      <w:r>
        <w:rPr>
          <w:rFonts w:hint="eastAsia"/>
          <w:color w:val="000000"/>
          <w:highlight w:val="none"/>
        </w:rPr>
        <w:t>根</w:t>
      </w:r>
      <w:r>
        <w:rPr>
          <w:rFonts w:hint="eastAsia"/>
          <w:color w:val="000000"/>
          <w:highlight w:val="none"/>
          <w:lang w:eastAsia="zh-CN"/>
        </w:rPr>
        <w:t>22mm6×19W+IWR1870Mpa</w:t>
      </w:r>
      <w:r>
        <w:rPr>
          <w:rFonts w:hint="eastAsia"/>
          <w:color w:val="000000"/>
          <w:highlight w:val="none"/>
        </w:rPr>
        <w:t>钢丝绳，4个</w:t>
      </w:r>
      <w:r>
        <w:rPr>
          <w:rFonts w:hint="eastAsia"/>
          <w:color w:val="000000"/>
          <w:highlight w:val="none"/>
          <w:lang w:val="en-US" w:eastAsia="zh-CN"/>
        </w:rPr>
        <w:t>GB/T25854-6-DW5卸扣</w:t>
      </w:r>
      <w:r>
        <w:rPr>
          <w:rFonts w:hint="eastAsia"/>
          <w:color w:val="000000"/>
          <w:highlight w:val="none"/>
        </w:rPr>
        <w:t>，4吊点起吊。</w:t>
      </w:r>
    </w:p>
    <w:p w14:paraId="70C807BF">
      <w:pPr>
        <w:ind w:firstLine="560"/>
        <w:rPr>
          <w:color w:val="000000"/>
        </w:rPr>
      </w:pPr>
      <w:r>
        <w:rPr>
          <w:color w:val="000000"/>
          <w:highlight w:val="none"/>
        </w:rPr>
        <w:t>a.</w:t>
      </w:r>
      <w:r>
        <w:rPr>
          <w:rFonts w:hint="eastAsia"/>
          <w:color w:val="000000"/>
          <w:highlight w:val="none"/>
        </w:rPr>
        <w:t>将爬升架组装完毕后，将吊具</w:t>
      </w:r>
      <w:r>
        <w:rPr>
          <w:rFonts w:hint="eastAsia"/>
          <w:color w:val="000000"/>
        </w:rPr>
        <w:t xml:space="preserve">挂在爬升架上，拉紧钢丝绳吊起。切记安装顶升油缸的位置必须与塔身踏步同侧。 </w:t>
      </w:r>
    </w:p>
    <w:p w14:paraId="44DE2618">
      <w:pPr>
        <w:ind w:firstLine="560"/>
        <w:rPr>
          <w:color w:val="000000"/>
        </w:rPr>
      </w:pPr>
      <w:r>
        <w:rPr>
          <w:color w:val="000000"/>
        </w:rPr>
        <w:t>b.</w:t>
      </w:r>
      <w:r>
        <w:rPr>
          <w:rFonts w:hint="eastAsia"/>
          <w:color w:val="000000"/>
        </w:rPr>
        <w:t xml:space="preserve">将爬升架缓慢套装在塔身节外侧。 </w:t>
      </w:r>
    </w:p>
    <w:p w14:paraId="19683C5D">
      <w:pPr>
        <w:ind w:firstLine="560"/>
        <w:rPr>
          <w:color w:val="000000"/>
        </w:rPr>
      </w:pPr>
      <w:r>
        <w:rPr>
          <w:color w:val="000000"/>
        </w:rPr>
        <w:t>c.</w:t>
      </w:r>
      <w:r>
        <w:rPr>
          <w:rFonts w:hint="eastAsia"/>
          <w:color w:val="000000"/>
        </w:rPr>
        <w:t>将爬升架上的爬爪放在塔身节的第二节上部的踏步上，再调整好爬升导轮与标准节的间隙</w:t>
      </w:r>
      <w:r>
        <w:rPr>
          <w:color w:val="000000"/>
        </w:rPr>
        <w:t>(</w:t>
      </w:r>
      <w:r>
        <w:rPr>
          <w:rFonts w:hint="eastAsia"/>
          <w:color w:val="000000"/>
        </w:rPr>
        <w:t xml:space="preserve">间隙最好为 </w:t>
      </w:r>
      <w:r>
        <w:rPr>
          <w:color w:val="000000"/>
        </w:rPr>
        <w:t>2</w:t>
      </w:r>
      <w:r>
        <w:rPr>
          <w:rFonts w:hint="eastAsia"/>
          <w:color w:val="000000"/>
        </w:rPr>
        <w:t>～</w:t>
      </w:r>
      <w:r>
        <w:rPr>
          <w:color w:val="000000"/>
        </w:rPr>
        <w:t>3mm)</w:t>
      </w:r>
      <w:r>
        <w:rPr>
          <w:rFonts w:hint="eastAsia"/>
          <w:color w:val="000000"/>
        </w:rPr>
        <w:t xml:space="preserve">。 </w:t>
      </w:r>
    </w:p>
    <w:p w14:paraId="4EE086DD">
      <w:pPr>
        <w:ind w:firstLine="560"/>
        <w:rPr>
          <w:color w:val="000000"/>
        </w:rPr>
      </w:pPr>
      <w:r>
        <w:rPr>
          <w:color w:val="000000"/>
        </w:rPr>
        <w:t>d.</w:t>
      </w:r>
      <w:r>
        <w:rPr>
          <w:rFonts w:hint="eastAsia"/>
          <w:color w:val="000000"/>
        </w:rPr>
        <w:t>安装好顶升油缸，将液压泵站吊装到平台一角，接好油管，检查液压系统的运转情况，应保证油泵电机风扇叶片旋向应与外壳箭头标识一致，以避免烧坏油泵。如有错误。则应重新接好电机接线。</w:t>
      </w:r>
    </w:p>
    <w:p w14:paraId="16A2A647">
      <w:pPr>
        <w:pStyle w:val="177"/>
        <w:spacing w:line="240" w:lineRule="auto"/>
        <w:ind w:left="480" w:firstLine="0" w:firstLineChars="0"/>
        <w:jc w:val="center"/>
      </w:pPr>
      <w:r>
        <w:drawing>
          <wp:inline distT="0" distB="0" distL="114300" distR="114300">
            <wp:extent cx="2014855" cy="3315970"/>
            <wp:effectExtent l="0" t="0" r="4445" b="1778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49"/>
                    <a:stretch>
                      <a:fillRect/>
                    </a:stretch>
                  </pic:blipFill>
                  <pic:spPr>
                    <a:xfrm>
                      <a:off x="0" y="0"/>
                      <a:ext cx="2014855" cy="3315970"/>
                    </a:xfrm>
                    <a:prstGeom prst="rect">
                      <a:avLst/>
                    </a:prstGeom>
                    <a:noFill/>
                    <a:ln>
                      <a:noFill/>
                    </a:ln>
                  </pic:spPr>
                </pic:pic>
              </a:graphicData>
            </a:graphic>
          </wp:inline>
        </w:drawing>
      </w:r>
      <w:r>
        <w:drawing>
          <wp:inline distT="0" distB="0" distL="114300" distR="114300">
            <wp:extent cx="1252855" cy="3558540"/>
            <wp:effectExtent l="0" t="0" r="4445" b="3810"/>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50"/>
                    <a:stretch>
                      <a:fillRect/>
                    </a:stretch>
                  </pic:blipFill>
                  <pic:spPr>
                    <a:xfrm>
                      <a:off x="0" y="0"/>
                      <a:ext cx="1252855" cy="3558540"/>
                    </a:xfrm>
                    <a:prstGeom prst="rect">
                      <a:avLst/>
                    </a:prstGeom>
                    <a:noFill/>
                    <a:ln>
                      <a:noFill/>
                    </a:ln>
                  </pic:spPr>
                </pic:pic>
              </a:graphicData>
            </a:graphic>
          </wp:inline>
        </w:drawing>
      </w:r>
    </w:p>
    <w:p w14:paraId="474BFB12">
      <w:pPr>
        <w:pStyle w:val="16"/>
        <w:spacing w:line="240" w:lineRule="auto"/>
        <w:ind w:left="480" w:firstLine="0" w:firstLineChars="0"/>
        <w:jc w:val="center"/>
        <w:rPr>
          <w:rFonts w:hint="eastAsia"/>
          <w:lang w:val="en-US" w:eastAsia="zh-CN"/>
        </w:rPr>
      </w:pPr>
      <w:r>
        <w:t xml:space="preserve">图 </w:t>
      </w:r>
      <w:r>
        <w:fldChar w:fldCharType="begin"/>
      </w:r>
      <w:r>
        <w:instrText xml:space="preserve"> STYLEREF 3 \s </w:instrText>
      </w:r>
      <w:r>
        <w:fldChar w:fldCharType="separate"/>
      </w:r>
      <w:r>
        <w:t>5.3.4</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eastAsia="zh-CN"/>
        </w:rPr>
        <w:t>吊装爬升架</w:t>
      </w:r>
      <w:r>
        <w:rPr>
          <w:rFonts w:hint="eastAsia"/>
          <w:lang w:val="en-US" w:eastAsia="zh-CN"/>
        </w:rPr>
        <w:t>示意图</w:t>
      </w:r>
    </w:p>
    <w:p w14:paraId="51560057">
      <w:pPr>
        <w:autoSpaceDE w:val="0"/>
        <w:autoSpaceDN w:val="0"/>
        <w:adjustRightInd w:val="0"/>
        <w:spacing w:line="240" w:lineRule="auto"/>
        <w:ind w:firstLine="0" w:firstLineChars="0"/>
        <w:jc w:val="center"/>
      </w:pPr>
      <w:r>
        <w:drawing>
          <wp:inline distT="0" distB="0" distL="114300" distR="114300">
            <wp:extent cx="5417820" cy="3376295"/>
            <wp:effectExtent l="0" t="0" r="11430" b="1460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44"/>
                    <a:srcRect l="5189"/>
                    <a:stretch>
                      <a:fillRect/>
                    </a:stretch>
                  </pic:blipFill>
                  <pic:spPr>
                    <a:xfrm>
                      <a:off x="0" y="0"/>
                      <a:ext cx="5417820" cy="3376295"/>
                    </a:xfrm>
                    <a:prstGeom prst="rect">
                      <a:avLst/>
                    </a:prstGeom>
                    <a:noFill/>
                    <a:ln>
                      <a:noFill/>
                    </a:ln>
                  </pic:spPr>
                </pic:pic>
              </a:graphicData>
            </a:graphic>
          </wp:inline>
        </w:drawing>
      </w:r>
    </w:p>
    <w:p w14:paraId="65FE0DD7">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5.3.4</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9#墩塔机爬升架</w:t>
      </w:r>
      <w:r>
        <w:rPr>
          <w:rFonts w:hint="eastAsia"/>
        </w:rPr>
        <w:t>安装示意图</w:t>
      </w:r>
    </w:p>
    <w:p w14:paraId="67B92919">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400675" cy="3977640"/>
            <wp:effectExtent l="0" t="0" r="9525" b="381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45"/>
                    <a:stretch>
                      <a:fillRect/>
                    </a:stretch>
                  </pic:blipFill>
                  <pic:spPr>
                    <a:xfrm>
                      <a:off x="0" y="0"/>
                      <a:ext cx="5400675" cy="3977640"/>
                    </a:xfrm>
                    <a:prstGeom prst="rect">
                      <a:avLst/>
                    </a:prstGeom>
                    <a:noFill/>
                    <a:ln>
                      <a:noFill/>
                    </a:ln>
                  </pic:spPr>
                </pic:pic>
              </a:graphicData>
            </a:graphic>
          </wp:inline>
        </w:drawing>
      </w:r>
    </w:p>
    <w:p w14:paraId="083F22F5">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5.3.4</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lang w:val="en-US" w:eastAsia="zh-CN"/>
        </w:rPr>
        <w:t xml:space="preserve">  11#墩塔机爬升架</w:t>
      </w:r>
      <w:r>
        <w:rPr>
          <w:rFonts w:hint="eastAsia"/>
        </w:rPr>
        <w:t>安装示意图</w:t>
      </w:r>
    </w:p>
    <w:p w14:paraId="1E9B6FC8">
      <w:pPr>
        <w:pStyle w:val="4"/>
        <w:bidi w:val="0"/>
        <w:ind w:left="720" w:leftChars="0" w:hanging="720" w:firstLineChars="0"/>
      </w:pPr>
      <w:bookmarkStart w:id="297" w:name="_Toc14044"/>
      <w:r>
        <w:rPr>
          <w:rFonts w:hint="eastAsia"/>
        </w:rPr>
        <w:t>安装特殊节</w:t>
      </w:r>
    </w:p>
    <w:p w14:paraId="4C1C1AB5">
      <w:pPr>
        <w:ind w:firstLine="560"/>
        <w:rPr>
          <w:color w:val="000000"/>
        </w:rPr>
      </w:pPr>
      <w:r>
        <w:rPr>
          <w:rFonts w:hint="eastAsia"/>
          <w:color w:val="000000"/>
          <w:lang w:val="en-US" w:eastAsia="zh-CN"/>
        </w:rPr>
        <w:t>特殊节</w:t>
      </w:r>
      <w:r>
        <w:rPr>
          <w:rFonts w:hint="eastAsia"/>
          <w:color w:val="000000"/>
        </w:rPr>
        <w:t>总重1.</w:t>
      </w:r>
      <w:r>
        <w:rPr>
          <w:rFonts w:hint="eastAsia"/>
          <w:color w:val="000000"/>
          <w:lang w:val="en-US" w:eastAsia="zh-CN"/>
        </w:rPr>
        <w:t>316</w:t>
      </w:r>
      <w:r>
        <w:rPr>
          <w:rFonts w:hint="eastAsia"/>
          <w:color w:val="000000"/>
        </w:rPr>
        <w:t>t，使用</w:t>
      </w:r>
      <w:r>
        <w:rPr>
          <w:rFonts w:hint="eastAsia"/>
          <w:color w:val="000000"/>
          <w:lang w:eastAsia="zh-CN"/>
        </w:rPr>
        <w:t>25T</w:t>
      </w:r>
      <w:r>
        <w:rPr>
          <w:rFonts w:hint="eastAsia"/>
          <w:color w:val="000000"/>
        </w:rPr>
        <w:t>汽车吊，采用4根</w:t>
      </w:r>
      <w:r>
        <w:rPr>
          <w:rFonts w:hint="eastAsia"/>
          <w:color w:val="000000"/>
          <w:lang w:eastAsia="zh-CN"/>
        </w:rPr>
        <w:t>22mm6×19W+IWR1870Mpa</w:t>
      </w:r>
      <w:r>
        <w:rPr>
          <w:rFonts w:hint="eastAsia"/>
          <w:color w:val="000000"/>
        </w:rPr>
        <w:t>钢丝绳，4个</w:t>
      </w:r>
      <w:r>
        <w:rPr>
          <w:rFonts w:hint="eastAsia"/>
          <w:color w:val="000000"/>
          <w:lang w:val="en-US" w:eastAsia="zh-CN"/>
        </w:rPr>
        <w:t>GB/T25854-6-DW5卸扣</w:t>
      </w:r>
      <w:r>
        <w:rPr>
          <w:rFonts w:hint="eastAsia"/>
          <w:color w:val="000000"/>
        </w:rPr>
        <w:t>，4吊点起吊。</w:t>
      </w:r>
    </w:p>
    <w:p w14:paraId="6D395D6E">
      <w:pPr>
        <w:ind w:firstLine="560"/>
      </w:pPr>
      <w:r>
        <w:rPr>
          <w:rFonts w:hint="eastAsia"/>
        </w:rPr>
        <w:t>将吊索绕入特殊节（1）四根主弦的连接套，并挂至吊钩，移动到塔身上方，确保与塔身节的爬梯一致后，缓缓落下，将特殊节支腿与与爬升架耳板孔对准后，插入销轴及开口销（7、8）；同时将特殊节与塔身节用螺栓（2、3、6）紧固。</w:t>
      </w:r>
    </w:p>
    <w:p w14:paraId="19351DBA">
      <w:pPr>
        <w:autoSpaceDE w:val="0"/>
        <w:autoSpaceDN w:val="0"/>
        <w:adjustRightInd w:val="0"/>
        <w:spacing w:line="240" w:lineRule="auto"/>
        <w:ind w:firstLine="0" w:firstLineChars="0"/>
        <w:jc w:val="center"/>
      </w:pPr>
      <w:r>
        <w:drawing>
          <wp:inline distT="0" distB="0" distL="114300" distR="114300">
            <wp:extent cx="1938655" cy="3124835"/>
            <wp:effectExtent l="0" t="0" r="4445" b="18415"/>
            <wp:docPr id="16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1"/>
                    <pic:cNvPicPr>
                      <a:picLocks noChangeAspect="1"/>
                    </pic:cNvPicPr>
                  </pic:nvPicPr>
                  <pic:blipFill>
                    <a:blip r:embed="rId51"/>
                    <a:stretch>
                      <a:fillRect/>
                    </a:stretch>
                  </pic:blipFill>
                  <pic:spPr>
                    <a:xfrm>
                      <a:off x="0" y="0"/>
                      <a:ext cx="1938655" cy="3124835"/>
                    </a:xfrm>
                    <a:prstGeom prst="rect">
                      <a:avLst/>
                    </a:prstGeom>
                    <a:noFill/>
                    <a:ln>
                      <a:noFill/>
                    </a:ln>
                  </pic:spPr>
                </pic:pic>
              </a:graphicData>
            </a:graphic>
          </wp:inline>
        </w:drawing>
      </w:r>
      <w:r>
        <w:drawing>
          <wp:inline distT="0" distB="0" distL="114300" distR="114300">
            <wp:extent cx="3512185" cy="2424430"/>
            <wp:effectExtent l="0" t="0" r="12065" b="13970"/>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52"/>
                    <a:stretch>
                      <a:fillRect/>
                    </a:stretch>
                  </pic:blipFill>
                  <pic:spPr>
                    <a:xfrm>
                      <a:off x="0" y="0"/>
                      <a:ext cx="3512185" cy="2424430"/>
                    </a:xfrm>
                    <a:prstGeom prst="rect">
                      <a:avLst/>
                    </a:prstGeom>
                    <a:noFill/>
                    <a:ln>
                      <a:noFill/>
                    </a:ln>
                  </pic:spPr>
                </pic:pic>
              </a:graphicData>
            </a:graphic>
          </wp:inline>
        </w:drawing>
      </w:r>
      <w:r>
        <w:drawing>
          <wp:inline distT="0" distB="0" distL="114300" distR="114300">
            <wp:extent cx="5417820" cy="3376295"/>
            <wp:effectExtent l="0" t="0" r="11430" b="14605"/>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44"/>
                    <a:srcRect l="5189"/>
                    <a:stretch>
                      <a:fillRect/>
                    </a:stretch>
                  </pic:blipFill>
                  <pic:spPr>
                    <a:xfrm>
                      <a:off x="0" y="0"/>
                      <a:ext cx="5417820" cy="3376295"/>
                    </a:xfrm>
                    <a:prstGeom prst="rect">
                      <a:avLst/>
                    </a:prstGeom>
                    <a:noFill/>
                    <a:ln>
                      <a:noFill/>
                    </a:ln>
                  </pic:spPr>
                </pic:pic>
              </a:graphicData>
            </a:graphic>
          </wp:inline>
        </w:drawing>
      </w:r>
    </w:p>
    <w:p w14:paraId="3D9580B9">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5.3.5</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9#墩塔机特殊</w:t>
      </w:r>
      <w:r>
        <w:rPr>
          <w:rFonts w:hint="eastAsia"/>
        </w:rPr>
        <w:t>节安装示意图</w:t>
      </w:r>
    </w:p>
    <w:p w14:paraId="16A4BC27">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400675" cy="3977640"/>
            <wp:effectExtent l="0" t="0" r="9525" b="3810"/>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45"/>
                    <a:stretch>
                      <a:fillRect/>
                    </a:stretch>
                  </pic:blipFill>
                  <pic:spPr>
                    <a:xfrm>
                      <a:off x="0" y="0"/>
                      <a:ext cx="5400675" cy="3977640"/>
                    </a:xfrm>
                    <a:prstGeom prst="rect">
                      <a:avLst/>
                    </a:prstGeom>
                    <a:noFill/>
                    <a:ln>
                      <a:noFill/>
                    </a:ln>
                  </pic:spPr>
                </pic:pic>
              </a:graphicData>
            </a:graphic>
          </wp:inline>
        </w:drawing>
      </w:r>
    </w:p>
    <w:p w14:paraId="0928E448">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5.3.5</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11#墩塔机特殊</w:t>
      </w:r>
      <w:r>
        <w:rPr>
          <w:rFonts w:hint="eastAsia"/>
        </w:rPr>
        <w:t>节安装示意图</w:t>
      </w:r>
    </w:p>
    <w:p w14:paraId="3878B6A0">
      <w:pPr>
        <w:pStyle w:val="16"/>
        <w:spacing w:line="240" w:lineRule="auto"/>
        <w:ind w:left="480" w:firstLine="0" w:firstLineChars="0"/>
        <w:jc w:val="center"/>
      </w:pPr>
    </w:p>
    <w:p w14:paraId="334EBF1E">
      <w:pPr>
        <w:pStyle w:val="4"/>
        <w:bidi w:val="0"/>
        <w:ind w:left="720" w:leftChars="0" w:hanging="720" w:firstLineChars="0"/>
      </w:pPr>
      <w:r>
        <w:rPr>
          <w:rFonts w:hint="eastAsia"/>
        </w:rPr>
        <w:t>安装回转支承总成</w:t>
      </w:r>
      <w:bookmarkEnd w:id="297"/>
    </w:p>
    <w:p w14:paraId="6F06B6F1">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t>在地面将下支座、回转支承、上支座、回转机构、工作平台栏杆、司机室等机构装配在一起。</w:t>
      </w:r>
    </w:p>
    <w:p w14:paraId="6FA51B9B">
      <w:pPr>
        <w:ind w:firstLine="560"/>
        <w:rPr>
          <w:rFonts w:hint="eastAsia"/>
          <w:color w:val="000000"/>
        </w:rPr>
      </w:pPr>
      <w:r>
        <w:rPr>
          <w:rFonts w:hint="eastAsia"/>
          <w:color w:val="000000"/>
        </w:rPr>
        <w:t>回转总成重</w:t>
      </w:r>
      <w:r>
        <w:rPr>
          <w:rFonts w:hint="eastAsia"/>
          <w:color w:val="000000"/>
          <w:lang w:val="en-US" w:eastAsia="zh-CN"/>
        </w:rPr>
        <w:t>3.983</w:t>
      </w:r>
      <w:r>
        <w:rPr>
          <w:rFonts w:hint="eastAsia"/>
          <w:color w:val="000000"/>
        </w:rPr>
        <w:t>t，使用</w:t>
      </w:r>
      <w:r>
        <w:rPr>
          <w:rFonts w:hint="eastAsia"/>
          <w:color w:val="000000"/>
          <w:lang w:eastAsia="zh-CN"/>
        </w:rPr>
        <w:t>25T</w:t>
      </w:r>
      <w:r>
        <w:rPr>
          <w:rFonts w:hint="eastAsia"/>
          <w:color w:val="000000"/>
        </w:rPr>
        <w:t>汽车吊，4根</w:t>
      </w:r>
      <w:r>
        <w:rPr>
          <w:rFonts w:hint="eastAsia"/>
          <w:color w:val="000000"/>
          <w:lang w:eastAsia="zh-CN"/>
        </w:rPr>
        <w:t>22mm6×19W+IWR1870Mpa</w:t>
      </w:r>
      <w:r>
        <w:rPr>
          <w:rFonts w:hint="eastAsia"/>
          <w:color w:val="000000"/>
        </w:rPr>
        <w:t>钢丝绳，4个</w:t>
      </w:r>
      <w:r>
        <w:rPr>
          <w:rFonts w:hint="eastAsia"/>
          <w:color w:val="000000"/>
          <w:lang w:val="en-US" w:eastAsia="zh-CN"/>
        </w:rPr>
        <w:t>GB/T25854-6-DW5卸扣</w:t>
      </w:r>
      <w:r>
        <w:rPr>
          <w:rFonts w:hint="eastAsia"/>
          <w:color w:val="000000"/>
        </w:rPr>
        <w:t>，4吊点起吊。</w:t>
      </w:r>
    </w:p>
    <w:p w14:paraId="2C21046B">
      <w:pPr>
        <w:widowControl/>
        <w:ind w:firstLine="560"/>
        <w:jc w:val="left"/>
        <w:rPr>
          <w:rFonts w:ascii="宋体" w:hAnsi="宋体" w:cs="宋体"/>
          <w:color w:val="1E1C11" w:themeColor="background2" w:themeShade="1A"/>
          <w:kern w:val="0"/>
        </w:rPr>
      </w:pPr>
      <w:r>
        <w:rPr>
          <w:rFonts w:ascii="宋体" w:hAnsi="宋体" w:cs="宋体"/>
          <w:color w:val="1E1C11" w:themeColor="background2" w:themeShade="1A"/>
          <w:kern w:val="0"/>
        </w:rPr>
        <w:t>将吊具挂在上支座四个支柱耳套下，将回转支承总成吊起</w:t>
      </w:r>
      <w:r>
        <w:rPr>
          <w:rFonts w:hint="eastAsia" w:ascii="宋体" w:hAnsi="宋体" w:cs="宋体"/>
          <w:color w:val="1E1C11" w:themeColor="background2" w:themeShade="1A"/>
          <w:kern w:val="0"/>
        </w:rPr>
        <w:t>。</w:t>
      </w:r>
    </w:p>
    <w:p w14:paraId="09B34122">
      <w:pPr>
        <w:widowControl/>
        <w:ind w:firstLine="560"/>
        <w:jc w:val="left"/>
        <w:rPr>
          <w:rFonts w:ascii="宋体" w:hAnsi="宋体" w:cs="宋体"/>
          <w:color w:val="1E1C11" w:themeColor="background2" w:themeShade="1A"/>
          <w:kern w:val="0"/>
        </w:rPr>
      </w:pPr>
      <w:r>
        <w:rPr>
          <w:rFonts w:ascii="宋体" w:hAnsi="宋体" w:cs="宋体"/>
          <w:color w:val="1E1C11" w:themeColor="background2" w:themeShade="1A"/>
          <w:kern w:val="0"/>
        </w:rPr>
        <w:t>吊起回转总成（1）至特殊节上方，注意下支座爬梯方向与特殊节爬梯方向保持一致，将回转总成缓慢的落下，通过 8 个销轴（2）连接，为防止销轴脱出，两个销轴之间通过立销（3）固定，立销下端穿入葫芦销固定。</w:t>
      </w:r>
    </w:p>
    <w:p w14:paraId="3CD67B09">
      <w:pPr>
        <w:widowControl/>
        <w:spacing w:line="240" w:lineRule="auto"/>
        <w:ind w:firstLine="0" w:firstLineChars="0"/>
        <w:jc w:val="center"/>
      </w:pPr>
      <w:r>
        <w:drawing>
          <wp:inline distT="0" distB="0" distL="114300" distR="114300">
            <wp:extent cx="1748155" cy="2936875"/>
            <wp:effectExtent l="0" t="0" r="4445" b="15875"/>
            <wp:docPr id="1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2"/>
                    <pic:cNvPicPr>
                      <a:picLocks noChangeAspect="1"/>
                    </pic:cNvPicPr>
                  </pic:nvPicPr>
                  <pic:blipFill>
                    <a:blip r:embed="rId53"/>
                    <a:stretch>
                      <a:fillRect/>
                    </a:stretch>
                  </pic:blipFill>
                  <pic:spPr>
                    <a:xfrm>
                      <a:off x="0" y="0"/>
                      <a:ext cx="1748155" cy="2936875"/>
                    </a:xfrm>
                    <a:prstGeom prst="rect">
                      <a:avLst/>
                    </a:prstGeom>
                    <a:noFill/>
                    <a:ln>
                      <a:noFill/>
                    </a:ln>
                  </pic:spPr>
                </pic:pic>
              </a:graphicData>
            </a:graphic>
          </wp:inline>
        </w:drawing>
      </w:r>
      <w:r>
        <w:drawing>
          <wp:inline distT="0" distB="0" distL="114300" distR="114300">
            <wp:extent cx="3529965" cy="2495550"/>
            <wp:effectExtent l="0" t="0" r="13335" b="0"/>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54"/>
                    <a:stretch>
                      <a:fillRect/>
                    </a:stretch>
                  </pic:blipFill>
                  <pic:spPr>
                    <a:xfrm>
                      <a:off x="0" y="0"/>
                      <a:ext cx="3529965" cy="2495550"/>
                    </a:xfrm>
                    <a:prstGeom prst="rect">
                      <a:avLst/>
                    </a:prstGeom>
                    <a:noFill/>
                    <a:ln>
                      <a:noFill/>
                    </a:ln>
                  </pic:spPr>
                </pic:pic>
              </a:graphicData>
            </a:graphic>
          </wp:inline>
        </w:drawing>
      </w:r>
    </w:p>
    <w:p w14:paraId="527268F7">
      <w:pPr>
        <w:autoSpaceDE w:val="0"/>
        <w:autoSpaceDN w:val="0"/>
        <w:adjustRightInd w:val="0"/>
        <w:spacing w:line="240" w:lineRule="auto"/>
        <w:ind w:firstLine="0" w:firstLineChars="0"/>
        <w:jc w:val="center"/>
      </w:pPr>
      <w:bookmarkStart w:id="298" w:name="_Toc9619"/>
      <w:r>
        <w:drawing>
          <wp:inline distT="0" distB="0" distL="114300" distR="114300">
            <wp:extent cx="4051935" cy="2526030"/>
            <wp:effectExtent l="0" t="0" r="5715" b="7620"/>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44"/>
                    <a:srcRect l="5189"/>
                    <a:stretch>
                      <a:fillRect/>
                    </a:stretch>
                  </pic:blipFill>
                  <pic:spPr>
                    <a:xfrm>
                      <a:off x="0" y="0"/>
                      <a:ext cx="4051935" cy="2526030"/>
                    </a:xfrm>
                    <a:prstGeom prst="rect">
                      <a:avLst/>
                    </a:prstGeom>
                    <a:noFill/>
                    <a:ln>
                      <a:noFill/>
                    </a:ln>
                  </pic:spPr>
                </pic:pic>
              </a:graphicData>
            </a:graphic>
          </wp:inline>
        </w:drawing>
      </w:r>
    </w:p>
    <w:p w14:paraId="28BC9977">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5.3.6</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9#墩塔机回转总成</w:t>
      </w:r>
      <w:r>
        <w:rPr>
          <w:rFonts w:hint="eastAsia"/>
        </w:rPr>
        <w:t>安装示意图</w:t>
      </w:r>
    </w:p>
    <w:p w14:paraId="6E333433">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3976370" cy="2929255"/>
            <wp:effectExtent l="0" t="0" r="5080" b="4445"/>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45"/>
                    <a:stretch>
                      <a:fillRect/>
                    </a:stretch>
                  </pic:blipFill>
                  <pic:spPr>
                    <a:xfrm>
                      <a:off x="0" y="0"/>
                      <a:ext cx="3976370" cy="2929255"/>
                    </a:xfrm>
                    <a:prstGeom prst="rect">
                      <a:avLst/>
                    </a:prstGeom>
                    <a:noFill/>
                    <a:ln>
                      <a:noFill/>
                    </a:ln>
                  </pic:spPr>
                </pic:pic>
              </a:graphicData>
            </a:graphic>
          </wp:inline>
        </w:drawing>
      </w:r>
    </w:p>
    <w:p w14:paraId="4DBCA590">
      <w:pPr>
        <w:pStyle w:val="16"/>
        <w:autoSpaceDE w:val="0"/>
        <w:autoSpaceDN w:val="0"/>
        <w:adjustRightInd w:val="0"/>
        <w:spacing w:line="240" w:lineRule="auto"/>
        <w:ind w:firstLine="0" w:firstLineChars="0"/>
        <w:jc w:val="center"/>
      </w:pPr>
      <w:r>
        <w:t xml:space="preserve">图 </w:t>
      </w:r>
      <w:r>
        <w:fldChar w:fldCharType="begin"/>
      </w:r>
      <w:r>
        <w:instrText xml:space="preserve"> STYLEREF 3 \s </w:instrText>
      </w:r>
      <w:r>
        <w:fldChar w:fldCharType="separate"/>
      </w:r>
      <w:r>
        <w:t>5.3.6</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11#墩塔机回转总成</w:t>
      </w:r>
      <w:r>
        <w:rPr>
          <w:rFonts w:hint="eastAsia"/>
        </w:rPr>
        <w:t>安装示意图</w:t>
      </w:r>
    </w:p>
    <w:p w14:paraId="006F0904">
      <w:pPr>
        <w:pStyle w:val="4"/>
        <w:bidi w:val="0"/>
        <w:ind w:left="720" w:leftChars="0" w:hanging="720" w:firstLineChars="0"/>
      </w:pPr>
      <w:r>
        <w:rPr>
          <w:rFonts w:hint="eastAsia"/>
        </w:rPr>
        <w:t>安装</w:t>
      </w:r>
      <w:bookmarkEnd w:id="298"/>
      <w:r>
        <w:rPr>
          <w:rFonts w:hint="eastAsia"/>
        </w:rPr>
        <w:t>起重臂根节</w:t>
      </w:r>
    </w:p>
    <w:p w14:paraId="3EB99E84">
      <w:pPr>
        <w:ind w:firstLine="560"/>
        <w:rPr>
          <w:rFonts w:hint="eastAsia"/>
          <w:color w:val="000000"/>
          <w:lang w:val="en-US" w:eastAsia="zh-CN"/>
        </w:rPr>
      </w:pPr>
      <w:r>
        <w:rPr>
          <w:rFonts w:hint="eastAsia"/>
          <w:color w:val="000000"/>
          <w:lang w:val="en-US" w:eastAsia="zh-CN"/>
        </w:rPr>
        <w:t>起重臂根节重2.909t，使用25T汽车吊，4根22mm6×19W+IWR1870Mpa钢丝绳，4个GB/T25854-6-DW5卸扣，4吊点起吊。</w:t>
      </w:r>
    </w:p>
    <w:p w14:paraId="72031368">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如下图所示，在吊装臂根节时，选用四根钢丝绳分别穿过吊耳，最终统一悬挂在吊</w:t>
      </w:r>
      <w:r>
        <w:rPr>
          <w:rFonts w:ascii="宋体" w:hAnsi="宋体" w:cs="宋体"/>
          <w:color w:val="1E1C11" w:themeColor="background2" w:themeShade="1A"/>
          <w:kern w:val="0"/>
        </w:rPr>
        <w:t>钩上，吊装中保证吊装平衡，实现臂根节的吊装。将臂根节（1）与上支座通过销轴装配到一起。</w:t>
      </w:r>
    </w:p>
    <w:p w14:paraId="7B0C5FD5">
      <w:pPr>
        <w:spacing w:line="240" w:lineRule="auto"/>
        <w:ind w:firstLine="0" w:firstLineChars="0"/>
        <w:jc w:val="center"/>
        <w:rPr>
          <w:rFonts w:ascii="Tahoma" w:hAnsi="Tahoma" w:eastAsia="宋体" w:cs="Tahoma"/>
          <w:szCs w:val="24"/>
        </w:rPr>
      </w:pPr>
      <w:r>
        <w:drawing>
          <wp:inline distT="0" distB="0" distL="114300" distR="114300">
            <wp:extent cx="4599940" cy="3125470"/>
            <wp:effectExtent l="0" t="0" r="10160" b="17780"/>
            <wp:docPr id="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3"/>
                    <pic:cNvPicPr>
                      <a:picLocks noChangeAspect="1"/>
                    </pic:cNvPicPr>
                  </pic:nvPicPr>
                  <pic:blipFill>
                    <a:blip r:embed="rId55"/>
                    <a:stretch>
                      <a:fillRect/>
                    </a:stretch>
                  </pic:blipFill>
                  <pic:spPr>
                    <a:xfrm>
                      <a:off x="0" y="0"/>
                      <a:ext cx="4599940" cy="3125470"/>
                    </a:xfrm>
                    <a:prstGeom prst="rect">
                      <a:avLst/>
                    </a:prstGeom>
                    <a:noFill/>
                    <a:ln>
                      <a:noFill/>
                    </a:ln>
                  </pic:spPr>
                </pic:pic>
              </a:graphicData>
            </a:graphic>
          </wp:inline>
        </w:drawing>
      </w:r>
      <w:r>
        <w:drawing>
          <wp:inline distT="0" distB="0" distL="114300" distR="114300">
            <wp:extent cx="1674495" cy="2767965"/>
            <wp:effectExtent l="0" t="0" r="1905" b="13335"/>
            <wp:docPr id="17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3"/>
                    <pic:cNvPicPr>
                      <a:picLocks noChangeAspect="1"/>
                    </pic:cNvPicPr>
                  </pic:nvPicPr>
                  <pic:blipFill>
                    <a:blip r:embed="rId56"/>
                    <a:stretch>
                      <a:fillRect/>
                    </a:stretch>
                  </pic:blipFill>
                  <pic:spPr>
                    <a:xfrm>
                      <a:off x="0" y="0"/>
                      <a:ext cx="1674495" cy="2767965"/>
                    </a:xfrm>
                    <a:prstGeom prst="rect">
                      <a:avLst/>
                    </a:prstGeom>
                    <a:noFill/>
                    <a:ln>
                      <a:noFill/>
                    </a:ln>
                  </pic:spPr>
                </pic:pic>
              </a:graphicData>
            </a:graphic>
          </wp:inline>
        </w:drawing>
      </w:r>
      <w:r>
        <w:drawing>
          <wp:inline distT="0" distB="0" distL="114300" distR="114300">
            <wp:extent cx="2616200" cy="2395220"/>
            <wp:effectExtent l="0" t="0" r="12700" b="5080"/>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57"/>
                    <a:stretch>
                      <a:fillRect/>
                    </a:stretch>
                  </pic:blipFill>
                  <pic:spPr>
                    <a:xfrm>
                      <a:off x="0" y="0"/>
                      <a:ext cx="2616200" cy="2395220"/>
                    </a:xfrm>
                    <a:prstGeom prst="rect">
                      <a:avLst/>
                    </a:prstGeom>
                    <a:noFill/>
                    <a:ln>
                      <a:noFill/>
                    </a:ln>
                  </pic:spPr>
                </pic:pic>
              </a:graphicData>
            </a:graphic>
          </wp:inline>
        </w:drawing>
      </w:r>
      <w:r>
        <w:drawing>
          <wp:inline distT="0" distB="0" distL="114300" distR="114300">
            <wp:extent cx="5722620" cy="3300730"/>
            <wp:effectExtent l="0" t="0" r="11430" b="13970"/>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58"/>
                    <a:stretch>
                      <a:fillRect/>
                    </a:stretch>
                  </pic:blipFill>
                  <pic:spPr>
                    <a:xfrm>
                      <a:off x="0" y="0"/>
                      <a:ext cx="5722620" cy="3300730"/>
                    </a:xfrm>
                    <a:prstGeom prst="rect">
                      <a:avLst/>
                    </a:prstGeom>
                    <a:noFill/>
                    <a:ln>
                      <a:noFill/>
                    </a:ln>
                  </pic:spPr>
                </pic:pic>
              </a:graphicData>
            </a:graphic>
          </wp:inline>
        </w:drawing>
      </w:r>
    </w:p>
    <w:p w14:paraId="24C573AE">
      <w:pPr>
        <w:pStyle w:val="16"/>
        <w:bidi w:val="0"/>
        <w:rPr>
          <w:rFonts w:hint="eastAsia"/>
        </w:rPr>
      </w:pPr>
      <w:r>
        <w:t xml:space="preserve">图 </w:t>
      </w:r>
      <w:r>
        <w:fldChar w:fldCharType="begin"/>
      </w:r>
      <w:r>
        <w:instrText xml:space="preserve"> STYLEREF 3 \s </w:instrText>
      </w:r>
      <w:r>
        <w:fldChar w:fldCharType="separate"/>
      </w:r>
      <w:r>
        <w:t>5.3.7</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9#墩塔机起重臂臂根节</w:t>
      </w:r>
      <w:r>
        <w:rPr>
          <w:rFonts w:hint="eastAsia"/>
        </w:rPr>
        <w:t>安装示意图</w:t>
      </w:r>
    </w:p>
    <w:p w14:paraId="14BB8DF7">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720715" cy="3885565"/>
            <wp:effectExtent l="0" t="0" r="13335" b="635"/>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59"/>
                    <a:stretch>
                      <a:fillRect/>
                    </a:stretch>
                  </pic:blipFill>
                  <pic:spPr>
                    <a:xfrm>
                      <a:off x="0" y="0"/>
                      <a:ext cx="5720715" cy="3885565"/>
                    </a:xfrm>
                    <a:prstGeom prst="rect">
                      <a:avLst/>
                    </a:prstGeom>
                    <a:noFill/>
                    <a:ln>
                      <a:noFill/>
                    </a:ln>
                  </pic:spPr>
                </pic:pic>
              </a:graphicData>
            </a:graphic>
          </wp:inline>
        </w:drawing>
      </w:r>
    </w:p>
    <w:p w14:paraId="61D927EE">
      <w:pPr>
        <w:pStyle w:val="16"/>
        <w:rPr>
          <w:rFonts w:hint="eastAsia" w:eastAsia="黑体"/>
          <w:lang w:val="en-US" w:eastAsia="zh-CN"/>
        </w:rPr>
      </w:pPr>
      <w:r>
        <w:t xml:space="preserve">图 </w:t>
      </w:r>
      <w:r>
        <w:fldChar w:fldCharType="begin"/>
      </w:r>
      <w:r>
        <w:instrText xml:space="preserve"> STYLEREF 3 \s </w:instrText>
      </w:r>
      <w:r>
        <w:fldChar w:fldCharType="separate"/>
      </w:r>
      <w:r>
        <w:t>5.3.7</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11#墩塔机起重臂臂根节</w:t>
      </w:r>
      <w:r>
        <w:rPr>
          <w:rFonts w:hint="eastAsia"/>
        </w:rPr>
        <w:t>安装示意图</w:t>
      </w:r>
    </w:p>
    <w:p w14:paraId="45F39315">
      <w:pPr>
        <w:pStyle w:val="4"/>
        <w:bidi w:val="0"/>
        <w:ind w:left="720" w:leftChars="0" w:hanging="720" w:firstLineChars="0"/>
      </w:pPr>
      <w:bookmarkStart w:id="299" w:name="_Toc29482"/>
      <w:r>
        <w:rPr>
          <w:rFonts w:hint="eastAsia"/>
        </w:rPr>
        <w:t>安装平衡臂总成</w:t>
      </w:r>
      <w:bookmarkEnd w:id="299"/>
      <w:r>
        <w:rPr>
          <w:rFonts w:hint="eastAsia"/>
        </w:rPr>
        <w:t>及部分平衡重</w:t>
      </w:r>
    </w:p>
    <w:p w14:paraId="2C5E614D">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在地面根据起重臂的长度组装好相应的平衡臂，将平衡臂上的栏杆、走道、工作平台、起升机构、电控柜、电阻柜、平衡臂拉杆等组装在一起并紧固好回转机构上接临时电源，将回转支承以上的部分回转到便于安装平衡臂的方位。</w:t>
      </w:r>
    </w:p>
    <w:p w14:paraId="3BC78431">
      <w:pPr>
        <w:ind w:firstLine="560"/>
        <w:rPr>
          <w:rFonts w:hint="eastAsia"/>
          <w:color w:val="000000"/>
          <w:lang w:val="en-US" w:eastAsia="zh-CN"/>
        </w:rPr>
      </w:pPr>
      <w:r>
        <w:rPr>
          <w:rFonts w:hint="eastAsia"/>
          <w:color w:val="000000"/>
          <w:lang w:val="en-US" w:eastAsia="zh-CN"/>
        </w:rPr>
        <w:t>平衡臂总成重5.027t，使用25T汽车吊，4根22mm6×19W+IWR1870Mpa钢丝绳，4个GB/T25854-6-DW5卸扣，4吊点起吊。吊起平衡臂，用定轴架和销轴将平衡臂与起重臂根节固定好。</w:t>
      </w:r>
    </w:p>
    <w:p w14:paraId="70270EA2">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再将平衡臂逐渐抬高至适当的位置，以便于平衡臂上拉杆与起重臂根节上的平衡拉杆板顺利相连，将拉杆用销轴铰接，穿好并张开开口销。</w:t>
      </w:r>
    </w:p>
    <w:p w14:paraId="25695DF4">
      <w:pPr>
        <w:spacing w:line="240" w:lineRule="auto"/>
        <w:ind w:firstLine="0" w:firstLineChars="0"/>
        <w:jc w:val="center"/>
        <w:rPr>
          <w:rFonts w:ascii="Tahoma" w:hAnsi="Tahoma" w:eastAsia="宋体" w:cs="Tahoma"/>
          <w:szCs w:val="24"/>
        </w:rPr>
      </w:pPr>
      <w:r>
        <w:drawing>
          <wp:inline distT="0" distB="0" distL="114300" distR="114300">
            <wp:extent cx="4743450" cy="1770380"/>
            <wp:effectExtent l="0" t="0" r="0" b="127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60"/>
                    <a:srcRect t="3704"/>
                    <a:stretch>
                      <a:fillRect/>
                    </a:stretch>
                  </pic:blipFill>
                  <pic:spPr>
                    <a:xfrm>
                      <a:off x="0" y="0"/>
                      <a:ext cx="4743450" cy="1770380"/>
                    </a:xfrm>
                    <a:prstGeom prst="rect">
                      <a:avLst/>
                    </a:prstGeom>
                    <a:noFill/>
                    <a:ln>
                      <a:noFill/>
                    </a:ln>
                  </pic:spPr>
                </pic:pic>
              </a:graphicData>
            </a:graphic>
          </wp:inline>
        </w:drawing>
      </w:r>
      <w:r>
        <w:drawing>
          <wp:inline distT="0" distB="0" distL="114300" distR="114300">
            <wp:extent cx="3009900" cy="3390900"/>
            <wp:effectExtent l="0" t="0" r="0" b="0"/>
            <wp:docPr id="17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4"/>
                    <pic:cNvPicPr>
                      <a:picLocks noChangeAspect="1"/>
                    </pic:cNvPicPr>
                  </pic:nvPicPr>
                  <pic:blipFill>
                    <a:blip r:embed="rId61"/>
                    <a:stretch>
                      <a:fillRect/>
                    </a:stretch>
                  </pic:blipFill>
                  <pic:spPr>
                    <a:xfrm>
                      <a:off x="0" y="0"/>
                      <a:ext cx="3009900" cy="3390900"/>
                    </a:xfrm>
                    <a:prstGeom prst="rect">
                      <a:avLst/>
                    </a:prstGeom>
                    <a:noFill/>
                    <a:ln>
                      <a:noFill/>
                    </a:ln>
                  </pic:spPr>
                </pic:pic>
              </a:graphicData>
            </a:graphic>
          </wp:inline>
        </w:drawing>
      </w:r>
    </w:p>
    <w:p w14:paraId="56463248">
      <w:pPr>
        <w:pStyle w:val="16"/>
        <w:bidi w:val="0"/>
        <w:rPr>
          <w:rFonts w:hint="eastAsia"/>
        </w:rPr>
      </w:pPr>
      <w:r>
        <w:t xml:space="preserve">图 </w:t>
      </w:r>
      <w:r>
        <w:fldChar w:fldCharType="begin"/>
      </w:r>
      <w:r>
        <w:instrText xml:space="preserve"> STYLEREF 3 \s </w:instrText>
      </w:r>
      <w:r>
        <w:fldChar w:fldCharType="separate"/>
      </w:r>
      <w:r>
        <w:t>5.3.8</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 xml:space="preserve"> 平衡臂</w:t>
      </w:r>
      <w:r>
        <w:rPr>
          <w:rFonts w:hint="eastAsia"/>
          <w:lang w:val="en-US" w:eastAsia="zh-CN"/>
        </w:rPr>
        <w:t>安装示意</w:t>
      </w:r>
      <w:r>
        <w:rPr>
          <w:rFonts w:hint="eastAsia"/>
        </w:rPr>
        <w:t>图</w:t>
      </w:r>
    </w:p>
    <w:p w14:paraId="0E2C50FF">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716905" cy="3854450"/>
            <wp:effectExtent l="0" t="0" r="17145" b="12700"/>
            <wp:docPr id="1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
                    <pic:cNvPicPr>
                      <a:picLocks noChangeAspect="1"/>
                    </pic:cNvPicPr>
                  </pic:nvPicPr>
                  <pic:blipFill>
                    <a:blip r:embed="rId62"/>
                    <a:stretch>
                      <a:fillRect/>
                    </a:stretch>
                  </pic:blipFill>
                  <pic:spPr>
                    <a:xfrm>
                      <a:off x="0" y="0"/>
                      <a:ext cx="5716905" cy="3854450"/>
                    </a:xfrm>
                    <a:prstGeom prst="rect">
                      <a:avLst/>
                    </a:prstGeom>
                    <a:noFill/>
                    <a:ln>
                      <a:noFill/>
                    </a:ln>
                  </pic:spPr>
                </pic:pic>
              </a:graphicData>
            </a:graphic>
          </wp:inline>
        </w:drawing>
      </w:r>
    </w:p>
    <w:p w14:paraId="6BC747C1">
      <w:pPr>
        <w:pStyle w:val="16"/>
        <w:rPr>
          <w:rFonts w:hint="eastAsia"/>
        </w:rPr>
      </w:pPr>
      <w:r>
        <w:t xml:space="preserve">图 </w:t>
      </w:r>
      <w:r>
        <w:fldChar w:fldCharType="begin"/>
      </w:r>
      <w:r>
        <w:instrText xml:space="preserve"> STYLEREF 3 \s </w:instrText>
      </w:r>
      <w:r>
        <w:fldChar w:fldCharType="separate"/>
      </w:r>
      <w:r>
        <w:t>5.3.8</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9#墩塔机起平衡臂</w:t>
      </w:r>
      <w:r>
        <w:rPr>
          <w:rFonts w:hint="eastAsia"/>
        </w:rPr>
        <w:t>安装</w:t>
      </w:r>
      <w:r>
        <w:rPr>
          <w:rFonts w:hint="eastAsia"/>
          <w:lang w:val="en-US" w:eastAsia="zh-CN"/>
        </w:rPr>
        <w:t>平面</w:t>
      </w:r>
      <w:r>
        <w:rPr>
          <w:rFonts w:hint="eastAsia"/>
        </w:rPr>
        <w:t>示意图</w:t>
      </w:r>
    </w:p>
    <w:p w14:paraId="4D0A5259">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723255" cy="4135755"/>
            <wp:effectExtent l="0" t="0" r="10795" b="17145"/>
            <wp:docPr id="1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
                    <pic:cNvPicPr>
                      <a:picLocks noChangeAspect="1"/>
                    </pic:cNvPicPr>
                  </pic:nvPicPr>
                  <pic:blipFill>
                    <a:blip r:embed="rId63"/>
                    <a:stretch>
                      <a:fillRect/>
                    </a:stretch>
                  </pic:blipFill>
                  <pic:spPr>
                    <a:xfrm>
                      <a:off x="0" y="0"/>
                      <a:ext cx="5723255" cy="4135755"/>
                    </a:xfrm>
                    <a:prstGeom prst="rect">
                      <a:avLst/>
                    </a:prstGeom>
                    <a:noFill/>
                    <a:ln>
                      <a:noFill/>
                    </a:ln>
                  </pic:spPr>
                </pic:pic>
              </a:graphicData>
            </a:graphic>
          </wp:inline>
        </w:drawing>
      </w:r>
    </w:p>
    <w:p w14:paraId="503AAE39">
      <w:pPr>
        <w:pStyle w:val="16"/>
        <w:rPr>
          <w:rFonts w:hint="eastAsia"/>
        </w:rPr>
      </w:pPr>
      <w:r>
        <w:t xml:space="preserve">图 </w:t>
      </w:r>
      <w:r>
        <w:fldChar w:fldCharType="begin"/>
      </w:r>
      <w:r>
        <w:instrText xml:space="preserve"> STYLEREF 3 \s </w:instrText>
      </w:r>
      <w:r>
        <w:fldChar w:fldCharType="separate"/>
      </w:r>
      <w:r>
        <w:t>5.3.8</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lang w:val="en-US" w:eastAsia="zh-CN"/>
        </w:rPr>
        <w:t xml:space="preserve">  11#墩塔机起平衡臂</w:t>
      </w:r>
      <w:r>
        <w:rPr>
          <w:rFonts w:hint="eastAsia"/>
        </w:rPr>
        <w:t>安装</w:t>
      </w:r>
      <w:r>
        <w:rPr>
          <w:rFonts w:hint="eastAsia"/>
          <w:lang w:val="en-US" w:eastAsia="zh-CN"/>
        </w:rPr>
        <w:t>平面</w:t>
      </w:r>
      <w:r>
        <w:rPr>
          <w:rFonts w:hint="eastAsia"/>
        </w:rPr>
        <w:t>示意图</w:t>
      </w:r>
    </w:p>
    <w:p w14:paraId="5E03C96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按照下图所示，将吊具绕过专用吊耳，实现平衡重的吊装。依次吊装两块平衡重，平稳放置在平衡臂上。</w:t>
      </w:r>
    </w:p>
    <w:p w14:paraId="52532932">
      <w:pPr>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平衡重的安装共分为两个阶段：</w:t>
      </w:r>
    </w:p>
    <w:p w14:paraId="5B6051C2">
      <w:pPr>
        <w:ind w:firstLine="560"/>
        <w:rPr>
          <w:rFonts w:hint="eastAsia"/>
          <w:color w:val="000000"/>
          <w:lang w:val="en-US" w:eastAsia="zh-CN"/>
        </w:rPr>
      </w:pPr>
      <w:r>
        <w:rPr>
          <w:rFonts w:hint="eastAsia"/>
          <w:color w:val="000000"/>
          <w:lang w:val="en-US" w:eastAsia="zh-CN"/>
        </w:rPr>
        <w:t>阶段 1：平衡臂安装完成后，安装 2 块 3200kg 的平衡重，安装位置为靠近起升机构方向，然后安装起重臂；</w:t>
      </w:r>
    </w:p>
    <w:p w14:paraId="192D5D37">
      <w:pPr>
        <w:ind w:firstLine="560"/>
        <w:rPr>
          <w:rFonts w:hint="eastAsia"/>
          <w:color w:val="000000"/>
          <w:lang w:val="en-US" w:eastAsia="zh-CN"/>
        </w:rPr>
      </w:pPr>
      <w:r>
        <w:rPr>
          <w:rFonts w:hint="eastAsia"/>
          <w:color w:val="000000"/>
          <w:lang w:val="en-US" w:eastAsia="zh-CN"/>
        </w:rPr>
        <w:t>阶段 2：起重臂安装完成后按照平衡重配置完成剩余平衡重的安装。吊装完成后检查并确认相邻平衡重块的整个表面是否贴紧。</w:t>
      </w:r>
    </w:p>
    <w:p w14:paraId="7C5DC35F">
      <w:pPr>
        <w:autoSpaceDE w:val="0"/>
        <w:spacing w:after="120" w:line="360" w:lineRule="auto"/>
        <w:ind w:firstLine="0" w:firstLineChars="0"/>
        <w:jc w:val="center"/>
      </w:pPr>
      <w:r>
        <w:drawing>
          <wp:inline distT="0" distB="0" distL="114300" distR="114300">
            <wp:extent cx="4339590" cy="2082165"/>
            <wp:effectExtent l="0" t="0" r="3810" b="13335"/>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64"/>
                    <a:stretch>
                      <a:fillRect/>
                    </a:stretch>
                  </pic:blipFill>
                  <pic:spPr>
                    <a:xfrm>
                      <a:off x="0" y="0"/>
                      <a:ext cx="4339590" cy="2082165"/>
                    </a:xfrm>
                    <a:prstGeom prst="rect">
                      <a:avLst/>
                    </a:prstGeom>
                    <a:noFill/>
                    <a:ln>
                      <a:noFill/>
                    </a:ln>
                  </pic:spPr>
                </pic:pic>
              </a:graphicData>
            </a:graphic>
          </wp:inline>
        </w:drawing>
      </w:r>
      <w:r>
        <w:drawing>
          <wp:inline distT="0" distB="0" distL="114300" distR="114300">
            <wp:extent cx="2652395" cy="2807335"/>
            <wp:effectExtent l="0" t="0" r="14605" b="12065"/>
            <wp:docPr id="17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5"/>
                    <pic:cNvPicPr>
                      <a:picLocks noChangeAspect="1"/>
                    </pic:cNvPicPr>
                  </pic:nvPicPr>
                  <pic:blipFill>
                    <a:blip r:embed="rId65"/>
                    <a:stretch>
                      <a:fillRect/>
                    </a:stretch>
                  </pic:blipFill>
                  <pic:spPr>
                    <a:xfrm>
                      <a:off x="0" y="0"/>
                      <a:ext cx="2652395" cy="2807335"/>
                    </a:xfrm>
                    <a:prstGeom prst="rect">
                      <a:avLst/>
                    </a:prstGeom>
                    <a:noFill/>
                    <a:ln>
                      <a:noFill/>
                    </a:ln>
                  </pic:spPr>
                </pic:pic>
              </a:graphicData>
            </a:graphic>
          </wp:inline>
        </w:drawing>
      </w:r>
    </w:p>
    <w:p w14:paraId="6E3E531F">
      <w:pPr>
        <w:pStyle w:val="16"/>
      </w:pPr>
      <w:r>
        <w:t xml:space="preserve">图 </w:t>
      </w:r>
      <w:r>
        <w:fldChar w:fldCharType="begin"/>
      </w:r>
      <w:r>
        <w:instrText xml:space="preserve"> STYLEREF 3 \s </w:instrText>
      </w:r>
      <w:r>
        <w:fldChar w:fldCharType="separate"/>
      </w:r>
      <w:r>
        <w:t>5.3.8</w:t>
      </w:r>
      <w:r>
        <w:fldChar w:fldCharType="end"/>
      </w:r>
      <w:r>
        <w:rPr>
          <w:rFonts w:hint="eastAsia"/>
          <w:lang w:eastAsia="zh-CN"/>
        </w:rPr>
        <w:t>-</w:t>
      </w:r>
      <w:r>
        <w:fldChar w:fldCharType="begin"/>
      </w:r>
      <w:r>
        <w:instrText xml:space="preserve"> SEQ 图 \* ARABIC \s 3 </w:instrText>
      </w:r>
      <w:r>
        <w:fldChar w:fldCharType="separate"/>
      </w:r>
      <w:r>
        <w:t>5</w:t>
      </w:r>
      <w:r>
        <w:fldChar w:fldCharType="end"/>
      </w:r>
      <w:r>
        <w:rPr>
          <w:rFonts w:hint="eastAsia"/>
          <w:lang w:val="en-US" w:eastAsia="zh-CN"/>
        </w:rPr>
        <w:t xml:space="preserve">  塔机起平衡重</w:t>
      </w:r>
      <w:r>
        <w:rPr>
          <w:rFonts w:hint="eastAsia"/>
        </w:rPr>
        <w:t>安装示意图</w:t>
      </w:r>
    </w:p>
    <w:p w14:paraId="571A8CCD">
      <w:pPr>
        <w:pStyle w:val="4"/>
        <w:bidi w:val="0"/>
        <w:ind w:left="720" w:leftChars="0" w:hanging="720" w:firstLineChars="0"/>
      </w:pPr>
      <w:bookmarkStart w:id="300" w:name="_Toc8955"/>
      <w:r>
        <w:rPr>
          <w:rFonts w:hint="eastAsia"/>
        </w:rPr>
        <w:t>安装起重臂总成</w:t>
      </w:r>
      <w:bookmarkEnd w:id="300"/>
    </w:p>
    <w:p w14:paraId="30986FE3">
      <w:pPr>
        <w:ind w:firstLine="560"/>
        <w:rPr>
          <w:kern w:val="0"/>
        </w:rPr>
      </w:pPr>
      <w:bookmarkStart w:id="301" w:name="_Toc20504"/>
      <w:r>
        <w:rPr>
          <w:rFonts w:hint="eastAsia"/>
          <w:kern w:val="0"/>
        </w:rPr>
        <w:t>(1)在离上横梁0.6m的支架或枕木上将需要的起重臂拼接好（拼接过程中先将载重小车套在起重臂下弦杆导轨上）。</w:t>
      </w:r>
    </w:p>
    <w:p w14:paraId="63092204">
      <w:pPr>
        <w:ind w:firstLine="560"/>
        <w:rPr>
          <w:kern w:val="0"/>
        </w:rPr>
      </w:pPr>
      <w:r>
        <w:rPr>
          <w:rFonts w:hint="eastAsia"/>
          <w:kern w:val="0"/>
        </w:rPr>
        <w:t xml:space="preserve">(2)将维修吊篮紧固在载重小车上，并使载重小车尽量靠近起重臂根部最小幅度处。 </w:t>
      </w:r>
    </w:p>
    <w:p w14:paraId="706AE963">
      <w:pPr>
        <w:ind w:firstLine="560"/>
        <w:rPr>
          <w:kern w:val="0"/>
        </w:rPr>
      </w:pPr>
      <w:r>
        <w:rPr>
          <w:rFonts w:hint="eastAsia"/>
          <w:kern w:val="0"/>
        </w:rPr>
        <w:t>安装好起重臂根部处的变幅机构，卷筒绕出长、短两根钢丝绳，其中短的通过臂根导向滑轮固定于载重小车后部， 另一根长的通过起重臂中间及头部导向滑轮，固定于载重小车前部。</w:t>
      </w:r>
    </w:p>
    <w:p w14:paraId="5088776C">
      <w:pPr>
        <w:ind w:firstLine="560"/>
        <w:rPr>
          <w:kern w:val="0"/>
        </w:rPr>
      </w:pPr>
      <w:r>
        <w:rPr>
          <w:rFonts w:hint="eastAsia"/>
          <w:kern w:val="0"/>
        </w:rPr>
        <w:t>(3)检查起重臂上的电路是否完善。使用回转机构的临时电源将塔机上部结构回转到便于安装起重臂的方位。</w:t>
      </w:r>
    </w:p>
    <w:p w14:paraId="1E5A38D6">
      <w:pPr>
        <w:ind w:firstLine="560"/>
        <w:rPr>
          <w:rFonts w:hint="eastAsia"/>
          <w:kern w:val="0"/>
        </w:rPr>
      </w:pPr>
      <w:r>
        <w:rPr>
          <w:rFonts w:hint="eastAsia"/>
          <w:kern w:val="0"/>
        </w:rPr>
        <w:t>(4)试吊是否平衡，否则可适当移动挂绳位置， 起吊起重臂总成至安装高度。用定轴架和销轴将塔头与起重臂根部联接固定。</w:t>
      </w:r>
    </w:p>
    <w:p w14:paraId="064331FA">
      <w:pPr>
        <w:ind w:firstLine="560"/>
        <w:rPr>
          <w:rFonts w:hint="eastAsia"/>
          <w:color w:val="000000"/>
          <w:lang w:val="en-US" w:eastAsia="zh-CN"/>
        </w:rPr>
      </w:pPr>
      <w:r>
        <w:rPr>
          <w:rFonts w:hint="eastAsia"/>
          <w:color w:val="000000"/>
          <w:lang w:val="en-US" w:eastAsia="zh-CN"/>
        </w:rPr>
        <w:t>起重臂总成重5.391t，使用25T汽车吊，2根22mm6×19W+IWR1870Mpa钢丝绳，2个GB/T25854-6-DW5卸扣，2吊点起吊。吊起起重臂，用定轴架和销轴将平衡臂与起重臂根节固定好。</w:t>
      </w:r>
    </w:p>
    <w:p w14:paraId="0335A5B0">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4848860" cy="1176655"/>
            <wp:effectExtent l="0" t="0" r="8890" b="4445"/>
            <wp:docPr id="1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6"/>
                    <pic:cNvPicPr>
                      <a:picLocks noChangeAspect="1"/>
                    </pic:cNvPicPr>
                  </pic:nvPicPr>
                  <pic:blipFill>
                    <a:blip r:embed="rId66"/>
                    <a:stretch>
                      <a:fillRect/>
                    </a:stretch>
                  </pic:blipFill>
                  <pic:spPr>
                    <a:xfrm>
                      <a:off x="0" y="0"/>
                      <a:ext cx="4848860" cy="1176655"/>
                    </a:xfrm>
                    <a:prstGeom prst="rect">
                      <a:avLst/>
                    </a:prstGeom>
                    <a:noFill/>
                    <a:ln>
                      <a:noFill/>
                    </a:ln>
                  </pic:spPr>
                </pic:pic>
              </a:graphicData>
            </a:graphic>
          </wp:inline>
        </w:drawing>
      </w:r>
      <w:r>
        <w:drawing>
          <wp:inline distT="0" distB="0" distL="114300" distR="114300">
            <wp:extent cx="5720715" cy="1052830"/>
            <wp:effectExtent l="0" t="0" r="13335" b="13970"/>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67"/>
                    <a:stretch>
                      <a:fillRect/>
                    </a:stretch>
                  </pic:blipFill>
                  <pic:spPr>
                    <a:xfrm>
                      <a:off x="0" y="0"/>
                      <a:ext cx="5720715" cy="1052830"/>
                    </a:xfrm>
                    <a:prstGeom prst="rect">
                      <a:avLst/>
                    </a:prstGeom>
                    <a:noFill/>
                    <a:ln>
                      <a:noFill/>
                    </a:ln>
                  </pic:spPr>
                </pic:pic>
              </a:graphicData>
            </a:graphic>
          </wp:inline>
        </w:drawing>
      </w:r>
      <w:r>
        <w:rPr>
          <w:rFonts w:ascii="宋体" w:hAnsi="宋体" w:eastAsia="宋体" w:cs="宋体"/>
          <w:kern w:val="0"/>
          <w:sz w:val="24"/>
          <w:szCs w:val="24"/>
          <w:lang w:bidi="ar"/>
        </w:rPr>
        <w:drawing>
          <wp:inline distT="0" distB="0" distL="114300" distR="114300">
            <wp:extent cx="5172075" cy="918845"/>
            <wp:effectExtent l="0" t="0" r="9525" b="14605"/>
            <wp:docPr id="12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 descr="IMG_256"/>
                    <pic:cNvPicPr>
                      <a:picLocks noChangeAspect="1"/>
                    </pic:cNvPicPr>
                  </pic:nvPicPr>
                  <pic:blipFill>
                    <a:blip r:embed="rId68"/>
                    <a:stretch>
                      <a:fillRect/>
                    </a:stretch>
                  </pic:blipFill>
                  <pic:spPr>
                    <a:xfrm>
                      <a:off x="0" y="0"/>
                      <a:ext cx="5172075" cy="918845"/>
                    </a:xfrm>
                    <a:prstGeom prst="rect">
                      <a:avLst/>
                    </a:prstGeom>
                    <a:noFill/>
                    <a:ln w="9525">
                      <a:noFill/>
                    </a:ln>
                  </pic:spPr>
                </pic:pic>
              </a:graphicData>
            </a:graphic>
          </wp:inline>
        </w:drawing>
      </w:r>
    </w:p>
    <w:p w14:paraId="0411698F">
      <w:pPr>
        <w:pStyle w:val="1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rPr>
      </w:pPr>
      <w:r>
        <w:t xml:space="preserve">图 </w:t>
      </w:r>
      <w:r>
        <w:fldChar w:fldCharType="begin"/>
      </w:r>
      <w:r>
        <w:instrText xml:space="preserve"> STYLEREF 3 \s </w:instrText>
      </w:r>
      <w:r>
        <w:fldChar w:fldCharType="separate"/>
      </w:r>
      <w:r>
        <w:t>5.3.9</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吊装起重臂示意图</w:t>
      </w:r>
    </w:p>
    <w:p w14:paraId="15B0B482">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716905" cy="2752725"/>
            <wp:effectExtent l="0" t="0" r="17145" b="9525"/>
            <wp:docPr id="1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
                    <pic:cNvPicPr>
                      <a:picLocks noChangeAspect="1"/>
                    </pic:cNvPicPr>
                  </pic:nvPicPr>
                  <pic:blipFill>
                    <a:blip r:embed="rId69"/>
                    <a:stretch>
                      <a:fillRect/>
                    </a:stretch>
                  </pic:blipFill>
                  <pic:spPr>
                    <a:xfrm>
                      <a:off x="0" y="0"/>
                      <a:ext cx="5716905" cy="2752725"/>
                    </a:xfrm>
                    <a:prstGeom prst="rect">
                      <a:avLst/>
                    </a:prstGeom>
                    <a:noFill/>
                    <a:ln>
                      <a:noFill/>
                    </a:ln>
                  </pic:spPr>
                </pic:pic>
              </a:graphicData>
            </a:graphic>
          </wp:inline>
        </w:drawing>
      </w:r>
    </w:p>
    <w:p w14:paraId="2E327760">
      <w:pPr>
        <w:pStyle w:val="16"/>
        <w:rPr>
          <w:rFonts w:hint="eastAsia" w:eastAsia="黑体"/>
          <w:lang w:val="en-US" w:eastAsia="zh-CN"/>
        </w:rPr>
      </w:pPr>
      <w:r>
        <w:t xml:space="preserve">图 </w:t>
      </w:r>
      <w:r>
        <w:fldChar w:fldCharType="begin"/>
      </w:r>
      <w:r>
        <w:instrText xml:space="preserve"> STYLEREF 3 \s </w:instrText>
      </w:r>
      <w:r>
        <w:fldChar w:fldCharType="separate"/>
      </w:r>
      <w:r>
        <w:t>5.3.9</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9#墩塔机起重臂</w:t>
      </w:r>
      <w:r>
        <w:rPr>
          <w:rFonts w:hint="eastAsia"/>
        </w:rPr>
        <w:t>安装</w:t>
      </w:r>
      <w:r>
        <w:rPr>
          <w:rFonts w:hint="eastAsia"/>
          <w:lang w:val="en-US" w:eastAsia="zh-CN"/>
        </w:rPr>
        <w:t>平面</w:t>
      </w:r>
      <w:r>
        <w:rPr>
          <w:rFonts w:hint="eastAsia"/>
        </w:rPr>
        <w:t>示意图</w:t>
      </w:r>
    </w:p>
    <w:p w14:paraId="3EB11C7F">
      <w:pPr>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716270" cy="2627630"/>
            <wp:effectExtent l="0" t="0" r="17780" b="1270"/>
            <wp:docPr id="1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3"/>
                    <pic:cNvPicPr>
                      <a:picLocks noChangeAspect="1"/>
                    </pic:cNvPicPr>
                  </pic:nvPicPr>
                  <pic:blipFill>
                    <a:blip r:embed="rId70"/>
                    <a:stretch>
                      <a:fillRect/>
                    </a:stretch>
                  </pic:blipFill>
                  <pic:spPr>
                    <a:xfrm>
                      <a:off x="0" y="0"/>
                      <a:ext cx="5716270" cy="2627630"/>
                    </a:xfrm>
                    <a:prstGeom prst="rect">
                      <a:avLst/>
                    </a:prstGeom>
                    <a:noFill/>
                    <a:ln>
                      <a:noFill/>
                    </a:ln>
                  </pic:spPr>
                </pic:pic>
              </a:graphicData>
            </a:graphic>
          </wp:inline>
        </w:drawing>
      </w:r>
    </w:p>
    <w:p w14:paraId="6404F4BE">
      <w:pPr>
        <w:pStyle w:val="1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eastAsia="黑体"/>
          <w:lang w:val="en-US" w:eastAsia="zh-CN"/>
        </w:rPr>
      </w:pPr>
      <w:r>
        <w:t xml:space="preserve">图 </w:t>
      </w:r>
      <w:r>
        <w:fldChar w:fldCharType="begin"/>
      </w:r>
      <w:r>
        <w:instrText xml:space="preserve"> STYLEREF 3 \s </w:instrText>
      </w:r>
      <w:r>
        <w:fldChar w:fldCharType="separate"/>
      </w:r>
      <w:r>
        <w:t>5.3.9</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lang w:val="en-US" w:eastAsia="zh-CN"/>
        </w:rPr>
        <w:t xml:space="preserve"> 11#墩塔机起重臂</w:t>
      </w:r>
      <w:r>
        <w:rPr>
          <w:rFonts w:hint="eastAsia"/>
        </w:rPr>
        <w:t>安装</w:t>
      </w:r>
      <w:r>
        <w:rPr>
          <w:rFonts w:hint="eastAsia"/>
          <w:lang w:val="en-US" w:eastAsia="zh-CN"/>
        </w:rPr>
        <w:t>平面</w:t>
      </w:r>
      <w:r>
        <w:rPr>
          <w:rFonts w:hint="eastAsia"/>
        </w:rPr>
        <w:t>示意图</w:t>
      </w:r>
      <w:r>
        <w:drawing>
          <wp:inline distT="0" distB="0" distL="114300" distR="114300">
            <wp:extent cx="5723255" cy="2351405"/>
            <wp:effectExtent l="0" t="0" r="10795" b="10795"/>
            <wp:docPr id="17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6"/>
                    <pic:cNvPicPr>
                      <a:picLocks noChangeAspect="1"/>
                    </pic:cNvPicPr>
                  </pic:nvPicPr>
                  <pic:blipFill>
                    <a:blip r:embed="rId71"/>
                    <a:stretch>
                      <a:fillRect/>
                    </a:stretch>
                  </pic:blipFill>
                  <pic:spPr>
                    <a:xfrm>
                      <a:off x="0" y="0"/>
                      <a:ext cx="5723255" cy="2351405"/>
                    </a:xfrm>
                    <a:prstGeom prst="rect">
                      <a:avLst/>
                    </a:prstGeom>
                    <a:noFill/>
                    <a:ln>
                      <a:noFill/>
                    </a:ln>
                  </pic:spPr>
                </pic:pic>
              </a:graphicData>
            </a:graphic>
          </wp:inline>
        </w:drawing>
      </w:r>
      <w:r>
        <w:t xml:space="preserve">图 </w:t>
      </w:r>
      <w:r>
        <w:fldChar w:fldCharType="begin"/>
      </w:r>
      <w:r>
        <w:instrText xml:space="preserve"> STYLEREF 3 \s </w:instrText>
      </w:r>
      <w:r>
        <w:fldChar w:fldCharType="separate"/>
      </w:r>
      <w:r>
        <w:t>5.3.9</w:t>
      </w:r>
      <w:r>
        <w:fldChar w:fldCharType="end"/>
      </w:r>
      <w:r>
        <w:rPr>
          <w:rFonts w:hint="eastAsia"/>
          <w:lang w:eastAsia="zh-CN"/>
        </w:rPr>
        <w:t>-</w:t>
      </w:r>
      <w:r>
        <w:fldChar w:fldCharType="begin"/>
      </w:r>
      <w:r>
        <w:instrText xml:space="preserve"> SEQ 图 \* ARABIC \s 3 </w:instrText>
      </w:r>
      <w:r>
        <w:fldChar w:fldCharType="separate"/>
      </w:r>
      <w:r>
        <w:t>4</w:t>
      </w:r>
      <w:r>
        <w:fldChar w:fldCharType="end"/>
      </w:r>
      <w:r>
        <w:rPr>
          <w:rFonts w:hint="eastAsia"/>
          <w:lang w:val="en-US" w:eastAsia="zh-CN"/>
        </w:rPr>
        <w:t xml:space="preserve"> 塔机起重臂</w:t>
      </w:r>
      <w:r>
        <w:rPr>
          <w:rFonts w:hint="eastAsia"/>
        </w:rPr>
        <w:t>安装</w:t>
      </w:r>
      <w:r>
        <w:rPr>
          <w:rFonts w:hint="eastAsia"/>
          <w:lang w:val="en-US" w:eastAsia="zh-CN"/>
        </w:rPr>
        <w:t>立面</w:t>
      </w:r>
      <w:r>
        <w:rPr>
          <w:rFonts w:hint="eastAsia"/>
        </w:rPr>
        <w:t>示意图</w:t>
      </w:r>
    </w:p>
    <w:p w14:paraId="2B0B55DD">
      <w:pPr>
        <w:pStyle w:val="4"/>
        <w:bidi w:val="0"/>
        <w:ind w:left="720" w:leftChars="0" w:hanging="720" w:firstLineChars="0"/>
      </w:pPr>
      <w:r>
        <w:rPr>
          <w:rFonts w:hint="eastAsia"/>
        </w:rPr>
        <w:t>装配剩余平衡重</w:t>
      </w:r>
      <w:bookmarkEnd w:id="301"/>
    </w:p>
    <w:p w14:paraId="6CE9BAA0">
      <w:pPr>
        <w:ind w:firstLine="560"/>
        <w:rPr>
          <w:rFonts w:hint="eastAsia"/>
          <w:color w:val="000000"/>
          <w:lang w:val="en-US" w:eastAsia="zh-CN"/>
        </w:rPr>
      </w:pPr>
      <w:r>
        <w:rPr>
          <w:rFonts w:hint="eastAsia"/>
          <w:color w:val="000000"/>
          <w:lang w:val="en-US" w:eastAsia="zh-CN"/>
        </w:rPr>
        <w:t>根据塔机臂长装配剩余平衡重（平衡重的配置及安装位置严格按照要求安装），60 米起重臂时其配置要求如下图：</w:t>
      </w:r>
    </w:p>
    <w:p w14:paraId="5DA986EE">
      <w:pPr>
        <w:spacing w:line="240" w:lineRule="auto"/>
        <w:ind w:firstLine="0" w:firstLineChars="0"/>
        <w:jc w:val="center"/>
      </w:pPr>
      <w:r>
        <w:drawing>
          <wp:inline distT="0" distB="0" distL="114300" distR="114300">
            <wp:extent cx="3362325" cy="2809875"/>
            <wp:effectExtent l="0" t="0" r="9525" b="9525"/>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72"/>
                    <a:stretch>
                      <a:fillRect/>
                    </a:stretch>
                  </pic:blipFill>
                  <pic:spPr>
                    <a:xfrm>
                      <a:off x="0" y="0"/>
                      <a:ext cx="3362325" cy="2809875"/>
                    </a:xfrm>
                    <a:prstGeom prst="rect">
                      <a:avLst/>
                    </a:prstGeom>
                    <a:noFill/>
                    <a:ln>
                      <a:noFill/>
                    </a:ln>
                  </pic:spPr>
                </pic:pic>
              </a:graphicData>
            </a:graphic>
          </wp:inline>
        </w:drawing>
      </w:r>
      <w:r>
        <w:drawing>
          <wp:inline distT="0" distB="0" distL="114300" distR="114300">
            <wp:extent cx="4957445" cy="1821180"/>
            <wp:effectExtent l="0" t="0" r="14605" b="7620"/>
            <wp:docPr id="17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7"/>
                    <pic:cNvPicPr>
                      <a:picLocks noChangeAspect="1"/>
                    </pic:cNvPicPr>
                  </pic:nvPicPr>
                  <pic:blipFill>
                    <a:blip r:embed="rId73"/>
                    <a:stretch>
                      <a:fillRect/>
                    </a:stretch>
                  </pic:blipFill>
                  <pic:spPr>
                    <a:xfrm>
                      <a:off x="0" y="0"/>
                      <a:ext cx="4957445" cy="1821180"/>
                    </a:xfrm>
                    <a:prstGeom prst="rect">
                      <a:avLst/>
                    </a:prstGeom>
                    <a:noFill/>
                    <a:ln>
                      <a:noFill/>
                    </a:ln>
                  </pic:spPr>
                </pic:pic>
              </a:graphicData>
            </a:graphic>
          </wp:inline>
        </w:drawing>
      </w:r>
    </w:p>
    <w:p w14:paraId="71AAC5F6">
      <w:pPr>
        <w:spacing w:line="240" w:lineRule="auto"/>
        <w:ind w:firstLine="0" w:firstLineChars="0"/>
        <w:jc w:val="center"/>
      </w:pPr>
      <w:r>
        <w:drawing>
          <wp:inline distT="0" distB="0" distL="114300" distR="114300">
            <wp:extent cx="5162550" cy="2359660"/>
            <wp:effectExtent l="0" t="0" r="0" b="254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74"/>
                    <a:stretch>
                      <a:fillRect/>
                    </a:stretch>
                  </pic:blipFill>
                  <pic:spPr>
                    <a:xfrm>
                      <a:off x="0" y="0"/>
                      <a:ext cx="5162550" cy="2359660"/>
                    </a:xfrm>
                    <a:prstGeom prst="rect">
                      <a:avLst/>
                    </a:prstGeom>
                    <a:noFill/>
                    <a:ln>
                      <a:noFill/>
                    </a:ln>
                  </pic:spPr>
                </pic:pic>
              </a:graphicData>
            </a:graphic>
          </wp:inline>
        </w:drawing>
      </w:r>
    </w:p>
    <w:p w14:paraId="4BAA4D93">
      <w:pPr>
        <w:pStyle w:val="16"/>
        <w:bidi w:val="0"/>
        <w:rPr>
          <w:rFonts w:hint="eastAsia"/>
        </w:rPr>
      </w:pPr>
      <w:r>
        <w:t xml:space="preserve">图 </w:t>
      </w:r>
      <w:r>
        <w:fldChar w:fldCharType="begin"/>
      </w:r>
      <w:r>
        <w:instrText xml:space="preserve"> STYLEREF 3 \s </w:instrText>
      </w:r>
      <w:r>
        <w:fldChar w:fldCharType="separate"/>
      </w:r>
      <w:r>
        <w:t>5.3.10</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 xml:space="preserve">  </w:t>
      </w:r>
      <w:r>
        <w:rPr>
          <w:rFonts w:hint="eastAsia"/>
          <w:lang w:val="en-US" w:eastAsia="zh-CN"/>
        </w:rPr>
        <w:t>9#墩塔机剩余</w:t>
      </w:r>
      <w:r>
        <w:rPr>
          <w:rFonts w:hint="eastAsia"/>
        </w:rPr>
        <w:t>平衡重</w:t>
      </w:r>
      <w:r>
        <w:rPr>
          <w:rFonts w:hint="eastAsia"/>
          <w:lang w:val="en-US" w:eastAsia="zh-CN"/>
        </w:rPr>
        <w:t>安装</w:t>
      </w:r>
      <w:r>
        <w:rPr>
          <w:rFonts w:hint="eastAsia"/>
        </w:rPr>
        <w:t>示意图</w:t>
      </w:r>
    </w:p>
    <w:p w14:paraId="50A0FBCB">
      <w:pPr>
        <w:pStyle w:val="58"/>
        <w:keepNext w:val="0"/>
        <w:keepLines w:val="0"/>
        <w:pageBreakBefore w:val="0"/>
        <w:widowControl w:val="0"/>
        <w:kinsoku/>
        <w:wordWrap/>
        <w:overflowPunct/>
        <w:topLinePunct w:val="0"/>
        <w:autoSpaceDE/>
        <w:autoSpaceDN/>
        <w:bidi w:val="0"/>
        <w:adjustRightInd/>
        <w:snapToGrid/>
        <w:spacing w:line="240" w:lineRule="auto"/>
        <w:textAlignment w:val="auto"/>
      </w:pPr>
      <w:r>
        <w:drawing>
          <wp:inline distT="0" distB="0" distL="114300" distR="114300">
            <wp:extent cx="5067300" cy="2251075"/>
            <wp:effectExtent l="0" t="0" r="0" b="15875"/>
            <wp:docPr id="1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6"/>
                    <pic:cNvPicPr>
                      <a:picLocks noChangeAspect="1"/>
                    </pic:cNvPicPr>
                  </pic:nvPicPr>
                  <pic:blipFill>
                    <a:blip r:embed="rId75"/>
                    <a:stretch>
                      <a:fillRect/>
                    </a:stretch>
                  </pic:blipFill>
                  <pic:spPr>
                    <a:xfrm>
                      <a:off x="0" y="0"/>
                      <a:ext cx="5067300" cy="2251075"/>
                    </a:xfrm>
                    <a:prstGeom prst="rect">
                      <a:avLst/>
                    </a:prstGeom>
                    <a:noFill/>
                    <a:ln>
                      <a:noFill/>
                    </a:ln>
                  </pic:spPr>
                </pic:pic>
              </a:graphicData>
            </a:graphic>
          </wp:inline>
        </w:drawing>
      </w:r>
    </w:p>
    <w:p w14:paraId="3314AD48">
      <w:pPr>
        <w:pStyle w:val="16"/>
        <w:bidi w:val="0"/>
        <w:rPr>
          <w:rFonts w:hint="eastAsia" w:eastAsia="黑体"/>
          <w:lang w:val="en-US" w:eastAsia="zh-CN"/>
        </w:rPr>
      </w:pPr>
      <w:r>
        <w:t xml:space="preserve">图 </w:t>
      </w:r>
      <w:r>
        <w:fldChar w:fldCharType="begin"/>
      </w:r>
      <w:r>
        <w:instrText xml:space="preserve"> STYLEREF 3 \s </w:instrText>
      </w:r>
      <w:r>
        <w:fldChar w:fldCharType="separate"/>
      </w:r>
      <w:r>
        <w:t>5.3.10</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11#墩塔机剩余</w:t>
      </w:r>
      <w:r>
        <w:rPr>
          <w:rFonts w:hint="eastAsia"/>
        </w:rPr>
        <w:t>平衡重</w:t>
      </w:r>
      <w:r>
        <w:rPr>
          <w:rFonts w:hint="eastAsia"/>
          <w:lang w:val="en-US" w:eastAsia="zh-CN"/>
        </w:rPr>
        <w:t>安装</w:t>
      </w:r>
      <w:r>
        <w:rPr>
          <w:rFonts w:hint="eastAsia"/>
        </w:rPr>
        <w:t>示意图</w:t>
      </w:r>
    </w:p>
    <w:p w14:paraId="5F6ED691">
      <w:pPr>
        <w:pStyle w:val="4"/>
        <w:bidi w:val="0"/>
        <w:ind w:left="720" w:leftChars="0" w:hanging="720" w:firstLineChars="0"/>
      </w:pPr>
      <w:r>
        <w:rPr>
          <w:rFonts w:hint="eastAsia"/>
        </w:rPr>
        <w:t>穿绕起升钢丝绳</w:t>
      </w:r>
    </w:p>
    <w:p w14:paraId="3A2A7488">
      <w:pPr>
        <w:pStyle w:val="177"/>
        <w:ind w:firstLine="560"/>
        <w:rPr>
          <w:kern w:val="0"/>
          <w:szCs w:val="24"/>
        </w:rPr>
      </w:pPr>
      <w:bookmarkStart w:id="302" w:name="_Toc28436"/>
      <w:r>
        <w:rPr>
          <w:rFonts w:hint="eastAsia"/>
          <w:kern w:val="0"/>
          <w:szCs w:val="24"/>
        </w:rPr>
        <w:t>吊装完毕后，进行起升钢丝绳穿绕。</w:t>
      </w:r>
    </w:p>
    <w:p w14:paraId="09C568EA">
      <w:pPr>
        <w:pStyle w:val="177"/>
        <w:ind w:firstLine="0" w:firstLineChars="0"/>
        <w:rPr>
          <w:kern w:val="0"/>
          <w:szCs w:val="24"/>
        </w:rPr>
      </w:pPr>
      <w:r>
        <w:rPr>
          <w:rFonts w:hint="eastAsia"/>
          <w:kern w:val="0"/>
          <w:szCs w:val="24"/>
        </w:rPr>
        <w:t xml:space="preserve">    将钢丝绳从起升机构卷筒放出，通过排绳滑轮、塔顶滑轮、称重滑轮，将钢丝绳引至于位于起重臂根部的小车上，通过小车和吊钩之间的滑轮组，最后将绳头通过绳头夹用销轴固定在起重臂头部防扭装置上。注：钢丝绳穿绕完毕后检查防扭装置是否转动自如。</w:t>
      </w:r>
    </w:p>
    <w:p w14:paraId="755694DF">
      <w:pPr>
        <w:pStyle w:val="177"/>
        <w:spacing w:line="240" w:lineRule="auto"/>
        <w:ind w:firstLine="0" w:firstLineChars="0"/>
        <w:jc w:val="center"/>
        <w:rPr>
          <w:kern w:val="0"/>
          <w:szCs w:val="24"/>
        </w:rPr>
      </w:pPr>
      <w:r>
        <w:drawing>
          <wp:inline distT="0" distB="0" distL="114300" distR="114300">
            <wp:extent cx="5718175" cy="2103755"/>
            <wp:effectExtent l="0" t="0" r="0" b="0"/>
            <wp:docPr id="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4"/>
                    <pic:cNvPicPr>
                      <a:picLocks noChangeAspect="1"/>
                    </pic:cNvPicPr>
                  </pic:nvPicPr>
                  <pic:blipFill>
                    <a:blip r:embed="rId76"/>
                    <a:srcRect t="6067"/>
                    <a:stretch>
                      <a:fillRect/>
                    </a:stretch>
                  </pic:blipFill>
                  <pic:spPr>
                    <a:xfrm>
                      <a:off x="0" y="0"/>
                      <a:ext cx="5718175" cy="2103755"/>
                    </a:xfrm>
                    <a:prstGeom prst="rect">
                      <a:avLst/>
                    </a:prstGeom>
                    <a:noFill/>
                    <a:ln>
                      <a:noFill/>
                    </a:ln>
                  </pic:spPr>
                </pic:pic>
              </a:graphicData>
            </a:graphic>
          </wp:inline>
        </w:drawing>
      </w:r>
    </w:p>
    <w:p w14:paraId="159A343D">
      <w:pPr>
        <w:pStyle w:val="16"/>
        <w:bidi w:val="0"/>
        <w:jc w:val="center"/>
      </w:pPr>
      <w:r>
        <w:t xml:space="preserve">图 </w:t>
      </w:r>
      <w:r>
        <w:fldChar w:fldCharType="begin"/>
      </w:r>
      <w:r>
        <w:instrText xml:space="preserve"> STYLEREF 3 \s </w:instrText>
      </w:r>
      <w:r>
        <w:fldChar w:fldCharType="separate"/>
      </w:r>
      <w:r>
        <w:t>5.3.11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钢丝绳穿绕图</w:t>
      </w:r>
    </w:p>
    <w:p w14:paraId="57D2BA23">
      <w:pPr>
        <w:pStyle w:val="4"/>
        <w:bidi w:val="0"/>
        <w:ind w:left="720" w:leftChars="0" w:hanging="720" w:firstLineChars="0"/>
      </w:pPr>
      <w:r>
        <w:rPr>
          <w:rFonts w:hint="eastAsia"/>
        </w:rPr>
        <w:t>电气安装与使用</w:t>
      </w:r>
      <w:bookmarkEnd w:id="302"/>
    </w:p>
    <w:p w14:paraId="4A3BB079">
      <w:pPr>
        <w:ind w:firstLine="560"/>
        <w:rPr>
          <w:rFonts w:hint="eastAsia"/>
          <w:color w:val="000000"/>
          <w:lang w:val="en-US" w:eastAsia="zh-CN"/>
        </w:rPr>
      </w:pPr>
      <w:r>
        <w:rPr>
          <w:rFonts w:hint="eastAsia"/>
          <w:color w:val="000000"/>
          <w:lang w:val="en-US" w:eastAsia="zh-CN"/>
        </w:rPr>
        <w:t>电气安装处在塔机安装完毕后进行，参看原理图，外部接线图及控制箱连线图，连接各控制及动力电缆、制动器电缆，及安全装置，接地装置，障碍灯等；</w:t>
      </w:r>
    </w:p>
    <w:p w14:paraId="6EEDF10A">
      <w:pPr>
        <w:ind w:firstLine="560"/>
        <w:rPr>
          <w:rFonts w:hint="eastAsia"/>
          <w:color w:val="000000"/>
          <w:lang w:val="en-US" w:eastAsia="zh-CN"/>
        </w:rPr>
      </w:pPr>
      <w:r>
        <w:rPr>
          <w:rFonts w:hint="eastAsia"/>
          <w:color w:val="000000"/>
          <w:lang w:val="en-US" w:eastAsia="zh-CN"/>
        </w:rPr>
        <w:t>a.电气安装</w:t>
      </w:r>
    </w:p>
    <w:p w14:paraId="3944F9BB">
      <w:pPr>
        <w:ind w:firstLine="560"/>
        <w:rPr>
          <w:rFonts w:hint="eastAsia"/>
          <w:color w:val="000000"/>
          <w:lang w:val="en-US" w:eastAsia="zh-CN"/>
        </w:rPr>
      </w:pPr>
      <w:r>
        <w:rPr>
          <w:rFonts w:hint="eastAsia"/>
          <w:color w:val="000000"/>
          <w:lang w:val="en-US" w:eastAsia="zh-CN"/>
        </w:rPr>
        <w:t>送电之前应对所有线路进行检查，须固定的电缆应有可靠地固定，防止塔机在运行时损伤电缆，其主控制回路对地绝缘电阻不应小于0.5MΩ，塔机对地的接地电阻应不大于4Ω，电缆进入司机室时应穿入电缆保护圈后再进入司机室并留适当的长度。</w:t>
      </w:r>
    </w:p>
    <w:p w14:paraId="262D4065">
      <w:pPr>
        <w:ind w:firstLine="560"/>
        <w:rPr>
          <w:rFonts w:hint="eastAsia"/>
          <w:color w:val="000000"/>
          <w:lang w:val="en-US" w:eastAsia="zh-CN"/>
        </w:rPr>
      </w:pPr>
      <w:r>
        <w:rPr>
          <w:rFonts w:hint="eastAsia"/>
          <w:color w:val="000000"/>
          <w:lang w:val="en-US" w:eastAsia="zh-CN"/>
        </w:rPr>
        <w:t>b.通电调试</w:t>
      </w:r>
    </w:p>
    <w:p w14:paraId="310C24C8">
      <w:pPr>
        <w:ind w:firstLine="560"/>
        <w:rPr>
          <w:rFonts w:hint="eastAsia"/>
          <w:color w:val="000000"/>
          <w:lang w:val="en-US" w:eastAsia="zh-CN"/>
        </w:rPr>
      </w:pPr>
      <w:r>
        <w:rPr>
          <w:rFonts w:hint="eastAsia"/>
          <w:color w:val="000000"/>
          <w:lang w:val="en-US" w:eastAsia="zh-CN"/>
        </w:rPr>
        <w:t xml:space="preserve">   场地内的电源采用单独分配箱控制采用TNS五线三相制接线系统。地面电源合上，送电到司机室，检查三相电源应三相平衡，电压应为380V±10%（地面电网应提供足够的容量，以保护电机正常启动和运行）。松开高度限制器，幅度限制器，配合机械安装，穿好起升，载重小车钢丝绳，然后检查各机构运转是否正常，否则应调整接至起升电机的电源相序，以符合要求。</w:t>
      </w:r>
    </w:p>
    <w:p w14:paraId="39EBC813">
      <w:pPr>
        <w:ind w:firstLine="560"/>
        <w:rPr>
          <w:rFonts w:hint="eastAsia"/>
          <w:color w:val="000000"/>
          <w:lang w:val="en-US" w:eastAsia="zh-CN"/>
        </w:rPr>
      </w:pPr>
      <w:r>
        <w:rPr>
          <w:rFonts w:hint="eastAsia"/>
          <w:color w:val="000000"/>
          <w:lang w:val="en-US" w:eastAsia="zh-CN"/>
        </w:rPr>
        <w:t>c.使用应注意事项</w:t>
      </w:r>
    </w:p>
    <w:p w14:paraId="25675C51">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1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①</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电送到司机室后障碍灯和司机室照明可通过操作台上的开关送电，插座上也有电，可供插风扇之用。</w:t>
      </w:r>
    </w:p>
    <w:p w14:paraId="094D59FC">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2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②</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按启动按钮时，各操作手柄必须归零位，总接触器才可得电自保;</w:t>
      </w:r>
    </w:p>
    <w:p w14:paraId="7781C1C1">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3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③</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严禁回转机构打反车制动和紧急刹车，为防止回转打反车和紧急刹车和回转手柄归零后不能马上刹车，电气上设置延时装置须设有几秒的延时间隔。</w:t>
      </w:r>
    </w:p>
    <w:p w14:paraId="47F30592">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4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④</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小车变幅采用变频方案，工作时应根据需要选择适当的速度。</w:t>
      </w:r>
    </w:p>
    <w:p w14:paraId="512980A3">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5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⑤</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控制柜已调好的延时继电器不能随便调整，如更换元件应按电气系统说明书调整正确。</w:t>
      </w:r>
    </w:p>
    <w:p w14:paraId="4038DBCF">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6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⑥</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顶升前要检查泵站电机转向是否与要求一致，否则应将转向调整正确方向进行顶升，顶升时严禁回转变幅和起升，防止发生安全事故和绞断电缆。</w:t>
      </w:r>
    </w:p>
    <w:p w14:paraId="605571EF">
      <w:pPr>
        <w:autoSpaceDE w:val="0"/>
        <w:autoSpaceDN w:val="0"/>
        <w:adjustRightInd w:val="0"/>
        <w:ind w:firstLine="562"/>
        <w:rPr>
          <w:rFonts w:ascii="宋体" w:hAnsi="宋体" w:cs="宋体"/>
          <w:b/>
          <w:bCs/>
          <w:color w:val="1E1C11" w:themeColor="background2" w:themeShade="1A"/>
          <w:kern w:val="0"/>
        </w:rPr>
      </w:pPr>
      <w:r>
        <w:rPr>
          <w:rFonts w:hint="eastAsia" w:ascii="宋体" w:hAnsi="宋体" w:cs="宋体"/>
          <w:b/>
          <w:bCs/>
          <w:color w:val="1E1C11" w:themeColor="background2" w:themeShade="1A"/>
          <w:kern w:val="0"/>
        </w:rPr>
        <w:t>注：塔机接地保护应使用横截面积不小于16mm²的绝缘铜电缆或横截面30mm×35mm表面经电镀的金属条，接地件至少入地面以下1.5米。</w:t>
      </w:r>
      <w:bookmarkStart w:id="303" w:name="_Toc448152260"/>
    </w:p>
    <w:p w14:paraId="4900C094">
      <w:pPr>
        <w:autoSpaceDE w:val="0"/>
        <w:autoSpaceDN w:val="0"/>
        <w:adjustRightInd w:val="0"/>
        <w:ind w:firstLine="562"/>
        <w:rPr>
          <w:rFonts w:ascii="宋体" w:hAnsi="宋体" w:cs="宋体"/>
          <w:b/>
          <w:bCs/>
          <w:color w:val="1E1C11" w:themeColor="background2" w:themeShade="1A"/>
          <w:kern w:val="0"/>
        </w:rPr>
      </w:pPr>
    </w:p>
    <w:bookmarkEnd w:id="303"/>
    <w:p w14:paraId="3CE8D70A">
      <w:pPr>
        <w:pStyle w:val="4"/>
        <w:bidi w:val="0"/>
        <w:ind w:left="720" w:leftChars="0" w:hanging="720" w:firstLineChars="0"/>
      </w:pPr>
      <w:bookmarkStart w:id="304" w:name="_Toc525111831"/>
      <w:bookmarkStart w:id="305" w:name="_Toc23403_WPSOffice_Level2"/>
      <w:bookmarkStart w:id="306" w:name="_Toc3826"/>
      <w:bookmarkStart w:id="307" w:name="_Toc1148_WPSOffice_Level2"/>
      <w:bookmarkStart w:id="308" w:name="_Toc29436"/>
      <w:bookmarkStart w:id="309" w:name="_Toc1251"/>
      <w:bookmarkStart w:id="310" w:name="_Toc32716"/>
      <w:bookmarkStart w:id="311" w:name="_Toc20532"/>
      <w:bookmarkStart w:id="312" w:name="_Toc26444"/>
      <w:bookmarkStart w:id="313" w:name="_Toc9940"/>
      <w:bookmarkStart w:id="314" w:name="_Toc4417"/>
      <w:bookmarkStart w:id="315" w:name="_Toc448152262"/>
      <w:bookmarkStart w:id="316" w:name="_Toc7059"/>
      <w:bookmarkStart w:id="317" w:name="_Toc19782_WPSOffice_Level2"/>
      <w:bookmarkStart w:id="318" w:name="_Toc13112"/>
      <w:r>
        <w:rPr>
          <w:rFonts w:hint="eastAsia"/>
        </w:rPr>
        <w:t>调试前的检查工作</w:t>
      </w:r>
      <w:bookmarkEnd w:id="304"/>
      <w:bookmarkEnd w:id="305"/>
      <w:bookmarkEnd w:id="306"/>
      <w:bookmarkEnd w:id="307"/>
      <w:bookmarkEnd w:id="308"/>
    </w:p>
    <w:p w14:paraId="4B8E7C57">
      <w:pPr>
        <w:ind w:firstLine="560"/>
        <w:rPr>
          <w:rFonts w:hint="eastAsia"/>
          <w:color w:val="000000"/>
          <w:lang w:val="en-US" w:eastAsia="zh-CN"/>
        </w:rPr>
      </w:pPr>
      <w:bookmarkStart w:id="319" w:name="_Toc525111832"/>
      <w:r>
        <w:rPr>
          <w:rFonts w:hint="eastAsia"/>
          <w:color w:val="000000"/>
          <w:lang w:val="en-US" w:eastAsia="zh-CN"/>
        </w:rPr>
        <w:t>1、检查塔机上的所有连接螺栓是否拧紧。</w:t>
      </w:r>
    </w:p>
    <w:p w14:paraId="3444EA0D">
      <w:pPr>
        <w:ind w:firstLine="560"/>
        <w:rPr>
          <w:rFonts w:hint="eastAsia"/>
          <w:color w:val="000000"/>
          <w:lang w:val="en-US" w:eastAsia="zh-CN"/>
        </w:rPr>
      </w:pPr>
      <w:r>
        <w:rPr>
          <w:rFonts w:hint="eastAsia"/>
          <w:color w:val="000000"/>
          <w:lang w:val="en-US" w:eastAsia="zh-CN"/>
        </w:rPr>
        <w:t>2、检查支腿与基础节连接销轴是否安装到位并锁紧。</w:t>
      </w:r>
    </w:p>
    <w:p w14:paraId="52D3C366">
      <w:pPr>
        <w:ind w:firstLine="560"/>
        <w:rPr>
          <w:rFonts w:hint="eastAsia"/>
          <w:color w:val="000000"/>
          <w:lang w:val="en-US" w:eastAsia="zh-CN"/>
        </w:rPr>
      </w:pPr>
      <w:r>
        <w:rPr>
          <w:rFonts w:hint="eastAsia"/>
          <w:color w:val="000000"/>
          <w:lang w:val="en-US" w:eastAsia="zh-CN"/>
        </w:rPr>
        <w:t>3、检查塔机与相邻塔机或建筑物的安全距离是否符合要求。</w:t>
      </w:r>
    </w:p>
    <w:p w14:paraId="20FBEF42">
      <w:pPr>
        <w:ind w:firstLine="560"/>
        <w:rPr>
          <w:rFonts w:hint="eastAsia"/>
          <w:color w:val="000000"/>
          <w:lang w:val="en-US" w:eastAsia="zh-CN"/>
        </w:rPr>
      </w:pPr>
      <w:r>
        <w:rPr>
          <w:rFonts w:hint="eastAsia"/>
          <w:color w:val="000000"/>
          <w:lang w:val="en-US" w:eastAsia="zh-CN"/>
        </w:rPr>
        <w:t>4、检查的连接情况是否良好，是否有破损，与塔机接触的位置是否有保护措施。</w:t>
      </w:r>
    </w:p>
    <w:p w14:paraId="7C166A39">
      <w:pPr>
        <w:ind w:firstLine="560"/>
        <w:rPr>
          <w:rFonts w:hint="eastAsia"/>
          <w:color w:val="000000"/>
          <w:lang w:val="en-US" w:eastAsia="zh-CN"/>
        </w:rPr>
      </w:pPr>
      <w:r>
        <w:rPr>
          <w:rFonts w:hint="eastAsia"/>
          <w:color w:val="000000"/>
          <w:lang w:val="en-US" w:eastAsia="zh-CN"/>
        </w:rPr>
        <w:t>5、检查各标准节的连接销轴是否安装到位并销紧。</w:t>
      </w:r>
    </w:p>
    <w:p w14:paraId="02F61634">
      <w:pPr>
        <w:ind w:firstLine="560"/>
        <w:rPr>
          <w:rFonts w:hint="eastAsia"/>
          <w:color w:val="000000"/>
          <w:lang w:val="en-US" w:eastAsia="zh-CN"/>
        </w:rPr>
      </w:pPr>
      <w:r>
        <w:rPr>
          <w:rFonts w:hint="eastAsia"/>
          <w:color w:val="000000"/>
          <w:lang w:val="en-US" w:eastAsia="zh-CN"/>
        </w:rPr>
        <w:t>6、检查塔机的各扶梯、平台、栏杆安装是否牢固可靠。</w:t>
      </w:r>
    </w:p>
    <w:p w14:paraId="35BE885B">
      <w:pPr>
        <w:ind w:firstLine="560"/>
        <w:rPr>
          <w:rFonts w:hint="eastAsia"/>
          <w:color w:val="000000"/>
          <w:lang w:val="en-US" w:eastAsia="zh-CN"/>
        </w:rPr>
      </w:pPr>
      <w:r>
        <w:rPr>
          <w:rFonts w:hint="eastAsia"/>
          <w:color w:val="000000"/>
          <w:lang w:val="en-US" w:eastAsia="zh-CN"/>
        </w:rPr>
        <w:t>7、检查塔机行走小车与起重臂之间的间隙是否符合要求。</w:t>
      </w:r>
    </w:p>
    <w:p w14:paraId="6981DF21">
      <w:pPr>
        <w:ind w:firstLine="560"/>
        <w:rPr>
          <w:rFonts w:hint="eastAsia"/>
          <w:color w:val="000000"/>
          <w:lang w:val="en-US" w:eastAsia="zh-CN"/>
        </w:rPr>
      </w:pPr>
      <w:r>
        <w:rPr>
          <w:rFonts w:hint="eastAsia"/>
          <w:color w:val="000000"/>
          <w:lang w:val="en-US" w:eastAsia="zh-CN"/>
        </w:rPr>
        <w:t>8、检查钢丝绳的穿绕及卷筒上的缠绕是否正确，检查钢丝绳头是否松动。</w:t>
      </w:r>
    </w:p>
    <w:p w14:paraId="3659DE30">
      <w:pPr>
        <w:ind w:firstLine="560"/>
        <w:rPr>
          <w:rFonts w:hint="eastAsia"/>
          <w:color w:val="000000"/>
          <w:lang w:val="en-US" w:eastAsia="zh-CN"/>
        </w:rPr>
      </w:pPr>
      <w:r>
        <w:rPr>
          <w:rFonts w:hint="eastAsia"/>
          <w:color w:val="000000"/>
          <w:lang w:val="en-US" w:eastAsia="zh-CN"/>
        </w:rPr>
        <w:t>9、检查塔机各润滑面和润滑点的润滑情况是否符合要求。</w:t>
      </w:r>
    </w:p>
    <w:p w14:paraId="30ADB22D">
      <w:pPr>
        <w:ind w:firstLine="560"/>
        <w:rPr>
          <w:rFonts w:hint="eastAsia"/>
          <w:color w:val="000000"/>
          <w:lang w:val="en-US" w:eastAsia="zh-CN"/>
        </w:rPr>
      </w:pPr>
      <w:r>
        <w:rPr>
          <w:rFonts w:hint="eastAsia"/>
          <w:color w:val="000000"/>
          <w:lang w:val="en-US" w:eastAsia="zh-CN"/>
        </w:rPr>
        <w:t>10、检查塔机的相序是否正确。</w:t>
      </w:r>
    </w:p>
    <w:p w14:paraId="129940EA">
      <w:pPr>
        <w:ind w:firstLine="560"/>
        <w:rPr>
          <w:rFonts w:hint="eastAsia"/>
          <w:color w:val="000000"/>
          <w:lang w:val="en-US" w:eastAsia="zh-CN"/>
        </w:rPr>
      </w:pPr>
      <w:r>
        <w:rPr>
          <w:rFonts w:hint="eastAsia"/>
          <w:color w:val="000000"/>
          <w:lang w:val="en-US" w:eastAsia="zh-CN"/>
        </w:rPr>
        <w:t>11、检查平衡臂配重是否固定牢靠。</w:t>
      </w:r>
    </w:p>
    <w:p w14:paraId="1C5C1F4F">
      <w:pPr>
        <w:ind w:firstLine="560"/>
        <w:rPr>
          <w:rFonts w:hint="eastAsia"/>
          <w:color w:val="000000"/>
          <w:lang w:val="en-US" w:eastAsia="zh-CN"/>
        </w:rPr>
      </w:pPr>
      <w:r>
        <w:rPr>
          <w:rFonts w:hint="eastAsia"/>
          <w:color w:val="000000"/>
          <w:lang w:val="en-US" w:eastAsia="zh-CN"/>
        </w:rPr>
        <w:t>12、检查各操作平台上是否有杂物，防止塔机运行时坠物伤人。</w:t>
      </w:r>
    </w:p>
    <w:p w14:paraId="1529EC6C">
      <w:pPr>
        <w:ind w:firstLine="560"/>
        <w:rPr>
          <w:rFonts w:hint="eastAsia"/>
          <w:color w:val="000000"/>
          <w:lang w:val="en-US" w:eastAsia="zh-CN"/>
        </w:rPr>
      </w:pPr>
      <w:r>
        <w:rPr>
          <w:rFonts w:hint="eastAsia"/>
          <w:color w:val="000000"/>
          <w:lang w:val="en-US" w:eastAsia="zh-CN"/>
        </w:rPr>
        <w:t>13、对塔机的接地电阻进行测试，确认其小于4Ω。</w:t>
      </w:r>
    </w:p>
    <w:p w14:paraId="045FB318">
      <w:pPr>
        <w:ind w:firstLine="560"/>
        <w:rPr>
          <w:rFonts w:hint="eastAsia"/>
          <w:color w:val="000000"/>
          <w:lang w:val="en-US" w:eastAsia="zh-CN"/>
        </w:rPr>
      </w:pPr>
      <w:r>
        <w:rPr>
          <w:rFonts w:hint="eastAsia"/>
          <w:color w:val="000000"/>
          <w:lang w:val="en-US" w:eastAsia="zh-CN"/>
        </w:rPr>
        <w:t>14、对塔机进行垂直度检查,确认其垂直度在4/1000范围之内。</w:t>
      </w:r>
    </w:p>
    <w:p w14:paraId="66665A9C">
      <w:pPr>
        <w:ind w:firstLine="560"/>
        <w:rPr>
          <w:rFonts w:ascii="宋体" w:hAnsi="宋体" w:cs="宋体"/>
          <w:color w:val="1E1C11" w:themeColor="background2" w:themeShade="1A"/>
          <w:kern w:val="0"/>
        </w:rPr>
      </w:pPr>
      <w:r>
        <w:rPr>
          <w:rFonts w:hint="eastAsia"/>
          <w:color w:val="000000"/>
          <w:lang w:val="en-US" w:eastAsia="zh-CN"/>
        </w:rPr>
        <w:t>15、在塔机顶部，平衡臂尾部和起重臂端部安装风速仪。</w:t>
      </w:r>
      <w:bookmarkEnd w:id="319"/>
    </w:p>
    <w:p w14:paraId="7FAF0A07">
      <w:pPr>
        <w:pStyle w:val="4"/>
        <w:bidi w:val="0"/>
        <w:ind w:left="720" w:leftChars="0" w:hanging="720" w:firstLineChars="0"/>
      </w:pPr>
      <w:r>
        <w:rPr>
          <w:rFonts w:hint="eastAsia"/>
        </w:rPr>
        <w:t>调试与试运转</w:t>
      </w:r>
    </w:p>
    <w:bookmarkEnd w:id="309"/>
    <w:bookmarkEnd w:id="310"/>
    <w:bookmarkEnd w:id="311"/>
    <w:bookmarkEnd w:id="312"/>
    <w:bookmarkEnd w:id="313"/>
    <w:bookmarkEnd w:id="314"/>
    <w:p w14:paraId="7920BC4E">
      <w:pPr>
        <w:ind w:firstLine="0" w:firstLineChars="0"/>
      </w:pPr>
      <w:r>
        <w:t>试</w:t>
      </w:r>
      <w:r>
        <w:rPr>
          <w:rFonts w:hint="eastAsia" w:ascii="黑体" w:hAnsi="黑体" w:cs="黑体"/>
          <w:color w:val="000000"/>
        </w:rPr>
        <w:t>运转</w:t>
      </w:r>
      <w:r>
        <w:t>目的</w:t>
      </w:r>
    </w:p>
    <w:p w14:paraId="77E4EFA6">
      <w:pPr>
        <w:ind w:firstLine="560"/>
      </w:pPr>
      <w:r>
        <w:t>（1）验证塔式起重机的承载能力，保证塔式起重机正常使用。</w:t>
      </w:r>
    </w:p>
    <w:p w14:paraId="24CAA220">
      <w:pPr>
        <w:ind w:firstLine="560"/>
      </w:pPr>
      <w:r>
        <w:t>（2）通过加载试验，在塔式起重机正式使用前，消除其结构的非弹性变形。</w:t>
      </w:r>
    </w:p>
    <w:p w14:paraId="0CBA71FB">
      <w:pPr>
        <w:ind w:firstLine="560"/>
      </w:pPr>
      <w:r>
        <w:rPr>
          <w:rFonts w:hint="eastAsia"/>
        </w:rPr>
        <w:t>（3）</w:t>
      </w:r>
      <w:r>
        <w:t>试吊载荷</w:t>
      </w:r>
    </w:p>
    <w:p w14:paraId="67B3612E">
      <w:pPr>
        <w:adjustRightInd w:val="0"/>
        <w:snapToGrid w:val="0"/>
        <w:ind w:firstLine="560"/>
        <w:rPr>
          <w:highlight w:val="none"/>
        </w:rPr>
      </w:pPr>
      <w:r>
        <w:rPr>
          <w:highlight w:val="none"/>
        </w:rPr>
        <w:t>根据工程实际工程概况使用四倍率进行载荷试验，确定如下试吊载荷</w:t>
      </w:r>
    </w:p>
    <w:p w14:paraId="67A407FC">
      <w:pPr>
        <w:adjustRightInd w:val="0"/>
        <w:snapToGrid w:val="0"/>
        <w:ind w:firstLine="560"/>
        <w:rPr>
          <w:highlight w:val="none"/>
        </w:rPr>
      </w:pPr>
      <w:r>
        <w:rPr>
          <w:rFonts w:hint="eastAsia"/>
          <w:highlight w:val="none"/>
          <w:lang w:eastAsia="zh-CN"/>
        </w:rPr>
        <w:t>XGT6015A-8S</w:t>
      </w:r>
      <w:r>
        <w:rPr>
          <w:rFonts w:hint="eastAsia"/>
          <w:highlight w:val="none"/>
        </w:rPr>
        <w:t>塔机</w:t>
      </w:r>
      <w:r>
        <w:rPr>
          <w:highlight w:val="none"/>
        </w:rPr>
        <w:t>最大</w:t>
      </w:r>
      <w:r>
        <w:rPr>
          <w:i/>
          <w:iCs/>
          <w:highlight w:val="none"/>
        </w:rPr>
        <w:t>试验载荷：</w:t>
      </w:r>
      <w:r>
        <w:rPr>
          <w:rFonts w:hint="eastAsia"/>
          <w:i/>
          <w:iCs/>
          <w:highlight w:val="none"/>
          <w:lang w:val="en-US" w:eastAsia="zh-CN"/>
        </w:rPr>
        <w:t>8</w:t>
      </w:r>
      <w:r>
        <w:rPr>
          <w:i/>
          <w:iCs/>
          <w:highlight w:val="none"/>
        </w:rPr>
        <w:t>t （1.1倍载荷试验</w:t>
      </w:r>
      <w:r>
        <w:rPr>
          <w:highlight w:val="none"/>
        </w:rPr>
        <w:t>）</w:t>
      </w:r>
    </w:p>
    <w:p w14:paraId="1AD34C6E">
      <w:pPr>
        <w:adjustRightInd w:val="0"/>
        <w:snapToGrid w:val="0"/>
        <w:ind w:firstLine="560"/>
        <w:rPr>
          <w:highlight w:val="none"/>
        </w:rPr>
      </w:pPr>
      <w:r>
        <w:rPr>
          <w:highlight w:val="none"/>
        </w:rPr>
        <w:t>力矩调试试验载荷： (</w:t>
      </w:r>
      <w:r>
        <w:rPr>
          <w:rFonts w:hint="eastAsia"/>
          <w:highlight w:val="none"/>
        </w:rPr>
        <w:t>1</w:t>
      </w:r>
      <w:r>
        <w:rPr>
          <w:highlight w:val="none"/>
        </w:rPr>
        <w:t xml:space="preserve">) </w:t>
      </w:r>
      <w:r>
        <w:rPr>
          <w:rFonts w:hint="eastAsia"/>
          <w:highlight w:val="none"/>
          <w:lang w:val="en-US" w:eastAsia="zh-CN"/>
        </w:rPr>
        <w:t>8.8</w:t>
      </w:r>
      <w:r>
        <w:rPr>
          <w:highlight w:val="none"/>
        </w:rPr>
        <w:t>t(</w:t>
      </w:r>
      <w:r>
        <w:rPr>
          <w:rFonts w:hint="eastAsia"/>
          <w:highlight w:val="none"/>
          <w:lang w:val="en-US" w:eastAsia="zh-CN"/>
        </w:rPr>
        <w:t>10</w:t>
      </w:r>
      <w:r>
        <w:rPr>
          <w:highlight w:val="none"/>
        </w:rPr>
        <w:t xml:space="preserve">m)       (2)  </w:t>
      </w:r>
      <w:r>
        <w:rPr>
          <w:rFonts w:hint="eastAsia"/>
          <w:highlight w:val="none"/>
          <w:lang w:val="en-US" w:eastAsia="zh-CN"/>
        </w:rPr>
        <w:t>1.562</w:t>
      </w:r>
      <w:r>
        <w:rPr>
          <w:highlight w:val="none"/>
        </w:rPr>
        <w:t>t(</w:t>
      </w:r>
      <w:r>
        <w:rPr>
          <w:rFonts w:hint="eastAsia"/>
          <w:highlight w:val="none"/>
          <w:lang w:val="en-US" w:eastAsia="zh-CN"/>
        </w:rPr>
        <w:t>60m</w:t>
      </w:r>
      <w:r>
        <w:rPr>
          <w:highlight w:val="none"/>
        </w:rPr>
        <w:t xml:space="preserve">)     </w:t>
      </w:r>
    </w:p>
    <w:p w14:paraId="3727D16F">
      <w:pPr>
        <w:ind w:firstLine="562"/>
        <w:rPr>
          <w:b/>
          <w:bCs/>
          <w:highlight w:val="none"/>
        </w:rPr>
      </w:pPr>
      <w:bookmarkStart w:id="320" w:name="_Toc15536"/>
      <w:r>
        <w:rPr>
          <w:b/>
          <w:bCs/>
          <w:highlight w:val="none"/>
        </w:rPr>
        <w:t>塔式起重机加载试验工序</w:t>
      </w:r>
      <w:bookmarkEnd w:id="320"/>
    </w:p>
    <w:p w14:paraId="0D9A4F04">
      <w:pPr>
        <w:ind w:firstLine="0" w:firstLineChars="0"/>
        <w:rPr>
          <w:b/>
          <w:bCs/>
        </w:rPr>
      </w:pPr>
      <w:r>
        <w:rPr>
          <w:b/>
          <w:bCs/>
        </w:rPr>
        <w:t>试验前检查</w:t>
      </w:r>
    </w:p>
    <w:p w14:paraId="73D60F10">
      <w:pPr>
        <w:ind w:firstLine="560"/>
      </w:pPr>
      <w:r>
        <w:t>试吊前按人员分工进行全面检查：</w:t>
      </w:r>
    </w:p>
    <w:p w14:paraId="760CC502">
      <w:pPr>
        <w:numPr>
          <w:ilvl w:val="0"/>
          <w:numId w:val="7"/>
        </w:numPr>
        <w:ind w:firstLine="560"/>
      </w:pPr>
      <w:r>
        <w:t>对塔机基础和主体结构焊缝质量、油漆质量等外观质量进行目测检查；</w:t>
      </w:r>
    </w:p>
    <w:p w14:paraId="62EEC2A7">
      <w:pPr>
        <w:numPr>
          <w:ilvl w:val="0"/>
          <w:numId w:val="7"/>
        </w:numPr>
        <w:ind w:firstLine="560"/>
      </w:pPr>
      <w:r>
        <w:t>对电气系统、操作室进行检查；</w:t>
      </w:r>
    </w:p>
    <w:p w14:paraId="7CAE7447">
      <w:pPr>
        <w:numPr>
          <w:ilvl w:val="0"/>
          <w:numId w:val="7"/>
        </w:numPr>
        <w:ind w:firstLine="560"/>
      </w:pPr>
      <w:r>
        <w:t>对起升、回转、变幅等机构进行检查；</w:t>
      </w:r>
    </w:p>
    <w:p w14:paraId="4BAFD269">
      <w:pPr>
        <w:numPr>
          <w:ilvl w:val="0"/>
          <w:numId w:val="7"/>
        </w:numPr>
        <w:ind w:firstLine="560"/>
      </w:pPr>
      <w:r>
        <w:t>对吊索、吊具、试吊物进行全面检查；</w:t>
      </w:r>
    </w:p>
    <w:p w14:paraId="3327E17C">
      <w:pPr>
        <w:numPr>
          <w:ilvl w:val="0"/>
          <w:numId w:val="7"/>
        </w:numPr>
        <w:ind w:firstLine="560"/>
      </w:pPr>
      <w:r>
        <w:t>测量组顺着起重臂方向测量塔身垂直度，需东西向与南北向测量两次</w:t>
      </w:r>
      <w:r>
        <w:rPr>
          <w:rFonts w:hint="eastAsia"/>
        </w:rPr>
        <w:t>.</w:t>
      </w:r>
    </w:p>
    <w:p w14:paraId="1C0215A2">
      <w:pPr>
        <w:pStyle w:val="15"/>
        <w:ind w:firstLine="0" w:firstLineChars="0"/>
        <w:rPr>
          <w:rFonts w:hint="default"/>
          <w:b/>
          <w:bCs/>
        </w:rPr>
      </w:pPr>
      <w:r>
        <w:rPr>
          <w:b/>
          <w:bCs/>
        </w:rPr>
        <w:t>绝缘试验</w:t>
      </w:r>
    </w:p>
    <w:p w14:paraId="1704BB8D">
      <w:pPr>
        <w:ind w:firstLine="560"/>
      </w:pPr>
      <w:r>
        <w:rPr>
          <w:rFonts w:hint="eastAsia"/>
        </w:rPr>
        <w:t>利用接地电阻仪，对附近土壤和预埋接地体进行阻值测试，利用兆欧表对塔身的接地测试是否良好</w:t>
      </w:r>
    </w:p>
    <w:p w14:paraId="2B9BBF94">
      <w:pPr>
        <w:ind w:firstLine="0" w:firstLineChars="0"/>
        <w:rPr>
          <w:b/>
          <w:bCs/>
        </w:rPr>
      </w:pPr>
      <w:r>
        <w:rPr>
          <w:b/>
          <w:bCs/>
        </w:rPr>
        <w:t>空载试验</w:t>
      </w:r>
    </w:p>
    <w:p w14:paraId="111162D1">
      <w:pPr>
        <w:ind w:firstLine="560"/>
      </w:pPr>
      <w:r>
        <w:t>塔机空载状态下，起升、回转、变幅等各动作的操作试验。检查：</w:t>
      </w:r>
    </w:p>
    <w:p w14:paraId="63089B6E">
      <w:pPr>
        <w:ind w:firstLine="560"/>
      </w:pPr>
      <w:r>
        <w:t>（1）操作系统、控制系统、联锁装置动作准确性和灵活性；</w:t>
      </w:r>
    </w:p>
    <w:p w14:paraId="5C3FAAF1">
      <w:pPr>
        <w:ind w:firstLine="560"/>
      </w:pPr>
      <w:r>
        <w:t>（2）各行程限位器的动作准确性和可靠性，（本次试验测试高度限位器与幅度限位器）；</w:t>
      </w:r>
    </w:p>
    <w:p w14:paraId="118DD38B">
      <w:pPr>
        <w:ind w:firstLine="560"/>
      </w:pPr>
      <w:r>
        <w:t>（3）各机构中无相对运动部位是否有漏油现象，有相对运动部位的渗漏情况，各机构运动的平稳性，是否有爬行、振颤、冲击、过热、异常噪声等现象。</w:t>
      </w:r>
    </w:p>
    <w:p w14:paraId="08F935DE">
      <w:pPr>
        <w:ind w:firstLine="0" w:firstLineChars="0"/>
        <w:rPr>
          <w:b/>
          <w:bCs/>
        </w:rPr>
      </w:pPr>
      <w:r>
        <w:rPr>
          <w:b/>
          <w:bCs/>
        </w:rPr>
        <w:t>额定荷载试验</w:t>
      </w:r>
    </w:p>
    <w:p w14:paraId="5B944C3B">
      <w:pPr>
        <w:ind w:firstLine="560"/>
      </w:pPr>
      <w:r>
        <w:t>根据设计的额定载荷，按照GB/T5031规定的工况、试验方法和要求，进行起升、变幅、回转试验，每一工况的试验次数不得少于3次。还应当检查以下内容是否符合要求：</w:t>
      </w:r>
    </w:p>
    <w:p w14:paraId="633D5151">
      <w:pPr>
        <w:ind w:firstLine="560"/>
      </w:pPr>
      <w:r>
        <w:t>（1）起升、回转、变幅的额定速度在允差范围内。</w:t>
      </w:r>
    </w:p>
    <w:p w14:paraId="4265811E">
      <w:pPr>
        <w:ind w:firstLine="560"/>
        <w:rPr>
          <w:b/>
          <w:sz w:val="21"/>
        </w:rPr>
      </w:pPr>
      <w:r>
        <w:t>（2）起重量限制器、起重力矩限制器信号显示、报警精度在允许范围内。</w:t>
      </w:r>
    </w:p>
    <w:p w14:paraId="4B173CEE">
      <w:pPr>
        <w:pStyle w:val="16"/>
        <w:bidi w:val="0"/>
        <w:jc w:val="center"/>
      </w:pPr>
      <w:r>
        <w:rPr>
          <w:rFonts w:hint="eastAsia"/>
          <w:lang w:val="en-US" w:eastAsia="zh-CN"/>
        </w:rPr>
        <w:t>表</w:t>
      </w:r>
      <w:r>
        <w:rPr>
          <w:rFonts w:hint="eastAsia"/>
        </w:rPr>
        <w:t xml:space="preserve"> </w:t>
      </w:r>
      <w:r>
        <w:rPr>
          <w:rFonts w:hint="eastAsia"/>
        </w:rPr>
        <w:fldChar w:fldCharType="begin"/>
      </w:r>
      <w:r>
        <w:rPr>
          <w:rFonts w:hint="eastAsia"/>
        </w:rPr>
        <w:instrText xml:space="preserve"> STYLEREF 3 \s </w:instrText>
      </w:r>
      <w:r>
        <w:rPr>
          <w:rFonts w:hint="eastAsia"/>
        </w:rPr>
        <w:fldChar w:fldCharType="separate"/>
      </w:r>
      <w:r>
        <w:rPr>
          <w:rFonts w:hint="eastAsia"/>
        </w:rPr>
        <w:t>5.3.14</w:t>
      </w:r>
      <w:r>
        <w:rPr>
          <w:rFonts w:hint="eastAsia"/>
        </w:rPr>
        <w:fldChar w:fldCharType="end"/>
      </w:r>
      <w:r>
        <w:rPr>
          <w:rFonts w:hint="eastAsia"/>
          <w:lang w:eastAsia="zh-CN"/>
        </w:rPr>
        <w:t>-</w:t>
      </w:r>
      <w:r>
        <w:rPr>
          <w:rFonts w:hint="eastAsia"/>
        </w:rPr>
        <w:fldChar w:fldCharType="begin"/>
      </w:r>
      <w:r>
        <w:rPr>
          <w:rFonts w:hint="eastAsia"/>
        </w:rPr>
        <w:instrText xml:space="preserve"> SEQ 图 \* ARABIC \s 3 </w:instrText>
      </w:r>
      <w:r>
        <w:rPr>
          <w:rFonts w:hint="eastAsia"/>
        </w:rPr>
        <w:fldChar w:fldCharType="separate"/>
      </w:r>
      <w:r>
        <w:rPr>
          <w:rFonts w:hint="eastAsia"/>
        </w:rPr>
        <w:t>1</w:t>
      </w:r>
      <w:r>
        <w:rPr>
          <w:rFonts w:hint="eastAsia"/>
        </w:rPr>
        <w:fldChar w:fldCharType="end"/>
      </w:r>
      <w:r>
        <w:rPr>
          <w:rFonts w:hint="eastAsia"/>
        </w:rPr>
        <w:t xml:space="preserve"> 额定载荷试验</w:t>
      </w:r>
    </w:p>
    <w:tbl>
      <w:tblPr>
        <w:tblStyle w:val="44"/>
        <w:tblW w:w="5000"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27"/>
        <w:gridCol w:w="1806"/>
        <w:gridCol w:w="1808"/>
        <w:gridCol w:w="1813"/>
        <w:gridCol w:w="1791"/>
      </w:tblGrid>
      <w:tr w14:paraId="0F56FC6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62" w:hRule="atLeast"/>
        </w:trPr>
        <w:tc>
          <w:tcPr>
            <w:tcW w:w="1010" w:type="pct"/>
            <w:vMerge w:val="restart"/>
            <w:vAlign w:val="center"/>
          </w:tcPr>
          <w:p w14:paraId="558958EA">
            <w:pPr>
              <w:adjustRightInd w:val="0"/>
              <w:snapToGrid w:val="0"/>
              <w:spacing w:line="240" w:lineRule="auto"/>
              <w:ind w:firstLine="0" w:firstLineChars="0"/>
              <w:jc w:val="center"/>
              <w:rPr>
                <w:sz w:val="21"/>
              </w:rPr>
            </w:pPr>
            <w:r>
              <w:rPr>
                <w:sz w:val="21"/>
              </w:rPr>
              <w:t>工况</w:t>
            </w:r>
          </w:p>
        </w:tc>
        <w:tc>
          <w:tcPr>
            <w:tcW w:w="2999" w:type="pct"/>
            <w:gridSpan w:val="3"/>
            <w:vAlign w:val="center"/>
          </w:tcPr>
          <w:p w14:paraId="1124FCC6">
            <w:pPr>
              <w:adjustRightInd w:val="0"/>
              <w:snapToGrid w:val="0"/>
              <w:spacing w:line="240" w:lineRule="auto"/>
              <w:ind w:firstLine="0" w:firstLineChars="0"/>
              <w:jc w:val="center"/>
              <w:rPr>
                <w:sz w:val="21"/>
              </w:rPr>
            </w:pPr>
            <w:r>
              <w:rPr>
                <w:sz w:val="21"/>
              </w:rPr>
              <w:t>试验方法</w:t>
            </w:r>
          </w:p>
        </w:tc>
        <w:tc>
          <w:tcPr>
            <w:tcW w:w="990" w:type="pct"/>
            <w:vMerge w:val="restart"/>
            <w:vAlign w:val="center"/>
          </w:tcPr>
          <w:p w14:paraId="530203C2">
            <w:pPr>
              <w:adjustRightInd w:val="0"/>
              <w:snapToGrid w:val="0"/>
              <w:spacing w:line="240" w:lineRule="auto"/>
              <w:ind w:firstLine="0" w:firstLineChars="0"/>
              <w:jc w:val="center"/>
              <w:rPr>
                <w:sz w:val="21"/>
              </w:rPr>
            </w:pPr>
            <w:r>
              <w:rPr>
                <w:sz w:val="21"/>
              </w:rPr>
              <w:t>试验目的</w:t>
            </w:r>
          </w:p>
        </w:tc>
      </w:tr>
      <w:tr w14:paraId="67A6FCE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1010" w:type="pct"/>
            <w:vMerge w:val="continue"/>
            <w:vAlign w:val="center"/>
          </w:tcPr>
          <w:p w14:paraId="171E9800">
            <w:pPr>
              <w:adjustRightInd w:val="0"/>
              <w:snapToGrid w:val="0"/>
              <w:spacing w:line="240" w:lineRule="auto"/>
              <w:ind w:firstLine="0" w:firstLineChars="0"/>
              <w:jc w:val="center"/>
              <w:rPr>
                <w:sz w:val="21"/>
              </w:rPr>
            </w:pPr>
          </w:p>
        </w:tc>
        <w:tc>
          <w:tcPr>
            <w:tcW w:w="998" w:type="pct"/>
            <w:vAlign w:val="center"/>
          </w:tcPr>
          <w:p w14:paraId="0BB9E689">
            <w:pPr>
              <w:adjustRightInd w:val="0"/>
              <w:snapToGrid w:val="0"/>
              <w:spacing w:line="240" w:lineRule="auto"/>
              <w:ind w:firstLine="0" w:firstLineChars="0"/>
              <w:jc w:val="center"/>
              <w:rPr>
                <w:sz w:val="21"/>
              </w:rPr>
            </w:pPr>
            <w:r>
              <w:rPr>
                <w:sz w:val="21"/>
              </w:rPr>
              <w:t>起升</w:t>
            </w:r>
          </w:p>
        </w:tc>
        <w:tc>
          <w:tcPr>
            <w:tcW w:w="999" w:type="pct"/>
            <w:vAlign w:val="center"/>
          </w:tcPr>
          <w:p w14:paraId="75CDC186">
            <w:pPr>
              <w:adjustRightInd w:val="0"/>
              <w:snapToGrid w:val="0"/>
              <w:spacing w:line="240" w:lineRule="auto"/>
              <w:ind w:firstLine="0" w:firstLineChars="0"/>
              <w:jc w:val="center"/>
              <w:rPr>
                <w:sz w:val="21"/>
              </w:rPr>
            </w:pPr>
            <w:r>
              <w:rPr>
                <w:sz w:val="21"/>
              </w:rPr>
              <w:t>变幅</w:t>
            </w:r>
          </w:p>
        </w:tc>
        <w:tc>
          <w:tcPr>
            <w:tcW w:w="1002" w:type="pct"/>
            <w:vAlign w:val="center"/>
          </w:tcPr>
          <w:p w14:paraId="718634E0">
            <w:pPr>
              <w:adjustRightInd w:val="0"/>
              <w:snapToGrid w:val="0"/>
              <w:spacing w:line="240" w:lineRule="auto"/>
              <w:ind w:firstLine="0" w:firstLineChars="0"/>
              <w:jc w:val="center"/>
              <w:rPr>
                <w:sz w:val="21"/>
              </w:rPr>
            </w:pPr>
            <w:r>
              <w:rPr>
                <w:sz w:val="21"/>
              </w:rPr>
              <w:t>回转</w:t>
            </w:r>
          </w:p>
        </w:tc>
        <w:tc>
          <w:tcPr>
            <w:tcW w:w="990" w:type="pct"/>
            <w:vMerge w:val="continue"/>
            <w:vAlign w:val="center"/>
          </w:tcPr>
          <w:p w14:paraId="44A777AD">
            <w:pPr>
              <w:adjustRightInd w:val="0"/>
              <w:snapToGrid w:val="0"/>
              <w:spacing w:line="240" w:lineRule="auto"/>
              <w:ind w:firstLine="0" w:firstLineChars="0"/>
              <w:jc w:val="center"/>
              <w:rPr>
                <w:sz w:val="21"/>
              </w:rPr>
            </w:pPr>
          </w:p>
        </w:tc>
      </w:tr>
      <w:tr w14:paraId="57C1288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258" w:hRule="atLeast"/>
        </w:trPr>
        <w:tc>
          <w:tcPr>
            <w:tcW w:w="1010" w:type="pct"/>
            <w:vAlign w:val="center"/>
          </w:tcPr>
          <w:p w14:paraId="0C4096E4">
            <w:pPr>
              <w:adjustRightInd w:val="0"/>
              <w:snapToGrid w:val="0"/>
              <w:spacing w:line="240" w:lineRule="auto"/>
              <w:ind w:firstLine="0" w:firstLineChars="0"/>
              <w:jc w:val="center"/>
              <w:rPr>
                <w:sz w:val="21"/>
              </w:rPr>
            </w:pPr>
            <w:r>
              <w:rPr>
                <w:sz w:val="21"/>
              </w:rPr>
              <w:t>最大幅度相应的额定起重量</w:t>
            </w:r>
          </w:p>
        </w:tc>
        <w:tc>
          <w:tcPr>
            <w:tcW w:w="998" w:type="pct"/>
            <w:vMerge w:val="restart"/>
            <w:vAlign w:val="center"/>
          </w:tcPr>
          <w:p w14:paraId="24E95710">
            <w:pPr>
              <w:adjustRightInd w:val="0"/>
              <w:snapToGrid w:val="0"/>
              <w:spacing w:line="240" w:lineRule="auto"/>
              <w:ind w:firstLine="0" w:firstLineChars="0"/>
              <w:jc w:val="center"/>
              <w:rPr>
                <w:sz w:val="21"/>
              </w:rPr>
            </w:pPr>
            <w:r>
              <w:rPr>
                <w:sz w:val="21"/>
              </w:rPr>
              <w:t>在起升全程范围内以额定速度进行起升、下降，在每一起升、下降过程中进行不少于三次的正常制动</w:t>
            </w:r>
          </w:p>
        </w:tc>
        <w:tc>
          <w:tcPr>
            <w:tcW w:w="999" w:type="pct"/>
            <w:vAlign w:val="center"/>
          </w:tcPr>
          <w:p w14:paraId="26BDB710">
            <w:pPr>
              <w:adjustRightInd w:val="0"/>
              <w:snapToGrid w:val="0"/>
              <w:spacing w:line="240" w:lineRule="auto"/>
              <w:ind w:firstLine="0" w:firstLineChars="0"/>
              <w:jc w:val="center"/>
              <w:rPr>
                <w:sz w:val="21"/>
              </w:rPr>
            </w:pPr>
            <w:r>
              <w:rPr>
                <w:sz w:val="21"/>
              </w:rPr>
              <w:t>在最大幅度和最小幅度间，小车以额定速度进行两个方向变幅</w:t>
            </w:r>
          </w:p>
        </w:tc>
        <w:tc>
          <w:tcPr>
            <w:tcW w:w="1002" w:type="pct"/>
            <w:vMerge w:val="restart"/>
            <w:vAlign w:val="center"/>
          </w:tcPr>
          <w:p w14:paraId="5724A7C5">
            <w:pPr>
              <w:adjustRightInd w:val="0"/>
              <w:snapToGrid w:val="0"/>
              <w:spacing w:line="240" w:lineRule="auto"/>
              <w:ind w:firstLine="0" w:firstLineChars="0"/>
              <w:jc w:val="center"/>
              <w:rPr>
                <w:sz w:val="21"/>
              </w:rPr>
            </w:pPr>
            <w:r>
              <w:rPr>
                <w:sz w:val="21"/>
              </w:rPr>
              <w:t>以额定速度进行左右回转。</w:t>
            </w:r>
          </w:p>
        </w:tc>
        <w:tc>
          <w:tcPr>
            <w:tcW w:w="990" w:type="pct"/>
            <w:vMerge w:val="restart"/>
            <w:vAlign w:val="center"/>
          </w:tcPr>
          <w:p w14:paraId="34450AEE">
            <w:pPr>
              <w:adjustRightInd w:val="0"/>
              <w:snapToGrid w:val="0"/>
              <w:spacing w:line="240" w:lineRule="auto"/>
              <w:ind w:firstLine="0" w:firstLineChars="0"/>
              <w:jc w:val="center"/>
              <w:rPr>
                <w:sz w:val="21"/>
              </w:rPr>
            </w:pPr>
            <w:r>
              <w:rPr>
                <w:sz w:val="21"/>
              </w:rPr>
              <w:t>测量各机构的运动速度；机构及司机室噪声；力矩限制器、起重量限制器精度</w:t>
            </w:r>
          </w:p>
        </w:tc>
      </w:tr>
      <w:tr w14:paraId="5B3DF16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756" w:hRule="atLeast"/>
        </w:trPr>
        <w:tc>
          <w:tcPr>
            <w:tcW w:w="1010" w:type="pct"/>
            <w:vAlign w:val="center"/>
          </w:tcPr>
          <w:p w14:paraId="283D65C4">
            <w:pPr>
              <w:adjustRightInd w:val="0"/>
              <w:snapToGrid w:val="0"/>
              <w:spacing w:line="240" w:lineRule="auto"/>
              <w:ind w:firstLine="0" w:firstLineChars="0"/>
              <w:jc w:val="center"/>
              <w:rPr>
                <w:sz w:val="21"/>
              </w:rPr>
            </w:pPr>
            <w:r>
              <w:rPr>
                <w:sz w:val="21"/>
              </w:rPr>
              <w:t>最大额定起重量相应的最大幅度</w:t>
            </w:r>
          </w:p>
        </w:tc>
        <w:tc>
          <w:tcPr>
            <w:tcW w:w="998" w:type="pct"/>
            <w:vMerge w:val="continue"/>
            <w:vAlign w:val="center"/>
          </w:tcPr>
          <w:p w14:paraId="5675E10D">
            <w:pPr>
              <w:adjustRightInd w:val="0"/>
              <w:snapToGrid w:val="0"/>
              <w:spacing w:line="240" w:lineRule="auto"/>
              <w:ind w:firstLine="0" w:firstLineChars="0"/>
              <w:jc w:val="center"/>
              <w:rPr>
                <w:sz w:val="21"/>
              </w:rPr>
            </w:pPr>
          </w:p>
        </w:tc>
        <w:tc>
          <w:tcPr>
            <w:tcW w:w="999" w:type="pct"/>
            <w:vAlign w:val="center"/>
          </w:tcPr>
          <w:p w14:paraId="03478931">
            <w:pPr>
              <w:adjustRightInd w:val="0"/>
              <w:snapToGrid w:val="0"/>
              <w:spacing w:line="240" w:lineRule="auto"/>
              <w:ind w:firstLine="0" w:firstLineChars="0"/>
              <w:jc w:val="center"/>
              <w:rPr>
                <w:sz w:val="21"/>
              </w:rPr>
            </w:pPr>
            <w:r>
              <w:rPr>
                <w:sz w:val="21"/>
              </w:rPr>
              <w:t>在最小幅度和对应该起重量允许的最大幅度间，小车以额定速度进行两个方向变幅</w:t>
            </w:r>
          </w:p>
        </w:tc>
        <w:tc>
          <w:tcPr>
            <w:tcW w:w="1002" w:type="pct"/>
            <w:vMerge w:val="continue"/>
            <w:vAlign w:val="center"/>
          </w:tcPr>
          <w:p w14:paraId="6A66CBA1">
            <w:pPr>
              <w:adjustRightInd w:val="0"/>
              <w:snapToGrid w:val="0"/>
              <w:spacing w:line="240" w:lineRule="auto"/>
              <w:ind w:firstLine="0" w:firstLineChars="0"/>
              <w:jc w:val="center"/>
              <w:rPr>
                <w:sz w:val="21"/>
              </w:rPr>
            </w:pPr>
          </w:p>
        </w:tc>
        <w:tc>
          <w:tcPr>
            <w:tcW w:w="990" w:type="pct"/>
            <w:vMerge w:val="continue"/>
            <w:vAlign w:val="center"/>
          </w:tcPr>
          <w:p w14:paraId="049ECD7D">
            <w:pPr>
              <w:adjustRightInd w:val="0"/>
              <w:snapToGrid w:val="0"/>
              <w:spacing w:line="240" w:lineRule="auto"/>
              <w:ind w:firstLine="0" w:firstLineChars="0"/>
              <w:jc w:val="center"/>
              <w:rPr>
                <w:sz w:val="21"/>
              </w:rPr>
            </w:pPr>
          </w:p>
        </w:tc>
      </w:tr>
    </w:tbl>
    <w:p w14:paraId="7262D0B6">
      <w:pPr>
        <w:ind w:firstLine="560"/>
      </w:pPr>
      <w:r>
        <w:t>具体过程如下：</w:t>
      </w:r>
      <w:r>
        <w:br w:type="textWrapping"/>
      </w:r>
      <w:r>
        <w:rPr>
          <w:rFonts w:hint="eastAsia"/>
          <w:lang w:eastAsia="zh-CN"/>
        </w:rPr>
        <w:t>XGT6015A-8S</w:t>
      </w:r>
      <w:r>
        <w:rPr>
          <w:rFonts w:hint="eastAsia"/>
        </w:rPr>
        <w:t>塔机：</w:t>
      </w:r>
    </w:p>
    <w:p w14:paraId="53EDBD38">
      <w:pPr>
        <w:ind w:firstLine="480" w:firstLineChars="0"/>
      </w:pPr>
      <w:r>
        <w:t>1.起重力矩定码变幅调整（4倍率）</w:t>
      </w:r>
    </w:p>
    <w:p w14:paraId="6280E4C9">
      <w:pPr>
        <w:ind w:firstLine="480" w:firstLineChars="0"/>
      </w:pPr>
      <w:r>
        <w:t>吊重</w:t>
      </w:r>
      <w:r>
        <w:rPr>
          <w:rFonts w:hint="eastAsia"/>
          <w:lang w:val="en-US" w:eastAsia="zh-CN"/>
        </w:rPr>
        <w:t>8</w:t>
      </w:r>
      <w:r>
        <w:t>t，载重小车以慢速由</w:t>
      </w:r>
      <w:r>
        <w:rPr>
          <w:rFonts w:hint="eastAsia"/>
          <w:lang w:val="en-US" w:eastAsia="zh-CN"/>
        </w:rPr>
        <w:t>5</w:t>
      </w:r>
      <w:r>
        <w:t>m幅度开始向</w:t>
      </w:r>
      <w:r>
        <w:rPr>
          <w:rFonts w:hint="eastAsia"/>
          <w:lang w:val="en-US" w:eastAsia="zh-CN"/>
        </w:rPr>
        <w:t>外</w:t>
      </w:r>
      <w:r>
        <w:t>变幅，使小车在</w:t>
      </w:r>
      <w:r>
        <w:rPr>
          <w:rFonts w:hint="eastAsia"/>
          <w:highlight w:val="none"/>
          <w:lang w:val="en-US" w:eastAsia="zh-CN"/>
        </w:rPr>
        <w:t>11.6</w:t>
      </w:r>
      <w:r>
        <w:rPr>
          <w:highlight w:val="none"/>
        </w:rPr>
        <w:t>m-</w:t>
      </w:r>
      <w:r>
        <w:rPr>
          <w:rFonts w:hint="eastAsia"/>
          <w:highlight w:val="none"/>
          <w:lang w:val="en-US" w:eastAsia="zh-CN"/>
        </w:rPr>
        <w:t>13.05</w:t>
      </w:r>
      <w:r>
        <w:rPr>
          <w:highlight w:val="none"/>
        </w:rPr>
        <w:t>m</w:t>
      </w:r>
      <w:r>
        <w:t>处，</w:t>
      </w:r>
      <w:r>
        <w:rPr>
          <w:rFonts w:hint="eastAsia"/>
          <w:lang w:val="en-US" w:eastAsia="zh-CN"/>
        </w:rPr>
        <w:t>8</w:t>
      </w:r>
      <w:r>
        <w:t>0%起重力矩开关发挥作用，司机室内预报警灯亮。</w:t>
      </w:r>
    </w:p>
    <w:p w14:paraId="05D5CBE3">
      <w:pPr>
        <w:ind w:firstLine="480" w:firstLineChars="0"/>
      </w:pPr>
      <w:r>
        <w:t>调整定码变幅螺杆，使小车</w:t>
      </w:r>
      <w:r>
        <w:rPr>
          <w:rFonts w:hint="eastAsia"/>
          <w:highlight w:val="none"/>
          <w:lang w:val="en-US" w:eastAsia="zh-CN"/>
        </w:rPr>
        <w:t>15.22</w:t>
      </w:r>
      <w:r>
        <w:rPr>
          <w:highlight w:val="none"/>
        </w:rPr>
        <w:t>m-</w:t>
      </w:r>
      <w:r>
        <w:rPr>
          <w:rFonts w:hint="eastAsia"/>
          <w:highlight w:val="none"/>
          <w:lang w:val="en-US" w:eastAsia="zh-CN"/>
        </w:rPr>
        <w:t>16.24</w:t>
      </w:r>
      <w:r>
        <w:rPr>
          <w:highlight w:val="none"/>
        </w:rPr>
        <w:t>m</w:t>
      </w:r>
      <w:r>
        <w:t>处，起升向上、变幅向外断电，同时发出超载警报。</w:t>
      </w:r>
    </w:p>
    <w:p w14:paraId="75FB8746">
      <w:pPr>
        <w:ind w:firstLine="480" w:firstLineChars="0"/>
      </w:pPr>
      <w:r>
        <w:t>2.起重力矩定幅变码调整（4倍率）</w:t>
      </w:r>
    </w:p>
    <w:p w14:paraId="4D817107">
      <w:pPr>
        <w:ind w:firstLine="480" w:firstLineChars="0"/>
        <w:rPr>
          <w:highlight w:val="none"/>
        </w:rPr>
      </w:pPr>
      <w:r>
        <w:rPr>
          <w:highlight w:val="none"/>
        </w:rPr>
        <w:t>在</w:t>
      </w:r>
      <w:r>
        <w:rPr>
          <w:rFonts w:hint="eastAsia"/>
          <w:highlight w:val="none"/>
          <w:lang w:val="en-US" w:eastAsia="zh-CN"/>
        </w:rPr>
        <w:t>60m</w:t>
      </w:r>
      <w:r>
        <w:rPr>
          <w:highlight w:val="none"/>
        </w:rPr>
        <w:t>处吊重</w:t>
      </w:r>
      <w:r>
        <w:rPr>
          <w:rFonts w:hint="eastAsia"/>
          <w:highlight w:val="none"/>
          <w:lang w:val="en-US" w:eastAsia="zh-CN"/>
        </w:rPr>
        <w:t>1.42</w:t>
      </w:r>
      <w:r>
        <w:rPr>
          <w:highlight w:val="none"/>
        </w:rPr>
        <w:t>t，起升机构应能向上起升，之后再加载</w:t>
      </w:r>
      <w:r>
        <w:rPr>
          <w:rFonts w:hint="eastAsia"/>
          <w:highlight w:val="none"/>
          <w:lang w:val="en-US" w:eastAsia="zh-CN"/>
        </w:rPr>
        <w:t>71-170</w:t>
      </w:r>
      <w:r>
        <w:rPr>
          <w:highlight w:val="none"/>
        </w:rPr>
        <w:t>kg，调节定幅变码螺杆，使起升不能向上，同时发出超载警报。</w:t>
      </w:r>
    </w:p>
    <w:p w14:paraId="79DA0942">
      <w:pPr>
        <w:ind w:firstLine="480" w:firstLineChars="0"/>
        <w:rPr>
          <w:highlight w:val="none"/>
        </w:rPr>
      </w:pPr>
      <w:r>
        <w:rPr>
          <w:highlight w:val="none"/>
        </w:rPr>
        <w:t>3.上述动作重复三次，保持功能稳定。</w:t>
      </w:r>
    </w:p>
    <w:p w14:paraId="3CA22283">
      <w:pPr>
        <w:ind w:firstLine="0" w:firstLineChars="0"/>
        <w:rPr>
          <w:b/>
          <w:bCs/>
        </w:rPr>
      </w:pPr>
      <w:r>
        <w:rPr>
          <w:b/>
          <w:bCs/>
        </w:rPr>
        <w:t>110 ％额定载荷动载试验</w:t>
      </w:r>
    </w:p>
    <w:p w14:paraId="3312C70B">
      <w:pPr>
        <w:ind w:firstLine="560"/>
        <w:rPr>
          <w:rFonts w:ascii="宋体" w:hAnsi="宋体" w:eastAsia="宋体" w:cs="宋体"/>
          <w:b/>
          <w:bCs/>
          <w:color w:val="171717"/>
          <w:sz w:val="21"/>
        </w:rPr>
      </w:pPr>
      <w:r>
        <w:t>110 ％额定载荷动载试验按表2进行。每一工况试验不少于3次。每一次的动作停稳后再进行下一次启动。</w:t>
      </w:r>
    </w:p>
    <w:p w14:paraId="726AC776">
      <w:pPr>
        <w:ind w:firstLine="422"/>
        <w:jc w:val="center"/>
        <w:rPr>
          <w:rFonts w:ascii="宋体" w:hAnsi="宋体" w:eastAsia="宋体" w:cs="宋体"/>
          <w:b/>
          <w:bCs/>
          <w:color w:val="171717"/>
          <w:sz w:val="21"/>
        </w:rPr>
      </w:pPr>
      <w:r>
        <w:rPr>
          <w:rFonts w:hint="eastAsia" w:ascii="宋体" w:hAnsi="宋体" w:eastAsia="宋体" w:cs="宋体"/>
          <w:b/>
          <w:bCs/>
          <w:color w:val="171717"/>
          <w:sz w:val="21"/>
          <w:lang w:val="en-US" w:eastAsia="zh-CN"/>
        </w:rPr>
        <w:t>表</w:t>
      </w:r>
      <w:r>
        <w:rPr>
          <w:rFonts w:hint="eastAsia" w:ascii="宋体" w:hAnsi="宋体" w:eastAsia="宋体" w:cs="宋体"/>
          <w:b/>
          <w:bCs/>
          <w:color w:val="171717"/>
          <w:sz w:val="21"/>
        </w:rPr>
        <w:t xml:space="preserve"> </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STYLEREF 3 \s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5.3.14</w:t>
      </w:r>
      <w:r>
        <w:rPr>
          <w:rFonts w:hint="eastAsia" w:ascii="宋体" w:hAnsi="宋体" w:eastAsia="宋体" w:cs="宋体"/>
          <w:b/>
          <w:bCs/>
          <w:color w:val="171717"/>
          <w:sz w:val="21"/>
        </w:rPr>
        <w:fldChar w:fldCharType="end"/>
      </w:r>
      <w:r>
        <w:rPr>
          <w:rFonts w:hint="eastAsia" w:ascii="宋体" w:hAnsi="宋体" w:eastAsia="宋体" w:cs="宋体"/>
          <w:b/>
          <w:bCs/>
          <w:color w:val="171717"/>
          <w:sz w:val="21"/>
          <w:lang w:eastAsia="zh-CN"/>
        </w:rPr>
        <w:t>-</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SEQ 图 \* ARABIC \s 3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2</w:t>
      </w:r>
      <w:r>
        <w:rPr>
          <w:rFonts w:hint="eastAsia" w:ascii="宋体" w:hAnsi="宋体" w:eastAsia="宋体" w:cs="宋体"/>
          <w:b/>
          <w:bCs/>
          <w:color w:val="171717"/>
          <w:sz w:val="21"/>
        </w:rPr>
        <w:fldChar w:fldCharType="end"/>
      </w:r>
      <w:r>
        <w:rPr>
          <w:rFonts w:hint="eastAsia" w:ascii="宋体" w:hAnsi="宋体" w:eastAsia="宋体" w:cs="宋体"/>
          <w:b/>
          <w:bCs/>
          <w:color w:val="171717"/>
          <w:sz w:val="21"/>
        </w:rPr>
        <w:t xml:space="preserve">  </w:t>
      </w:r>
      <w:r>
        <w:rPr>
          <w:rFonts w:hint="eastAsia" w:ascii="宋体" w:hAnsi="宋体" w:eastAsia="宋体" w:cs="宋体"/>
          <w:b/>
          <w:bCs/>
          <w:color w:val="171717"/>
          <w:sz w:val="21"/>
          <w:lang w:val="en-US" w:eastAsia="zh-CN"/>
        </w:rPr>
        <w:t xml:space="preserve"> </w:t>
      </w:r>
      <w:r>
        <w:rPr>
          <w:rFonts w:hint="eastAsia" w:ascii="宋体" w:hAnsi="宋体" w:eastAsia="宋体" w:cs="宋体"/>
          <w:b/>
          <w:bCs/>
          <w:color w:val="171717"/>
          <w:sz w:val="21"/>
        </w:rPr>
        <w:t>110 ％额定载荷动载试验</w:t>
      </w:r>
    </w:p>
    <w:tbl>
      <w:tblPr>
        <w:tblStyle w:val="44"/>
        <w:tblW w:w="8650"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69"/>
        <w:gridCol w:w="1202"/>
        <w:gridCol w:w="2001"/>
        <w:gridCol w:w="1462"/>
        <w:gridCol w:w="1716"/>
      </w:tblGrid>
      <w:tr w14:paraId="1AE08FB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69" w:type="dxa"/>
            <w:vMerge w:val="restart"/>
            <w:vAlign w:val="center"/>
          </w:tcPr>
          <w:p w14:paraId="0572EB3D">
            <w:pPr>
              <w:adjustRightInd w:val="0"/>
              <w:snapToGrid w:val="0"/>
              <w:spacing w:line="240" w:lineRule="auto"/>
              <w:ind w:firstLine="0" w:firstLineChars="0"/>
              <w:jc w:val="center"/>
              <w:rPr>
                <w:sz w:val="21"/>
              </w:rPr>
            </w:pPr>
            <w:r>
              <w:rPr>
                <w:sz w:val="21"/>
              </w:rPr>
              <w:t>工况</w:t>
            </w:r>
          </w:p>
        </w:tc>
        <w:tc>
          <w:tcPr>
            <w:tcW w:w="4665" w:type="dxa"/>
            <w:gridSpan w:val="3"/>
            <w:vAlign w:val="center"/>
          </w:tcPr>
          <w:p w14:paraId="24B72FE5">
            <w:pPr>
              <w:adjustRightInd w:val="0"/>
              <w:snapToGrid w:val="0"/>
              <w:spacing w:line="240" w:lineRule="auto"/>
              <w:ind w:firstLine="0" w:firstLineChars="0"/>
              <w:jc w:val="center"/>
              <w:rPr>
                <w:sz w:val="21"/>
              </w:rPr>
            </w:pPr>
            <w:r>
              <w:rPr>
                <w:sz w:val="21"/>
              </w:rPr>
              <w:t>试验方法</w:t>
            </w:r>
          </w:p>
        </w:tc>
        <w:tc>
          <w:tcPr>
            <w:tcW w:w="1716" w:type="dxa"/>
            <w:vMerge w:val="restart"/>
            <w:vAlign w:val="center"/>
          </w:tcPr>
          <w:p w14:paraId="22B52887">
            <w:pPr>
              <w:adjustRightInd w:val="0"/>
              <w:snapToGrid w:val="0"/>
              <w:spacing w:line="240" w:lineRule="auto"/>
              <w:ind w:firstLine="0" w:firstLineChars="0"/>
              <w:jc w:val="center"/>
              <w:rPr>
                <w:sz w:val="21"/>
              </w:rPr>
            </w:pPr>
            <w:r>
              <w:rPr>
                <w:sz w:val="21"/>
              </w:rPr>
              <w:t>试验目的</w:t>
            </w:r>
          </w:p>
        </w:tc>
      </w:tr>
      <w:tr w14:paraId="4662BF0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77" w:hRule="atLeast"/>
          <w:jc w:val="center"/>
        </w:trPr>
        <w:tc>
          <w:tcPr>
            <w:tcW w:w="2269" w:type="dxa"/>
            <w:vMerge w:val="continue"/>
            <w:vAlign w:val="center"/>
          </w:tcPr>
          <w:p w14:paraId="33F57289">
            <w:pPr>
              <w:adjustRightInd w:val="0"/>
              <w:snapToGrid w:val="0"/>
              <w:spacing w:line="240" w:lineRule="auto"/>
              <w:ind w:firstLine="0" w:firstLineChars="0"/>
              <w:jc w:val="center"/>
              <w:rPr>
                <w:sz w:val="21"/>
              </w:rPr>
            </w:pPr>
          </w:p>
        </w:tc>
        <w:tc>
          <w:tcPr>
            <w:tcW w:w="1202" w:type="dxa"/>
            <w:vAlign w:val="center"/>
          </w:tcPr>
          <w:p w14:paraId="6A37C78F">
            <w:pPr>
              <w:autoSpaceDE w:val="0"/>
              <w:autoSpaceDN w:val="0"/>
              <w:adjustRightInd w:val="0"/>
              <w:snapToGrid w:val="0"/>
              <w:ind w:firstLine="0" w:firstLineChars="0"/>
              <w:jc w:val="center"/>
              <w:rPr>
                <w:sz w:val="21"/>
              </w:rPr>
            </w:pPr>
            <w:r>
              <w:rPr>
                <w:sz w:val="21"/>
              </w:rPr>
              <w:t>起升</w:t>
            </w:r>
          </w:p>
        </w:tc>
        <w:tc>
          <w:tcPr>
            <w:tcW w:w="2001" w:type="dxa"/>
            <w:vAlign w:val="center"/>
          </w:tcPr>
          <w:p w14:paraId="78EFB853">
            <w:pPr>
              <w:autoSpaceDE w:val="0"/>
              <w:autoSpaceDN w:val="0"/>
              <w:adjustRightInd w:val="0"/>
              <w:snapToGrid w:val="0"/>
              <w:ind w:firstLine="0" w:firstLineChars="0"/>
              <w:jc w:val="center"/>
              <w:rPr>
                <w:sz w:val="21"/>
              </w:rPr>
            </w:pPr>
            <w:r>
              <w:rPr>
                <w:sz w:val="21"/>
              </w:rPr>
              <w:t>小车变幅</w:t>
            </w:r>
          </w:p>
        </w:tc>
        <w:tc>
          <w:tcPr>
            <w:tcW w:w="1462" w:type="dxa"/>
            <w:vAlign w:val="center"/>
          </w:tcPr>
          <w:p w14:paraId="1F7F4044">
            <w:pPr>
              <w:autoSpaceDE w:val="0"/>
              <w:autoSpaceDN w:val="0"/>
              <w:adjustRightInd w:val="0"/>
              <w:snapToGrid w:val="0"/>
              <w:ind w:firstLine="0" w:firstLineChars="0"/>
              <w:jc w:val="center"/>
              <w:rPr>
                <w:sz w:val="21"/>
              </w:rPr>
            </w:pPr>
            <w:r>
              <w:rPr>
                <w:sz w:val="21"/>
              </w:rPr>
              <w:t>回转</w:t>
            </w:r>
          </w:p>
        </w:tc>
        <w:tc>
          <w:tcPr>
            <w:tcW w:w="1716" w:type="dxa"/>
            <w:vMerge w:val="continue"/>
            <w:vAlign w:val="center"/>
          </w:tcPr>
          <w:p w14:paraId="6FD12AC5">
            <w:pPr>
              <w:adjustRightInd w:val="0"/>
              <w:snapToGrid w:val="0"/>
              <w:spacing w:line="240" w:lineRule="auto"/>
              <w:ind w:firstLine="0" w:firstLineChars="0"/>
              <w:jc w:val="center"/>
              <w:rPr>
                <w:sz w:val="21"/>
              </w:rPr>
            </w:pPr>
          </w:p>
        </w:tc>
      </w:tr>
      <w:tr w14:paraId="63724E3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269" w:type="dxa"/>
            <w:vAlign w:val="center"/>
          </w:tcPr>
          <w:p w14:paraId="55465185">
            <w:pPr>
              <w:adjustRightInd w:val="0"/>
              <w:snapToGrid w:val="0"/>
              <w:spacing w:line="240" w:lineRule="auto"/>
              <w:ind w:firstLine="0" w:firstLineChars="0"/>
              <w:jc w:val="center"/>
              <w:rPr>
                <w:sz w:val="21"/>
              </w:rPr>
            </w:pPr>
            <w:r>
              <w:rPr>
                <w:sz w:val="21"/>
              </w:rPr>
              <w:t>最大幅度相应额定起重量的110%</w:t>
            </w:r>
          </w:p>
        </w:tc>
        <w:tc>
          <w:tcPr>
            <w:tcW w:w="1202" w:type="dxa"/>
            <w:vMerge w:val="restart"/>
            <w:vAlign w:val="center"/>
          </w:tcPr>
          <w:p w14:paraId="05B23216">
            <w:pPr>
              <w:adjustRightInd w:val="0"/>
              <w:snapToGrid w:val="0"/>
              <w:spacing w:line="240" w:lineRule="auto"/>
              <w:ind w:firstLine="0" w:firstLineChars="0"/>
              <w:jc w:val="center"/>
              <w:rPr>
                <w:sz w:val="21"/>
              </w:rPr>
            </w:pPr>
            <w:r>
              <w:rPr>
                <w:sz w:val="21"/>
              </w:rPr>
              <w:t>在起升全程范围内以额定速度进行起升、下降</w:t>
            </w:r>
          </w:p>
        </w:tc>
        <w:tc>
          <w:tcPr>
            <w:tcW w:w="2001" w:type="dxa"/>
            <w:vAlign w:val="center"/>
          </w:tcPr>
          <w:p w14:paraId="20383682">
            <w:pPr>
              <w:adjustRightInd w:val="0"/>
              <w:snapToGrid w:val="0"/>
              <w:spacing w:line="240" w:lineRule="auto"/>
              <w:ind w:firstLine="0" w:firstLineChars="0"/>
              <w:jc w:val="center"/>
              <w:rPr>
                <w:sz w:val="21"/>
              </w:rPr>
            </w:pPr>
            <w:r>
              <w:rPr>
                <w:sz w:val="21"/>
              </w:rPr>
              <w:t>在最大幅度和最小幅度间，小车以额定速度进行两个方向变幅</w:t>
            </w:r>
          </w:p>
        </w:tc>
        <w:tc>
          <w:tcPr>
            <w:tcW w:w="1462" w:type="dxa"/>
            <w:vMerge w:val="restart"/>
            <w:vAlign w:val="center"/>
          </w:tcPr>
          <w:p w14:paraId="278FDBC4">
            <w:pPr>
              <w:adjustRightInd w:val="0"/>
              <w:snapToGrid w:val="0"/>
              <w:spacing w:line="240" w:lineRule="auto"/>
              <w:ind w:firstLine="0" w:firstLineChars="0"/>
              <w:jc w:val="center"/>
              <w:rPr>
                <w:sz w:val="21"/>
              </w:rPr>
            </w:pPr>
            <w:r>
              <w:rPr>
                <w:sz w:val="21"/>
              </w:rPr>
              <w:t>以额定速度进行左右回转。对不能全回转的塔机，应超过最大回转角</w:t>
            </w:r>
          </w:p>
        </w:tc>
        <w:tc>
          <w:tcPr>
            <w:tcW w:w="1716" w:type="dxa"/>
            <w:vMerge w:val="restart"/>
            <w:vAlign w:val="center"/>
          </w:tcPr>
          <w:p w14:paraId="54EEAD11">
            <w:pPr>
              <w:adjustRightInd w:val="0"/>
              <w:snapToGrid w:val="0"/>
              <w:spacing w:line="240" w:lineRule="auto"/>
              <w:ind w:firstLine="0" w:firstLineChars="0"/>
              <w:jc w:val="center"/>
              <w:rPr>
                <w:sz w:val="21"/>
              </w:rPr>
            </w:pPr>
            <w:r>
              <w:rPr>
                <w:sz w:val="21"/>
              </w:rPr>
              <w:t>根据设计要求进行组合动作试验，并目测检查各机构运转的灵活性和制动器的可靠性。卸载后检查机构及结构各部件有无松动和破坏等异常现象</w:t>
            </w:r>
          </w:p>
        </w:tc>
      </w:tr>
      <w:tr w14:paraId="3BB6CEF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945" w:hRule="atLeast"/>
          <w:jc w:val="center"/>
        </w:trPr>
        <w:tc>
          <w:tcPr>
            <w:tcW w:w="2269" w:type="dxa"/>
            <w:vAlign w:val="center"/>
          </w:tcPr>
          <w:p w14:paraId="332FD3DF">
            <w:pPr>
              <w:adjustRightInd w:val="0"/>
              <w:snapToGrid w:val="0"/>
              <w:spacing w:line="240" w:lineRule="auto"/>
              <w:ind w:firstLine="0" w:firstLineChars="0"/>
              <w:jc w:val="center"/>
              <w:rPr>
                <w:sz w:val="21"/>
              </w:rPr>
            </w:pPr>
            <w:r>
              <w:rPr>
                <w:sz w:val="21"/>
              </w:rPr>
              <w:t>起吊最大额定起重量的110%，在该吊重相应的最大幅度时</w:t>
            </w:r>
          </w:p>
        </w:tc>
        <w:tc>
          <w:tcPr>
            <w:tcW w:w="1202" w:type="dxa"/>
            <w:vMerge w:val="continue"/>
            <w:vAlign w:val="center"/>
          </w:tcPr>
          <w:p w14:paraId="4CDFF2D2">
            <w:pPr>
              <w:adjustRightInd w:val="0"/>
              <w:snapToGrid w:val="0"/>
              <w:spacing w:line="240" w:lineRule="auto"/>
              <w:ind w:firstLine="0" w:firstLineChars="0"/>
              <w:jc w:val="center"/>
              <w:rPr>
                <w:sz w:val="21"/>
              </w:rPr>
            </w:pPr>
          </w:p>
        </w:tc>
        <w:tc>
          <w:tcPr>
            <w:tcW w:w="2001" w:type="dxa"/>
            <w:vMerge w:val="restart"/>
            <w:vAlign w:val="center"/>
          </w:tcPr>
          <w:p w14:paraId="46732FD7">
            <w:pPr>
              <w:adjustRightInd w:val="0"/>
              <w:snapToGrid w:val="0"/>
              <w:spacing w:line="240" w:lineRule="auto"/>
              <w:ind w:firstLine="0" w:firstLineChars="0"/>
              <w:jc w:val="center"/>
              <w:rPr>
                <w:sz w:val="21"/>
              </w:rPr>
            </w:pPr>
            <w:r>
              <w:rPr>
                <w:sz w:val="21"/>
              </w:rPr>
              <w:t>在最小幅度和对应该起重量允许的最大幅度间，小车以额定速度进行两个方向变幅</w:t>
            </w:r>
          </w:p>
        </w:tc>
        <w:tc>
          <w:tcPr>
            <w:tcW w:w="1462" w:type="dxa"/>
            <w:vMerge w:val="continue"/>
            <w:vAlign w:val="center"/>
          </w:tcPr>
          <w:p w14:paraId="4BFF24DF">
            <w:pPr>
              <w:adjustRightInd w:val="0"/>
              <w:snapToGrid w:val="0"/>
              <w:spacing w:line="240" w:lineRule="auto"/>
              <w:ind w:firstLine="0" w:firstLineChars="0"/>
              <w:jc w:val="center"/>
              <w:rPr>
                <w:sz w:val="21"/>
              </w:rPr>
            </w:pPr>
          </w:p>
        </w:tc>
        <w:tc>
          <w:tcPr>
            <w:tcW w:w="1716" w:type="dxa"/>
            <w:vMerge w:val="continue"/>
            <w:vAlign w:val="center"/>
          </w:tcPr>
          <w:p w14:paraId="163649B8">
            <w:pPr>
              <w:adjustRightInd w:val="0"/>
              <w:snapToGrid w:val="0"/>
              <w:spacing w:line="240" w:lineRule="auto"/>
              <w:ind w:firstLine="0" w:firstLineChars="0"/>
              <w:jc w:val="center"/>
              <w:rPr>
                <w:sz w:val="21"/>
              </w:rPr>
            </w:pPr>
          </w:p>
        </w:tc>
      </w:tr>
      <w:tr w14:paraId="150AEB4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2269" w:type="dxa"/>
            <w:vAlign w:val="center"/>
          </w:tcPr>
          <w:p w14:paraId="6F2FB41F">
            <w:pPr>
              <w:adjustRightInd w:val="0"/>
              <w:snapToGrid w:val="0"/>
              <w:spacing w:line="240" w:lineRule="auto"/>
              <w:ind w:firstLine="0" w:firstLineChars="0"/>
              <w:jc w:val="center"/>
              <w:rPr>
                <w:sz w:val="21"/>
              </w:rPr>
            </w:pPr>
            <w:r>
              <w:rPr>
                <w:sz w:val="21"/>
              </w:rPr>
              <w:t>在上两个幅度的中间幅度处，相应额定起重量的110%</w:t>
            </w:r>
          </w:p>
        </w:tc>
        <w:tc>
          <w:tcPr>
            <w:tcW w:w="1202" w:type="dxa"/>
            <w:vMerge w:val="continue"/>
            <w:vAlign w:val="center"/>
          </w:tcPr>
          <w:p w14:paraId="141DFEE7">
            <w:pPr>
              <w:adjustRightInd w:val="0"/>
              <w:snapToGrid w:val="0"/>
              <w:spacing w:line="240" w:lineRule="auto"/>
              <w:ind w:firstLine="0" w:firstLineChars="0"/>
              <w:jc w:val="center"/>
              <w:rPr>
                <w:sz w:val="21"/>
              </w:rPr>
            </w:pPr>
          </w:p>
        </w:tc>
        <w:tc>
          <w:tcPr>
            <w:tcW w:w="2001" w:type="dxa"/>
            <w:vMerge w:val="continue"/>
            <w:vAlign w:val="center"/>
          </w:tcPr>
          <w:p w14:paraId="5DC89E49">
            <w:pPr>
              <w:adjustRightInd w:val="0"/>
              <w:snapToGrid w:val="0"/>
              <w:spacing w:line="240" w:lineRule="auto"/>
              <w:ind w:firstLine="0" w:firstLineChars="0"/>
              <w:jc w:val="center"/>
              <w:rPr>
                <w:sz w:val="21"/>
              </w:rPr>
            </w:pPr>
          </w:p>
        </w:tc>
        <w:tc>
          <w:tcPr>
            <w:tcW w:w="1462" w:type="dxa"/>
            <w:vMerge w:val="continue"/>
            <w:vAlign w:val="center"/>
          </w:tcPr>
          <w:p w14:paraId="746D4376">
            <w:pPr>
              <w:adjustRightInd w:val="0"/>
              <w:snapToGrid w:val="0"/>
              <w:spacing w:line="240" w:lineRule="auto"/>
              <w:ind w:firstLine="0" w:firstLineChars="0"/>
              <w:jc w:val="center"/>
              <w:rPr>
                <w:sz w:val="21"/>
              </w:rPr>
            </w:pPr>
          </w:p>
        </w:tc>
        <w:tc>
          <w:tcPr>
            <w:tcW w:w="1716" w:type="dxa"/>
            <w:vMerge w:val="continue"/>
            <w:vAlign w:val="center"/>
          </w:tcPr>
          <w:p w14:paraId="1EC20A1E">
            <w:pPr>
              <w:adjustRightInd w:val="0"/>
              <w:snapToGrid w:val="0"/>
              <w:spacing w:line="240" w:lineRule="auto"/>
              <w:ind w:firstLine="0" w:firstLineChars="0"/>
              <w:jc w:val="center"/>
              <w:rPr>
                <w:sz w:val="21"/>
              </w:rPr>
            </w:pPr>
          </w:p>
        </w:tc>
      </w:tr>
    </w:tbl>
    <w:p w14:paraId="5EF1D0F9">
      <w:pPr>
        <w:ind w:firstLine="560"/>
      </w:pPr>
      <w:r>
        <w:t>具体过程如下：</w:t>
      </w:r>
    </w:p>
    <w:p w14:paraId="7DEABECA">
      <w:pPr>
        <w:ind w:firstLine="0" w:firstLineChars="0"/>
      </w:pPr>
      <w:r>
        <w:rPr>
          <w:rFonts w:hint="eastAsia"/>
          <w:lang w:eastAsia="zh-CN"/>
        </w:rPr>
        <w:t>XGT6015A-8S</w:t>
      </w:r>
      <w:r>
        <w:rPr>
          <w:rFonts w:hint="eastAsia"/>
        </w:rPr>
        <w:t>塔机：</w:t>
      </w:r>
    </w:p>
    <w:p w14:paraId="31A63F86">
      <w:pPr>
        <w:ind w:firstLine="560"/>
      </w:pPr>
      <w:r>
        <w:t>工况1：最大幅度相应额定起重量的110%（4倍率）</w:t>
      </w:r>
    </w:p>
    <w:p w14:paraId="51DFC022">
      <w:pPr>
        <w:ind w:firstLine="560"/>
      </w:pPr>
      <w:r>
        <w:t>起重量为G</w:t>
      </w:r>
      <w:r>
        <w:rPr>
          <w:rFonts w:hint="eastAsia"/>
        </w:rPr>
        <w:t>=</w:t>
      </w:r>
      <w:r>
        <w:rPr>
          <w:rFonts w:hint="eastAsia"/>
          <w:lang w:val="en-US" w:eastAsia="zh-CN"/>
        </w:rPr>
        <w:t>1.562t</w:t>
      </w:r>
      <w:r>
        <w:t>；</w:t>
      </w:r>
    </w:p>
    <w:p w14:paraId="0FDACAFF">
      <w:pPr>
        <w:ind w:firstLine="560"/>
      </w:pPr>
      <w:r>
        <w:t>将100%重量限制、100%力矩限制继电器临时短接屏蔽，缓慢起钩，离地20cm,检查各构件，确保无误后从</w:t>
      </w:r>
      <w:r>
        <w:rPr>
          <w:rFonts w:hint="eastAsia"/>
          <w:lang w:val="en-US" w:eastAsia="zh-CN"/>
        </w:rPr>
        <w:t>60m</w:t>
      </w:r>
      <w:r>
        <w:t>幅度起向内至</w:t>
      </w:r>
      <w:r>
        <w:rPr>
          <w:rFonts w:hint="eastAsia"/>
        </w:rPr>
        <w:t>3</w:t>
      </w:r>
      <w:r>
        <w:t>m幅度进行来回起落钩、变幅、回转动作；卸载后检查各机构及结构有无松动和破坏等异常现象，测量组测量臂根铰点最大位移量并监测能否恢复原先位置；</w:t>
      </w:r>
    </w:p>
    <w:p w14:paraId="57AA48AA">
      <w:pPr>
        <w:ind w:firstLine="560"/>
      </w:pPr>
      <w:r>
        <w:t>试验完毕恢复起重量限制器与力矩限制器。</w:t>
      </w:r>
    </w:p>
    <w:p w14:paraId="3AB28C28">
      <w:pPr>
        <w:ind w:firstLine="560"/>
      </w:pPr>
      <w:r>
        <w:t>工况2：起吊最大额定起重量的110%，在该吊重相应的最大幅度时（4倍率）</w:t>
      </w:r>
    </w:p>
    <w:p w14:paraId="6EB7B1AC">
      <w:pPr>
        <w:ind w:firstLine="560"/>
      </w:pPr>
      <w:r>
        <w:t>起重量为G=</w:t>
      </w:r>
      <w:r>
        <w:rPr>
          <w:rFonts w:hint="eastAsia"/>
          <w:lang w:val="en-US" w:eastAsia="zh-CN"/>
        </w:rPr>
        <w:t>8.8</w:t>
      </w:r>
      <w:r>
        <w:t>t</w:t>
      </w:r>
    </w:p>
    <w:p w14:paraId="1827F6D8">
      <w:pPr>
        <w:ind w:firstLine="560"/>
      </w:pPr>
      <w:r>
        <w:t>将100%重量限制、100%力矩限制继电器临时短接屏蔽，缓慢起钩，离地</w:t>
      </w:r>
      <w:r>
        <w:rPr>
          <w:rFonts w:hint="eastAsia"/>
        </w:rPr>
        <w:t>15</w:t>
      </w:r>
      <w:r>
        <w:t>cm,检查各构件，确保无误后在从</w:t>
      </w:r>
      <w:r>
        <w:rPr>
          <w:rFonts w:hint="eastAsia"/>
          <w:lang w:val="en-US" w:eastAsia="zh-CN"/>
        </w:rPr>
        <w:t>1</w:t>
      </w:r>
      <w:r>
        <w:rPr>
          <w:rFonts w:hint="eastAsia"/>
        </w:rPr>
        <w:t>0</w:t>
      </w:r>
      <w:r>
        <w:t>m幅度起向内至</w:t>
      </w:r>
      <w:r>
        <w:rPr>
          <w:rFonts w:hint="eastAsia"/>
        </w:rPr>
        <w:t>3</w:t>
      </w:r>
      <w:r>
        <w:t>m幅度内进行来回起落钩、变幅、回转动作；卸载后检查各机构及结构有无松动和破坏等异常现象，测量组测量臂根铰点最大位移量并监测能否恢复原先位置；</w:t>
      </w:r>
    </w:p>
    <w:p w14:paraId="50356A8D">
      <w:pPr>
        <w:ind w:firstLine="560"/>
      </w:pPr>
      <w:r>
        <w:t>试验完毕恢复起重量限制器与力矩限制器。</w:t>
      </w:r>
    </w:p>
    <w:p w14:paraId="55ACECBA">
      <w:pPr>
        <w:ind w:firstLine="0" w:firstLineChars="0"/>
        <w:rPr>
          <w:b/>
          <w:bCs/>
        </w:rPr>
      </w:pPr>
      <w:bookmarkStart w:id="321" w:name="_Toc20814"/>
      <w:bookmarkStart w:id="322" w:name="_Toc25574"/>
      <w:r>
        <w:rPr>
          <w:b/>
          <w:bCs/>
        </w:rPr>
        <w:t>125%额定载荷静载试验</w:t>
      </w:r>
      <w:bookmarkEnd w:id="321"/>
      <w:bookmarkEnd w:id="322"/>
    </w:p>
    <w:p w14:paraId="66027EB3">
      <w:pPr>
        <w:ind w:firstLine="560"/>
      </w:pPr>
      <w:r>
        <w:t>125%额定载荷静载试验按照下表进行，试验时臂架分别位于与塔身成0°和45°两个方位</w:t>
      </w:r>
    </w:p>
    <w:tbl>
      <w:tblPr>
        <w:tblStyle w:val="44"/>
        <w:tblW w:w="939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96"/>
        <w:gridCol w:w="2751"/>
        <w:gridCol w:w="3252"/>
      </w:tblGrid>
      <w:tr w14:paraId="551BBA2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rPr>
          <w:trHeight w:val="489" w:hRule="atLeast"/>
          <w:jc w:val="center"/>
        </w:trPr>
        <w:tc>
          <w:tcPr>
            <w:tcW w:w="3396" w:type="dxa"/>
            <w:noWrap/>
            <w:vAlign w:val="center"/>
          </w:tcPr>
          <w:p w14:paraId="08C37EC9">
            <w:pPr>
              <w:ind w:firstLine="0" w:firstLineChars="0"/>
              <w:jc w:val="center"/>
              <w:rPr>
                <w:sz w:val="24"/>
                <w:szCs w:val="24"/>
              </w:rPr>
            </w:pPr>
            <w:r>
              <w:rPr>
                <w:sz w:val="24"/>
                <w:szCs w:val="24"/>
              </w:rPr>
              <w:t>工况</w:t>
            </w:r>
          </w:p>
        </w:tc>
        <w:tc>
          <w:tcPr>
            <w:tcW w:w="2751" w:type="dxa"/>
            <w:noWrap/>
            <w:vAlign w:val="center"/>
          </w:tcPr>
          <w:p w14:paraId="4EE38BC2">
            <w:pPr>
              <w:ind w:firstLine="0" w:firstLineChars="0"/>
              <w:jc w:val="center"/>
              <w:rPr>
                <w:sz w:val="24"/>
                <w:szCs w:val="24"/>
              </w:rPr>
            </w:pPr>
            <w:r>
              <w:rPr>
                <w:sz w:val="24"/>
                <w:szCs w:val="24"/>
              </w:rPr>
              <w:t>试验方法</w:t>
            </w:r>
          </w:p>
        </w:tc>
        <w:tc>
          <w:tcPr>
            <w:tcW w:w="3252" w:type="dxa"/>
            <w:noWrap/>
            <w:vAlign w:val="center"/>
          </w:tcPr>
          <w:p w14:paraId="0A7567CC">
            <w:pPr>
              <w:ind w:firstLine="0" w:firstLineChars="0"/>
              <w:jc w:val="center"/>
              <w:rPr>
                <w:sz w:val="24"/>
                <w:szCs w:val="24"/>
              </w:rPr>
            </w:pPr>
            <w:r>
              <w:rPr>
                <w:sz w:val="24"/>
                <w:szCs w:val="24"/>
              </w:rPr>
              <w:t>试验目的</w:t>
            </w:r>
          </w:p>
        </w:tc>
      </w:tr>
      <w:tr w14:paraId="7E278263">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3396" w:type="dxa"/>
            <w:noWrap/>
            <w:vAlign w:val="center"/>
          </w:tcPr>
          <w:p w14:paraId="23C22B9D">
            <w:pPr>
              <w:ind w:firstLine="0" w:firstLineChars="0"/>
              <w:jc w:val="center"/>
              <w:rPr>
                <w:sz w:val="24"/>
                <w:szCs w:val="24"/>
              </w:rPr>
            </w:pPr>
            <w:r>
              <w:rPr>
                <w:sz w:val="24"/>
                <w:szCs w:val="24"/>
              </w:rPr>
              <w:t>吊重</w:t>
            </w:r>
            <w:r>
              <w:rPr>
                <w:rFonts w:hint="eastAsia"/>
                <w:sz w:val="24"/>
                <w:szCs w:val="24"/>
                <w:lang w:val="en-US" w:eastAsia="zh-CN"/>
              </w:rPr>
              <w:t>1.42</w:t>
            </w:r>
            <w:r>
              <w:rPr>
                <w:sz w:val="24"/>
                <w:szCs w:val="24"/>
              </w:rPr>
              <w:t>t×125%=</w:t>
            </w:r>
            <w:r>
              <w:rPr>
                <w:rFonts w:hint="eastAsia"/>
                <w:sz w:val="24"/>
                <w:szCs w:val="24"/>
                <w:lang w:val="en-US" w:eastAsia="zh-CN"/>
              </w:rPr>
              <w:t>1.775</w:t>
            </w:r>
            <w:r>
              <w:rPr>
                <w:sz w:val="24"/>
                <w:szCs w:val="24"/>
              </w:rPr>
              <w:t>t，工作幅度</w:t>
            </w:r>
            <w:r>
              <w:rPr>
                <w:rFonts w:hint="eastAsia"/>
                <w:sz w:val="24"/>
                <w:szCs w:val="24"/>
                <w:lang w:val="en-US" w:eastAsia="zh-CN"/>
              </w:rPr>
              <w:t>60m</w:t>
            </w:r>
          </w:p>
        </w:tc>
        <w:tc>
          <w:tcPr>
            <w:tcW w:w="2751" w:type="dxa"/>
            <w:vMerge w:val="restart"/>
            <w:noWrap/>
            <w:vAlign w:val="center"/>
          </w:tcPr>
          <w:p w14:paraId="6B0FE2A6">
            <w:pPr>
              <w:ind w:firstLine="0" w:firstLineChars="0"/>
              <w:jc w:val="center"/>
              <w:rPr>
                <w:sz w:val="24"/>
                <w:szCs w:val="24"/>
              </w:rPr>
            </w:pPr>
            <w:r>
              <w:rPr>
                <w:sz w:val="24"/>
                <w:szCs w:val="24"/>
              </w:rPr>
              <w:t>起升额定载荷，离地100mm～200mm，停稳后，逐次加载至125%，测量载荷离地高度，停留10min后同一位置测量并进行比较。</w:t>
            </w:r>
          </w:p>
        </w:tc>
        <w:tc>
          <w:tcPr>
            <w:tcW w:w="3252" w:type="dxa"/>
            <w:vMerge w:val="restart"/>
            <w:noWrap/>
            <w:vAlign w:val="center"/>
          </w:tcPr>
          <w:p w14:paraId="5B76F87C">
            <w:pPr>
              <w:ind w:firstLine="0" w:firstLineChars="0"/>
              <w:jc w:val="center"/>
              <w:rPr>
                <w:sz w:val="24"/>
                <w:szCs w:val="24"/>
              </w:rPr>
            </w:pPr>
            <w:r>
              <w:rPr>
                <w:sz w:val="24"/>
                <w:szCs w:val="24"/>
              </w:rPr>
              <w:t>检查制动器可靠性，并在卸载后目测检查塔机是否出现可见裂纹、永久变形、油漆剥落、连接松动及其他可能对塔机性能和安全有影响的隐患。</w:t>
            </w:r>
          </w:p>
        </w:tc>
      </w:tr>
      <w:tr w14:paraId="6A991CA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157" w:hRule="atLeast"/>
          <w:jc w:val="center"/>
        </w:trPr>
        <w:tc>
          <w:tcPr>
            <w:tcW w:w="3396" w:type="dxa"/>
            <w:noWrap/>
            <w:vAlign w:val="center"/>
          </w:tcPr>
          <w:p w14:paraId="4CC20BE5">
            <w:pPr>
              <w:ind w:firstLine="0" w:firstLineChars="0"/>
              <w:jc w:val="center"/>
              <w:rPr>
                <w:sz w:val="24"/>
                <w:szCs w:val="24"/>
              </w:rPr>
            </w:pPr>
            <w:r>
              <w:rPr>
                <w:sz w:val="24"/>
                <w:szCs w:val="24"/>
              </w:rPr>
              <w:t>吊重</w:t>
            </w:r>
            <w:r>
              <w:rPr>
                <w:rFonts w:hint="eastAsia"/>
                <w:sz w:val="24"/>
                <w:szCs w:val="24"/>
                <w:lang w:val="en-US" w:eastAsia="zh-CN"/>
              </w:rPr>
              <w:t>8</w:t>
            </w:r>
            <w:r>
              <w:rPr>
                <w:sz w:val="24"/>
                <w:szCs w:val="24"/>
              </w:rPr>
              <w:t>t×125%=</w:t>
            </w:r>
            <w:r>
              <w:rPr>
                <w:rFonts w:hint="eastAsia"/>
                <w:sz w:val="24"/>
                <w:szCs w:val="24"/>
                <w:lang w:val="en-US" w:eastAsia="zh-CN"/>
              </w:rPr>
              <w:t>10</w:t>
            </w:r>
            <w:r>
              <w:rPr>
                <w:sz w:val="24"/>
                <w:szCs w:val="24"/>
              </w:rPr>
              <w:t>t，工作幅度</w:t>
            </w:r>
            <w:r>
              <w:rPr>
                <w:rFonts w:hint="eastAsia"/>
                <w:sz w:val="24"/>
                <w:szCs w:val="24"/>
              </w:rPr>
              <w:t>1</w:t>
            </w:r>
            <w:r>
              <w:rPr>
                <w:rFonts w:hint="eastAsia"/>
                <w:sz w:val="24"/>
                <w:szCs w:val="24"/>
                <w:lang w:val="en-US" w:eastAsia="zh-CN"/>
              </w:rPr>
              <w:t>0</w:t>
            </w:r>
            <w:r>
              <w:rPr>
                <w:sz w:val="24"/>
                <w:szCs w:val="24"/>
              </w:rPr>
              <w:t>m</w:t>
            </w:r>
          </w:p>
        </w:tc>
        <w:tc>
          <w:tcPr>
            <w:tcW w:w="2751" w:type="dxa"/>
            <w:vMerge w:val="continue"/>
            <w:noWrap/>
            <w:vAlign w:val="center"/>
          </w:tcPr>
          <w:p w14:paraId="4B4F3AD0">
            <w:pPr>
              <w:ind w:firstLine="0" w:firstLineChars="0"/>
              <w:jc w:val="center"/>
              <w:rPr>
                <w:sz w:val="24"/>
                <w:szCs w:val="24"/>
              </w:rPr>
            </w:pPr>
          </w:p>
        </w:tc>
        <w:tc>
          <w:tcPr>
            <w:tcW w:w="3252" w:type="dxa"/>
            <w:vMerge w:val="continue"/>
            <w:noWrap/>
            <w:vAlign w:val="center"/>
          </w:tcPr>
          <w:p w14:paraId="3990299C">
            <w:pPr>
              <w:ind w:firstLine="0" w:firstLineChars="0"/>
              <w:jc w:val="center"/>
              <w:rPr>
                <w:sz w:val="24"/>
                <w:szCs w:val="24"/>
              </w:rPr>
            </w:pPr>
          </w:p>
        </w:tc>
      </w:tr>
    </w:tbl>
    <w:p w14:paraId="6F1E66D6">
      <w:pPr>
        <w:pStyle w:val="3"/>
        <w:bidi w:val="0"/>
        <w:ind w:left="575" w:leftChars="0" w:hanging="575" w:firstLineChars="0"/>
      </w:pPr>
      <w:r>
        <w:rPr>
          <w:rFonts w:hint="eastAsia"/>
        </w:rPr>
        <w:t xml:space="preserve"> </w:t>
      </w:r>
      <w:bookmarkStart w:id="323" w:name="_Toc8150"/>
      <w:r>
        <w:rPr>
          <w:rFonts w:hint="eastAsia"/>
        </w:rPr>
        <w:t>顶升加节</w:t>
      </w:r>
      <w:bookmarkEnd w:id="315"/>
      <w:bookmarkEnd w:id="316"/>
      <w:bookmarkEnd w:id="317"/>
      <w:bookmarkEnd w:id="318"/>
      <w:bookmarkEnd w:id="323"/>
    </w:p>
    <w:p w14:paraId="7C5C062A">
      <w:pPr>
        <w:ind w:firstLine="560"/>
      </w:pPr>
      <w:r>
        <w:rPr>
          <w:rFonts w:hint="eastAsia"/>
        </w:rPr>
        <w:t>顶升前准备：</w:t>
      </w:r>
    </w:p>
    <w:p w14:paraId="71658525">
      <w:pPr>
        <w:autoSpaceDE w:val="0"/>
        <w:autoSpaceDN w:val="0"/>
        <w:adjustRightInd w:val="0"/>
        <w:ind w:firstLine="560"/>
        <w:rPr>
          <w:rFonts w:ascii="宋体" w:hAnsi="宋体" w:cs="宋体"/>
          <w:bCs/>
          <w:kern w:val="0"/>
        </w:rPr>
      </w:pPr>
      <w:r>
        <w:rPr>
          <w:rFonts w:hint="eastAsia" w:ascii="宋体" w:hAnsi="宋体" w:cs="宋体"/>
          <w:bCs/>
          <w:kern w:val="0"/>
        </w:rPr>
        <w:t>液压泵站要求给其油箱加油，同时清理好各个塔身节，做好顶升前各项准备工作，准备连接标准节的销轴。</w:t>
      </w:r>
    </w:p>
    <w:p w14:paraId="5EB1E170">
      <w:pPr>
        <w:pStyle w:val="4"/>
        <w:bidi w:val="0"/>
        <w:ind w:left="720" w:leftChars="0" w:hanging="720" w:firstLineChars="0"/>
      </w:pPr>
      <w:r>
        <w:rPr>
          <w:rFonts w:hint="eastAsia"/>
        </w:rPr>
        <w:t>顶升配平</w:t>
      </w:r>
    </w:p>
    <w:p w14:paraId="69226F69">
      <w:pPr>
        <w:autoSpaceDE w:val="0"/>
        <w:autoSpaceDN w:val="0"/>
        <w:adjustRightInd w:val="0"/>
        <w:ind w:firstLine="560"/>
        <w:rPr>
          <w:rFonts w:ascii="宋体" w:hAnsi="宋体" w:cs="宋体"/>
          <w:bCs/>
          <w:kern w:val="0"/>
        </w:rPr>
      </w:pPr>
      <w:r>
        <w:rPr>
          <w:rFonts w:hint="eastAsia" w:ascii="宋体" w:hAnsi="宋体" w:cs="宋体"/>
          <w:bCs/>
          <w:kern w:val="0"/>
        </w:rPr>
        <w:t xml:space="preserve">（1）将标准节悬挂在引进梁上。 </w:t>
      </w:r>
    </w:p>
    <w:p w14:paraId="6918F44C">
      <w:pPr>
        <w:autoSpaceDE w:val="0"/>
        <w:autoSpaceDN w:val="0"/>
        <w:adjustRightInd w:val="0"/>
        <w:ind w:firstLine="560"/>
        <w:rPr>
          <w:rFonts w:ascii="宋体" w:hAnsi="宋体" w:cs="宋体"/>
          <w:bCs/>
          <w:kern w:val="0"/>
        </w:rPr>
      </w:pPr>
      <w:r>
        <w:rPr>
          <w:rFonts w:hint="eastAsia" w:ascii="宋体" w:hAnsi="宋体" w:cs="宋体"/>
          <w:bCs/>
          <w:kern w:val="0"/>
        </w:rPr>
        <w:t>配平位置如图：</w:t>
      </w:r>
    </w:p>
    <w:p w14:paraId="7D60E9B0">
      <w:pPr>
        <w:autoSpaceDE w:val="0"/>
        <w:autoSpaceDN w:val="0"/>
        <w:adjustRightInd w:val="0"/>
        <w:spacing w:line="240" w:lineRule="auto"/>
        <w:ind w:firstLine="0" w:firstLineChars="0"/>
        <w:jc w:val="center"/>
        <w:rPr>
          <w:rFonts w:ascii="宋体" w:hAnsi="宋体" w:cs="宋体"/>
          <w:bCs/>
          <w:kern w:val="0"/>
        </w:rPr>
      </w:pPr>
      <w:r>
        <w:drawing>
          <wp:inline distT="0" distB="0" distL="114300" distR="114300">
            <wp:extent cx="5429250" cy="1543050"/>
            <wp:effectExtent l="0" t="0" r="0" b="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pic:cNvPicPr>
                      <a:picLocks noChangeAspect="1"/>
                    </pic:cNvPicPr>
                  </pic:nvPicPr>
                  <pic:blipFill>
                    <a:blip r:embed="rId77"/>
                    <a:stretch>
                      <a:fillRect/>
                    </a:stretch>
                  </pic:blipFill>
                  <pic:spPr>
                    <a:xfrm>
                      <a:off x="0" y="0"/>
                      <a:ext cx="5429250" cy="1543050"/>
                    </a:xfrm>
                    <a:prstGeom prst="rect">
                      <a:avLst/>
                    </a:prstGeom>
                    <a:noFill/>
                    <a:ln>
                      <a:noFill/>
                    </a:ln>
                  </pic:spPr>
                </pic:pic>
              </a:graphicData>
            </a:graphic>
          </wp:inline>
        </w:drawing>
      </w:r>
      <w:r>
        <w:drawing>
          <wp:inline distT="0" distB="0" distL="114300" distR="114300">
            <wp:extent cx="5718810" cy="2353310"/>
            <wp:effectExtent l="0" t="0" r="15240" b="8890"/>
            <wp:docPr id="1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
                    <pic:cNvPicPr>
                      <a:picLocks noChangeAspect="1"/>
                    </pic:cNvPicPr>
                  </pic:nvPicPr>
                  <pic:blipFill>
                    <a:blip r:embed="rId78"/>
                    <a:stretch>
                      <a:fillRect/>
                    </a:stretch>
                  </pic:blipFill>
                  <pic:spPr>
                    <a:xfrm>
                      <a:off x="0" y="0"/>
                      <a:ext cx="5718810" cy="2353310"/>
                    </a:xfrm>
                    <a:prstGeom prst="rect">
                      <a:avLst/>
                    </a:prstGeom>
                    <a:noFill/>
                    <a:ln>
                      <a:noFill/>
                    </a:ln>
                  </pic:spPr>
                </pic:pic>
              </a:graphicData>
            </a:graphic>
          </wp:inline>
        </w:drawing>
      </w:r>
    </w:p>
    <w:p w14:paraId="09F1FC3A">
      <w:pPr>
        <w:pStyle w:val="16"/>
        <w:bidi w:val="0"/>
        <w:jc w:val="center"/>
      </w:pPr>
      <w:r>
        <w:rPr>
          <w:rFonts w:hint="eastAsia"/>
        </w:rPr>
        <w:t xml:space="preserve">图5.4-1 </w:t>
      </w:r>
      <w:r>
        <w:rPr>
          <w:rFonts w:hint="eastAsia"/>
          <w:lang w:eastAsia="zh-CN"/>
        </w:rPr>
        <w:t>XGT6015A-8S</w:t>
      </w:r>
      <w:r>
        <w:rPr>
          <w:rFonts w:hint="eastAsia"/>
        </w:rPr>
        <w:t>塔机顶升配平图</w:t>
      </w:r>
    </w:p>
    <w:p w14:paraId="2365F724">
      <w:pPr>
        <w:autoSpaceDE w:val="0"/>
        <w:autoSpaceDN w:val="0"/>
        <w:adjustRightInd w:val="0"/>
        <w:ind w:firstLine="560"/>
        <w:rPr>
          <w:rFonts w:hint="eastAsia" w:ascii="Times New Roman" w:hAnsi="Times New Roman" w:cs="Times New Roman"/>
          <w:color w:val="000000"/>
        </w:rPr>
      </w:pPr>
      <w:r>
        <w:rPr>
          <w:rFonts w:hint="eastAsia" w:ascii="宋体" w:hAnsi="宋体" w:cs="宋体"/>
          <w:bCs/>
          <w:kern w:val="0"/>
        </w:rPr>
        <w:t>为</w:t>
      </w:r>
      <w:r>
        <w:rPr>
          <w:rFonts w:hint="eastAsia" w:ascii="Times New Roman" w:hAnsi="Times New Roman" w:cs="Times New Roman"/>
          <w:color w:val="000000"/>
        </w:rPr>
        <w:t>了保证顶升安全，塔机在顶升之前必须进行配平，配平的主要方法为：在一定幅度上悬吊一重物，通过小车的位置移动最终实现塔机的配平。配平时通过检验下支座支腿与塔身主弦杆是否在一条垂直线上，并观察爬升架导轮与塔身主弦杆间隙是否基本相同来检查塔机是否平衡。略微调整载重小车的配平位置，直至平衡。记录实际配平位置，以后顶升或降节时使用。</w:t>
      </w:r>
    </w:p>
    <w:p w14:paraId="19C6F127">
      <w:pPr>
        <w:autoSpaceDE w:val="0"/>
        <w:autoSpaceDN w:val="0"/>
        <w:adjustRightInd w:val="0"/>
        <w:ind w:firstLine="560"/>
        <w:rPr>
          <w:rFonts w:ascii="宋体" w:hAnsi="宋体" w:cs="宋体"/>
          <w:bCs/>
          <w:kern w:val="0"/>
        </w:rPr>
      </w:pPr>
      <w:r>
        <w:rPr>
          <w:rFonts w:hint="eastAsia" w:ascii="Times New Roman" w:hAnsi="Times New Roman" w:cs="Times New Roman"/>
          <w:color w:val="000000"/>
        </w:rPr>
        <w:t>注意：上表中的数据为理论配平尺寸，实际配</w:t>
      </w:r>
      <w:r>
        <w:rPr>
          <w:rFonts w:hint="eastAsia" w:ascii="宋体" w:hAnsi="宋体" w:cs="宋体"/>
          <w:bCs/>
          <w:kern w:val="0"/>
        </w:rPr>
        <w:t>平时以观察下支座支腿与塔身主弦杆在一条垂直线上，并观察爬升架 8 个导轮与塔身主弦杆间隙基本相同为准，否则可能造成配平错误，导致顶升倾覆安全事故。</w:t>
      </w:r>
    </w:p>
    <w:p w14:paraId="001E2D2E">
      <w:pPr>
        <w:pStyle w:val="4"/>
        <w:bidi w:val="0"/>
        <w:ind w:left="720" w:leftChars="0" w:hanging="720" w:firstLineChars="0"/>
      </w:pPr>
      <w:r>
        <w:rPr>
          <w:rFonts w:hint="eastAsia"/>
        </w:rPr>
        <w:t>顶升操作程序</w:t>
      </w:r>
    </w:p>
    <w:p w14:paraId="20B7E02E">
      <w:pPr>
        <w:autoSpaceDE w:val="0"/>
        <w:autoSpaceDN w:val="0"/>
        <w:adjustRightInd w:val="0"/>
        <w:ind w:firstLine="560"/>
        <w:rPr>
          <w:rFonts w:ascii="宋体" w:hAnsi="宋体" w:cs="宋体"/>
          <w:bCs/>
          <w:kern w:val="0"/>
        </w:rPr>
      </w:pPr>
      <w:r>
        <w:rPr>
          <w:rFonts w:hint="eastAsia" w:ascii="宋体" w:hAnsi="宋体" w:cs="宋体"/>
          <w:bCs/>
          <w:kern w:val="0"/>
        </w:rPr>
        <w:t>1）顶升作业顺序</w:t>
      </w:r>
    </w:p>
    <w:p w14:paraId="49200D78">
      <w:pPr>
        <w:autoSpaceDE w:val="0"/>
        <w:autoSpaceDN w:val="0"/>
        <w:adjustRightInd w:val="0"/>
        <w:ind w:firstLine="560"/>
        <w:rPr>
          <w:rFonts w:ascii="宋体" w:hAnsi="宋体" w:cs="宋体"/>
          <w:bCs/>
          <w:kern w:val="0"/>
        </w:rPr>
      </w:pPr>
      <w:r>
        <w:rPr>
          <w:rFonts w:hint="eastAsia" w:ascii="宋体" w:hAnsi="宋体" w:cs="宋体"/>
          <w:bCs/>
          <w:kern w:val="0"/>
        </w:rPr>
        <w:t xml:space="preserve">顶升作业顺序包括了一连串将重复数次的操作：在地面将四个引进轮安装固定在待吊标节下部横腹杆的四个角上（引进轮的安装位置参考下图），然后吊起标节并安放在引进平台上；再吊一节标准节，将载重小车开至顶升平衡位置。 </w:t>
      </w:r>
    </w:p>
    <w:p w14:paraId="6DB184C4">
      <w:pPr>
        <w:widowControl/>
        <w:spacing w:line="240" w:lineRule="auto"/>
        <w:ind w:firstLine="0" w:firstLineChars="0"/>
        <w:jc w:val="center"/>
      </w:pPr>
      <w:r>
        <w:drawing>
          <wp:inline distT="0" distB="0" distL="114300" distR="114300">
            <wp:extent cx="5266690" cy="1518920"/>
            <wp:effectExtent l="0" t="0" r="10160" b="508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79"/>
                    <a:stretch>
                      <a:fillRect/>
                    </a:stretch>
                  </pic:blipFill>
                  <pic:spPr>
                    <a:xfrm>
                      <a:off x="0" y="0"/>
                      <a:ext cx="5266690" cy="1518920"/>
                    </a:xfrm>
                    <a:prstGeom prst="rect">
                      <a:avLst/>
                    </a:prstGeom>
                    <a:noFill/>
                    <a:ln>
                      <a:noFill/>
                    </a:ln>
                  </pic:spPr>
                </pic:pic>
              </a:graphicData>
            </a:graphic>
          </wp:inline>
        </w:drawing>
      </w:r>
    </w:p>
    <w:p w14:paraId="4E3F3AAE">
      <w:pPr>
        <w:widowControl/>
        <w:ind w:firstLine="0" w:firstLineChars="0"/>
        <w:jc w:val="center"/>
      </w:pPr>
      <w:r>
        <w:rPr>
          <w:rFonts w:hint="eastAsia" w:ascii="宋体" w:hAnsi="宋体" w:cs="宋体"/>
          <w:b/>
          <w:bCs/>
          <w:sz w:val="21"/>
        </w:rPr>
        <w:t>图5.4-2</w:t>
      </w:r>
      <w:r>
        <w:rPr>
          <w:rFonts w:hint="eastAsia" w:ascii="宋体" w:hAnsi="宋体" w:cs="宋体"/>
          <w:b/>
          <w:bCs/>
          <w:sz w:val="21"/>
          <w:lang w:val="en-US" w:eastAsia="zh-CN"/>
        </w:rPr>
        <w:t xml:space="preserve"> </w:t>
      </w:r>
      <w:r>
        <w:rPr>
          <w:rFonts w:hint="eastAsia" w:ascii="宋体" w:hAnsi="宋体" w:cs="宋体"/>
          <w:b/>
          <w:bCs/>
          <w:color w:val="000000"/>
          <w:kern w:val="0"/>
          <w:sz w:val="21"/>
          <w:lang w:bidi="ar"/>
        </w:rPr>
        <w:t>塔机配平调整</w:t>
      </w:r>
      <w:r>
        <w:rPr>
          <w:rFonts w:hint="eastAsia" w:ascii="宋体" w:hAnsi="宋体" w:cs="宋体"/>
          <w:b/>
          <w:bCs/>
          <w:sz w:val="21"/>
        </w:rPr>
        <w:t>示意图</w:t>
      </w:r>
    </w:p>
    <w:p w14:paraId="6ABAF934">
      <w:pPr>
        <w:widowControl/>
        <w:ind w:firstLine="560"/>
        <w:jc w:val="left"/>
      </w:pPr>
      <w:r>
        <w:rPr>
          <w:rFonts w:hint="eastAsia" w:ascii="宋体" w:hAnsi="宋体" w:cs="宋体"/>
          <w:color w:val="000000"/>
          <w:kern w:val="0"/>
          <w:szCs w:val="24"/>
          <w:lang w:bidi="ar"/>
        </w:rPr>
        <w:t xml:space="preserve">使用回转装置上的回转制动器，将塔机上部装置处于制动状态，卸下塔身顶部与特殊节连接的 </w:t>
      </w:r>
      <w:r>
        <w:rPr>
          <w:rFonts w:ascii="Calibri" w:hAnsi="Calibri" w:cs="Calibri"/>
          <w:color w:val="000000"/>
          <w:kern w:val="0"/>
          <w:szCs w:val="24"/>
          <w:lang w:bidi="ar"/>
        </w:rPr>
        <w:t xml:space="preserve">8 </w:t>
      </w:r>
      <w:r>
        <w:rPr>
          <w:rFonts w:hint="eastAsia" w:ascii="宋体" w:hAnsi="宋体" w:cs="宋体"/>
          <w:color w:val="000000"/>
          <w:kern w:val="0"/>
          <w:szCs w:val="24"/>
          <w:lang w:bidi="ar"/>
        </w:rPr>
        <w:t>个</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 xml:space="preserve">。 </w:t>
      </w:r>
    </w:p>
    <w:p w14:paraId="21F7317C">
      <w:pPr>
        <w:widowControl/>
        <w:ind w:firstLine="560"/>
        <w:jc w:val="left"/>
      </w:pPr>
      <w:r>
        <w:rPr>
          <w:rFonts w:hint="eastAsia" w:ascii="宋体" w:hAnsi="宋体" w:cs="宋体"/>
          <w:color w:val="000000"/>
          <w:kern w:val="0"/>
          <w:szCs w:val="24"/>
          <w:lang w:bidi="ar"/>
        </w:rPr>
        <w:t xml:space="preserve">开动液压顶升系统，使油缸活塞杆伸出，将顶升横梁两端的销轴落入距顶升横梁最近的塔身节踏步的圆弧槽内，插入防脱销（要设专人负责观察顶升横梁两端销轴都必须落入踏步圆弧槽内），确认无误后继续顶升， 将爬升架及以上部分顶起 </w:t>
      </w:r>
      <w:r>
        <w:rPr>
          <w:rFonts w:ascii="Calibri" w:hAnsi="Calibri" w:cs="Calibri"/>
          <w:color w:val="000000"/>
          <w:kern w:val="0"/>
          <w:szCs w:val="24"/>
          <w:lang w:bidi="ar"/>
        </w:rPr>
        <w:t>10</w:t>
      </w:r>
      <w:r>
        <w:rPr>
          <w:rFonts w:hint="eastAsia" w:ascii="宋体" w:hAnsi="宋体" w:cs="宋体"/>
          <w:color w:val="000000"/>
          <w:kern w:val="0"/>
          <w:szCs w:val="24"/>
          <w:lang w:bidi="ar"/>
        </w:rPr>
        <w:t>～</w:t>
      </w:r>
      <w:r>
        <w:rPr>
          <w:rFonts w:ascii="Calibri" w:hAnsi="Calibri" w:cs="Calibri"/>
          <w:color w:val="000000"/>
          <w:kern w:val="0"/>
          <w:szCs w:val="24"/>
          <w:lang w:bidi="ar"/>
        </w:rPr>
        <w:t xml:space="preserve">50mm </w:t>
      </w:r>
      <w:r>
        <w:rPr>
          <w:rFonts w:hint="eastAsia" w:ascii="宋体" w:hAnsi="宋体" w:cs="宋体"/>
          <w:color w:val="000000"/>
          <w:kern w:val="0"/>
          <w:szCs w:val="24"/>
          <w:lang w:bidi="ar"/>
        </w:rPr>
        <w:t>时停止，检查顶升横梁等爬升架传力部件是否有异响、变形，油缸活塞杆是否有自动回缩等异常现象，确认正常后，继续顶升。</w:t>
      </w:r>
    </w:p>
    <w:p w14:paraId="2332239C">
      <w:pPr>
        <w:widowControl/>
        <w:ind w:firstLine="560"/>
        <w:jc w:val="left"/>
      </w:pPr>
      <w:r>
        <w:rPr>
          <w:rFonts w:hint="eastAsia" w:ascii="宋体" w:hAnsi="宋体" w:cs="宋体"/>
          <w:color w:val="000000"/>
          <w:kern w:val="0"/>
          <w:szCs w:val="24"/>
          <w:lang w:bidi="ar"/>
        </w:rPr>
        <w:t xml:space="preserve">顶升略超过半个塔身节高度并使爬升架上的活动爬爪滑过一对踏步并自动复位后， 停止顶升，并回缩油缸；确认两个活动爬爪全部准确地压在踏步顶端的平面上并承受住爬升架及其以上部分的重量，且无局部变形、异响等异常情况。 </w:t>
      </w:r>
    </w:p>
    <w:p w14:paraId="558CEF0A">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"C:\\Users\\Administrator\\AppData\\Roaming\\Tencent\\Users\\406205469\\QQ\\WinTemp\\RichOle\\8D`_M@(Y3E9WE7][NEH4CXS.png" \* MERGEFORMATINET </w:instrText>
      </w:r>
      <w:r>
        <w:rPr>
          <w:rFonts w:ascii="宋体" w:hAnsi="宋体" w:cs="宋体"/>
          <w:kern w:val="0"/>
          <w:szCs w:val="24"/>
          <w:lang w:bidi="ar"/>
        </w:rPr>
        <w:fldChar w:fldCharType="separate"/>
      </w:r>
      <w:r>
        <w:rPr>
          <w:rFonts w:ascii="宋体" w:hAnsi="宋体" w:cs="宋体"/>
          <w:kern w:val="0"/>
          <w:szCs w:val="24"/>
          <w:lang w:bidi="ar"/>
        </w:rPr>
        <w:drawing>
          <wp:inline distT="0" distB="0" distL="114300" distR="114300">
            <wp:extent cx="4040505" cy="2000885"/>
            <wp:effectExtent l="0" t="0" r="17145" b="1841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0"/>
                    <a:stretch>
                      <a:fillRect/>
                    </a:stretch>
                  </pic:blipFill>
                  <pic:spPr>
                    <a:xfrm>
                      <a:off x="0" y="0"/>
                      <a:ext cx="4040505" cy="2000885"/>
                    </a:xfrm>
                    <a:prstGeom prst="rect">
                      <a:avLst/>
                    </a:prstGeom>
                    <a:noFill/>
                    <a:ln>
                      <a:noFill/>
                    </a:ln>
                  </pic:spPr>
                </pic:pic>
              </a:graphicData>
            </a:graphic>
          </wp:inline>
        </w:drawing>
      </w:r>
      <w:r>
        <w:rPr>
          <w:rFonts w:ascii="宋体" w:hAnsi="宋体" w:cs="宋体"/>
          <w:kern w:val="0"/>
          <w:szCs w:val="24"/>
          <w:lang w:bidi="ar"/>
        </w:rPr>
        <w:fldChar w:fldCharType="end"/>
      </w:r>
    </w:p>
    <w:p w14:paraId="1ABB2488">
      <w:pPr>
        <w:widowControl/>
        <w:ind w:firstLine="0" w:firstLineChars="0"/>
        <w:jc w:val="center"/>
      </w:pPr>
      <w:r>
        <w:rPr>
          <w:rFonts w:hint="eastAsia" w:ascii="宋体" w:hAnsi="宋体" w:cs="宋体"/>
          <w:b/>
          <w:bCs/>
          <w:sz w:val="21"/>
        </w:rPr>
        <w:t>图5.4-3</w:t>
      </w:r>
      <w:r>
        <w:rPr>
          <w:rFonts w:hint="eastAsia" w:ascii="宋体" w:hAnsi="宋体" w:cs="宋体"/>
          <w:b/>
          <w:bCs/>
          <w:color w:val="000000"/>
          <w:kern w:val="0"/>
          <w:sz w:val="21"/>
          <w:lang w:bidi="ar"/>
        </w:rPr>
        <w:t>塔机顶升示</w:t>
      </w:r>
      <w:r>
        <w:rPr>
          <w:rFonts w:hint="eastAsia" w:ascii="宋体" w:hAnsi="宋体" w:cs="宋体"/>
          <w:b/>
          <w:bCs/>
          <w:sz w:val="21"/>
        </w:rPr>
        <w:t>意图一</w:t>
      </w:r>
    </w:p>
    <w:p w14:paraId="18753D57">
      <w:pPr>
        <w:ind w:firstLine="560"/>
        <w:rPr>
          <w:lang w:bidi="ar"/>
        </w:rPr>
      </w:pPr>
      <w:r>
        <w:rPr>
          <w:rFonts w:hint="eastAsia"/>
          <w:lang w:bidi="ar"/>
        </w:rPr>
        <w:t xml:space="preserve">将顶升横梁防脱销收回，将油缸活塞全部缩回，提起顶升横梁，重新使顶升横梁顶在向上一对踏步的圆弧槽内，防脱销插入，再次伸出油缸，将塔机上部结构再顶起略超过半个塔身节高度，此时塔身上方恰好又能装入一个塔身节的空间，将爬升架引进平台上的标准节拉进至塔身正上方，稍微缩回油缸，将新引进的标准节落在塔身顶部并对正，拆下引进轮。用 </w:t>
      </w:r>
      <w:r>
        <w:rPr>
          <w:rFonts w:ascii="Calibri" w:hAnsi="Calibri" w:cs="Calibri"/>
          <w:lang w:bidi="ar"/>
        </w:rPr>
        <w:t xml:space="preserve">8 </w:t>
      </w:r>
      <w:r>
        <w:rPr>
          <w:rFonts w:hint="eastAsia"/>
          <w:lang w:bidi="ar"/>
        </w:rPr>
        <w:t>件</w:t>
      </w:r>
      <w:r>
        <w:rPr>
          <w:rFonts w:hint="eastAsia"/>
          <w:lang w:eastAsia="zh-CN" w:bidi="ar"/>
        </w:rPr>
        <w:t>销轴</w:t>
      </w:r>
      <w:r>
        <w:rPr>
          <w:rFonts w:hint="eastAsia"/>
          <w:lang w:bidi="ar"/>
        </w:rPr>
        <w:t xml:space="preserve">将上、下标准节连接牢靠（预紧力矩 </w:t>
      </w:r>
      <w:r>
        <w:rPr>
          <w:rFonts w:hint="eastAsia" w:ascii="Calibri" w:hAnsi="Calibri" w:cs="Calibri"/>
          <w:lang w:eastAsia="zh-CN" w:bidi="ar"/>
        </w:rPr>
        <w:t>1400N·m</w:t>
      </w:r>
      <w:r>
        <w:rPr>
          <w:rFonts w:hint="eastAsia"/>
          <w:lang w:bidi="ar"/>
        </w:rPr>
        <w:t>）。</w:t>
      </w:r>
    </w:p>
    <w:p w14:paraId="64BEF477">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"C:\\Users\\Administrator\\AppData\\Roaming\\Tencent\\Users\\406205469\\QQ\\WinTemp\\RichOle\\5@(3)~DFIMTW)19QNNGU)FX.png" \* MERGEFORMATINET </w:instrText>
      </w:r>
      <w:r>
        <w:rPr>
          <w:rFonts w:ascii="宋体" w:hAnsi="宋体" w:cs="宋体"/>
          <w:kern w:val="0"/>
          <w:szCs w:val="24"/>
          <w:lang w:bidi="ar"/>
        </w:rPr>
        <w:fldChar w:fldCharType="separate"/>
      </w:r>
      <w:r>
        <w:rPr>
          <w:rFonts w:ascii="宋体" w:hAnsi="宋体" w:cs="宋体"/>
          <w:kern w:val="0"/>
          <w:szCs w:val="24"/>
          <w:lang w:bidi="ar"/>
        </w:rPr>
        <w:drawing>
          <wp:inline distT="0" distB="0" distL="114300" distR="114300">
            <wp:extent cx="1884680" cy="2339340"/>
            <wp:effectExtent l="0" t="0" r="1270" b="3810"/>
            <wp:docPr id="1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6"/>
                    <pic:cNvPicPr>
                      <a:picLocks noChangeAspect="1"/>
                    </pic:cNvPicPr>
                  </pic:nvPicPr>
                  <pic:blipFill>
                    <a:blip r:embed="rId81"/>
                    <a:stretch>
                      <a:fillRect/>
                    </a:stretch>
                  </pic:blipFill>
                  <pic:spPr>
                    <a:xfrm>
                      <a:off x="0" y="0"/>
                      <a:ext cx="1884680" cy="2339340"/>
                    </a:xfrm>
                    <a:prstGeom prst="rect">
                      <a:avLst/>
                    </a:prstGeom>
                    <a:noFill/>
                    <a:ln>
                      <a:noFill/>
                    </a:ln>
                  </pic:spPr>
                </pic:pic>
              </a:graphicData>
            </a:graphic>
          </wp:inline>
        </w:drawing>
      </w:r>
      <w:r>
        <w:rPr>
          <w:rFonts w:ascii="宋体" w:hAnsi="宋体" w:cs="宋体"/>
          <w:kern w:val="0"/>
          <w:szCs w:val="24"/>
          <w:lang w:bidi="ar"/>
        </w:rPr>
        <w:fldChar w:fldCharType="end"/>
      </w:r>
    </w:p>
    <w:p w14:paraId="0CB56C79">
      <w:pPr>
        <w:widowControl/>
        <w:ind w:firstLine="0" w:firstLineChars="0"/>
        <w:jc w:val="center"/>
      </w:pPr>
      <w:r>
        <w:rPr>
          <w:rFonts w:hint="eastAsia" w:ascii="宋体" w:hAnsi="宋体" w:cs="宋体"/>
          <w:b/>
          <w:bCs/>
          <w:sz w:val="21"/>
        </w:rPr>
        <w:t>图5.4-4</w:t>
      </w:r>
      <w:r>
        <w:rPr>
          <w:rFonts w:hint="eastAsia" w:ascii="宋体" w:hAnsi="宋体" w:cs="宋体"/>
          <w:b/>
          <w:bCs/>
          <w:color w:val="000000"/>
          <w:kern w:val="0"/>
          <w:sz w:val="21"/>
          <w:lang w:bidi="ar"/>
        </w:rPr>
        <w:t>塔机顶升示</w:t>
      </w:r>
      <w:r>
        <w:rPr>
          <w:rFonts w:hint="eastAsia" w:ascii="宋体" w:hAnsi="宋体" w:cs="宋体"/>
          <w:b/>
          <w:bCs/>
          <w:sz w:val="21"/>
        </w:rPr>
        <w:t>意图二</w:t>
      </w:r>
    </w:p>
    <w:p w14:paraId="270F1F5F">
      <w:pPr>
        <w:widowControl/>
        <w:ind w:firstLine="560"/>
        <w:jc w:val="left"/>
      </w:pPr>
      <w:r>
        <w:rPr>
          <w:rFonts w:hint="eastAsia" w:ascii="宋体" w:hAnsi="宋体" w:cs="宋体"/>
          <w:color w:val="000000"/>
          <w:kern w:val="0"/>
          <w:szCs w:val="24"/>
          <w:lang w:bidi="ar"/>
        </w:rPr>
        <w:t>销轴及防脱销收回后，继续缩回油缸，将特殊节落在新的塔身顶部上，并对正，用</w:t>
      </w:r>
      <w:r>
        <w:rPr>
          <w:rFonts w:ascii="Calibri" w:hAnsi="Calibri" w:cs="Calibri"/>
          <w:color w:val="000000"/>
          <w:kern w:val="0"/>
          <w:szCs w:val="24"/>
          <w:lang w:bidi="ar"/>
        </w:rPr>
        <w:t>8</w:t>
      </w:r>
      <w:r>
        <w:rPr>
          <w:rFonts w:hint="eastAsia" w:ascii="宋体" w:hAnsi="宋体" w:cs="宋体"/>
          <w:color w:val="000000"/>
          <w:kern w:val="0"/>
          <w:szCs w:val="24"/>
          <w:lang w:bidi="ar"/>
        </w:rPr>
        <w:t>件</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将下支座与塔身连接牢靠（每根</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 xml:space="preserve">必须有两个螺母），即完成一节标准节的加节工作。 </w:t>
      </w:r>
    </w:p>
    <w:p w14:paraId="0A3348F2">
      <w:pPr>
        <w:widowControl/>
        <w:ind w:firstLine="560"/>
        <w:jc w:val="left"/>
        <w:rPr>
          <w:rFonts w:ascii="宋体" w:hAnsi="宋体" w:cs="宋体"/>
        </w:rPr>
      </w:pPr>
      <w:r>
        <w:rPr>
          <w:rFonts w:hint="eastAsia" w:ascii="宋体" w:hAnsi="宋体" w:cs="宋体"/>
        </w:rPr>
        <w:t>（7）</w:t>
      </w:r>
      <w:r>
        <w:rPr>
          <w:rFonts w:hint="eastAsia" w:ascii="宋体" w:hAnsi="宋体" w:cs="宋体"/>
          <w:color w:val="000000"/>
          <w:kern w:val="0"/>
          <w:szCs w:val="24"/>
          <w:lang w:bidi="ar"/>
        </w:rPr>
        <w:t>顶升作业注意事项</w:t>
      </w:r>
    </w:p>
    <w:p w14:paraId="6C821FB0">
      <w:pPr>
        <w:ind w:firstLine="560"/>
      </w:pPr>
      <w:r>
        <w:rPr>
          <w:rFonts w:hint="eastAsia"/>
          <w:lang w:bidi="ar"/>
        </w:rPr>
        <w:t>塔机最高处风速大于</w:t>
      </w:r>
      <w:r>
        <w:rPr>
          <w:rFonts w:ascii="Calibri" w:hAnsi="Calibri" w:cs="Calibri"/>
          <w:lang w:bidi="ar"/>
        </w:rPr>
        <w:t>12m/s</w:t>
      </w:r>
      <w:r>
        <w:rPr>
          <w:rFonts w:hint="eastAsia"/>
          <w:lang w:bidi="ar"/>
        </w:rPr>
        <w:t xml:space="preserve">时，不得进行顶升作业。 </w:t>
      </w:r>
    </w:p>
    <w:p w14:paraId="5706907B">
      <w:pPr>
        <w:ind w:firstLine="560"/>
      </w:pPr>
      <w:r>
        <w:rPr>
          <w:rFonts w:hint="eastAsia"/>
          <w:lang w:bidi="ar"/>
        </w:rPr>
        <w:t xml:space="preserve">塔机的爬升机构，其爬升作业时应确保爬升架上支承在塔身上的受力部位与塔身顶升支承部位应可靠定位和结合。并应及时查看顶升支承部位焊缝情况，若有异常情况应排除后才能继续进行爬升作业。 </w:t>
      </w:r>
    </w:p>
    <w:p w14:paraId="31E1AE1A">
      <w:pPr>
        <w:ind w:firstLine="560"/>
      </w:pPr>
      <w:r>
        <w:rPr>
          <w:rFonts w:hint="eastAsia"/>
          <w:lang w:bidi="ar"/>
        </w:rPr>
        <w:t xml:space="preserve">顶升过程中必须保证起重臂与引入标准节方向一致，并利用回转机构制动器将起重臂制动住，载重小车必须停靠在顶升配平位置。 </w:t>
      </w:r>
    </w:p>
    <w:p w14:paraId="39E0F91B">
      <w:pPr>
        <w:ind w:firstLine="560"/>
      </w:pPr>
      <w:r>
        <w:rPr>
          <w:rFonts w:hint="eastAsia"/>
          <w:lang w:bidi="ar"/>
        </w:rPr>
        <w:t>若要连续加高几节标准节，则每加完一节后，用塔机自身起吊下一节标准节前，塔身</w:t>
      </w:r>
      <w:r>
        <w:rPr>
          <w:rFonts w:ascii="Calibri" w:hAnsi="Calibri" w:cs="Calibri"/>
          <w:lang w:bidi="ar"/>
        </w:rPr>
        <w:t>4</w:t>
      </w:r>
      <w:r>
        <w:rPr>
          <w:rFonts w:hint="eastAsia"/>
          <w:lang w:bidi="ar"/>
        </w:rPr>
        <w:t>个主弦杆和特殊节必须有</w:t>
      </w:r>
      <w:r>
        <w:rPr>
          <w:rFonts w:hint="eastAsia" w:ascii="Calibri" w:hAnsi="Calibri" w:cs="Calibri"/>
          <w:lang w:val="en-US" w:eastAsia="zh-CN" w:bidi="ar"/>
        </w:rPr>
        <w:t>销轴</w:t>
      </w:r>
      <w:r>
        <w:rPr>
          <w:rFonts w:hint="eastAsia"/>
          <w:lang w:bidi="ar"/>
        </w:rPr>
        <w:t xml:space="preserve">连接。 </w:t>
      </w:r>
    </w:p>
    <w:p w14:paraId="06C15C99">
      <w:pPr>
        <w:ind w:firstLine="560"/>
      </w:pPr>
      <w:r>
        <w:rPr>
          <w:rFonts w:hint="eastAsia"/>
          <w:lang w:bidi="ar"/>
        </w:rPr>
        <w:t xml:space="preserve">所加标准节上的踏步，必须与已有塔身节对正。 </w:t>
      </w:r>
    </w:p>
    <w:p w14:paraId="430A209D">
      <w:pPr>
        <w:ind w:firstLine="560"/>
      </w:pPr>
      <w:r>
        <w:rPr>
          <w:rFonts w:hint="eastAsia"/>
          <w:lang w:bidi="ar"/>
        </w:rPr>
        <w:t>在特殊节与塔身没有用</w:t>
      </w:r>
      <w:r>
        <w:rPr>
          <w:rFonts w:hint="eastAsia"/>
          <w:lang w:val="en-US" w:eastAsia="zh-CN" w:bidi="ar"/>
        </w:rPr>
        <w:t>销轴</w:t>
      </w:r>
      <w:r>
        <w:rPr>
          <w:rFonts w:hint="eastAsia"/>
          <w:lang w:bidi="ar"/>
        </w:rPr>
        <w:t xml:space="preserve">连接好之前，严禁起重臂回转、载重小车变幅和吊装作业。 </w:t>
      </w:r>
    </w:p>
    <w:p w14:paraId="7692085D">
      <w:pPr>
        <w:ind w:firstLine="560"/>
      </w:pPr>
      <w:r>
        <w:rPr>
          <w:rFonts w:hint="eastAsia"/>
          <w:lang w:bidi="ar"/>
        </w:rPr>
        <w:t>在顶升过程中，若液压顶升系统出现异常，应立即停止顶升，收回油缸，将下支座落在塔身顶部，并用</w:t>
      </w:r>
      <w:r>
        <w:rPr>
          <w:rFonts w:hint="eastAsia"/>
          <w:lang w:eastAsia="zh-CN" w:bidi="ar"/>
        </w:rPr>
        <w:t>销轴</w:t>
      </w:r>
      <w:r>
        <w:rPr>
          <w:rFonts w:hint="eastAsia"/>
          <w:lang w:bidi="ar"/>
        </w:rPr>
        <w:t xml:space="preserve">将特殊节与塔身连接牢靠后，再排除液压系统的故障。 </w:t>
      </w:r>
    </w:p>
    <w:p w14:paraId="5B57D61D">
      <w:pPr>
        <w:ind w:firstLine="560"/>
      </w:pPr>
      <w:r>
        <w:rPr>
          <w:rFonts w:hint="eastAsia"/>
          <w:lang w:bidi="ar"/>
        </w:rPr>
        <w:t>塔机加节达到所需工作高度（但不超过独立高度）后，应旋转起重臂至不同的角度，检查塔身各接头处、基础支脚处螺栓的拧紧问题（哪一根主弦杆位于平衡臂正下方时就把这根主弦杆从下到上的所有螺母拧紧，上述连接处均为双螺母防松）。</w:t>
      </w:r>
    </w:p>
    <w:p w14:paraId="53BDF9F7">
      <w:pPr>
        <w:ind w:firstLine="560"/>
      </w:pPr>
      <w:r>
        <w:rPr>
          <w:rFonts w:hint="eastAsia"/>
        </w:rPr>
        <w:t>（8）</w:t>
      </w:r>
      <w:r>
        <w:rPr>
          <w:rFonts w:hint="eastAsia"/>
          <w:lang w:bidi="ar"/>
        </w:rPr>
        <w:t>防脱销装置的使用方法</w:t>
      </w:r>
    </w:p>
    <w:p w14:paraId="3A2B53FE">
      <w:pPr>
        <w:ind w:firstLine="560"/>
      </w:pPr>
      <w:r>
        <w:rPr>
          <w:rFonts w:hint="eastAsia"/>
          <w:lang w:bidi="ar"/>
        </w:rPr>
        <w:t xml:space="preserve">防脱装置由两部分组成，一是顶升横梁上的插销，二是标准节踏步的防脱插销孔，其使用方法如下： </w:t>
      </w:r>
    </w:p>
    <w:p w14:paraId="2B421A41">
      <w:pPr>
        <w:ind w:firstLine="560"/>
      </w:pPr>
      <w:r>
        <w:rPr>
          <w:rFonts w:ascii="Calibri" w:hAnsi="Calibri" w:cs="Calibri"/>
          <w:lang w:bidi="ar"/>
        </w:rPr>
        <w:t>1</w:t>
      </w:r>
      <w:r>
        <w:rPr>
          <w:rFonts w:hint="eastAsia"/>
          <w:lang w:bidi="ar"/>
        </w:rPr>
        <w:t xml:space="preserve">）塔机开始顶升加节或降塔减节时，顶升横梁的销轴搁置在标准节的圆弧槽内，须将顶升横梁的防脱销插入标准节的防脱销孔内，且固定在前槽内。 </w:t>
      </w:r>
    </w:p>
    <w:p w14:paraId="21F6076E">
      <w:pPr>
        <w:ind w:firstLine="560"/>
      </w:pPr>
      <w:r>
        <w:rPr>
          <w:rFonts w:ascii="Calibri" w:hAnsi="Calibri" w:cs="Calibri"/>
          <w:lang w:bidi="ar"/>
        </w:rPr>
        <w:t>2</w:t>
      </w:r>
      <w:r>
        <w:rPr>
          <w:rFonts w:hint="eastAsia"/>
          <w:lang w:bidi="ar"/>
        </w:rPr>
        <w:t>）在完成一个顶升步骤、顶升横梁要脱离标准节踏步时，须先将防脱销轴退出标准节防脱销孔，固定在后槽内。</w:t>
      </w:r>
    </w:p>
    <w:p w14:paraId="7687DC4D">
      <w:pPr>
        <w:ind w:firstLine="560"/>
      </w:pPr>
      <w:r>
        <w:rPr>
          <w:rFonts w:hint="eastAsia"/>
        </w:rPr>
        <w:t>注意：</w:t>
      </w:r>
      <w:r>
        <w:rPr>
          <w:rFonts w:hint="eastAsia"/>
          <w:lang w:bidi="ar"/>
        </w:rPr>
        <w:t xml:space="preserve">防脱销轴未退出标准节防脱销孔，启动顶升装置强行使顶升横梁脱离标准节踏步会损坏防脱销轴。 </w:t>
      </w:r>
    </w:p>
    <w:p w14:paraId="551B71E7">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"C:\\Users\\Administrator\\AppData\\Roaming\\Tencent\\Users\\406205469\\QQ\\WinTemp\\RichOle\\2[0FSEPH}@I2T60`BY1ILG2.png" \* MERGEFORMATINET </w:instrText>
      </w:r>
      <w:r>
        <w:rPr>
          <w:rFonts w:ascii="宋体" w:hAnsi="宋体" w:cs="宋体"/>
          <w:kern w:val="0"/>
          <w:szCs w:val="24"/>
          <w:lang w:bidi="ar"/>
        </w:rPr>
        <w:fldChar w:fldCharType="separate"/>
      </w:r>
      <w:r>
        <w:rPr>
          <w:rFonts w:ascii="宋体" w:hAnsi="宋体" w:cs="宋体"/>
          <w:kern w:val="0"/>
          <w:szCs w:val="24"/>
          <w:lang w:bidi="ar"/>
        </w:rPr>
        <w:drawing>
          <wp:inline distT="0" distB="0" distL="114300" distR="114300">
            <wp:extent cx="2858770" cy="2228850"/>
            <wp:effectExtent l="0" t="0" r="17780" b="0"/>
            <wp:docPr id="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IMG_256"/>
                    <pic:cNvPicPr>
                      <a:picLocks noChangeAspect="1"/>
                    </pic:cNvPicPr>
                  </pic:nvPicPr>
                  <pic:blipFill>
                    <a:blip r:embed="rId82"/>
                    <a:stretch>
                      <a:fillRect/>
                    </a:stretch>
                  </pic:blipFill>
                  <pic:spPr>
                    <a:xfrm>
                      <a:off x="0" y="0"/>
                      <a:ext cx="2858770" cy="2228850"/>
                    </a:xfrm>
                    <a:prstGeom prst="rect">
                      <a:avLst/>
                    </a:prstGeom>
                    <a:noFill/>
                    <a:ln>
                      <a:noFill/>
                    </a:ln>
                  </pic:spPr>
                </pic:pic>
              </a:graphicData>
            </a:graphic>
          </wp:inline>
        </w:drawing>
      </w:r>
      <w:r>
        <w:rPr>
          <w:rFonts w:ascii="宋体" w:hAnsi="宋体" w:cs="宋体"/>
          <w:kern w:val="0"/>
          <w:szCs w:val="24"/>
          <w:lang w:bidi="ar"/>
        </w:rPr>
        <w:fldChar w:fldCharType="end"/>
      </w:r>
    </w:p>
    <w:p w14:paraId="18ED958B">
      <w:pPr>
        <w:widowControl/>
        <w:ind w:firstLine="0" w:firstLineChars="0"/>
        <w:jc w:val="center"/>
        <w:rPr>
          <w:rFonts w:ascii="宋体" w:hAnsi="宋体" w:cs="宋体"/>
          <w:b/>
          <w:bCs/>
          <w:sz w:val="21"/>
        </w:rPr>
      </w:pPr>
      <w:r>
        <w:rPr>
          <w:rFonts w:hint="eastAsia" w:ascii="宋体" w:hAnsi="宋体" w:cs="宋体"/>
          <w:b/>
          <w:bCs/>
          <w:sz w:val="21"/>
        </w:rPr>
        <w:t>图5.4-5</w:t>
      </w:r>
      <w:r>
        <w:rPr>
          <w:rFonts w:hint="eastAsia" w:ascii="宋体" w:hAnsi="宋体" w:cs="宋体"/>
          <w:b/>
          <w:bCs/>
          <w:color w:val="000000"/>
          <w:kern w:val="0"/>
          <w:sz w:val="21"/>
          <w:lang w:bidi="ar"/>
        </w:rPr>
        <w:t>塔机顶升防脱示</w:t>
      </w:r>
      <w:r>
        <w:rPr>
          <w:rFonts w:hint="eastAsia" w:ascii="宋体" w:hAnsi="宋体" w:cs="宋体"/>
          <w:b/>
          <w:bCs/>
          <w:sz w:val="21"/>
        </w:rPr>
        <w:t>意图</w:t>
      </w:r>
    </w:p>
    <w:p w14:paraId="6D8EBB2D">
      <w:pPr>
        <w:pStyle w:val="4"/>
        <w:bidi w:val="0"/>
        <w:ind w:left="720" w:leftChars="0" w:hanging="720" w:firstLineChars="0"/>
      </w:pPr>
      <w:r>
        <w:rPr>
          <w:rFonts w:hint="eastAsia"/>
        </w:rPr>
        <w:t>顶升后的收尾工作</w:t>
      </w:r>
    </w:p>
    <w:p w14:paraId="17AFAAB5">
      <w:pPr>
        <w:ind w:firstLine="560"/>
      </w:pPr>
      <w:r>
        <w:rPr>
          <w:rFonts w:hint="eastAsia"/>
        </w:rPr>
        <w:t>1）顶升结束后利用套架制动块将顶升套架支承在塔身上，收回压缩升油缸。</w:t>
      </w:r>
    </w:p>
    <w:p w14:paraId="493490E2">
      <w:pPr>
        <w:ind w:firstLine="560"/>
      </w:pPr>
      <w:r>
        <w:rPr>
          <w:rFonts w:hint="eastAsia"/>
        </w:rPr>
        <w:t>2）顶升工作全面完成后可以半顶升套架下降到标准节底部或拆除顶升套架，以降低整个塔机的重心和减小迎风面积，沿海及其他风压较大的地区必须将顶升套架下降至塔机底部或拆除顶升套架。</w:t>
      </w:r>
    </w:p>
    <w:p w14:paraId="00A7119C">
      <w:pPr>
        <w:ind w:firstLine="560"/>
      </w:pPr>
      <w:r>
        <w:rPr>
          <w:rFonts w:hint="eastAsia"/>
        </w:rPr>
        <w:t xml:space="preserve"> 3）顶升完毕后可将引进梁缩回下支座内或者拆除引进梁。以免吊钩在最小幅度工作时碰到。</w:t>
      </w:r>
    </w:p>
    <w:p w14:paraId="245B498B">
      <w:pPr>
        <w:pStyle w:val="4"/>
        <w:bidi w:val="0"/>
        <w:ind w:left="720" w:leftChars="0" w:hanging="720" w:firstLineChars="0"/>
      </w:pPr>
      <w:bookmarkStart w:id="324" w:name="_Toc10409851"/>
      <w:bookmarkStart w:id="325" w:name="_Toc15800"/>
      <w:r>
        <w:rPr>
          <w:rFonts w:hint="eastAsia"/>
        </w:rPr>
        <w:t>塔式起重机验收</w:t>
      </w:r>
      <w:bookmarkEnd w:id="324"/>
      <w:r>
        <w:rPr>
          <w:rFonts w:hint="eastAsia"/>
        </w:rPr>
        <w:t>内容</w:t>
      </w:r>
      <w:bookmarkEnd w:id="325"/>
    </w:p>
    <w:p w14:paraId="5D2111FE">
      <w:pPr>
        <w:widowControl/>
        <w:ind w:firstLine="0" w:firstLineChars="0"/>
        <w:jc w:val="center"/>
        <w:rPr>
          <w:rFonts w:ascii="宋体" w:hAnsi="宋体" w:cs="宋体"/>
          <w:b/>
          <w:bCs/>
          <w:sz w:val="21"/>
        </w:rPr>
      </w:pPr>
      <w:r>
        <w:rPr>
          <w:rFonts w:hint="eastAsia" w:ascii="宋体" w:hAnsi="宋体" w:cs="宋体"/>
          <w:b/>
          <w:bCs/>
          <w:sz w:val="21"/>
        </w:rPr>
        <w:t>表5.4-</w:t>
      </w:r>
      <w:r>
        <w:rPr>
          <w:rFonts w:hint="eastAsia" w:ascii="宋体" w:hAnsi="宋体" w:cs="宋体"/>
          <w:b/>
          <w:bCs/>
          <w:sz w:val="21"/>
          <w:lang w:val="en-US" w:eastAsia="zh-CN"/>
        </w:rPr>
        <w:t xml:space="preserve">6 </w:t>
      </w:r>
      <w:r>
        <w:rPr>
          <w:rFonts w:hint="eastAsia" w:ascii="宋体" w:hAnsi="宋体" w:cs="宋体"/>
          <w:b/>
          <w:bCs/>
          <w:sz w:val="21"/>
        </w:rPr>
        <w:t>塔式起重机验收内容</w:t>
      </w:r>
    </w:p>
    <w:tbl>
      <w:tblPr>
        <w:tblStyle w:val="44"/>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534"/>
        <w:gridCol w:w="607"/>
        <w:gridCol w:w="757"/>
        <w:gridCol w:w="9"/>
        <w:gridCol w:w="91"/>
        <w:gridCol w:w="12"/>
        <w:gridCol w:w="2171"/>
        <w:gridCol w:w="2363"/>
        <w:gridCol w:w="966"/>
        <w:gridCol w:w="921"/>
      </w:tblGrid>
      <w:tr w14:paraId="1294A1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58BC20F7">
            <w:pPr>
              <w:ind w:firstLine="0" w:firstLineChars="0"/>
              <w:rPr>
                <w:rFonts w:ascii="宋体" w:hAnsi="宋体"/>
                <w:sz w:val="21"/>
              </w:rPr>
            </w:pPr>
            <w:r>
              <w:rPr>
                <w:rFonts w:hint="eastAsia" w:ascii="宋体" w:hAnsi="宋体"/>
                <w:sz w:val="21"/>
              </w:rPr>
              <w:t>序号</w:t>
            </w:r>
          </w:p>
        </w:tc>
        <w:tc>
          <w:tcPr>
            <w:tcW w:w="6010" w:type="dxa"/>
            <w:gridSpan w:val="7"/>
            <w:vAlign w:val="center"/>
          </w:tcPr>
          <w:p w14:paraId="4449843D">
            <w:pPr>
              <w:ind w:firstLine="420"/>
              <w:jc w:val="center"/>
              <w:rPr>
                <w:rFonts w:ascii="宋体" w:hAnsi="宋体"/>
                <w:sz w:val="21"/>
              </w:rPr>
            </w:pPr>
            <w:r>
              <w:rPr>
                <w:rFonts w:hint="eastAsia" w:ascii="宋体" w:hAnsi="宋体"/>
                <w:sz w:val="21"/>
              </w:rPr>
              <w:t>监检项目及其内容</w:t>
            </w:r>
          </w:p>
        </w:tc>
        <w:tc>
          <w:tcPr>
            <w:tcW w:w="966" w:type="dxa"/>
            <w:vAlign w:val="center"/>
          </w:tcPr>
          <w:p w14:paraId="5362F033">
            <w:pPr>
              <w:ind w:firstLine="0" w:firstLineChars="0"/>
              <w:rPr>
                <w:rFonts w:ascii="宋体" w:hAnsi="宋体"/>
                <w:sz w:val="21"/>
              </w:rPr>
            </w:pPr>
            <w:r>
              <w:rPr>
                <w:rFonts w:hint="eastAsia" w:ascii="宋体" w:hAnsi="宋体"/>
                <w:sz w:val="21"/>
              </w:rPr>
              <w:t>检验结果</w:t>
            </w:r>
          </w:p>
        </w:tc>
        <w:tc>
          <w:tcPr>
            <w:tcW w:w="921" w:type="dxa"/>
            <w:vAlign w:val="center"/>
          </w:tcPr>
          <w:p w14:paraId="15A5BEC7">
            <w:pPr>
              <w:ind w:firstLine="210" w:firstLineChars="100"/>
              <w:rPr>
                <w:rFonts w:ascii="宋体" w:hAnsi="宋体"/>
                <w:sz w:val="21"/>
              </w:rPr>
            </w:pPr>
            <w:r>
              <w:rPr>
                <w:rFonts w:hint="eastAsia" w:ascii="宋体" w:hAnsi="宋体"/>
                <w:sz w:val="21"/>
              </w:rPr>
              <w:t>结论</w:t>
            </w:r>
          </w:p>
        </w:tc>
      </w:tr>
      <w:tr w14:paraId="1E8A3B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6B0470BB">
            <w:pPr>
              <w:ind w:firstLine="210" w:firstLineChars="100"/>
              <w:rPr>
                <w:rFonts w:ascii="宋体" w:hAnsi="宋体"/>
                <w:sz w:val="21"/>
              </w:rPr>
            </w:pPr>
            <w:r>
              <w:rPr>
                <w:rFonts w:hint="eastAsia" w:ascii="宋体" w:hAnsi="宋体"/>
                <w:sz w:val="21"/>
              </w:rPr>
              <w:t>1</w:t>
            </w:r>
          </w:p>
        </w:tc>
        <w:tc>
          <w:tcPr>
            <w:tcW w:w="6010" w:type="dxa"/>
            <w:gridSpan w:val="7"/>
            <w:vAlign w:val="center"/>
          </w:tcPr>
          <w:p w14:paraId="2465AFD8">
            <w:pPr>
              <w:ind w:firstLine="0" w:firstLineChars="0"/>
              <w:rPr>
                <w:rFonts w:ascii="宋体" w:hAnsi="宋体"/>
                <w:sz w:val="21"/>
              </w:rPr>
            </w:pPr>
            <w:r>
              <w:rPr>
                <w:rFonts w:hint="eastAsia" w:ascii="宋体" w:hAnsi="宋体"/>
                <w:sz w:val="21"/>
              </w:rPr>
              <w:t>设备选型</w:t>
            </w:r>
          </w:p>
        </w:tc>
        <w:tc>
          <w:tcPr>
            <w:tcW w:w="966" w:type="dxa"/>
            <w:vAlign w:val="center"/>
          </w:tcPr>
          <w:p w14:paraId="6C17B953">
            <w:pPr>
              <w:ind w:firstLine="0" w:firstLineChars="0"/>
              <w:jc w:val="center"/>
              <w:rPr>
                <w:rFonts w:ascii="宋体" w:hAnsi="宋体"/>
                <w:sz w:val="21"/>
              </w:rPr>
            </w:pPr>
          </w:p>
        </w:tc>
        <w:tc>
          <w:tcPr>
            <w:tcW w:w="921" w:type="dxa"/>
            <w:vAlign w:val="center"/>
          </w:tcPr>
          <w:p w14:paraId="652D8668">
            <w:pPr>
              <w:ind w:firstLine="0" w:firstLineChars="0"/>
              <w:jc w:val="center"/>
              <w:rPr>
                <w:rFonts w:ascii="宋体" w:hAnsi="宋体"/>
                <w:sz w:val="21"/>
              </w:rPr>
            </w:pPr>
          </w:p>
        </w:tc>
      </w:tr>
      <w:tr w14:paraId="5B1559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8117B39">
            <w:pPr>
              <w:ind w:firstLine="210" w:firstLineChars="100"/>
              <w:rPr>
                <w:rFonts w:ascii="宋体" w:hAnsi="宋体"/>
                <w:sz w:val="21"/>
              </w:rPr>
            </w:pPr>
            <w:r>
              <w:rPr>
                <w:rFonts w:hint="eastAsia" w:ascii="宋体" w:hAnsi="宋体"/>
                <w:sz w:val="21"/>
              </w:rPr>
              <w:t>2</w:t>
            </w:r>
          </w:p>
        </w:tc>
        <w:tc>
          <w:tcPr>
            <w:tcW w:w="1364" w:type="dxa"/>
            <w:gridSpan w:val="2"/>
            <w:vMerge w:val="restart"/>
            <w:vAlign w:val="center"/>
          </w:tcPr>
          <w:p w14:paraId="11B0FE6B">
            <w:pPr>
              <w:ind w:firstLine="0" w:firstLineChars="0"/>
              <w:rPr>
                <w:rFonts w:ascii="宋体" w:hAnsi="宋体"/>
                <w:sz w:val="21"/>
              </w:rPr>
            </w:pPr>
            <w:r>
              <w:rPr>
                <w:rFonts w:hint="eastAsia" w:ascii="宋体" w:hAnsi="宋体"/>
                <w:sz w:val="21"/>
              </w:rPr>
              <w:t>产品技术文件</w:t>
            </w:r>
          </w:p>
        </w:tc>
        <w:tc>
          <w:tcPr>
            <w:tcW w:w="4646" w:type="dxa"/>
            <w:gridSpan w:val="5"/>
            <w:vAlign w:val="center"/>
          </w:tcPr>
          <w:p w14:paraId="4E1D1800">
            <w:pPr>
              <w:ind w:firstLine="0" w:firstLineChars="0"/>
              <w:rPr>
                <w:rFonts w:ascii="宋体" w:hAnsi="宋体"/>
                <w:sz w:val="21"/>
              </w:rPr>
            </w:pPr>
            <w:r>
              <w:rPr>
                <w:rFonts w:hint="eastAsia" w:ascii="宋体" w:hAnsi="宋体"/>
                <w:sz w:val="21"/>
              </w:rPr>
              <w:t>(1)产品设计文件</w:t>
            </w:r>
          </w:p>
        </w:tc>
        <w:tc>
          <w:tcPr>
            <w:tcW w:w="966" w:type="dxa"/>
            <w:vAlign w:val="center"/>
          </w:tcPr>
          <w:p w14:paraId="4D2E9CA1">
            <w:pPr>
              <w:ind w:firstLine="0" w:firstLineChars="0"/>
              <w:jc w:val="center"/>
              <w:rPr>
                <w:rFonts w:ascii="宋体" w:hAnsi="宋体"/>
                <w:sz w:val="21"/>
              </w:rPr>
            </w:pPr>
          </w:p>
        </w:tc>
        <w:tc>
          <w:tcPr>
            <w:tcW w:w="921" w:type="dxa"/>
            <w:vAlign w:val="center"/>
          </w:tcPr>
          <w:p w14:paraId="103BA428">
            <w:pPr>
              <w:ind w:firstLine="0" w:firstLineChars="0"/>
              <w:jc w:val="center"/>
              <w:rPr>
                <w:rFonts w:ascii="宋体" w:hAnsi="宋体"/>
                <w:sz w:val="21"/>
              </w:rPr>
            </w:pPr>
          </w:p>
        </w:tc>
      </w:tr>
      <w:tr w14:paraId="346507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5D2829FF">
            <w:pPr>
              <w:ind w:firstLine="0" w:firstLineChars="0"/>
              <w:jc w:val="center"/>
              <w:rPr>
                <w:rFonts w:ascii="宋体" w:hAnsi="宋体"/>
                <w:sz w:val="21"/>
              </w:rPr>
            </w:pPr>
            <w:r>
              <w:rPr>
                <w:rFonts w:hint="eastAsia" w:ascii="宋体" w:hAnsi="宋体"/>
                <w:sz w:val="21"/>
              </w:rPr>
              <w:t xml:space="preserve"> 3</w:t>
            </w:r>
          </w:p>
        </w:tc>
        <w:tc>
          <w:tcPr>
            <w:tcW w:w="1364" w:type="dxa"/>
            <w:gridSpan w:val="2"/>
            <w:vMerge w:val="continue"/>
            <w:vAlign w:val="center"/>
          </w:tcPr>
          <w:p w14:paraId="68E0055C">
            <w:pPr>
              <w:ind w:firstLine="0" w:firstLineChars="0"/>
              <w:jc w:val="center"/>
              <w:rPr>
                <w:rFonts w:ascii="宋体" w:hAnsi="宋体"/>
                <w:sz w:val="21"/>
              </w:rPr>
            </w:pPr>
          </w:p>
        </w:tc>
        <w:tc>
          <w:tcPr>
            <w:tcW w:w="4646" w:type="dxa"/>
            <w:gridSpan w:val="5"/>
            <w:vAlign w:val="center"/>
          </w:tcPr>
          <w:p w14:paraId="753A7F92">
            <w:pPr>
              <w:ind w:firstLine="0" w:firstLineChars="0"/>
              <w:rPr>
                <w:rFonts w:ascii="宋体" w:hAnsi="宋体"/>
                <w:sz w:val="21"/>
              </w:rPr>
            </w:pPr>
            <w:r>
              <w:rPr>
                <w:rFonts w:hint="eastAsia" w:ascii="宋体" w:hAnsi="宋体"/>
                <w:sz w:val="21"/>
              </w:rPr>
              <w:t>(2)产品质量合格证明、安装及其使用维护说明</w:t>
            </w:r>
          </w:p>
        </w:tc>
        <w:tc>
          <w:tcPr>
            <w:tcW w:w="966" w:type="dxa"/>
            <w:vAlign w:val="center"/>
          </w:tcPr>
          <w:p w14:paraId="603D0C7B">
            <w:pPr>
              <w:ind w:firstLine="0" w:firstLineChars="0"/>
              <w:jc w:val="center"/>
              <w:rPr>
                <w:rFonts w:ascii="宋体" w:hAnsi="宋体"/>
                <w:sz w:val="21"/>
              </w:rPr>
            </w:pPr>
          </w:p>
        </w:tc>
        <w:tc>
          <w:tcPr>
            <w:tcW w:w="921" w:type="dxa"/>
            <w:vAlign w:val="center"/>
          </w:tcPr>
          <w:p w14:paraId="2114C20C">
            <w:pPr>
              <w:ind w:firstLine="0" w:firstLineChars="0"/>
              <w:jc w:val="center"/>
              <w:rPr>
                <w:rFonts w:ascii="宋体" w:hAnsi="宋体"/>
                <w:sz w:val="21"/>
              </w:rPr>
            </w:pPr>
          </w:p>
        </w:tc>
      </w:tr>
      <w:tr w14:paraId="2E872A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22D9A102">
            <w:pPr>
              <w:ind w:firstLine="0" w:firstLineChars="0"/>
              <w:jc w:val="center"/>
              <w:rPr>
                <w:rFonts w:ascii="宋体" w:hAnsi="宋体"/>
                <w:sz w:val="21"/>
              </w:rPr>
            </w:pPr>
            <w:r>
              <w:rPr>
                <w:rFonts w:hint="eastAsia" w:ascii="宋体" w:hAnsi="宋体"/>
                <w:sz w:val="21"/>
              </w:rPr>
              <w:t xml:space="preserve"> 4</w:t>
            </w:r>
          </w:p>
        </w:tc>
        <w:tc>
          <w:tcPr>
            <w:tcW w:w="1364" w:type="dxa"/>
            <w:gridSpan w:val="2"/>
            <w:vMerge w:val="continue"/>
            <w:vAlign w:val="center"/>
          </w:tcPr>
          <w:p w14:paraId="1202921C">
            <w:pPr>
              <w:ind w:firstLine="0" w:firstLineChars="0"/>
              <w:jc w:val="center"/>
              <w:rPr>
                <w:rFonts w:ascii="宋体" w:hAnsi="宋体"/>
                <w:sz w:val="21"/>
              </w:rPr>
            </w:pPr>
          </w:p>
        </w:tc>
        <w:tc>
          <w:tcPr>
            <w:tcW w:w="4646" w:type="dxa"/>
            <w:gridSpan w:val="5"/>
            <w:vAlign w:val="center"/>
          </w:tcPr>
          <w:p w14:paraId="07AC017C">
            <w:pPr>
              <w:ind w:firstLine="0" w:firstLineChars="0"/>
              <w:rPr>
                <w:rFonts w:ascii="宋体" w:hAnsi="宋体"/>
                <w:sz w:val="21"/>
              </w:rPr>
            </w:pPr>
            <w:r>
              <w:rPr>
                <w:rFonts w:hint="eastAsia" w:ascii="宋体" w:hAnsi="宋体"/>
                <w:sz w:val="21"/>
              </w:rPr>
              <w:t>(3)型式试验合格证明</w:t>
            </w:r>
          </w:p>
        </w:tc>
        <w:tc>
          <w:tcPr>
            <w:tcW w:w="966" w:type="dxa"/>
            <w:vAlign w:val="center"/>
          </w:tcPr>
          <w:p w14:paraId="6CC1A632">
            <w:pPr>
              <w:ind w:firstLine="0" w:firstLineChars="0"/>
              <w:jc w:val="center"/>
              <w:rPr>
                <w:rFonts w:ascii="宋体" w:hAnsi="宋体"/>
                <w:sz w:val="21"/>
              </w:rPr>
            </w:pPr>
          </w:p>
        </w:tc>
        <w:tc>
          <w:tcPr>
            <w:tcW w:w="921" w:type="dxa"/>
            <w:vAlign w:val="center"/>
          </w:tcPr>
          <w:p w14:paraId="5C11B630">
            <w:pPr>
              <w:ind w:firstLine="0" w:firstLineChars="0"/>
              <w:jc w:val="center"/>
              <w:rPr>
                <w:rFonts w:ascii="宋体" w:hAnsi="宋体"/>
                <w:sz w:val="21"/>
              </w:rPr>
            </w:pPr>
          </w:p>
        </w:tc>
      </w:tr>
      <w:tr w14:paraId="56DE3A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1269D8EA">
            <w:pPr>
              <w:ind w:firstLine="0" w:firstLineChars="0"/>
              <w:jc w:val="center"/>
              <w:rPr>
                <w:rFonts w:ascii="宋体" w:hAnsi="宋体"/>
                <w:sz w:val="21"/>
              </w:rPr>
            </w:pPr>
            <w:r>
              <w:rPr>
                <w:rFonts w:hint="eastAsia" w:ascii="宋体" w:hAnsi="宋体"/>
                <w:sz w:val="21"/>
              </w:rPr>
              <w:t xml:space="preserve"> 5</w:t>
            </w:r>
          </w:p>
        </w:tc>
        <w:tc>
          <w:tcPr>
            <w:tcW w:w="1364" w:type="dxa"/>
            <w:gridSpan w:val="2"/>
            <w:vMerge w:val="continue"/>
            <w:vAlign w:val="center"/>
          </w:tcPr>
          <w:p w14:paraId="01B35750">
            <w:pPr>
              <w:ind w:firstLine="0" w:firstLineChars="0"/>
              <w:jc w:val="center"/>
              <w:rPr>
                <w:rFonts w:ascii="宋体" w:hAnsi="宋体"/>
                <w:sz w:val="21"/>
              </w:rPr>
            </w:pPr>
          </w:p>
        </w:tc>
        <w:tc>
          <w:tcPr>
            <w:tcW w:w="4646" w:type="dxa"/>
            <w:gridSpan w:val="5"/>
            <w:vAlign w:val="center"/>
          </w:tcPr>
          <w:p w14:paraId="5829446B">
            <w:pPr>
              <w:ind w:firstLine="0" w:firstLineChars="0"/>
              <w:rPr>
                <w:rFonts w:ascii="宋体" w:hAnsi="宋体"/>
                <w:sz w:val="21"/>
              </w:rPr>
            </w:pPr>
            <w:r>
              <w:rPr>
                <w:rFonts w:hint="eastAsia" w:ascii="宋体" w:hAnsi="宋体"/>
                <w:sz w:val="21"/>
              </w:rPr>
              <w:t>(4)制造监督检验证书</w:t>
            </w:r>
          </w:p>
        </w:tc>
        <w:tc>
          <w:tcPr>
            <w:tcW w:w="966" w:type="dxa"/>
            <w:vAlign w:val="center"/>
          </w:tcPr>
          <w:p w14:paraId="4232AB18">
            <w:pPr>
              <w:ind w:firstLine="0" w:firstLineChars="0"/>
              <w:jc w:val="center"/>
              <w:rPr>
                <w:rFonts w:ascii="宋体" w:hAnsi="宋体"/>
                <w:sz w:val="21"/>
              </w:rPr>
            </w:pPr>
          </w:p>
        </w:tc>
        <w:tc>
          <w:tcPr>
            <w:tcW w:w="921" w:type="dxa"/>
            <w:vAlign w:val="center"/>
          </w:tcPr>
          <w:p w14:paraId="2CDA899E">
            <w:pPr>
              <w:ind w:firstLine="0" w:firstLineChars="0"/>
              <w:jc w:val="center"/>
              <w:rPr>
                <w:rFonts w:ascii="宋体" w:hAnsi="宋体"/>
                <w:sz w:val="21"/>
              </w:rPr>
            </w:pPr>
          </w:p>
        </w:tc>
      </w:tr>
      <w:tr w14:paraId="14CBA5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267090BE">
            <w:pPr>
              <w:ind w:firstLine="0" w:firstLineChars="0"/>
              <w:jc w:val="center"/>
              <w:rPr>
                <w:rFonts w:ascii="宋体" w:hAnsi="宋体"/>
                <w:sz w:val="21"/>
              </w:rPr>
            </w:pPr>
            <w:r>
              <w:rPr>
                <w:rFonts w:hint="eastAsia" w:ascii="宋体" w:hAnsi="宋体"/>
                <w:sz w:val="21"/>
              </w:rPr>
              <w:t xml:space="preserve"> 6</w:t>
            </w:r>
          </w:p>
        </w:tc>
        <w:tc>
          <w:tcPr>
            <w:tcW w:w="1373" w:type="dxa"/>
            <w:gridSpan w:val="3"/>
            <w:vMerge w:val="restart"/>
            <w:vAlign w:val="center"/>
          </w:tcPr>
          <w:p w14:paraId="476D95E6">
            <w:pPr>
              <w:ind w:firstLine="0" w:firstLineChars="0"/>
              <w:rPr>
                <w:rFonts w:ascii="宋体" w:hAnsi="宋体"/>
                <w:sz w:val="21"/>
              </w:rPr>
            </w:pPr>
            <w:r>
              <w:rPr>
                <w:rFonts w:hint="eastAsia" w:ascii="宋体" w:hAnsi="宋体"/>
                <w:sz w:val="21"/>
              </w:rPr>
              <w:t>安装改造维修资格</w:t>
            </w:r>
          </w:p>
        </w:tc>
        <w:tc>
          <w:tcPr>
            <w:tcW w:w="4637" w:type="dxa"/>
            <w:gridSpan w:val="4"/>
            <w:vAlign w:val="center"/>
          </w:tcPr>
          <w:p w14:paraId="521C8054">
            <w:pPr>
              <w:ind w:firstLine="0" w:firstLineChars="0"/>
              <w:rPr>
                <w:rFonts w:ascii="宋体" w:hAnsi="宋体"/>
                <w:sz w:val="21"/>
              </w:rPr>
            </w:pPr>
            <w:r>
              <w:rPr>
                <w:rFonts w:hint="eastAsia" w:ascii="宋体" w:hAnsi="宋体"/>
                <w:sz w:val="21"/>
              </w:rPr>
              <w:t>(1)安装改造维修许可证</w:t>
            </w:r>
          </w:p>
        </w:tc>
        <w:tc>
          <w:tcPr>
            <w:tcW w:w="966" w:type="dxa"/>
            <w:vAlign w:val="center"/>
          </w:tcPr>
          <w:p w14:paraId="2A74064F">
            <w:pPr>
              <w:ind w:firstLine="0" w:firstLineChars="0"/>
              <w:jc w:val="center"/>
              <w:rPr>
                <w:rFonts w:ascii="宋体" w:hAnsi="宋体"/>
                <w:sz w:val="21"/>
              </w:rPr>
            </w:pPr>
          </w:p>
        </w:tc>
        <w:tc>
          <w:tcPr>
            <w:tcW w:w="921" w:type="dxa"/>
            <w:vAlign w:val="center"/>
          </w:tcPr>
          <w:p w14:paraId="4022DED7">
            <w:pPr>
              <w:ind w:firstLine="0" w:firstLineChars="0"/>
              <w:jc w:val="center"/>
              <w:rPr>
                <w:rFonts w:ascii="宋体" w:hAnsi="宋体"/>
                <w:sz w:val="21"/>
              </w:rPr>
            </w:pPr>
          </w:p>
        </w:tc>
      </w:tr>
      <w:tr w14:paraId="6AB7B8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6390D0C9">
            <w:pPr>
              <w:ind w:firstLine="0" w:firstLineChars="0"/>
              <w:jc w:val="center"/>
              <w:rPr>
                <w:rFonts w:ascii="宋体" w:hAnsi="宋体"/>
                <w:sz w:val="21"/>
              </w:rPr>
            </w:pPr>
            <w:r>
              <w:rPr>
                <w:rFonts w:hint="eastAsia" w:ascii="宋体" w:hAnsi="宋体"/>
                <w:sz w:val="21"/>
              </w:rPr>
              <w:t xml:space="preserve"> 7</w:t>
            </w:r>
          </w:p>
        </w:tc>
        <w:tc>
          <w:tcPr>
            <w:tcW w:w="1373" w:type="dxa"/>
            <w:gridSpan w:val="3"/>
            <w:vMerge w:val="continue"/>
            <w:vAlign w:val="center"/>
          </w:tcPr>
          <w:p w14:paraId="45A6A51B">
            <w:pPr>
              <w:ind w:firstLine="0" w:firstLineChars="0"/>
              <w:jc w:val="center"/>
              <w:rPr>
                <w:rFonts w:ascii="宋体" w:hAnsi="宋体"/>
                <w:sz w:val="21"/>
              </w:rPr>
            </w:pPr>
          </w:p>
        </w:tc>
        <w:tc>
          <w:tcPr>
            <w:tcW w:w="4637" w:type="dxa"/>
            <w:gridSpan w:val="4"/>
            <w:vAlign w:val="center"/>
          </w:tcPr>
          <w:p w14:paraId="2518E0D7">
            <w:pPr>
              <w:ind w:firstLine="0" w:firstLineChars="0"/>
              <w:rPr>
                <w:rFonts w:ascii="宋体" w:hAnsi="宋体"/>
                <w:sz w:val="21"/>
              </w:rPr>
            </w:pPr>
            <w:r>
              <w:rPr>
                <w:rFonts w:hint="eastAsia" w:ascii="宋体" w:hAnsi="宋体"/>
                <w:sz w:val="21"/>
              </w:rPr>
              <w:t>(2)安装改造重大维修告知书</w:t>
            </w:r>
          </w:p>
        </w:tc>
        <w:tc>
          <w:tcPr>
            <w:tcW w:w="966" w:type="dxa"/>
            <w:vAlign w:val="center"/>
          </w:tcPr>
          <w:p w14:paraId="46765E63">
            <w:pPr>
              <w:ind w:firstLine="0" w:firstLineChars="0"/>
              <w:jc w:val="center"/>
              <w:rPr>
                <w:rFonts w:ascii="宋体" w:hAnsi="宋体"/>
                <w:sz w:val="21"/>
              </w:rPr>
            </w:pPr>
          </w:p>
        </w:tc>
        <w:tc>
          <w:tcPr>
            <w:tcW w:w="921" w:type="dxa"/>
            <w:vAlign w:val="center"/>
          </w:tcPr>
          <w:p w14:paraId="460FE457">
            <w:pPr>
              <w:ind w:firstLine="0" w:firstLineChars="0"/>
              <w:jc w:val="center"/>
              <w:rPr>
                <w:rFonts w:ascii="宋体" w:hAnsi="宋体"/>
                <w:sz w:val="21"/>
              </w:rPr>
            </w:pPr>
          </w:p>
        </w:tc>
      </w:tr>
      <w:tr w14:paraId="315EBE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252AC068">
            <w:pPr>
              <w:ind w:firstLine="0" w:firstLineChars="0"/>
              <w:jc w:val="center"/>
              <w:rPr>
                <w:rFonts w:ascii="宋体" w:hAnsi="宋体"/>
                <w:sz w:val="21"/>
              </w:rPr>
            </w:pPr>
            <w:r>
              <w:rPr>
                <w:rFonts w:hint="eastAsia" w:ascii="宋体" w:hAnsi="宋体"/>
                <w:sz w:val="21"/>
              </w:rPr>
              <w:t xml:space="preserve"> 8</w:t>
            </w:r>
          </w:p>
        </w:tc>
        <w:tc>
          <w:tcPr>
            <w:tcW w:w="1373" w:type="dxa"/>
            <w:gridSpan w:val="3"/>
            <w:vMerge w:val="continue"/>
            <w:vAlign w:val="center"/>
          </w:tcPr>
          <w:p w14:paraId="74241FF5">
            <w:pPr>
              <w:ind w:firstLine="0" w:firstLineChars="0"/>
              <w:jc w:val="center"/>
              <w:rPr>
                <w:rFonts w:ascii="宋体" w:hAnsi="宋体"/>
                <w:sz w:val="21"/>
              </w:rPr>
            </w:pPr>
          </w:p>
        </w:tc>
        <w:tc>
          <w:tcPr>
            <w:tcW w:w="4637" w:type="dxa"/>
            <w:gridSpan w:val="4"/>
            <w:vAlign w:val="center"/>
          </w:tcPr>
          <w:p w14:paraId="28EAF377">
            <w:pPr>
              <w:ind w:firstLine="0" w:firstLineChars="0"/>
              <w:rPr>
                <w:rFonts w:ascii="宋体" w:hAnsi="宋体"/>
                <w:sz w:val="21"/>
              </w:rPr>
            </w:pPr>
            <w:r>
              <w:rPr>
                <w:rFonts w:hint="eastAsia" w:ascii="宋体" w:hAnsi="宋体"/>
                <w:sz w:val="21"/>
              </w:rPr>
              <w:t>(3)现场安装改造维修作业人员的资格证件</w:t>
            </w:r>
          </w:p>
        </w:tc>
        <w:tc>
          <w:tcPr>
            <w:tcW w:w="966" w:type="dxa"/>
            <w:vAlign w:val="center"/>
          </w:tcPr>
          <w:p w14:paraId="588AE0A4">
            <w:pPr>
              <w:ind w:firstLine="0" w:firstLineChars="0"/>
              <w:jc w:val="center"/>
              <w:rPr>
                <w:rFonts w:ascii="宋体" w:hAnsi="宋体"/>
                <w:sz w:val="21"/>
              </w:rPr>
            </w:pPr>
          </w:p>
        </w:tc>
        <w:tc>
          <w:tcPr>
            <w:tcW w:w="921" w:type="dxa"/>
            <w:vAlign w:val="center"/>
          </w:tcPr>
          <w:p w14:paraId="62D8C732">
            <w:pPr>
              <w:ind w:firstLine="0" w:firstLineChars="0"/>
              <w:jc w:val="center"/>
              <w:rPr>
                <w:rFonts w:ascii="宋体" w:hAnsi="宋体"/>
                <w:sz w:val="21"/>
              </w:rPr>
            </w:pPr>
          </w:p>
        </w:tc>
      </w:tr>
      <w:tr w14:paraId="0EC2BA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1AB67FF7">
            <w:pPr>
              <w:ind w:firstLine="0" w:firstLineChars="0"/>
              <w:jc w:val="center"/>
              <w:rPr>
                <w:rFonts w:ascii="宋体" w:hAnsi="宋体"/>
                <w:sz w:val="21"/>
              </w:rPr>
            </w:pPr>
            <w:r>
              <w:rPr>
                <w:rFonts w:hint="eastAsia" w:ascii="宋体" w:hAnsi="宋体"/>
                <w:sz w:val="21"/>
              </w:rPr>
              <w:t xml:space="preserve"> 9</w:t>
            </w:r>
          </w:p>
        </w:tc>
        <w:tc>
          <w:tcPr>
            <w:tcW w:w="6010" w:type="dxa"/>
            <w:gridSpan w:val="7"/>
            <w:vAlign w:val="center"/>
          </w:tcPr>
          <w:p w14:paraId="6657D5DC">
            <w:pPr>
              <w:ind w:firstLine="0" w:firstLineChars="0"/>
              <w:rPr>
                <w:rFonts w:ascii="宋体" w:hAnsi="宋体"/>
                <w:sz w:val="21"/>
              </w:rPr>
            </w:pPr>
            <w:r>
              <w:rPr>
                <w:rFonts w:hint="eastAsia" w:ascii="宋体" w:hAnsi="宋体"/>
                <w:sz w:val="21"/>
              </w:rPr>
              <w:t xml:space="preserve"> 施工作业（工艺）文件</w:t>
            </w:r>
          </w:p>
        </w:tc>
        <w:tc>
          <w:tcPr>
            <w:tcW w:w="966" w:type="dxa"/>
            <w:vAlign w:val="center"/>
          </w:tcPr>
          <w:p w14:paraId="52B43C6D">
            <w:pPr>
              <w:ind w:firstLine="0" w:firstLineChars="0"/>
              <w:jc w:val="center"/>
              <w:rPr>
                <w:rFonts w:ascii="宋体" w:hAnsi="宋体"/>
                <w:sz w:val="21"/>
              </w:rPr>
            </w:pPr>
          </w:p>
        </w:tc>
        <w:tc>
          <w:tcPr>
            <w:tcW w:w="921" w:type="dxa"/>
            <w:vAlign w:val="center"/>
          </w:tcPr>
          <w:p w14:paraId="677F03D4">
            <w:pPr>
              <w:ind w:firstLine="0" w:firstLineChars="0"/>
              <w:jc w:val="center"/>
              <w:rPr>
                <w:rFonts w:ascii="宋体" w:hAnsi="宋体"/>
                <w:sz w:val="21"/>
              </w:rPr>
            </w:pPr>
          </w:p>
        </w:tc>
      </w:tr>
      <w:tr w14:paraId="74146F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5F87FB90">
            <w:pPr>
              <w:ind w:firstLine="0" w:firstLineChars="0"/>
              <w:jc w:val="center"/>
              <w:rPr>
                <w:rFonts w:ascii="宋体" w:hAnsi="宋体"/>
                <w:sz w:val="21"/>
              </w:rPr>
            </w:pPr>
            <w:r>
              <w:rPr>
                <w:rFonts w:hint="eastAsia" w:ascii="宋体" w:hAnsi="宋体"/>
                <w:sz w:val="21"/>
              </w:rPr>
              <w:t>10</w:t>
            </w:r>
          </w:p>
        </w:tc>
        <w:tc>
          <w:tcPr>
            <w:tcW w:w="1373" w:type="dxa"/>
            <w:gridSpan w:val="3"/>
            <w:vMerge w:val="restart"/>
            <w:vAlign w:val="center"/>
          </w:tcPr>
          <w:p w14:paraId="7ECABB7E">
            <w:pPr>
              <w:ind w:firstLine="0" w:firstLineChars="0"/>
              <w:rPr>
                <w:rFonts w:ascii="宋体" w:hAnsi="宋体"/>
                <w:sz w:val="21"/>
              </w:rPr>
            </w:pPr>
            <w:r>
              <w:rPr>
                <w:rFonts w:hint="eastAsia" w:ascii="宋体" w:hAnsi="宋体"/>
                <w:sz w:val="21"/>
              </w:rPr>
              <w:t>现场施工条件</w:t>
            </w:r>
          </w:p>
        </w:tc>
        <w:tc>
          <w:tcPr>
            <w:tcW w:w="4637" w:type="dxa"/>
            <w:gridSpan w:val="4"/>
            <w:vAlign w:val="center"/>
          </w:tcPr>
          <w:p w14:paraId="4287DE77">
            <w:pPr>
              <w:ind w:firstLine="0" w:firstLineChars="0"/>
              <w:rPr>
                <w:rFonts w:ascii="宋体" w:hAnsi="宋体"/>
                <w:sz w:val="21"/>
              </w:rPr>
            </w:pPr>
            <w:r>
              <w:rPr>
                <w:rFonts w:hint="eastAsia" w:ascii="宋体" w:hAnsi="宋体"/>
                <w:sz w:val="21"/>
              </w:rPr>
              <w:t>(1)基础验收证明</w:t>
            </w:r>
          </w:p>
        </w:tc>
        <w:tc>
          <w:tcPr>
            <w:tcW w:w="966" w:type="dxa"/>
            <w:vAlign w:val="center"/>
          </w:tcPr>
          <w:p w14:paraId="716E4149">
            <w:pPr>
              <w:ind w:firstLine="0" w:firstLineChars="0"/>
              <w:jc w:val="center"/>
              <w:rPr>
                <w:rFonts w:ascii="宋体" w:hAnsi="宋体"/>
                <w:sz w:val="21"/>
              </w:rPr>
            </w:pPr>
          </w:p>
        </w:tc>
        <w:tc>
          <w:tcPr>
            <w:tcW w:w="921" w:type="dxa"/>
            <w:vAlign w:val="center"/>
          </w:tcPr>
          <w:p w14:paraId="2DCB875B">
            <w:pPr>
              <w:ind w:firstLine="0" w:firstLineChars="0"/>
              <w:jc w:val="center"/>
              <w:rPr>
                <w:rFonts w:ascii="宋体" w:hAnsi="宋体"/>
                <w:sz w:val="21"/>
              </w:rPr>
            </w:pPr>
          </w:p>
        </w:tc>
      </w:tr>
      <w:tr w14:paraId="02CEE5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4EF3FF2A">
            <w:pPr>
              <w:ind w:firstLine="0" w:firstLineChars="0"/>
              <w:jc w:val="center"/>
              <w:rPr>
                <w:rFonts w:ascii="宋体" w:hAnsi="宋体"/>
                <w:sz w:val="21"/>
              </w:rPr>
            </w:pPr>
            <w:r>
              <w:rPr>
                <w:rFonts w:hint="eastAsia" w:ascii="宋体" w:hAnsi="宋体"/>
                <w:sz w:val="21"/>
              </w:rPr>
              <w:t>11</w:t>
            </w:r>
          </w:p>
        </w:tc>
        <w:tc>
          <w:tcPr>
            <w:tcW w:w="1373" w:type="dxa"/>
            <w:gridSpan w:val="3"/>
            <w:vMerge w:val="continue"/>
            <w:vAlign w:val="center"/>
          </w:tcPr>
          <w:p w14:paraId="0190BAEA">
            <w:pPr>
              <w:ind w:firstLine="0" w:firstLineChars="0"/>
              <w:rPr>
                <w:rFonts w:ascii="宋体" w:hAnsi="宋体"/>
                <w:sz w:val="21"/>
              </w:rPr>
            </w:pPr>
          </w:p>
        </w:tc>
        <w:tc>
          <w:tcPr>
            <w:tcW w:w="4637" w:type="dxa"/>
            <w:gridSpan w:val="4"/>
            <w:vAlign w:val="center"/>
          </w:tcPr>
          <w:p w14:paraId="285F4F84">
            <w:pPr>
              <w:ind w:firstLine="0" w:firstLineChars="0"/>
              <w:rPr>
                <w:rFonts w:ascii="宋体" w:hAnsi="宋体"/>
                <w:sz w:val="21"/>
              </w:rPr>
            </w:pPr>
            <w:r>
              <w:rPr>
                <w:rFonts w:hint="eastAsia" w:ascii="宋体" w:hAnsi="宋体"/>
                <w:sz w:val="21"/>
              </w:rPr>
              <w:t xml:space="preserve">(2)安全距离和红色障碍灯 </w:t>
            </w:r>
          </w:p>
        </w:tc>
        <w:tc>
          <w:tcPr>
            <w:tcW w:w="966" w:type="dxa"/>
            <w:vAlign w:val="center"/>
          </w:tcPr>
          <w:p w14:paraId="6B7A50BF">
            <w:pPr>
              <w:ind w:firstLine="0" w:firstLineChars="0"/>
              <w:jc w:val="center"/>
              <w:rPr>
                <w:rFonts w:ascii="宋体" w:hAnsi="宋体"/>
                <w:sz w:val="21"/>
              </w:rPr>
            </w:pPr>
          </w:p>
        </w:tc>
        <w:tc>
          <w:tcPr>
            <w:tcW w:w="921" w:type="dxa"/>
            <w:vAlign w:val="center"/>
          </w:tcPr>
          <w:p w14:paraId="4E7893E7">
            <w:pPr>
              <w:ind w:firstLine="0" w:firstLineChars="0"/>
              <w:jc w:val="center"/>
              <w:rPr>
                <w:rFonts w:ascii="宋体" w:hAnsi="宋体"/>
                <w:sz w:val="21"/>
              </w:rPr>
            </w:pPr>
          </w:p>
        </w:tc>
      </w:tr>
      <w:tr w14:paraId="1D74A5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56417EC4">
            <w:pPr>
              <w:ind w:firstLine="0" w:firstLineChars="0"/>
              <w:jc w:val="center"/>
              <w:rPr>
                <w:rFonts w:ascii="宋体" w:hAnsi="宋体"/>
                <w:sz w:val="21"/>
              </w:rPr>
            </w:pPr>
            <w:r>
              <w:rPr>
                <w:rFonts w:hint="eastAsia" w:ascii="宋体" w:hAnsi="宋体"/>
                <w:sz w:val="21"/>
              </w:rPr>
              <w:t>12</w:t>
            </w:r>
          </w:p>
        </w:tc>
        <w:tc>
          <w:tcPr>
            <w:tcW w:w="1373" w:type="dxa"/>
            <w:gridSpan w:val="3"/>
            <w:vMerge w:val="restart"/>
            <w:vAlign w:val="center"/>
          </w:tcPr>
          <w:p w14:paraId="29A91394">
            <w:pPr>
              <w:ind w:firstLine="0" w:firstLineChars="0"/>
              <w:rPr>
                <w:rFonts w:ascii="宋体" w:hAnsi="宋体"/>
                <w:sz w:val="21"/>
              </w:rPr>
            </w:pPr>
            <w:r>
              <w:rPr>
                <w:rFonts w:hint="eastAsia" w:ascii="宋体" w:hAnsi="宋体"/>
                <w:sz w:val="21"/>
              </w:rPr>
              <w:t>部件施工前检验</w:t>
            </w:r>
          </w:p>
        </w:tc>
        <w:tc>
          <w:tcPr>
            <w:tcW w:w="4637" w:type="dxa"/>
            <w:gridSpan w:val="4"/>
            <w:vAlign w:val="center"/>
          </w:tcPr>
          <w:p w14:paraId="5660CE3C">
            <w:pPr>
              <w:ind w:firstLine="0" w:firstLineChars="0"/>
              <w:rPr>
                <w:rFonts w:ascii="宋体" w:hAnsi="宋体"/>
                <w:sz w:val="21"/>
              </w:rPr>
            </w:pPr>
            <w:r>
              <w:rPr>
                <w:rFonts w:hint="eastAsia" w:ascii="宋体" w:hAnsi="宋体"/>
                <w:sz w:val="21"/>
              </w:rPr>
              <w:t>(1)主要零部件合格证、铭牌</w:t>
            </w:r>
          </w:p>
        </w:tc>
        <w:tc>
          <w:tcPr>
            <w:tcW w:w="966" w:type="dxa"/>
            <w:vAlign w:val="center"/>
          </w:tcPr>
          <w:p w14:paraId="5AD4B9D9">
            <w:pPr>
              <w:ind w:firstLine="0" w:firstLineChars="0"/>
              <w:jc w:val="center"/>
              <w:rPr>
                <w:rFonts w:ascii="宋体" w:hAnsi="宋体"/>
                <w:sz w:val="21"/>
              </w:rPr>
            </w:pPr>
          </w:p>
        </w:tc>
        <w:tc>
          <w:tcPr>
            <w:tcW w:w="921" w:type="dxa"/>
            <w:vAlign w:val="center"/>
          </w:tcPr>
          <w:p w14:paraId="2DEAA2CF">
            <w:pPr>
              <w:ind w:firstLine="0" w:firstLineChars="0"/>
              <w:jc w:val="center"/>
              <w:rPr>
                <w:rFonts w:ascii="宋体" w:hAnsi="宋体"/>
                <w:sz w:val="21"/>
              </w:rPr>
            </w:pPr>
          </w:p>
        </w:tc>
      </w:tr>
      <w:tr w14:paraId="1E1ED0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1EEC08D6">
            <w:pPr>
              <w:ind w:firstLine="0" w:firstLineChars="0"/>
              <w:jc w:val="center"/>
              <w:rPr>
                <w:rFonts w:ascii="宋体" w:hAnsi="宋体"/>
                <w:sz w:val="21"/>
              </w:rPr>
            </w:pPr>
            <w:r>
              <w:rPr>
                <w:rFonts w:hint="eastAsia" w:ascii="宋体" w:hAnsi="宋体"/>
                <w:sz w:val="21"/>
              </w:rPr>
              <w:t>13</w:t>
            </w:r>
          </w:p>
        </w:tc>
        <w:tc>
          <w:tcPr>
            <w:tcW w:w="1373" w:type="dxa"/>
            <w:gridSpan w:val="3"/>
            <w:vMerge w:val="continue"/>
            <w:vAlign w:val="center"/>
          </w:tcPr>
          <w:p w14:paraId="601BC6EB">
            <w:pPr>
              <w:ind w:firstLine="0" w:firstLineChars="0"/>
              <w:rPr>
                <w:rFonts w:ascii="宋体" w:hAnsi="宋体"/>
                <w:sz w:val="21"/>
              </w:rPr>
            </w:pPr>
          </w:p>
        </w:tc>
        <w:tc>
          <w:tcPr>
            <w:tcW w:w="4637" w:type="dxa"/>
            <w:gridSpan w:val="4"/>
            <w:vAlign w:val="center"/>
          </w:tcPr>
          <w:p w14:paraId="24AB02A9">
            <w:pPr>
              <w:ind w:firstLine="0" w:firstLineChars="0"/>
              <w:rPr>
                <w:rFonts w:ascii="宋体" w:hAnsi="宋体"/>
                <w:sz w:val="21"/>
              </w:rPr>
            </w:pPr>
            <w:r>
              <w:rPr>
                <w:rFonts w:hint="eastAsia" w:ascii="宋体" w:hAnsi="宋体"/>
                <w:sz w:val="21"/>
              </w:rPr>
              <w:t>(2) 安全保护装置合格证、铭牌、型式试验证明</w:t>
            </w:r>
          </w:p>
        </w:tc>
        <w:tc>
          <w:tcPr>
            <w:tcW w:w="966" w:type="dxa"/>
            <w:vAlign w:val="center"/>
          </w:tcPr>
          <w:p w14:paraId="4F91C657">
            <w:pPr>
              <w:ind w:firstLine="0" w:firstLineChars="0"/>
              <w:jc w:val="center"/>
              <w:rPr>
                <w:rFonts w:ascii="宋体" w:hAnsi="宋体"/>
                <w:sz w:val="21"/>
              </w:rPr>
            </w:pPr>
          </w:p>
        </w:tc>
        <w:tc>
          <w:tcPr>
            <w:tcW w:w="921" w:type="dxa"/>
            <w:vAlign w:val="center"/>
          </w:tcPr>
          <w:p w14:paraId="2672D33F">
            <w:pPr>
              <w:ind w:firstLine="0" w:firstLineChars="0"/>
              <w:jc w:val="center"/>
              <w:rPr>
                <w:rFonts w:ascii="宋体" w:hAnsi="宋体"/>
                <w:sz w:val="21"/>
              </w:rPr>
            </w:pPr>
          </w:p>
        </w:tc>
      </w:tr>
      <w:tr w14:paraId="747B7F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1F4416C3">
            <w:pPr>
              <w:ind w:firstLine="0" w:firstLineChars="0"/>
              <w:jc w:val="center"/>
              <w:rPr>
                <w:rFonts w:ascii="宋体" w:hAnsi="宋体"/>
                <w:sz w:val="21"/>
              </w:rPr>
            </w:pPr>
            <w:r>
              <w:rPr>
                <w:rFonts w:hint="eastAsia" w:ascii="宋体" w:hAnsi="宋体"/>
                <w:sz w:val="21"/>
              </w:rPr>
              <w:t>14</w:t>
            </w:r>
          </w:p>
        </w:tc>
        <w:tc>
          <w:tcPr>
            <w:tcW w:w="1373" w:type="dxa"/>
            <w:gridSpan w:val="3"/>
            <w:vMerge w:val="continue"/>
            <w:vAlign w:val="center"/>
          </w:tcPr>
          <w:p w14:paraId="1229E7B2">
            <w:pPr>
              <w:ind w:firstLine="0" w:firstLineChars="0"/>
              <w:rPr>
                <w:rFonts w:ascii="宋体" w:hAnsi="宋体"/>
                <w:sz w:val="21"/>
              </w:rPr>
            </w:pPr>
          </w:p>
        </w:tc>
        <w:tc>
          <w:tcPr>
            <w:tcW w:w="4637" w:type="dxa"/>
            <w:gridSpan w:val="4"/>
            <w:vAlign w:val="center"/>
          </w:tcPr>
          <w:p w14:paraId="6CAA5B9F">
            <w:pPr>
              <w:ind w:firstLine="0" w:firstLineChars="0"/>
              <w:rPr>
                <w:rFonts w:ascii="宋体" w:hAnsi="宋体"/>
                <w:sz w:val="21"/>
              </w:rPr>
            </w:pPr>
            <w:r>
              <w:rPr>
                <w:rFonts w:hint="eastAsia" w:ascii="宋体" w:hAnsi="宋体"/>
                <w:sz w:val="21"/>
              </w:rPr>
              <w:t>(3)主要受力结构件主要几何尺寸</w:t>
            </w:r>
          </w:p>
        </w:tc>
        <w:tc>
          <w:tcPr>
            <w:tcW w:w="966" w:type="dxa"/>
            <w:vAlign w:val="center"/>
          </w:tcPr>
          <w:p w14:paraId="5E89D94C">
            <w:pPr>
              <w:ind w:firstLine="0" w:firstLineChars="0"/>
              <w:jc w:val="center"/>
              <w:rPr>
                <w:rFonts w:ascii="宋体" w:hAnsi="宋体"/>
                <w:sz w:val="21"/>
              </w:rPr>
            </w:pPr>
          </w:p>
        </w:tc>
        <w:tc>
          <w:tcPr>
            <w:tcW w:w="921" w:type="dxa"/>
            <w:vAlign w:val="center"/>
          </w:tcPr>
          <w:p w14:paraId="6962203C">
            <w:pPr>
              <w:ind w:firstLine="0" w:firstLineChars="0"/>
              <w:jc w:val="center"/>
              <w:rPr>
                <w:rFonts w:ascii="宋体" w:hAnsi="宋体"/>
                <w:sz w:val="21"/>
              </w:rPr>
            </w:pPr>
          </w:p>
        </w:tc>
      </w:tr>
      <w:tr w14:paraId="61124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40DD0C0D">
            <w:pPr>
              <w:ind w:firstLine="0" w:firstLineChars="0"/>
              <w:jc w:val="center"/>
              <w:rPr>
                <w:rFonts w:ascii="宋体" w:hAnsi="宋体"/>
                <w:sz w:val="21"/>
              </w:rPr>
            </w:pPr>
            <w:r>
              <w:rPr>
                <w:rFonts w:hint="eastAsia" w:ascii="宋体" w:hAnsi="宋体"/>
                <w:sz w:val="21"/>
              </w:rPr>
              <w:t>15</w:t>
            </w:r>
          </w:p>
        </w:tc>
        <w:tc>
          <w:tcPr>
            <w:tcW w:w="1373" w:type="dxa"/>
            <w:gridSpan w:val="3"/>
            <w:vMerge w:val="restart"/>
            <w:vAlign w:val="center"/>
          </w:tcPr>
          <w:p w14:paraId="7B24153A">
            <w:pPr>
              <w:ind w:firstLine="0" w:firstLineChars="0"/>
              <w:rPr>
                <w:rFonts w:ascii="宋体" w:hAnsi="宋体"/>
                <w:sz w:val="21"/>
              </w:rPr>
            </w:pPr>
            <w:r>
              <w:rPr>
                <w:rFonts w:hint="eastAsia" w:ascii="宋体" w:hAnsi="宋体"/>
                <w:sz w:val="21"/>
              </w:rPr>
              <w:t>主要零部件施工过程与施工后检验</w:t>
            </w:r>
          </w:p>
        </w:tc>
        <w:tc>
          <w:tcPr>
            <w:tcW w:w="4637" w:type="dxa"/>
            <w:gridSpan w:val="4"/>
            <w:vAlign w:val="center"/>
          </w:tcPr>
          <w:p w14:paraId="324F4F5A">
            <w:pPr>
              <w:ind w:firstLine="0" w:firstLineChars="0"/>
              <w:rPr>
                <w:rFonts w:ascii="宋体" w:hAnsi="宋体"/>
                <w:sz w:val="21"/>
              </w:rPr>
            </w:pPr>
            <w:r>
              <w:rPr>
                <w:rFonts w:hint="eastAsia" w:ascii="宋体" w:hAnsi="宋体"/>
                <w:sz w:val="21"/>
              </w:rPr>
              <w:t>(1)主要受力结构件连接</w:t>
            </w:r>
          </w:p>
        </w:tc>
        <w:tc>
          <w:tcPr>
            <w:tcW w:w="966" w:type="dxa"/>
            <w:vAlign w:val="center"/>
          </w:tcPr>
          <w:p w14:paraId="27A3FE26">
            <w:pPr>
              <w:ind w:firstLine="0" w:firstLineChars="0"/>
              <w:rPr>
                <w:rFonts w:ascii="宋体" w:hAnsi="宋体"/>
                <w:sz w:val="21"/>
              </w:rPr>
            </w:pPr>
          </w:p>
        </w:tc>
        <w:tc>
          <w:tcPr>
            <w:tcW w:w="921" w:type="dxa"/>
            <w:vAlign w:val="center"/>
          </w:tcPr>
          <w:p w14:paraId="5959B219">
            <w:pPr>
              <w:ind w:firstLine="0" w:firstLineChars="0"/>
              <w:rPr>
                <w:rFonts w:ascii="宋体" w:hAnsi="宋体"/>
                <w:sz w:val="21"/>
              </w:rPr>
            </w:pPr>
          </w:p>
        </w:tc>
      </w:tr>
      <w:tr w14:paraId="34B8EA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166FD475">
            <w:pPr>
              <w:ind w:firstLine="0" w:firstLineChars="0"/>
              <w:jc w:val="center"/>
              <w:rPr>
                <w:rFonts w:ascii="宋体" w:hAnsi="宋体"/>
                <w:sz w:val="21"/>
              </w:rPr>
            </w:pPr>
            <w:r>
              <w:rPr>
                <w:rFonts w:hint="eastAsia" w:ascii="宋体" w:hAnsi="宋体"/>
                <w:sz w:val="21"/>
              </w:rPr>
              <w:t>16</w:t>
            </w:r>
          </w:p>
        </w:tc>
        <w:tc>
          <w:tcPr>
            <w:tcW w:w="1373" w:type="dxa"/>
            <w:gridSpan w:val="3"/>
            <w:vMerge w:val="continue"/>
            <w:vAlign w:val="center"/>
          </w:tcPr>
          <w:p w14:paraId="5B365675">
            <w:pPr>
              <w:ind w:firstLine="0" w:firstLineChars="0"/>
              <w:jc w:val="center"/>
              <w:rPr>
                <w:rFonts w:ascii="宋体" w:hAnsi="宋体"/>
                <w:sz w:val="21"/>
              </w:rPr>
            </w:pPr>
          </w:p>
        </w:tc>
        <w:tc>
          <w:tcPr>
            <w:tcW w:w="4637" w:type="dxa"/>
            <w:gridSpan w:val="4"/>
            <w:vAlign w:val="center"/>
          </w:tcPr>
          <w:p w14:paraId="4E9FAB0F">
            <w:pPr>
              <w:ind w:firstLine="0" w:firstLineChars="0"/>
              <w:rPr>
                <w:rFonts w:ascii="宋体" w:hAnsi="宋体"/>
                <w:sz w:val="21"/>
              </w:rPr>
            </w:pPr>
            <w:r>
              <w:rPr>
                <w:rFonts w:hint="eastAsia" w:ascii="宋体" w:hAnsi="宋体"/>
                <w:sz w:val="21"/>
              </w:rPr>
              <w:t>(2)施工后主要受力结构件的主要几何尺寸</w:t>
            </w:r>
          </w:p>
        </w:tc>
        <w:tc>
          <w:tcPr>
            <w:tcW w:w="966" w:type="dxa"/>
            <w:vAlign w:val="center"/>
          </w:tcPr>
          <w:p w14:paraId="5E722F25">
            <w:pPr>
              <w:ind w:firstLine="0" w:firstLineChars="0"/>
              <w:jc w:val="center"/>
              <w:rPr>
                <w:rFonts w:ascii="宋体" w:hAnsi="宋体"/>
                <w:sz w:val="21"/>
              </w:rPr>
            </w:pPr>
          </w:p>
        </w:tc>
        <w:tc>
          <w:tcPr>
            <w:tcW w:w="921" w:type="dxa"/>
            <w:vAlign w:val="center"/>
          </w:tcPr>
          <w:p w14:paraId="5D879055">
            <w:pPr>
              <w:ind w:firstLine="0" w:firstLineChars="0"/>
              <w:jc w:val="center"/>
              <w:rPr>
                <w:rFonts w:ascii="宋体" w:hAnsi="宋体"/>
                <w:sz w:val="21"/>
              </w:rPr>
            </w:pPr>
          </w:p>
        </w:tc>
      </w:tr>
      <w:tr w14:paraId="1ED317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501EC4F">
            <w:pPr>
              <w:ind w:firstLine="0" w:firstLineChars="0"/>
              <w:jc w:val="center"/>
              <w:rPr>
                <w:rFonts w:ascii="宋体" w:hAnsi="宋体"/>
                <w:sz w:val="21"/>
              </w:rPr>
            </w:pPr>
            <w:r>
              <w:rPr>
                <w:rFonts w:hint="eastAsia" w:ascii="宋体" w:hAnsi="宋体"/>
                <w:sz w:val="21"/>
              </w:rPr>
              <w:t>17</w:t>
            </w:r>
          </w:p>
        </w:tc>
        <w:tc>
          <w:tcPr>
            <w:tcW w:w="1373" w:type="dxa"/>
            <w:gridSpan w:val="3"/>
            <w:vMerge w:val="continue"/>
            <w:vAlign w:val="center"/>
          </w:tcPr>
          <w:p w14:paraId="25D36619">
            <w:pPr>
              <w:ind w:firstLine="0" w:firstLineChars="0"/>
              <w:jc w:val="center"/>
              <w:rPr>
                <w:rFonts w:ascii="宋体" w:hAnsi="宋体"/>
                <w:sz w:val="21"/>
              </w:rPr>
            </w:pPr>
          </w:p>
        </w:tc>
        <w:tc>
          <w:tcPr>
            <w:tcW w:w="4637" w:type="dxa"/>
            <w:gridSpan w:val="4"/>
            <w:vAlign w:val="center"/>
          </w:tcPr>
          <w:p w14:paraId="3A0086ED">
            <w:pPr>
              <w:ind w:firstLine="0" w:firstLineChars="0"/>
              <w:rPr>
                <w:rFonts w:ascii="宋体" w:hAnsi="宋体"/>
                <w:sz w:val="21"/>
              </w:rPr>
            </w:pPr>
            <w:r>
              <w:rPr>
                <w:rFonts w:hint="eastAsia" w:ascii="宋体" w:hAnsi="宋体"/>
                <w:sz w:val="21"/>
              </w:rPr>
              <w:t>(3)钢丝绳及其连接、吊具、滑轮组、卷筒</w:t>
            </w:r>
          </w:p>
        </w:tc>
        <w:tc>
          <w:tcPr>
            <w:tcW w:w="966" w:type="dxa"/>
            <w:vAlign w:val="center"/>
          </w:tcPr>
          <w:p w14:paraId="414514A1">
            <w:pPr>
              <w:ind w:firstLine="0" w:firstLineChars="0"/>
              <w:jc w:val="center"/>
              <w:rPr>
                <w:rFonts w:ascii="宋体" w:hAnsi="宋体"/>
                <w:sz w:val="21"/>
              </w:rPr>
            </w:pPr>
          </w:p>
        </w:tc>
        <w:tc>
          <w:tcPr>
            <w:tcW w:w="921" w:type="dxa"/>
            <w:vAlign w:val="center"/>
          </w:tcPr>
          <w:p w14:paraId="123538DC">
            <w:pPr>
              <w:ind w:firstLine="0" w:firstLineChars="0"/>
              <w:jc w:val="center"/>
              <w:rPr>
                <w:rFonts w:ascii="宋体" w:hAnsi="宋体"/>
                <w:sz w:val="21"/>
              </w:rPr>
            </w:pPr>
          </w:p>
        </w:tc>
      </w:tr>
      <w:tr w14:paraId="7D11E6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233E4ED0">
            <w:pPr>
              <w:ind w:firstLine="0" w:firstLineChars="0"/>
              <w:jc w:val="center"/>
              <w:rPr>
                <w:rFonts w:ascii="宋体" w:hAnsi="宋体"/>
                <w:sz w:val="21"/>
              </w:rPr>
            </w:pPr>
            <w:r>
              <w:rPr>
                <w:rFonts w:hint="eastAsia" w:ascii="宋体" w:hAnsi="宋体"/>
                <w:sz w:val="21"/>
              </w:rPr>
              <w:t>18</w:t>
            </w:r>
          </w:p>
        </w:tc>
        <w:tc>
          <w:tcPr>
            <w:tcW w:w="1373" w:type="dxa"/>
            <w:gridSpan w:val="3"/>
            <w:vMerge w:val="continue"/>
            <w:vAlign w:val="center"/>
          </w:tcPr>
          <w:p w14:paraId="28623471">
            <w:pPr>
              <w:ind w:firstLine="0" w:firstLineChars="0"/>
              <w:jc w:val="center"/>
              <w:rPr>
                <w:rFonts w:ascii="宋体" w:hAnsi="宋体"/>
                <w:sz w:val="21"/>
              </w:rPr>
            </w:pPr>
          </w:p>
        </w:tc>
        <w:tc>
          <w:tcPr>
            <w:tcW w:w="4637" w:type="dxa"/>
            <w:gridSpan w:val="4"/>
            <w:vAlign w:val="center"/>
          </w:tcPr>
          <w:p w14:paraId="5A829357">
            <w:pPr>
              <w:ind w:firstLine="0" w:firstLineChars="0"/>
              <w:rPr>
                <w:rFonts w:ascii="宋体" w:hAnsi="宋体"/>
                <w:sz w:val="21"/>
              </w:rPr>
            </w:pPr>
            <w:r>
              <w:rPr>
                <w:rFonts w:hint="eastAsia" w:ascii="宋体" w:hAnsi="宋体"/>
                <w:sz w:val="21"/>
              </w:rPr>
              <w:t>(4)安全警示标识</w:t>
            </w:r>
          </w:p>
        </w:tc>
        <w:tc>
          <w:tcPr>
            <w:tcW w:w="966" w:type="dxa"/>
            <w:vAlign w:val="center"/>
          </w:tcPr>
          <w:p w14:paraId="5E5B4499">
            <w:pPr>
              <w:ind w:firstLine="0" w:firstLineChars="0"/>
              <w:jc w:val="center"/>
              <w:rPr>
                <w:rFonts w:ascii="宋体" w:hAnsi="宋体"/>
                <w:sz w:val="21"/>
              </w:rPr>
            </w:pPr>
          </w:p>
        </w:tc>
        <w:tc>
          <w:tcPr>
            <w:tcW w:w="921" w:type="dxa"/>
            <w:vAlign w:val="center"/>
          </w:tcPr>
          <w:p w14:paraId="6E63932C">
            <w:pPr>
              <w:ind w:firstLine="0" w:firstLineChars="0"/>
              <w:jc w:val="center"/>
              <w:rPr>
                <w:rFonts w:ascii="宋体" w:hAnsi="宋体"/>
                <w:sz w:val="21"/>
              </w:rPr>
            </w:pPr>
          </w:p>
        </w:tc>
      </w:tr>
      <w:tr w14:paraId="5E9FDC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2D45016">
            <w:pPr>
              <w:ind w:firstLine="0" w:firstLineChars="0"/>
              <w:jc w:val="center"/>
              <w:rPr>
                <w:rFonts w:ascii="宋体" w:hAnsi="宋体"/>
                <w:sz w:val="21"/>
              </w:rPr>
            </w:pPr>
            <w:r>
              <w:rPr>
                <w:rFonts w:hint="eastAsia" w:ascii="宋体" w:hAnsi="宋体"/>
                <w:sz w:val="21"/>
              </w:rPr>
              <w:t>19</w:t>
            </w:r>
          </w:p>
        </w:tc>
        <w:tc>
          <w:tcPr>
            <w:tcW w:w="607" w:type="dxa"/>
            <w:vMerge w:val="restart"/>
            <w:vAlign w:val="center"/>
          </w:tcPr>
          <w:p w14:paraId="161134EF">
            <w:pPr>
              <w:ind w:firstLine="0" w:firstLineChars="0"/>
              <w:rPr>
                <w:rFonts w:ascii="宋体" w:hAnsi="宋体"/>
                <w:sz w:val="21"/>
              </w:rPr>
            </w:pPr>
            <w:r>
              <w:rPr>
                <w:rFonts w:hint="eastAsia" w:ascii="宋体" w:hAnsi="宋体"/>
                <w:sz w:val="21"/>
              </w:rPr>
              <w:t>电气与控制系统检验</w:t>
            </w:r>
          </w:p>
        </w:tc>
        <w:tc>
          <w:tcPr>
            <w:tcW w:w="5403" w:type="dxa"/>
            <w:gridSpan w:val="6"/>
            <w:vAlign w:val="center"/>
          </w:tcPr>
          <w:p w14:paraId="2D287F9B">
            <w:pPr>
              <w:ind w:firstLine="0" w:firstLineChars="0"/>
              <w:rPr>
                <w:rFonts w:ascii="宋体" w:hAnsi="宋体"/>
                <w:sz w:val="21"/>
              </w:rPr>
            </w:pPr>
            <w:r>
              <w:rPr>
                <w:rFonts w:hint="eastAsia" w:ascii="宋体" w:hAnsi="宋体"/>
                <w:sz w:val="21"/>
              </w:rPr>
              <w:t>电气设备与控制系统</w:t>
            </w:r>
          </w:p>
        </w:tc>
        <w:tc>
          <w:tcPr>
            <w:tcW w:w="966" w:type="dxa"/>
            <w:vAlign w:val="center"/>
          </w:tcPr>
          <w:p w14:paraId="05B41B6E">
            <w:pPr>
              <w:ind w:firstLine="0" w:firstLineChars="0"/>
              <w:jc w:val="center"/>
              <w:rPr>
                <w:rFonts w:ascii="宋体" w:hAnsi="宋体"/>
                <w:sz w:val="21"/>
              </w:rPr>
            </w:pPr>
          </w:p>
        </w:tc>
        <w:tc>
          <w:tcPr>
            <w:tcW w:w="921" w:type="dxa"/>
            <w:vAlign w:val="center"/>
          </w:tcPr>
          <w:p w14:paraId="698CEE53">
            <w:pPr>
              <w:ind w:firstLine="0" w:firstLineChars="0"/>
              <w:jc w:val="center"/>
              <w:rPr>
                <w:rFonts w:ascii="宋体" w:hAnsi="宋体"/>
                <w:sz w:val="21"/>
              </w:rPr>
            </w:pPr>
          </w:p>
        </w:tc>
      </w:tr>
      <w:tr w14:paraId="4396B4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5CE1452">
            <w:pPr>
              <w:ind w:firstLine="0" w:firstLineChars="0"/>
              <w:jc w:val="center"/>
              <w:rPr>
                <w:rFonts w:ascii="宋体" w:hAnsi="宋体"/>
                <w:sz w:val="21"/>
              </w:rPr>
            </w:pPr>
            <w:r>
              <w:rPr>
                <w:rFonts w:hint="eastAsia" w:ascii="宋体" w:hAnsi="宋体"/>
                <w:sz w:val="21"/>
              </w:rPr>
              <w:t>20</w:t>
            </w:r>
          </w:p>
        </w:tc>
        <w:tc>
          <w:tcPr>
            <w:tcW w:w="607" w:type="dxa"/>
            <w:vMerge w:val="continue"/>
            <w:vAlign w:val="center"/>
          </w:tcPr>
          <w:p w14:paraId="3DEE5831">
            <w:pPr>
              <w:ind w:firstLine="0" w:firstLineChars="0"/>
              <w:rPr>
                <w:rFonts w:ascii="宋体" w:hAnsi="宋体"/>
                <w:sz w:val="21"/>
              </w:rPr>
            </w:pPr>
          </w:p>
        </w:tc>
        <w:tc>
          <w:tcPr>
            <w:tcW w:w="857" w:type="dxa"/>
            <w:gridSpan w:val="3"/>
            <w:vMerge w:val="restart"/>
            <w:vAlign w:val="center"/>
          </w:tcPr>
          <w:p w14:paraId="7BBA37CC">
            <w:pPr>
              <w:ind w:firstLine="0" w:firstLineChars="0"/>
              <w:rPr>
                <w:rFonts w:ascii="宋体" w:hAnsi="宋体"/>
                <w:sz w:val="21"/>
              </w:rPr>
            </w:pPr>
            <w:r>
              <w:rPr>
                <w:rFonts w:hint="eastAsia" w:ascii="宋体" w:hAnsi="宋体"/>
                <w:sz w:val="21"/>
              </w:rPr>
              <w:t>电气保护装置</w:t>
            </w:r>
          </w:p>
        </w:tc>
        <w:tc>
          <w:tcPr>
            <w:tcW w:w="4546" w:type="dxa"/>
            <w:gridSpan w:val="3"/>
            <w:vAlign w:val="center"/>
          </w:tcPr>
          <w:p w14:paraId="31FB91CF">
            <w:pPr>
              <w:ind w:firstLine="0" w:firstLineChars="0"/>
              <w:rPr>
                <w:rFonts w:ascii="宋体" w:hAnsi="宋体"/>
                <w:sz w:val="21"/>
              </w:rPr>
            </w:pPr>
            <w:r>
              <w:rPr>
                <w:rFonts w:hint="eastAsia" w:ascii="宋体" w:hAnsi="宋体"/>
                <w:sz w:val="21"/>
              </w:rPr>
              <w:t>接地保护</w:t>
            </w:r>
          </w:p>
        </w:tc>
        <w:tc>
          <w:tcPr>
            <w:tcW w:w="966" w:type="dxa"/>
            <w:vAlign w:val="center"/>
          </w:tcPr>
          <w:p w14:paraId="1B15800D">
            <w:pPr>
              <w:ind w:firstLine="0" w:firstLineChars="0"/>
              <w:jc w:val="center"/>
              <w:rPr>
                <w:rFonts w:ascii="宋体" w:hAnsi="宋体"/>
                <w:sz w:val="21"/>
              </w:rPr>
            </w:pPr>
          </w:p>
        </w:tc>
        <w:tc>
          <w:tcPr>
            <w:tcW w:w="921" w:type="dxa"/>
            <w:vAlign w:val="center"/>
          </w:tcPr>
          <w:p w14:paraId="22DE4200">
            <w:pPr>
              <w:ind w:firstLine="0" w:firstLineChars="0"/>
              <w:jc w:val="center"/>
              <w:rPr>
                <w:rFonts w:ascii="宋体" w:hAnsi="宋体"/>
                <w:sz w:val="21"/>
              </w:rPr>
            </w:pPr>
          </w:p>
        </w:tc>
      </w:tr>
      <w:tr w14:paraId="0F57D9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078CA75B">
            <w:pPr>
              <w:ind w:firstLine="0" w:firstLineChars="0"/>
              <w:jc w:val="center"/>
              <w:rPr>
                <w:rFonts w:ascii="宋体" w:hAnsi="宋体"/>
                <w:sz w:val="21"/>
              </w:rPr>
            </w:pPr>
            <w:r>
              <w:rPr>
                <w:rFonts w:hint="eastAsia" w:ascii="宋体" w:hAnsi="宋体"/>
                <w:sz w:val="21"/>
              </w:rPr>
              <w:t>21</w:t>
            </w:r>
          </w:p>
        </w:tc>
        <w:tc>
          <w:tcPr>
            <w:tcW w:w="607" w:type="dxa"/>
            <w:vMerge w:val="continue"/>
            <w:vAlign w:val="center"/>
          </w:tcPr>
          <w:p w14:paraId="39FD0DD3">
            <w:pPr>
              <w:ind w:firstLine="0" w:firstLineChars="0"/>
              <w:jc w:val="center"/>
              <w:rPr>
                <w:rFonts w:ascii="宋体" w:hAnsi="宋体"/>
                <w:sz w:val="21"/>
              </w:rPr>
            </w:pPr>
          </w:p>
        </w:tc>
        <w:tc>
          <w:tcPr>
            <w:tcW w:w="857" w:type="dxa"/>
            <w:gridSpan w:val="3"/>
            <w:vMerge w:val="continue"/>
            <w:vAlign w:val="center"/>
          </w:tcPr>
          <w:p w14:paraId="3C08213C">
            <w:pPr>
              <w:ind w:firstLine="0" w:firstLineChars="0"/>
              <w:rPr>
                <w:rFonts w:ascii="宋体" w:hAnsi="宋体"/>
                <w:sz w:val="21"/>
              </w:rPr>
            </w:pPr>
          </w:p>
        </w:tc>
        <w:tc>
          <w:tcPr>
            <w:tcW w:w="4546" w:type="dxa"/>
            <w:gridSpan w:val="3"/>
            <w:vAlign w:val="center"/>
          </w:tcPr>
          <w:p w14:paraId="1EEFBC83">
            <w:pPr>
              <w:ind w:firstLine="0" w:firstLineChars="0"/>
              <w:rPr>
                <w:rFonts w:ascii="宋体" w:hAnsi="宋体"/>
                <w:sz w:val="21"/>
              </w:rPr>
            </w:pPr>
            <w:r>
              <w:rPr>
                <w:rFonts w:hint="eastAsia" w:ascii="宋体" w:hAnsi="宋体"/>
                <w:sz w:val="21"/>
              </w:rPr>
              <w:t>绝缘电阻</w:t>
            </w:r>
          </w:p>
        </w:tc>
        <w:tc>
          <w:tcPr>
            <w:tcW w:w="966" w:type="dxa"/>
            <w:vAlign w:val="center"/>
          </w:tcPr>
          <w:p w14:paraId="6E1FAC87">
            <w:pPr>
              <w:ind w:firstLine="0" w:firstLineChars="0"/>
              <w:jc w:val="center"/>
              <w:rPr>
                <w:rFonts w:ascii="宋体" w:hAnsi="宋体"/>
                <w:sz w:val="21"/>
              </w:rPr>
            </w:pPr>
          </w:p>
        </w:tc>
        <w:tc>
          <w:tcPr>
            <w:tcW w:w="921" w:type="dxa"/>
            <w:vAlign w:val="center"/>
          </w:tcPr>
          <w:p w14:paraId="502AA70F">
            <w:pPr>
              <w:ind w:firstLine="0" w:firstLineChars="0"/>
              <w:jc w:val="center"/>
              <w:rPr>
                <w:rFonts w:ascii="宋体" w:hAnsi="宋体"/>
                <w:sz w:val="21"/>
              </w:rPr>
            </w:pPr>
          </w:p>
        </w:tc>
      </w:tr>
      <w:tr w14:paraId="761FB3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84277D4">
            <w:pPr>
              <w:ind w:firstLine="0" w:firstLineChars="0"/>
              <w:jc w:val="center"/>
              <w:rPr>
                <w:rFonts w:ascii="宋体" w:hAnsi="宋体"/>
                <w:sz w:val="21"/>
              </w:rPr>
            </w:pPr>
            <w:r>
              <w:rPr>
                <w:rFonts w:hint="eastAsia" w:ascii="宋体" w:hAnsi="宋体"/>
                <w:sz w:val="21"/>
              </w:rPr>
              <w:t>22</w:t>
            </w:r>
          </w:p>
        </w:tc>
        <w:tc>
          <w:tcPr>
            <w:tcW w:w="607" w:type="dxa"/>
            <w:vMerge w:val="continue"/>
            <w:vAlign w:val="center"/>
          </w:tcPr>
          <w:p w14:paraId="68FBC5EC">
            <w:pPr>
              <w:ind w:firstLine="0" w:firstLineChars="0"/>
              <w:rPr>
                <w:rFonts w:ascii="宋体" w:hAnsi="宋体"/>
                <w:sz w:val="21"/>
              </w:rPr>
            </w:pPr>
          </w:p>
        </w:tc>
        <w:tc>
          <w:tcPr>
            <w:tcW w:w="857" w:type="dxa"/>
            <w:gridSpan w:val="3"/>
            <w:vMerge w:val="continue"/>
            <w:vAlign w:val="center"/>
          </w:tcPr>
          <w:p w14:paraId="1DE4DAA2">
            <w:pPr>
              <w:ind w:firstLine="0" w:firstLineChars="0"/>
              <w:rPr>
                <w:rFonts w:ascii="宋体" w:hAnsi="宋体"/>
                <w:sz w:val="21"/>
              </w:rPr>
            </w:pPr>
          </w:p>
        </w:tc>
        <w:tc>
          <w:tcPr>
            <w:tcW w:w="4546" w:type="dxa"/>
            <w:gridSpan w:val="3"/>
            <w:vAlign w:val="center"/>
          </w:tcPr>
          <w:p w14:paraId="6FA441E7">
            <w:pPr>
              <w:ind w:firstLine="0" w:firstLineChars="0"/>
              <w:rPr>
                <w:rFonts w:ascii="宋体" w:hAnsi="宋体"/>
                <w:sz w:val="21"/>
              </w:rPr>
            </w:pPr>
            <w:r>
              <w:rPr>
                <w:rFonts w:hint="eastAsia" w:ascii="宋体" w:hAnsi="宋体"/>
                <w:sz w:val="21"/>
              </w:rPr>
              <w:t>短路保护</w:t>
            </w:r>
          </w:p>
        </w:tc>
        <w:tc>
          <w:tcPr>
            <w:tcW w:w="966" w:type="dxa"/>
            <w:vAlign w:val="center"/>
          </w:tcPr>
          <w:p w14:paraId="0B813EF2">
            <w:pPr>
              <w:ind w:firstLine="0" w:firstLineChars="0"/>
              <w:jc w:val="center"/>
              <w:rPr>
                <w:rFonts w:ascii="宋体" w:hAnsi="宋体"/>
                <w:sz w:val="21"/>
              </w:rPr>
            </w:pPr>
          </w:p>
        </w:tc>
        <w:tc>
          <w:tcPr>
            <w:tcW w:w="921" w:type="dxa"/>
            <w:vAlign w:val="center"/>
          </w:tcPr>
          <w:p w14:paraId="78587F7C">
            <w:pPr>
              <w:ind w:firstLine="0" w:firstLineChars="0"/>
              <w:jc w:val="center"/>
              <w:rPr>
                <w:rFonts w:ascii="宋体" w:hAnsi="宋体"/>
                <w:sz w:val="21"/>
              </w:rPr>
            </w:pPr>
          </w:p>
        </w:tc>
      </w:tr>
      <w:tr w14:paraId="63FAE5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3931697B">
            <w:pPr>
              <w:ind w:firstLine="0" w:firstLineChars="0"/>
              <w:jc w:val="center"/>
              <w:rPr>
                <w:rFonts w:ascii="宋体" w:hAnsi="宋体"/>
                <w:sz w:val="21"/>
              </w:rPr>
            </w:pPr>
            <w:r>
              <w:rPr>
                <w:rFonts w:hint="eastAsia" w:ascii="宋体" w:hAnsi="宋体"/>
                <w:sz w:val="21"/>
              </w:rPr>
              <w:t>23</w:t>
            </w:r>
          </w:p>
        </w:tc>
        <w:tc>
          <w:tcPr>
            <w:tcW w:w="607" w:type="dxa"/>
            <w:vMerge w:val="continue"/>
            <w:vAlign w:val="center"/>
          </w:tcPr>
          <w:p w14:paraId="37A8540C">
            <w:pPr>
              <w:ind w:firstLine="0" w:firstLineChars="0"/>
              <w:rPr>
                <w:rFonts w:ascii="宋体" w:hAnsi="宋体"/>
                <w:sz w:val="21"/>
              </w:rPr>
            </w:pPr>
          </w:p>
        </w:tc>
        <w:tc>
          <w:tcPr>
            <w:tcW w:w="857" w:type="dxa"/>
            <w:gridSpan w:val="3"/>
            <w:vMerge w:val="continue"/>
            <w:vAlign w:val="center"/>
          </w:tcPr>
          <w:p w14:paraId="4FAD2B52">
            <w:pPr>
              <w:ind w:firstLine="0" w:firstLineChars="0"/>
              <w:rPr>
                <w:rFonts w:ascii="宋体" w:hAnsi="宋体"/>
                <w:sz w:val="21"/>
              </w:rPr>
            </w:pPr>
          </w:p>
        </w:tc>
        <w:tc>
          <w:tcPr>
            <w:tcW w:w="4546" w:type="dxa"/>
            <w:gridSpan w:val="3"/>
            <w:vAlign w:val="center"/>
          </w:tcPr>
          <w:p w14:paraId="4163D642">
            <w:pPr>
              <w:ind w:firstLine="0" w:firstLineChars="0"/>
              <w:rPr>
                <w:rFonts w:ascii="宋体" w:hAnsi="宋体"/>
                <w:sz w:val="21"/>
              </w:rPr>
            </w:pPr>
            <w:r>
              <w:rPr>
                <w:rFonts w:hint="eastAsia" w:ascii="宋体" w:hAnsi="宋体"/>
                <w:sz w:val="21"/>
              </w:rPr>
              <w:t>失压保护</w:t>
            </w:r>
          </w:p>
        </w:tc>
        <w:tc>
          <w:tcPr>
            <w:tcW w:w="966" w:type="dxa"/>
            <w:vAlign w:val="center"/>
          </w:tcPr>
          <w:p w14:paraId="2E1F8A47">
            <w:pPr>
              <w:ind w:firstLine="0" w:firstLineChars="0"/>
              <w:jc w:val="center"/>
              <w:rPr>
                <w:rFonts w:ascii="宋体" w:hAnsi="宋体"/>
                <w:sz w:val="21"/>
              </w:rPr>
            </w:pPr>
          </w:p>
        </w:tc>
        <w:tc>
          <w:tcPr>
            <w:tcW w:w="921" w:type="dxa"/>
            <w:vAlign w:val="center"/>
          </w:tcPr>
          <w:p w14:paraId="0B0899A4">
            <w:pPr>
              <w:ind w:firstLine="0" w:firstLineChars="0"/>
              <w:jc w:val="center"/>
              <w:rPr>
                <w:rFonts w:ascii="宋体" w:hAnsi="宋体"/>
                <w:sz w:val="21"/>
              </w:rPr>
            </w:pPr>
          </w:p>
        </w:tc>
      </w:tr>
      <w:tr w14:paraId="1707A3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482" w:hRule="atLeast"/>
          <w:jc w:val="center"/>
        </w:trPr>
        <w:tc>
          <w:tcPr>
            <w:tcW w:w="534" w:type="dxa"/>
            <w:vAlign w:val="center"/>
          </w:tcPr>
          <w:p w14:paraId="2B5165D1">
            <w:pPr>
              <w:ind w:firstLine="0" w:firstLineChars="0"/>
              <w:jc w:val="center"/>
              <w:rPr>
                <w:rFonts w:ascii="宋体" w:hAnsi="宋体"/>
                <w:sz w:val="21"/>
              </w:rPr>
            </w:pPr>
            <w:r>
              <w:rPr>
                <w:rFonts w:hint="eastAsia" w:ascii="宋体" w:hAnsi="宋体"/>
                <w:sz w:val="21"/>
              </w:rPr>
              <w:t>24</w:t>
            </w:r>
          </w:p>
        </w:tc>
        <w:tc>
          <w:tcPr>
            <w:tcW w:w="607" w:type="dxa"/>
            <w:vMerge w:val="continue"/>
            <w:vAlign w:val="center"/>
          </w:tcPr>
          <w:p w14:paraId="6CBBD98A">
            <w:pPr>
              <w:ind w:firstLine="0" w:firstLineChars="0"/>
              <w:rPr>
                <w:rFonts w:ascii="宋体" w:hAnsi="宋体"/>
                <w:sz w:val="21"/>
              </w:rPr>
            </w:pPr>
          </w:p>
        </w:tc>
        <w:tc>
          <w:tcPr>
            <w:tcW w:w="857" w:type="dxa"/>
            <w:gridSpan w:val="3"/>
            <w:vMerge w:val="continue"/>
            <w:vAlign w:val="center"/>
          </w:tcPr>
          <w:p w14:paraId="7D95826F">
            <w:pPr>
              <w:ind w:firstLine="0" w:firstLineChars="0"/>
              <w:rPr>
                <w:rFonts w:ascii="宋体" w:hAnsi="宋体"/>
                <w:sz w:val="21"/>
              </w:rPr>
            </w:pPr>
          </w:p>
        </w:tc>
        <w:tc>
          <w:tcPr>
            <w:tcW w:w="4546" w:type="dxa"/>
            <w:gridSpan w:val="3"/>
            <w:vAlign w:val="center"/>
          </w:tcPr>
          <w:p w14:paraId="6BB9CD8A">
            <w:pPr>
              <w:ind w:firstLine="0" w:firstLineChars="0"/>
              <w:rPr>
                <w:rFonts w:ascii="宋体" w:hAnsi="宋体"/>
                <w:sz w:val="21"/>
              </w:rPr>
            </w:pPr>
            <w:r>
              <w:rPr>
                <w:rFonts w:hint="eastAsia" w:ascii="宋体" w:hAnsi="宋体"/>
                <w:sz w:val="21"/>
              </w:rPr>
              <w:t>零位保护</w:t>
            </w:r>
          </w:p>
        </w:tc>
        <w:tc>
          <w:tcPr>
            <w:tcW w:w="966" w:type="dxa"/>
            <w:vAlign w:val="center"/>
          </w:tcPr>
          <w:p w14:paraId="520F12A7">
            <w:pPr>
              <w:ind w:firstLine="0" w:firstLineChars="0"/>
              <w:jc w:val="center"/>
              <w:rPr>
                <w:rFonts w:ascii="宋体" w:hAnsi="宋体"/>
                <w:sz w:val="21"/>
              </w:rPr>
            </w:pPr>
          </w:p>
        </w:tc>
        <w:tc>
          <w:tcPr>
            <w:tcW w:w="921" w:type="dxa"/>
            <w:vAlign w:val="center"/>
          </w:tcPr>
          <w:p w14:paraId="274B83AF">
            <w:pPr>
              <w:ind w:firstLine="0" w:firstLineChars="0"/>
              <w:jc w:val="center"/>
              <w:rPr>
                <w:rFonts w:ascii="宋体" w:hAnsi="宋体"/>
                <w:sz w:val="21"/>
              </w:rPr>
            </w:pPr>
          </w:p>
        </w:tc>
      </w:tr>
      <w:tr w14:paraId="072F48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1B162236">
            <w:pPr>
              <w:ind w:firstLine="0" w:firstLineChars="0"/>
              <w:jc w:val="center"/>
              <w:rPr>
                <w:rFonts w:ascii="宋体" w:hAnsi="宋体"/>
                <w:sz w:val="21"/>
              </w:rPr>
            </w:pPr>
            <w:r>
              <w:rPr>
                <w:rFonts w:hint="eastAsia" w:ascii="宋体" w:hAnsi="宋体"/>
                <w:sz w:val="21"/>
              </w:rPr>
              <w:t>25</w:t>
            </w:r>
          </w:p>
        </w:tc>
        <w:tc>
          <w:tcPr>
            <w:tcW w:w="607" w:type="dxa"/>
            <w:vMerge w:val="restart"/>
            <w:vAlign w:val="center"/>
          </w:tcPr>
          <w:p w14:paraId="3B2B2445">
            <w:pPr>
              <w:ind w:firstLine="0" w:firstLineChars="0"/>
              <w:rPr>
                <w:rFonts w:ascii="宋体" w:hAnsi="宋体"/>
                <w:sz w:val="21"/>
              </w:rPr>
            </w:pPr>
            <w:r>
              <w:rPr>
                <w:rFonts w:hint="eastAsia" w:ascii="宋体" w:hAnsi="宋体"/>
                <w:sz w:val="21"/>
              </w:rPr>
              <w:t>电气与控制系统检验</w:t>
            </w:r>
          </w:p>
        </w:tc>
        <w:tc>
          <w:tcPr>
            <w:tcW w:w="869" w:type="dxa"/>
            <w:gridSpan w:val="4"/>
            <w:vMerge w:val="restart"/>
            <w:vAlign w:val="center"/>
          </w:tcPr>
          <w:p w14:paraId="011B3CD1">
            <w:pPr>
              <w:ind w:firstLine="0" w:firstLineChars="0"/>
              <w:rPr>
                <w:rFonts w:ascii="宋体" w:hAnsi="宋体"/>
                <w:sz w:val="21"/>
              </w:rPr>
            </w:pPr>
            <w:r>
              <w:rPr>
                <w:rFonts w:hint="eastAsia" w:ascii="宋体" w:hAnsi="宋体"/>
                <w:sz w:val="21"/>
              </w:rPr>
              <w:t>电气保护装置</w:t>
            </w:r>
          </w:p>
        </w:tc>
        <w:tc>
          <w:tcPr>
            <w:tcW w:w="4534" w:type="dxa"/>
            <w:gridSpan w:val="2"/>
            <w:vAlign w:val="center"/>
          </w:tcPr>
          <w:p w14:paraId="0CF8D7EC">
            <w:pPr>
              <w:ind w:firstLine="0" w:firstLineChars="0"/>
              <w:rPr>
                <w:rFonts w:ascii="宋体" w:hAnsi="宋体"/>
                <w:sz w:val="21"/>
              </w:rPr>
            </w:pPr>
            <w:r>
              <w:rPr>
                <w:rFonts w:hint="eastAsia" w:ascii="宋体" w:hAnsi="宋体"/>
                <w:sz w:val="21"/>
              </w:rPr>
              <w:t>过流（过载）保护</w:t>
            </w:r>
          </w:p>
        </w:tc>
        <w:tc>
          <w:tcPr>
            <w:tcW w:w="966" w:type="dxa"/>
            <w:vAlign w:val="center"/>
          </w:tcPr>
          <w:p w14:paraId="418042D7">
            <w:pPr>
              <w:ind w:firstLine="0" w:firstLineChars="0"/>
              <w:jc w:val="center"/>
              <w:rPr>
                <w:rFonts w:ascii="宋体" w:hAnsi="宋体"/>
                <w:sz w:val="21"/>
              </w:rPr>
            </w:pPr>
          </w:p>
        </w:tc>
        <w:tc>
          <w:tcPr>
            <w:tcW w:w="921" w:type="dxa"/>
            <w:vAlign w:val="center"/>
          </w:tcPr>
          <w:p w14:paraId="709109BB">
            <w:pPr>
              <w:ind w:firstLine="0" w:firstLineChars="0"/>
              <w:jc w:val="center"/>
              <w:rPr>
                <w:rFonts w:ascii="宋体" w:hAnsi="宋体"/>
                <w:sz w:val="21"/>
              </w:rPr>
            </w:pPr>
          </w:p>
        </w:tc>
      </w:tr>
      <w:tr w14:paraId="5266A6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3BF7F452">
            <w:pPr>
              <w:ind w:firstLine="0" w:firstLineChars="0"/>
              <w:jc w:val="center"/>
              <w:rPr>
                <w:rFonts w:ascii="宋体" w:hAnsi="宋体"/>
                <w:sz w:val="21"/>
              </w:rPr>
            </w:pPr>
            <w:r>
              <w:rPr>
                <w:rFonts w:hint="eastAsia" w:ascii="宋体" w:hAnsi="宋体"/>
                <w:sz w:val="21"/>
              </w:rPr>
              <w:t>26</w:t>
            </w:r>
          </w:p>
        </w:tc>
        <w:tc>
          <w:tcPr>
            <w:tcW w:w="607" w:type="dxa"/>
            <w:vMerge w:val="continue"/>
            <w:vAlign w:val="center"/>
          </w:tcPr>
          <w:p w14:paraId="3264D424">
            <w:pPr>
              <w:ind w:firstLine="0" w:firstLineChars="0"/>
              <w:rPr>
                <w:rFonts w:ascii="宋体" w:hAnsi="宋体"/>
                <w:sz w:val="21"/>
              </w:rPr>
            </w:pPr>
          </w:p>
        </w:tc>
        <w:tc>
          <w:tcPr>
            <w:tcW w:w="869" w:type="dxa"/>
            <w:gridSpan w:val="4"/>
            <w:vMerge w:val="continue"/>
            <w:vAlign w:val="center"/>
          </w:tcPr>
          <w:p w14:paraId="612B4790">
            <w:pPr>
              <w:ind w:firstLine="0" w:firstLineChars="0"/>
              <w:rPr>
                <w:rFonts w:ascii="宋体" w:hAnsi="宋体"/>
                <w:sz w:val="21"/>
              </w:rPr>
            </w:pPr>
          </w:p>
        </w:tc>
        <w:tc>
          <w:tcPr>
            <w:tcW w:w="4534" w:type="dxa"/>
            <w:gridSpan w:val="2"/>
            <w:vAlign w:val="center"/>
          </w:tcPr>
          <w:p w14:paraId="54653B06">
            <w:pPr>
              <w:ind w:firstLine="0" w:firstLineChars="0"/>
              <w:rPr>
                <w:rFonts w:ascii="宋体" w:hAnsi="宋体"/>
                <w:sz w:val="21"/>
              </w:rPr>
            </w:pPr>
            <w:r>
              <w:rPr>
                <w:rFonts w:hint="eastAsia" w:ascii="宋体" w:hAnsi="宋体"/>
                <w:sz w:val="21"/>
              </w:rPr>
              <w:t>失磁保护</w:t>
            </w:r>
          </w:p>
        </w:tc>
        <w:tc>
          <w:tcPr>
            <w:tcW w:w="966" w:type="dxa"/>
            <w:vAlign w:val="center"/>
          </w:tcPr>
          <w:p w14:paraId="4A963B9B">
            <w:pPr>
              <w:ind w:firstLine="0" w:firstLineChars="0"/>
              <w:jc w:val="center"/>
              <w:rPr>
                <w:rFonts w:ascii="宋体" w:hAnsi="宋体"/>
                <w:sz w:val="21"/>
              </w:rPr>
            </w:pPr>
          </w:p>
        </w:tc>
        <w:tc>
          <w:tcPr>
            <w:tcW w:w="921" w:type="dxa"/>
            <w:vAlign w:val="center"/>
          </w:tcPr>
          <w:p w14:paraId="00798EC4">
            <w:pPr>
              <w:ind w:firstLine="0" w:firstLineChars="0"/>
              <w:jc w:val="center"/>
              <w:rPr>
                <w:rFonts w:ascii="宋体" w:hAnsi="宋体"/>
                <w:sz w:val="21"/>
              </w:rPr>
            </w:pPr>
          </w:p>
        </w:tc>
      </w:tr>
      <w:tr w14:paraId="553E42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470BB0C3">
            <w:pPr>
              <w:ind w:firstLine="0" w:firstLineChars="0"/>
              <w:jc w:val="center"/>
              <w:rPr>
                <w:rFonts w:ascii="宋体" w:hAnsi="宋体"/>
                <w:sz w:val="21"/>
              </w:rPr>
            </w:pPr>
            <w:r>
              <w:rPr>
                <w:rFonts w:hint="eastAsia" w:ascii="宋体" w:hAnsi="宋体"/>
                <w:sz w:val="21"/>
              </w:rPr>
              <w:t>27</w:t>
            </w:r>
          </w:p>
        </w:tc>
        <w:tc>
          <w:tcPr>
            <w:tcW w:w="607" w:type="dxa"/>
            <w:vMerge w:val="continue"/>
            <w:vAlign w:val="center"/>
          </w:tcPr>
          <w:p w14:paraId="2689163D">
            <w:pPr>
              <w:ind w:firstLine="0" w:firstLineChars="0"/>
              <w:rPr>
                <w:rFonts w:ascii="宋体" w:hAnsi="宋体"/>
                <w:sz w:val="21"/>
              </w:rPr>
            </w:pPr>
          </w:p>
        </w:tc>
        <w:tc>
          <w:tcPr>
            <w:tcW w:w="869" w:type="dxa"/>
            <w:gridSpan w:val="4"/>
            <w:vMerge w:val="continue"/>
            <w:vAlign w:val="center"/>
          </w:tcPr>
          <w:p w14:paraId="7426DD20">
            <w:pPr>
              <w:ind w:firstLine="0" w:firstLineChars="0"/>
              <w:rPr>
                <w:rFonts w:ascii="宋体" w:hAnsi="宋体"/>
                <w:sz w:val="21"/>
              </w:rPr>
            </w:pPr>
          </w:p>
        </w:tc>
        <w:tc>
          <w:tcPr>
            <w:tcW w:w="4534" w:type="dxa"/>
            <w:gridSpan w:val="2"/>
            <w:vAlign w:val="center"/>
          </w:tcPr>
          <w:p w14:paraId="11FE12F5">
            <w:pPr>
              <w:ind w:firstLine="0" w:firstLineChars="0"/>
              <w:rPr>
                <w:rFonts w:ascii="宋体" w:hAnsi="宋体"/>
                <w:sz w:val="21"/>
              </w:rPr>
            </w:pPr>
            <w:r>
              <w:rPr>
                <w:rFonts w:hint="eastAsia" w:ascii="宋体" w:hAnsi="宋体"/>
                <w:sz w:val="21"/>
              </w:rPr>
              <w:t>供电电源断错相保护</w:t>
            </w:r>
          </w:p>
        </w:tc>
        <w:tc>
          <w:tcPr>
            <w:tcW w:w="966" w:type="dxa"/>
            <w:vAlign w:val="center"/>
          </w:tcPr>
          <w:p w14:paraId="5B29FE12">
            <w:pPr>
              <w:ind w:firstLine="0" w:firstLineChars="0"/>
              <w:jc w:val="center"/>
              <w:rPr>
                <w:rFonts w:ascii="宋体" w:hAnsi="宋体"/>
                <w:sz w:val="21"/>
              </w:rPr>
            </w:pPr>
          </w:p>
        </w:tc>
        <w:tc>
          <w:tcPr>
            <w:tcW w:w="921" w:type="dxa"/>
            <w:vAlign w:val="center"/>
          </w:tcPr>
          <w:p w14:paraId="7504D3CC">
            <w:pPr>
              <w:ind w:firstLine="0" w:firstLineChars="0"/>
              <w:jc w:val="center"/>
              <w:rPr>
                <w:rFonts w:ascii="宋体" w:hAnsi="宋体"/>
                <w:sz w:val="21"/>
              </w:rPr>
            </w:pPr>
          </w:p>
        </w:tc>
      </w:tr>
      <w:tr w14:paraId="4447B9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50883408">
            <w:pPr>
              <w:ind w:firstLine="0" w:firstLineChars="0"/>
              <w:jc w:val="center"/>
              <w:rPr>
                <w:rFonts w:ascii="宋体" w:hAnsi="宋体"/>
                <w:sz w:val="21"/>
              </w:rPr>
            </w:pPr>
            <w:r>
              <w:rPr>
                <w:rFonts w:hint="eastAsia" w:ascii="宋体" w:hAnsi="宋体"/>
                <w:sz w:val="21"/>
              </w:rPr>
              <w:t>28</w:t>
            </w:r>
          </w:p>
        </w:tc>
        <w:tc>
          <w:tcPr>
            <w:tcW w:w="607" w:type="dxa"/>
            <w:vMerge w:val="continue"/>
            <w:vAlign w:val="center"/>
          </w:tcPr>
          <w:p w14:paraId="1440F339">
            <w:pPr>
              <w:ind w:firstLine="0" w:firstLineChars="0"/>
              <w:rPr>
                <w:rFonts w:ascii="宋体" w:hAnsi="宋体"/>
                <w:sz w:val="21"/>
              </w:rPr>
            </w:pPr>
          </w:p>
        </w:tc>
        <w:tc>
          <w:tcPr>
            <w:tcW w:w="869" w:type="dxa"/>
            <w:gridSpan w:val="4"/>
            <w:vMerge w:val="continue"/>
            <w:vAlign w:val="center"/>
          </w:tcPr>
          <w:p w14:paraId="1ABF7CCB">
            <w:pPr>
              <w:ind w:firstLine="0" w:firstLineChars="0"/>
              <w:rPr>
                <w:rFonts w:ascii="宋体" w:hAnsi="宋体"/>
                <w:sz w:val="21"/>
              </w:rPr>
            </w:pPr>
          </w:p>
        </w:tc>
        <w:tc>
          <w:tcPr>
            <w:tcW w:w="4534" w:type="dxa"/>
            <w:gridSpan w:val="2"/>
            <w:vAlign w:val="center"/>
          </w:tcPr>
          <w:p w14:paraId="3F233C3B">
            <w:pPr>
              <w:ind w:firstLine="0" w:firstLineChars="0"/>
              <w:rPr>
                <w:rFonts w:ascii="宋体" w:hAnsi="宋体"/>
                <w:sz w:val="21"/>
              </w:rPr>
            </w:pPr>
            <w:r>
              <w:rPr>
                <w:rFonts w:hint="eastAsia" w:ascii="宋体" w:hAnsi="宋体"/>
                <w:sz w:val="21"/>
              </w:rPr>
              <w:t>正反向接触器故障保护</w:t>
            </w:r>
          </w:p>
        </w:tc>
        <w:tc>
          <w:tcPr>
            <w:tcW w:w="966" w:type="dxa"/>
            <w:vAlign w:val="center"/>
          </w:tcPr>
          <w:p w14:paraId="45CA7E06">
            <w:pPr>
              <w:ind w:firstLine="0" w:firstLineChars="0"/>
              <w:jc w:val="center"/>
              <w:rPr>
                <w:rFonts w:ascii="宋体" w:hAnsi="宋体"/>
                <w:sz w:val="21"/>
              </w:rPr>
            </w:pPr>
          </w:p>
        </w:tc>
        <w:tc>
          <w:tcPr>
            <w:tcW w:w="921" w:type="dxa"/>
            <w:vAlign w:val="center"/>
          </w:tcPr>
          <w:p w14:paraId="045176D0">
            <w:pPr>
              <w:ind w:firstLine="0" w:firstLineChars="0"/>
              <w:jc w:val="center"/>
              <w:rPr>
                <w:rFonts w:ascii="宋体" w:hAnsi="宋体"/>
                <w:sz w:val="21"/>
              </w:rPr>
            </w:pPr>
          </w:p>
        </w:tc>
      </w:tr>
      <w:tr w14:paraId="1B2B45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0EAD8000">
            <w:pPr>
              <w:ind w:firstLine="0" w:firstLineChars="0"/>
              <w:jc w:val="center"/>
              <w:rPr>
                <w:rFonts w:ascii="宋体" w:hAnsi="宋体"/>
                <w:sz w:val="21"/>
              </w:rPr>
            </w:pPr>
            <w:r>
              <w:rPr>
                <w:rFonts w:hint="eastAsia" w:ascii="宋体" w:hAnsi="宋体"/>
                <w:sz w:val="21"/>
              </w:rPr>
              <w:t>29</w:t>
            </w:r>
          </w:p>
        </w:tc>
        <w:tc>
          <w:tcPr>
            <w:tcW w:w="607" w:type="dxa"/>
            <w:vMerge w:val="restart"/>
            <w:vAlign w:val="center"/>
          </w:tcPr>
          <w:p w14:paraId="3114288A">
            <w:pPr>
              <w:ind w:firstLine="0" w:firstLineChars="0"/>
              <w:jc w:val="left"/>
              <w:rPr>
                <w:rFonts w:ascii="宋体" w:hAnsi="宋体"/>
                <w:sz w:val="21"/>
              </w:rPr>
            </w:pPr>
            <w:r>
              <w:rPr>
                <w:rFonts w:hint="eastAsia" w:ascii="宋体" w:hAnsi="宋体"/>
                <w:sz w:val="21"/>
              </w:rPr>
              <w:t>安全保护与</w:t>
            </w:r>
          </w:p>
          <w:p w14:paraId="6D63F3DF">
            <w:pPr>
              <w:ind w:firstLine="0" w:firstLineChars="0"/>
              <w:jc w:val="left"/>
              <w:rPr>
                <w:rFonts w:ascii="宋体" w:hAnsi="宋体"/>
                <w:sz w:val="21"/>
              </w:rPr>
            </w:pPr>
            <w:r>
              <w:rPr>
                <w:rFonts w:hint="eastAsia" w:ascii="宋体" w:hAnsi="宋体"/>
                <w:sz w:val="21"/>
              </w:rPr>
              <w:t>防护装置</w:t>
            </w:r>
          </w:p>
          <w:p w14:paraId="2E8FA5A1">
            <w:pPr>
              <w:ind w:firstLine="0" w:firstLineChars="0"/>
              <w:jc w:val="left"/>
              <w:rPr>
                <w:rFonts w:ascii="宋体" w:hAnsi="宋体"/>
                <w:sz w:val="21"/>
              </w:rPr>
            </w:pPr>
            <w:r>
              <w:rPr>
                <w:rFonts w:hint="eastAsia" w:ascii="宋体" w:hAnsi="宋体"/>
                <w:sz w:val="21"/>
              </w:rPr>
              <w:t>检验</w:t>
            </w:r>
          </w:p>
        </w:tc>
        <w:tc>
          <w:tcPr>
            <w:tcW w:w="869" w:type="dxa"/>
            <w:gridSpan w:val="4"/>
            <w:vMerge w:val="restart"/>
            <w:vAlign w:val="center"/>
          </w:tcPr>
          <w:p w14:paraId="57D1CF74">
            <w:pPr>
              <w:ind w:firstLine="0" w:firstLineChars="0"/>
              <w:rPr>
                <w:rFonts w:ascii="宋体" w:hAnsi="宋体"/>
                <w:sz w:val="21"/>
              </w:rPr>
            </w:pPr>
            <w:r>
              <w:rPr>
                <w:rFonts w:hint="eastAsia" w:ascii="宋体" w:hAnsi="宋体"/>
                <w:sz w:val="21"/>
              </w:rPr>
              <w:t>制动器</w:t>
            </w:r>
          </w:p>
        </w:tc>
        <w:tc>
          <w:tcPr>
            <w:tcW w:w="4534" w:type="dxa"/>
            <w:gridSpan w:val="2"/>
            <w:vAlign w:val="center"/>
          </w:tcPr>
          <w:p w14:paraId="2710774C">
            <w:pPr>
              <w:ind w:firstLine="0" w:firstLineChars="0"/>
              <w:rPr>
                <w:rFonts w:ascii="宋体" w:hAnsi="宋体"/>
                <w:sz w:val="21"/>
              </w:rPr>
            </w:pPr>
            <w:r>
              <w:rPr>
                <w:rFonts w:hint="eastAsia" w:ascii="宋体" w:hAnsi="宋体"/>
                <w:sz w:val="21"/>
              </w:rPr>
              <w:t>工作制动器与安全制动器的设置</w:t>
            </w:r>
          </w:p>
        </w:tc>
        <w:tc>
          <w:tcPr>
            <w:tcW w:w="966" w:type="dxa"/>
            <w:vAlign w:val="center"/>
          </w:tcPr>
          <w:p w14:paraId="3DBD7680">
            <w:pPr>
              <w:ind w:firstLine="0" w:firstLineChars="0"/>
              <w:jc w:val="center"/>
              <w:rPr>
                <w:rFonts w:ascii="宋体" w:hAnsi="宋体"/>
                <w:sz w:val="21"/>
              </w:rPr>
            </w:pPr>
          </w:p>
        </w:tc>
        <w:tc>
          <w:tcPr>
            <w:tcW w:w="921" w:type="dxa"/>
            <w:vAlign w:val="center"/>
          </w:tcPr>
          <w:p w14:paraId="2877E8D0">
            <w:pPr>
              <w:ind w:firstLine="0" w:firstLineChars="0"/>
              <w:jc w:val="center"/>
              <w:rPr>
                <w:rFonts w:ascii="宋体" w:hAnsi="宋体"/>
                <w:sz w:val="21"/>
              </w:rPr>
            </w:pPr>
          </w:p>
        </w:tc>
      </w:tr>
      <w:tr w14:paraId="4D04A8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66034893">
            <w:pPr>
              <w:ind w:firstLine="0" w:firstLineChars="0"/>
              <w:jc w:val="center"/>
              <w:rPr>
                <w:rFonts w:ascii="宋体" w:hAnsi="宋体"/>
                <w:sz w:val="21"/>
              </w:rPr>
            </w:pPr>
            <w:r>
              <w:rPr>
                <w:rFonts w:hint="eastAsia" w:ascii="宋体" w:hAnsi="宋体"/>
                <w:sz w:val="21"/>
              </w:rPr>
              <w:t>30</w:t>
            </w:r>
          </w:p>
        </w:tc>
        <w:tc>
          <w:tcPr>
            <w:tcW w:w="607" w:type="dxa"/>
            <w:vMerge w:val="continue"/>
            <w:vAlign w:val="center"/>
          </w:tcPr>
          <w:p w14:paraId="270409FE">
            <w:pPr>
              <w:ind w:firstLine="0" w:firstLineChars="0"/>
              <w:jc w:val="center"/>
              <w:rPr>
                <w:rFonts w:ascii="宋体" w:hAnsi="宋体"/>
                <w:sz w:val="21"/>
              </w:rPr>
            </w:pPr>
          </w:p>
        </w:tc>
        <w:tc>
          <w:tcPr>
            <w:tcW w:w="869" w:type="dxa"/>
            <w:gridSpan w:val="4"/>
            <w:vMerge w:val="continue"/>
            <w:vAlign w:val="center"/>
          </w:tcPr>
          <w:p w14:paraId="61001FE6">
            <w:pPr>
              <w:ind w:firstLine="0" w:firstLineChars="0"/>
              <w:rPr>
                <w:rFonts w:ascii="宋体" w:hAnsi="宋体"/>
                <w:sz w:val="21"/>
              </w:rPr>
            </w:pPr>
          </w:p>
        </w:tc>
        <w:tc>
          <w:tcPr>
            <w:tcW w:w="4534" w:type="dxa"/>
            <w:gridSpan w:val="2"/>
            <w:vAlign w:val="center"/>
          </w:tcPr>
          <w:p w14:paraId="5CD4B775">
            <w:pPr>
              <w:ind w:firstLine="0" w:firstLineChars="0"/>
              <w:rPr>
                <w:rFonts w:ascii="宋体" w:hAnsi="宋体"/>
                <w:sz w:val="21"/>
              </w:rPr>
            </w:pPr>
            <w:r>
              <w:rPr>
                <w:rFonts w:hint="eastAsia" w:ascii="宋体" w:hAnsi="宋体"/>
                <w:sz w:val="21"/>
              </w:rPr>
              <w:t>制动器型式、制动性能</w:t>
            </w:r>
          </w:p>
        </w:tc>
        <w:tc>
          <w:tcPr>
            <w:tcW w:w="966" w:type="dxa"/>
            <w:vAlign w:val="center"/>
          </w:tcPr>
          <w:p w14:paraId="678EFBD6">
            <w:pPr>
              <w:ind w:firstLine="0" w:firstLineChars="0"/>
              <w:jc w:val="center"/>
              <w:rPr>
                <w:rFonts w:ascii="宋体" w:hAnsi="宋体"/>
                <w:sz w:val="21"/>
              </w:rPr>
            </w:pPr>
          </w:p>
        </w:tc>
        <w:tc>
          <w:tcPr>
            <w:tcW w:w="921" w:type="dxa"/>
            <w:vAlign w:val="center"/>
          </w:tcPr>
          <w:p w14:paraId="73603601">
            <w:pPr>
              <w:ind w:firstLine="0" w:firstLineChars="0"/>
              <w:jc w:val="center"/>
              <w:rPr>
                <w:rFonts w:ascii="宋体" w:hAnsi="宋体"/>
                <w:sz w:val="21"/>
              </w:rPr>
            </w:pPr>
          </w:p>
        </w:tc>
      </w:tr>
      <w:tr w14:paraId="3186BE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46BFD0D8">
            <w:pPr>
              <w:ind w:firstLine="0" w:firstLineChars="0"/>
              <w:jc w:val="center"/>
              <w:rPr>
                <w:rFonts w:ascii="宋体" w:hAnsi="宋体"/>
                <w:sz w:val="21"/>
              </w:rPr>
            </w:pPr>
            <w:r>
              <w:rPr>
                <w:rFonts w:hint="eastAsia" w:ascii="宋体" w:hAnsi="宋体"/>
                <w:sz w:val="21"/>
              </w:rPr>
              <w:t>31</w:t>
            </w:r>
          </w:p>
        </w:tc>
        <w:tc>
          <w:tcPr>
            <w:tcW w:w="607" w:type="dxa"/>
            <w:vMerge w:val="continue"/>
            <w:vAlign w:val="center"/>
          </w:tcPr>
          <w:p w14:paraId="47BBD2B9">
            <w:pPr>
              <w:ind w:firstLine="0" w:firstLineChars="0"/>
              <w:jc w:val="center"/>
              <w:rPr>
                <w:rFonts w:ascii="宋体" w:hAnsi="宋体"/>
                <w:sz w:val="21"/>
              </w:rPr>
            </w:pPr>
          </w:p>
        </w:tc>
        <w:tc>
          <w:tcPr>
            <w:tcW w:w="869" w:type="dxa"/>
            <w:gridSpan w:val="4"/>
            <w:vMerge w:val="continue"/>
            <w:vAlign w:val="center"/>
          </w:tcPr>
          <w:p w14:paraId="0B8FDE66">
            <w:pPr>
              <w:ind w:firstLine="0" w:firstLineChars="0"/>
              <w:rPr>
                <w:rFonts w:ascii="宋体" w:hAnsi="宋体"/>
                <w:sz w:val="21"/>
              </w:rPr>
            </w:pPr>
          </w:p>
        </w:tc>
        <w:tc>
          <w:tcPr>
            <w:tcW w:w="4534" w:type="dxa"/>
            <w:gridSpan w:val="2"/>
            <w:vAlign w:val="center"/>
          </w:tcPr>
          <w:p w14:paraId="2953A4B4">
            <w:pPr>
              <w:ind w:firstLine="0" w:firstLineChars="0"/>
              <w:rPr>
                <w:rFonts w:ascii="宋体" w:hAnsi="宋体"/>
                <w:sz w:val="21"/>
              </w:rPr>
            </w:pPr>
            <w:r>
              <w:rPr>
                <w:rFonts w:hint="eastAsia" w:ascii="宋体" w:hAnsi="宋体"/>
                <w:sz w:val="21"/>
              </w:rPr>
              <w:t>制动器推动器漏油现象</w:t>
            </w:r>
          </w:p>
        </w:tc>
        <w:tc>
          <w:tcPr>
            <w:tcW w:w="966" w:type="dxa"/>
            <w:vAlign w:val="center"/>
          </w:tcPr>
          <w:p w14:paraId="08E26955">
            <w:pPr>
              <w:ind w:firstLine="0" w:firstLineChars="0"/>
              <w:jc w:val="center"/>
              <w:rPr>
                <w:rFonts w:ascii="宋体" w:hAnsi="宋体"/>
                <w:sz w:val="21"/>
              </w:rPr>
            </w:pPr>
          </w:p>
        </w:tc>
        <w:tc>
          <w:tcPr>
            <w:tcW w:w="921" w:type="dxa"/>
            <w:vAlign w:val="center"/>
          </w:tcPr>
          <w:p w14:paraId="70EF907B">
            <w:pPr>
              <w:ind w:firstLine="0" w:firstLineChars="0"/>
              <w:jc w:val="center"/>
              <w:rPr>
                <w:rFonts w:ascii="宋体" w:hAnsi="宋体"/>
                <w:sz w:val="21"/>
              </w:rPr>
            </w:pPr>
          </w:p>
        </w:tc>
      </w:tr>
      <w:tr w14:paraId="57DDE1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19391D82">
            <w:pPr>
              <w:ind w:firstLine="0" w:firstLineChars="0"/>
              <w:jc w:val="center"/>
              <w:rPr>
                <w:rFonts w:ascii="宋体" w:hAnsi="宋体"/>
                <w:sz w:val="21"/>
              </w:rPr>
            </w:pPr>
            <w:r>
              <w:rPr>
                <w:rFonts w:hint="eastAsia" w:ascii="宋体" w:hAnsi="宋体"/>
                <w:sz w:val="21"/>
              </w:rPr>
              <w:t>32</w:t>
            </w:r>
          </w:p>
        </w:tc>
        <w:tc>
          <w:tcPr>
            <w:tcW w:w="607" w:type="dxa"/>
            <w:vMerge w:val="continue"/>
            <w:vAlign w:val="center"/>
          </w:tcPr>
          <w:p w14:paraId="3F2DC112">
            <w:pPr>
              <w:ind w:firstLine="0" w:firstLineChars="0"/>
              <w:jc w:val="center"/>
              <w:rPr>
                <w:rFonts w:ascii="宋体" w:hAnsi="宋体"/>
                <w:sz w:val="21"/>
              </w:rPr>
            </w:pPr>
          </w:p>
        </w:tc>
        <w:tc>
          <w:tcPr>
            <w:tcW w:w="869" w:type="dxa"/>
            <w:gridSpan w:val="4"/>
            <w:vMerge w:val="continue"/>
            <w:vAlign w:val="center"/>
          </w:tcPr>
          <w:p w14:paraId="595495E5">
            <w:pPr>
              <w:ind w:firstLine="0" w:firstLineChars="0"/>
              <w:rPr>
                <w:rFonts w:ascii="宋体" w:hAnsi="宋体"/>
                <w:sz w:val="21"/>
              </w:rPr>
            </w:pPr>
          </w:p>
        </w:tc>
        <w:tc>
          <w:tcPr>
            <w:tcW w:w="4534" w:type="dxa"/>
            <w:gridSpan w:val="2"/>
            <w:vAlign w:val="center"/>
          </w:tcPr>
          <w:p w14:paraId="1D07618A">
            <w:pPr>
              <w:ind w:firstLine="0" w:firstLineChars="0"/>
              <w:rPr>
                <w:rFonts w:ascii="宋体" w:hAnsi="宋体"/>
                <w:sz w:val="21"/>
              </w:rPr>
            </w:pPr>
            <w:r>
              <w:rPr>
                <w:rFonts w:hint="eastAsia" w:ascii="宋体" w:hAnsi="宋体"/>
                <w:sz w:val="21"/>
              </w:rPr>
              <w:t>制动轮与摩擦片摩擦、缺陷和油污现象</w:t>
            </w:r>
          </w:p>
        </w:tc>
        <w:tc>
          <w:tcPr>
            <w:tcW w:w="966" w:type="dxa"/>
            <w:vAlign w:val="center"/>
          </w:tcPr>
          <w:p w14:paraId="3F359B76">
            <w:pPr>
              <w:ind w:firstLine="0" w:firstLineChars="0"/>
              <w:jc w:val="center"/>
              <w:rPr>
                <w:rFonts w:ascii="宋体" w:hAnsi="宋体"/>
                <w:sz w:val="21"/>
              </w:rPr>
            </w:pPr>
          </w:p>
        </w:tc>
        <w:tc>
          <w:tcPr>
            <w:tcW w:w="921" w:type="dxa"/>
            <w:vAlign w:val="center"/>
          </w:tcPr>
          <w:p w14:paraId="0699DDC7">
            <w:pPr>
              <w:ind w:firstLine="0" w:firstLineChars="0"/>
              <w:jc w:val="center"/>
              <w:rPr>
                <w:rFonts w:ascii="宋体" w:hAnsi="宋体"/>
                <w:sz w:val="21"/>
              </w:rPr>
            </w:pPr>
          </w:p>
        </w:tc>
      </w:tr>
      <w:tr w14:paraId="0B0B02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76320C21">
            <w:pPr>
              <w:ind w:firstLine="0" w:firstLineChars="0"/>
              <w:jc w:val="center"/>
              <w:rPr>
                <w:rFonts w:ascii="宋体" w:hAnsi="宋体"/>
                <w:sz w:val="21"/>
              </w:rPr>
            </w:pPr>
            <w:r>
              <w:rPr>
                <w:rFonts w:hint="eastAsia" w:ascii="宋体" w:hAnsi="宋体"/>
                <w:sz w:val="21"/>
              </w:rPr>
              <w:t>33</w:t>
            </w:r>
          </w:p>
        </w:tc>
        <w:tc>
          <w:tcPr>
            <w:tcW w:w="607" w:type="dxa"/>
            <w:vMerge w:val="continue"/>
            <w:vAlign w:val="center"/>
          </w:tcPr>
          <w:p w14:paraId="79083A8E">
            <w:pPr>
              <w:ind w:firstLine="0" w:firstLineChars="0"/>
              <w:jc w:val="center"/>
              <w:rPr>
                <w:rFonts w:ascii="宋体" w:hAnsi="宋体"/>
                <w:sz w:val="21"/>
              </w:rPr>
            </w:pPr>
          </w:p>
        </w:tc>
        <w:tc>
          <w:tcPr>
            <w:tcW w:w="869" w:type="dxa"/>
            <w:gridSpan w:val="4"/>
            <w:vMerge w:val="continue"/>
            <w:vAlign w:val="center"/>
          </w:tcPr>
          <w:p w14:paraId="4BBB616E">
            <w:pPr>
              <w:ind w:firstLine="0" w:firstLineChars="0"/>
              <w:rPr>
                <w:rFonts w:ascii="宋体" w:hAnsi="宋体"/>
                <w:sz w:val="21"/>
              </w:rPr>
            </w:pPr>
          </w:p>
        </w:tc>
        <w:tc>
          <w:tcPr>
            <w:tcW w:w="4534" w:type="dxa"/>
            <w:gridSpan w:val="2"/>
            <w:vAlign w:val="center"/>
          </w:tcPr>
          <w:p w14:paraId="6E959EF0">
            <w:pPr>
              <w:ind w:firstLine="0" w:firstLineChars="0"/>
              <w:rPr>
                <w:rFonts w:ascii="宋体" w:hAnsi="宋体"/>
                <w:sz w:val="21"/>
              </w:rPr>
            </w:pPr>
            <w:r>
              <w:rPr>
                <w:rFonts w:hint="eastAsia" w:ascii="宋体" w:hAnsi="宋体"/>
                <w:sz w:val="21"/>
              </w:rPr>
              <w:t>制动器调整</w:t>
            </w:r>
          </w:p>
        </w:tc>
        <w:tc>
          <w:tcPr>
            <w:tcW w:w="966" w:type="dxa"/>
            <w:vAlign w:val="center"/>
          </w:tcPr>
          <w:p w14:paraId="7CFF3F31">
            <w:pPr>
              <w:ind w:firstLine="0" w:firstLineChars="0"/>
              <w:jc w:val="center"/>
              <w:rPr>
                <w:rFonts w:ascii="宋体" w:hAnsi="宋体"/>
                <w:sz w:val="21"/>
              </w:rPr>
            </w:pPr>
          </w:p>
        </w:tc>
        <w:tc>
          <w:tcPr>
            <w:tcW w:w="921" w:type="dxa"/>
            <w:vAlign w:val="center"/>
          </w:tcPr>
          <w:p w14:paraId="67282B1E">
            <w:pPr>
              <w:ind w:firstLine="0" w:firstLineChars="0"/>
              <w:jc w:val="center"/>
              <w:rPr>
                <w:rFonts w:ascii="宋体" w:hAnsi="宋体"/>
                <w:sz w:val="21"/>
              </w:rPr>
            </w:pPr>
          </w:p>
        </w:tc>
      </w:tr>
      <w:tr w14:paraId="009B17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714" w:hRule="atLeast"/>
          <w:jc w:val="center"/>
        </w:trPr>
        <w:tc>
          <w:tcPr>
            <w:tcW w:w="534" w:type="dxa"/>
            <w:vAlign w:val="center"/>
          </w:tcPr>
          <w:p w14:paraId="406CCCB6">
            <w:pPr>
              <w:ind w:firstLine="0" w:firstLineChars="0"/>
              <w:jc w:val="center"/>
              <w:rPr>
                <w:rFonts w:ascii="宋体" w:hAnsi="宋体"/>
                <w:sz w:val="21"/>
              </w:rPr>
            </w:pPr>
            <w:r>
              <w:rPr>
                <w:rFonts w:hint="eastAsia" w:ascii="宋体" w:hAnsi="宋体"/>
                <w:sz w:val="21"/>
              </w:rPr>
              <w:t>34</w:t>
            </w:r>
          </w:p>
        </w:tc>
        <w:tc>
          <w:tcPr>
            <w:tcW w:w="607" w:type="dxa"/>
            <w:vMerge w:val="continue"/>
            <w:vAlign w:val="center"/>
          </w:tcPr>
          <w:p w14:paraId="28F62987">
            <w:pPr>
              <w:ind w:firstLine="0" w:firstLineChars="0"/>
              <w:jc w:val="center"/>
              <w:rPr>
                <w:rFonts w:ascii="宋体" w:hAnsi="宋体"/>
                <w:sz w:val="21"/>
              </w:rPr>
            </w:pPr>
          </w:p>
        </w:tc>
        <w:tc>
          <w:tcPr>
            <w:tcW w:w="869" w:type="dxa"/>
            <w:gridSpan w:val="4"/>
            <w:vMerge w:val="continue"/>
            <w:vAlign w:val="center"/>
          </w:tcPr>
          <w:p w14:paraId="06A3D77E">
            <w:pPr>
              <w:ind w:firstLine="0" w:firstLineChars="0"/>
              <w:rPr>
                <w:rFonts w:ascii="宋体" w:hAnsi="宋体"/>
                <w:sz w:val="21"/>
              </w:rPr>
            </w:pPr>
          </w:p>
        </w:tc>
        <w:tc>
          <w:tcPr>
            <w:tcW w:w="4534" w:type="dxa"/>
            <w:gridSpan w:val="2"/>
            <w:vAlign w:val="center"/>
          </w:tcPr>
          <w:p w14:paraId="568EC022">
            <w:pPr>
              <w:ind w:firstLine="0" w:firstLineChars="0"/>
              <w:rPr>
                <w:rFonts w:ascii="宋体" w:hAnsi="宋体"/>
                <w:sz w:val="21"/>
              </w:rPr>
            </w:pPr>
            <w:r>
              <w:rPr>
                <w:rFonts w:hint="eastAsia" w:ascii="宋体" w:hAnsi="宋体"/>
                <w:sz w:val="21"/>
              </w:rPr>
              <w:t>制动轮裂纹、划痕、凹凸不平度</w:t>
            </w:r>
          </w:p>
        </w:tc>
        <w:tc>
          <w:tcPr>
            <w:tcW w:w="966" w:type="dxa"/>
            <w:vAlign w:val="center"/>
          </w:tcPr>
          <w:p w14:paraId="3D6DBD81">
            <w:pPr>
              <w:ind w:firstLine="0" w:firstLineChars="0"/>
              <w:jc w:val="center"/>
              <w:rPr>
                <w:rFonts w:ascii="宋体" w:hAnsi="宋体"/>
                <w:sz w:val="21"/>
              </w:rPr>
            </w:pPr>
          </w:p>
        </w:tc>
        <w:tc>
          <w:tcPr>
            <w:tcW w:w="921" w:type="dxa"/>
            <w:vAlign w:val="center"/>
          </w:tcPr>
          <w:p w14:paraId="360BDFF2">
            <w:pPr>
              <w:ind w:firstLine="0" w:firstLineChars="0"/>
              <w:jc w:val="center"/>
              <w:rPr>
                <w:rFonts w:ascii="宋体" w:hAnsi="宋体"/>
                <w:sz w:val="21"/>
              </w:rPr>
            </w:pPr>
          </w:p>
        </w:tc>
      </w:tr>
      <w:tr w14:paraId="211CC1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1086" w:hRule="atLeast"/>
          <w:jc w:val="center"/>
        </w:trPr>
        <w:tc>
          <w:tcPr>
            <w:tcW w:w="534" w:type="dxa"/>
            <w:vAlign w:val="center"/>
          </w:tcPr>
          <w:p w14:paraId="58EE4D2C">
            <w:pPr>
              <w:ind w:firstLine="0" w:firstLineChars="0"/>
              <w:jc w:val="center"/>
              <w:rPr>
                <w:rFonts w:ascii="宋体" w:hAnsi="宋体"/>
                <w:sz w:val="21"/>
              </w:rPr>
            </w:pPr>
            <w:r>
              <w:rPr>
                <w:rFonts w:hint="eastAsia" w:ascii="宋体" w:hAnsi="宋体"/>
                <w:sz w:val="21"/>
              </w:rPr>
              <w:t>35</w:t>
            </w:r>
          </w:p>
        </w:tc>
        <w:tc>
          <w:tcPr>
            <w:tcW w:w="607" w:type="dxa"/>
            <w:vMerge w:val="continue"/>
            <w:vAlign w:val="center"/>
          </w:tcPr>
          <w:p w14:paraId="4913886C">
            <w:pPr>
              <w:ind w:firstLine="0" w:firstLineChars="0"/>
              <w:jc w:val="center"/>
              <w:rPr>
                <w:rFonts w:ascii="宋体" w:hAnsi="宋体"/>
                <w:sz w:val="21"/>
              </w:rPr>
            </w:pPr>
          </w:p>
        </w:tc>
        <w:tc>
          <w:tcPr>
            <w:tcW w:w="869" w:type="dxa"/>
            <w:gridSpan w:val="4"/>
            <w:vMerge w:val="restart"/>
            <w:vAlign w:val="center"/>
          </w:tcPr>
          <w:p w14:paraId="0D656AB5">
            <w:pPr>
              <w:ind w:firstLine="0" w:firstLineChars="0"/>
              <w:rPr>
                <w:rFonts w:ascii="宋体" w:hAnsi="宋体"/>
                <w:sz w:val="21"/>
              </w:rPr>
            </w:pPr>
            <w:r>
              <w:rPr>
                <w:rFonts w:hint="eastAsia" w:ascii="宋体" w:hAnsi="宋体"/>
                <w:sz w:val="21"/>
              </w:rPr>
              <w:t xml:space="preserve"> 起重量限制器</w:t>
            </w:r>
          </w:p>
        </w:tc>
        <w:tc>
          <w:tcPr>
            <w:tcW w:w="4534" w:type="dxa"/>
            <w:gridSpan w:val="2"/>
            <w:vAlign w:val="center"/>
          </w:tcPr>
          <w:p w14:paraId="06BB6292">
            <w:pPr>
              <w:ind w:firstLine="0" w:firstLineChars="0"/>
              <w:rPr>
                <w:rFonts w:ascii="宋体" w:hAnsi="宋体"/>
                <w:sz w:val="21"/>
              </w:rPr>
            </w:pPr>
            <w:r>
              <w:rPr>
                <w:rFonts w:hint="eastAsia" w:ascii="宋体" w:hAnsi="宋体"/>
                <w:sz w:val="21"/>
              </w:rPr>
              <w:t>起重量限制器设置</w:t>
            </w:r>
          </w:p>
        </w:tc>
        <w:tc>
          <w:tcPr>
            <w:tcW w:w="966" w:type="dxa"/>
            <w:vAlign w:val="center"/>
          </w:tcPr>
          <w:p w14:paraId="5DC13315">
            <w:pPr>
              <w:ind w:firstLine="0" w:firstLineChars="0"/>
              <w:jc w:val="center"/>
              <w:rPr>
                <w:rFonts w:ascii="宋体" w:hAnsi="宋体"/>
                <w:sz w:val="21"/>
              </w:rPr>
            </w:pPr>
          </w:p>
        </w:tc>
        <w:tc>
          <w:tcPr>
            <w:tcW w:w="921" w:type="dxa"/>
            <w:vAlign w:val="center"/>
          </w:tcPr>
          <w:p w14:paraId="57D1A7BC">
            <w:pPr>
              <w:ind w:firstLine="0" w:firstLineChars="0"/>
              <w:jc w:val="center"/>
              <w:rPr>
                <w:rFonts w:ascii="宋体" w:hAnsi="宋体"/>
                <w:sz w:val="21"/>
              </w:rPr>
            </w:pPr>
          </w:p>
        </w:tc>
      </w:tr>
      <w:tr w14:paraId="7E6E34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6745608C">
            <w:pPr>
              <w:ind w:firstLine="0" w:firstLineChars="0"/>
              <w:jc w:val="center"/>
              <w:rPr>
                <w:rFonts w:ascii="宋体" w:hAnsi="宋体"/>
                <w:sz w:val="21"/>
              </w:rPr>
            </w:pPr>
            <w:r>
              <w:rPr>
                <w:rFonts w:hint="eastAsia" w:ascii="宋体" w:hAnsi="宋体"/>
                <w:sz w:val="21"/>
              </w:rPr>
              <w:t>36</w:t>
            </w:r>
          </w:p>
        </w:tc>
        <w:tc>
          <w:tcPr>
            <w:tcW w:w="607" w:type="dxa"/>
            <w:vMerge w:val="continue"/>
            <w:vAlign w:val="center"/>
          </w:tcPr>
          <w:p w14:paraId="6B95B5F8">
            <w:pPr>
              <w:ind w:firstLine="0" w:firstLineChars="0"/>
              <w:jc w:val="center"/>
              <w:rPr>
                <w:rFonts w:ascii="宋体" w:hAnsi="宋体"/>
                <w:sz w:val="21"/>
              </w:rPr>
            </w:pPr>
          </w:p>
        </w:tc>
        <w:tc>
          <w:tcPr>
            <w:tcW w:w="869" w:type="dxa"/>
            <w:gridSpan w:val="4"/>
            <w:vMerge w:val="continue"/>
            <w:vAlign w:val="center"/>
          </w:tcPr>
          <w:p w14:paraId="6972E680">
            <w:pPr>
              <w:ind w:firstLine="0" w:firstLineChars="0"/>
              <w:rPr>
                <w:rFonts w:ascii="宋体" w:hAnsi="宋体"/>
                <w:sz w:val="21"/>
              </w:rPr>
            </w:pPr>
          </w:p>
        </w:tc>
        <w:tc>
          <w:tcPr>
            <w:tcW w:w="4534" w:type="dxa"/>
            <w:gridSpan w:val="2"/>
            <w:vAlign w:val="center"/>
          </w:tcPr>
          <w:p w14:paraId="78019CA1">
            <w:pPr>
              <w:ind w:firstLine="0" w:firstLineChars="0"/>
              <w:rPr>
                <w:rFonts w:ascii="宋体" w:hAnsi="宋体"/>
                <w:sz w:val="21"/>
              </w:rPr>
            </w:pPr>
            <w:r>
              <w:rPr>
                <w:rFonts w:hint="eastAsia" w:ascii="宋体" w:hAnsi="宋体"/>
                <w:sz w:val="21"/>
              </w:rPr>
              <w:t>试验</w:t>
            </w:r>
          </w:p>
        </w:tc>
        <w:tc>
          <w:tcPr>
            <w:tcW w:w="966" w:type="dxa"/>
            <w:vAlign w:val="center"/>
          </w:tcPr>
          <w:p w14:paraId="70E2CE69">
            <w:pPr>
              <w:ind w:firstLine="0" w:firstLineChars="0"/>
              <w:jc w:val="center"/>
              <w:rPr>
                <w:rFonts w:ascii="宋体" w:hAnsi="宋体"/>
                <w:sz w:val="21"/>
              </w:rPr>
            </w:pPr>
          </w:p>
        </w:tc>
        <w:tc>
          <w:tcPr>
            <w:tcW w:w="921" w:type="dxa"/>
            <w:vAlign w:val="center"/>
          </w:tcPr>
          <w:p w14:paraId="48159126">
            <w:pPr>
              <w:ind w:firstLine="0" w:firstLineChars="0"/>
              <w:jc w:val="center"/>
              <w:rPr>
                <w:rFonts w:ascii="宋体" w:hAnsi="宋体"/>
                <w:sz w:val="21"/>
              </w:rPr>
            </w:pPr>
          </w:p>
        </w:tc>
      </w:tr>
      <w:tr w14:paraId="30BA45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64D36B5F">
            <w:pPr>
              <w:ind w:firstLine="0" w:firstLineChars="0"/>
              <w:jc w:val="center"/>
              <w:rPr>
                <w:rFonts w:ascii="宋体" w:hAnsi="宋体"/>
                <w:sz w:val="21"/>
              </w:rPr>
            </w:pPr>
            <w:r>
              <w:rPr>
                <w:rFonts w:hint="eastAsia" w:ascii="宋体" w:hAnsi="宋体"/>
                <w:sz w:val="21"/>
              </w:rPr>
              <w:t>37</w:t>
            </w:r>
          </w:p>
        </w:tc>
        <w:tc>
          <w:tcPr>
            <w:tcW w:w="607" w:type="dxa"/>
            <w:vMerge w:val="continue"/>
            <w:vAlign w:val="center"/>
          </w:tcPr>
          <w:p w14:paraId="1DCB0623">
            <w:pPr>
              <w:ind w:firstLine="0" w:firstLineChars="0"/>
              <w:jc w:val="center"/>
              <w:rPr>
                <w:rFonts w:ascii="宋体" w:hAnsi="宋体"/>
                <w:sz w:val="21"/>
              </w:rPr>
            </w:pPr>
          </w:p>
        </w:tc>
        <w:tc>
          <w:tcPr>
            <w:tcW w:w="5403" w:type="dxa"/>
            <w:gridSpan w:val="6"/>
            <w:vAlign w:val="center"/>
          </w:tcPr>
          <w:p w14:paraId="10B73267">
            <w:pPr>
              <w:ind w:firstLine="0" w:firstLineChars="0"/>
              <w:rPr>
                <w:rFonts w:ascii="宋体" w:hAnsi="宋体"/>
                <w:sz w:val="21"/>
              </w:rPr>
            </w:pPr>
            <w:r>
              <w:rPr>
                <w:rFonts w:hint="eastAsia" w:ascii="宋体" w:hAnsi="宋体"/>
                <w:sz w:val="21"/>
              </w:rPr>
              <w:t>起升高度（下降深度）限位器</w:t>
            </w:r>
          </w:p>
        </w:tc>
        <w:tc>
          <w:tcPr>
            <w:tcW w:w="966" w:type="dxa"/>
            <w:vAlign w:val="center"/>
          </w:tcPr>
          <w:p w14:paraId="5F154A0B">
            <w:pPr>
              <w:ind w:firstLine="0" w:firstLineChars="0"/>
              <w:jc w:val="center"/>
              <w:rPr>
                <w:rFonts w:ascii="宋体" w:hAnsi="宋体"/>
                <w:sz w:val="21"/>
              </w:rPr>
            </w:pPr>
          </w:p>
        </w:tc>
        <w:tc>
          <w:tcPr>
            <w:tcW w:w="921" w:type="dxa"/>
            <w:vAlign w:val="center"/>
          </w:tcPr>
          <w:p w14:paraId="4EC683C7">
            <w:pPr>
              <w:ind w:firstLine="0" w:firstLineChars="0"/>
              <w:jc w:val="center"/>
              <w:rPr>
                <w:rFonts w:ascii="宋体" w:hAnsi="宋体"/>
                <w:sz w:val="21"/>
              </w:rPr>
            </w:pPr>
          </w:p>
        </w:tc>
      </w:tr>
      <w:tr w14:paraId="0F708C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7515BC5D">
            <w:pPr>
              <w:ind w:firstLine="0" w:firstLineChars="0"/>
              <w:jc w:val="center"/>
              <w:rPr>
                <w:rFonts w:ascii="宋体" w:hAnsi="宋体"/>
                <w:sz w:val="21"/>
              </w:rPr>
            </w:pPr>
            <w:r>
              <w:rPr>
                <w:rFonts w:hint="eastAsia" w:ascii="宋体" w:hAnsi="宋体"/>
                <w:sz w:val="21"/>
              </w:rPr>
              <w:t>38</w:t>
            </w:r>
          </w:p>
        </w:tc>
        <w:tc>
          <w:tcPr>
            <w:tcW w:w="607" w:type="dxa"/>
            <w:vMerge w:val="continue"/>
            <w:vAlign w:val="center"/>
          </w:tcPr>
          <w:p w14:paraId="5DE840A2">
            <w:pPr>
              <w:ind w:firstLine="0" w:firstLineChars="0"/>
              <w:jc w:val="center"/>
              <w:rPr>
                <w:rFonts w:ascii="宋体" w:hAnsi="宋体"/>
                <w:sz w:val="21"/>
              </w:rPr>
            </w:pPr>
          </w:p>
        </w:tc>
        <w:tc>
          <w:tcPr>
            <w:tcW w:w="5403" w:type="dxa"/>
            <w:gridSpan w:val="6"/>
            <w:vAlign w:val="center"/>
          </w:tcPr>
          <w:p w14:paraId="320462A4">
            <w:pPr>
              <w:ind w:firstLine="0" w:firstLineChars="0"/>
              <w:rPr>
                <w:rFonts w:ascii="宋体" w:hAnsi="宋体"/>
                <w:sz w:val="21"/>
              </w:rPr>
            </w:pPr>
            <w:r>
              <w:rPr>
                <w:rFonts w:hint="eastAsia" w:ascii="宋体" w:hAnsi="宋体"/>
                <w:sz w:val="21"/>
              </w:rPr>
              <w:t>力矩限位器</w:t>
            </w:r>
          </w:p>
        </w:tc>
        <w:tc>
          <w:tcPr>
            <w:tcW w:w="966" w:type="dxa"/>
            <w:vAlign w:val="center"/>
          </w:tcPr>
          <w:p w14:paraId="6D48F49C">
            <w:pPr>
              <w:ind w:firstLine="0" w:firstLineChars="0"/>
              <w:jc w:val="center"/>
              <w:rPr>
                <w:rFonts w:ascii="宋体" w:hAnsi="宋体"/>
                <w:sz w:val="21"/>
              </w:rPr>
            </w:pPr>
          </w:p>
        </w:tc>
        <w:tc>
          <w:tcPr>
            <w:tcW w:w="921" w:type="dxa"/>
            <w:vAlign w:val="center"/>
          </w:tcPr>
          <w:p w14:paraId="22DCE601">
            <w:pPr>
              <w:ind w:firstLine="0" w:firstLineChars="0"/>
              <w:jc w:val="center"/>
              <w:rPr>
                <w:rFonts w:ascii="宋体" w:hAnsi="宋体"/>
                <w:sz w:val="21"/>
              </w:rPr>
            </w:pPr>
          </w:p>
        </w:tc>
      </w:tr>
      <w:tr w14:paraId="6BB977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6BC735AA">
            <w:pPr>
              <w:ind w:firstLine="0" w:firstLineChars="0"/>
              <w:jc w:val="center"/>
              <w:rPr>
                <w:rFonts w:ascii="宋体" w:hAnsi="宋体"/>
                <w:sz w:val="21"/>
              </w:rPr>
            </w:pPr>
            <w:r>
              <w:rPr>
                <w:rFonts w:hint="eastAsia" w:ascii="宋体" w:hAnsi="宋体"/>
                <w:sz w:val="21"/>
              </w:rPr>
              <w:t>39</w:t>
            </w:r>
          </w:p>
        </w:tc>
        <w:tc>
          <w:tcPr>
            <w:tcW w:w="607" w:type="dxa"/>
            <w:vMerge w:val="continue"/>
            <w:vAlign w:val="center"/>
          </w:tcPr>
          <w:p w14:paraId="5462AA53">
            <w:pPr>
              <w:ind w:firstLine="0" w:firstLineChars="0"/>
              <w:jc w:val="center"/>
              <w:rPr>
                <w:rFonts w:ascii="宋体" w:hAnsi="宋体"/>
                <w:sz w:val="21"/>
              </w:rPr>
            </w:pPr>
          </w:p>
        </w:tc>
        <w:tc>
          <w:tcPr>
            <w:tcW w:w="5403" w:type="dxa"/>
            <w:gridSpan w:val="6"/>
            <w:vAlign w:val="center"/>
          </w:tcPr>
          <w:p w14:paraId="682D1DD2">
            <w:pPr>
              <w:ind w:firstLine="0" w:firstLineChars="0"/>
              <w:rPr>
                <w:rFonts w:ascii="宋体" w:hAnsi="宋体"/>
                <w:sz w:val="21"/>
              </w:rPr>
            </w:pPr>
            <w:r>
              <w:rPr>
                <w:rFonts w:hint="eastAsia" w:ascii="宋体" w:hAnsi="宋体"/>
                <w:sz w:val="21"/>
              </w:rPr>
              <w:t xml:space="preserve">回转限位器 </w:t>
            </w:r>
          </w:p>
        </w:tc>
        <w:tc>
          <w:tcPr>
            <w:tcW w:w="966" w:type="dxa"/>
            <w:vAlign w:val="center"/>
          </w:tcPr>
          <w:p w14:paraId="25DE022B">
            <w:pPr>
              <w:ind w:firstLine="0" w:firstLineChars="0"/>
              <w:jc w:val="center"/>
              <w:rPr>
                <w:rFonts w:ascii="宋体" w:hAnsi="宋体"/>
                <w:sz w:val="21"/>
              </w:rPr>
            </w:pPr>
          </w:p>
        </w:tc>
        <w:tc>
          <w:tcPr>
            <w:tcW w:w="921" w:type="dxa"/>
            <w:vAlign w:val="center"/>
          </w:tcPr>
          <w:p w14:paraId="5105EF48">
            <w:pPr>
              <w:ind w:firstLine="0" w:firstLineChars="0"/>
              <w:jc w:val="center"/>
              <w:rPr>
                <w:rFonts w:ascii="宋体" w:hAnsi="宋体"/>
                <w:sz w:val="21"/>
              </w:rPr>
            </w:pPr>
          </w:p>
        </w:tc>
      </w:tr>
      <w:tr w14:paraId="389F07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453684E3">
            <w:pPr>
              <w:ind w:firstLine="0" w:firstLineChars="0"/>
              <w:jc w:val="center"/>
              <w:rPr>
                <w:rFonts w:ascii="宋体" w:hAnsi="宋体"/>
                <w:sz w:val="21"/>
              </w:rPr>
            </w:pPr>
            <w:r>
              <w:rPr>
                <w:rFonts w:hint="eastAsia" w:ascii="宋体" w:hAnsi="宋体"/>
                <w:sz w:val="21"/>
              </w:rPr>
              <w:t>40</w:t>
            </w:r>
          </w:p>
        </w:tc>
        <w:tc>
          <w:tcPr>
            <w:tcW w:w="607" w:type="dxa"/>
            <w:vMerge w:val="continue"/>
            <w:vAlign w:val="center"/>
          </w:tcPr>
          <w:p w14:paraId="5794CAF6">
            <w:pPr>
              <w:ind w:firstLine="0" w:firstLineChars="0"/>
              <w:jc w:val="center"/>
              <w:rPr>
                <w:rFonts w:ascii="宋体" w:hAnsi="宋体"/>
                <w:sz w:val="21"/>
              </w:rPr>
            </w:pPr>
          </w:p>
        </w:tc>
        <w:tc>
          <w:tcPr>
            <w:tcW w:w="5403" w:type="dxa"/>
            <w:gridSpan w:val="6"/>
            <w:vAlign w:val="center"/>
          </w:tcPr>
          <w:p w14:paraId="023B18B0">
            <w:pPr>
              <w:ind w:firstLine="0" w:firstLineChars="0"/>
              <w:rPr>
                <w:rFonts w:ascii="宋体" w:hAnsi="宋体"/>
                <w:sz w:val="21"/>
              </w:rPr>
            </w:pPr>
            <w:r>
              <w:rPr>
                <w:rFonts w:hint="eastAsia" w:ascii="宋体" w:hAnsi="宋体"/>
                <w:sz w:val="21"/>
              </w:rPr>
              <w:t>小车变幅限位器</w:t>
            </w:r>
          </w:p>
        </w:tc>
        <w:tc>
          <w:tcPr>
            <w:tcW w:w="966" w:type="dxa"/>
            <w:vAlign w:val="center"/>
          </w:tcPr>
          <w:p w14:paraId="302EB8D5">
            <w:pPr>
              <w:ind w:firstLine="0" w:firstLineChars="0"/>
              <w:jc w:val="center"/>
              <w:rPr>
                <w:rFonts w:ascii="宋体" w:hAnsi="宋体"/>
                <w:sz w:val="21"/>
              </w:rPr>
            </w:pPr>
          </w:p>
        </w:tc>
        <w:tc>
          <w:tcPr>
            <w:tcW w:w="921" w:type="dxa"/>
            <w:vAlign w:val="center"/>
          </w:tcPr>
          <w:p w14:paraId="0B759342">
            <w:pPr>
              <w:ind w:firstLine="0" w:firstLineChars="0"/>
              <w:jc w:val="center"/>
              <w:rPr>
                <w:rFonts w:ascii="宋体" w:hAnsi="宋体"/>
                <w:sz w:val="21"/>
              </w:rPr>
            </w:pPr>
          </w:p>
        </w:tc>
      </w:tr>
      <w:tr w14:paraId="44D7F3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47E4CAAE">
            <w:pPr>
              <w:ind w:firstLine="0" w:firstLineChars="0"/>
              <w:jc w:val="center"/>
              <w:rPr>
                <w:rFonts w:ascii="宋体" w:hAnsi="宋体"/>
                <w:sz w:val="21"/>
              </w:rPr>
            </w:pPr>
            <w:r>
              <w:rPr>
                <w:rFonts w:hint="eastAsia" w:ascii="宋体" w:hAnsi="宋体"/>
                <w:sz w:val="21"/>
              </w:rPr>
              <w:t>41</w:t>
            </w:r>
          </w:p>
        </w:tc>
        <w:tc>
          <w:tcPr>
            <w:tcW w:w="607" w:type="dxa"/>
            <w:vMerge w:val="continue"/>
            <w:vAlign w:val="center"/>
          </w:tcPr>
          <w:p w14:paraId="2F405F29">
            <w:pPr>
              <w:ind w:firstLine="0" w:firstLineChars="0"/>
              <w:jc w:val="center"/>
              <w:rPr>
                <w:rFonts w:ascii="宋体" w:hAnsi="宋体"/>
                <w:sz w:val="21"/>
              </w:rPr>
            </w:pPr>
          </w:p>
        </w:tc>
        <w:tc>
          <w:tcPr>
            <w:tcW w:w="5403" w:type="dxa"/>
            <w:gridSpan w:val="6"/>
            <w:vAlign w:val="center"/>
          </w:tcPr>
          <w:p w14:paraId="538F7B97">
            <w:pPr>
              <w:ind w:firstLine="0" w:firstLineChars="0"/>
              <w:rPr>
                <w:rFonts w:ascii="宋体" w:hAnsi="宋体"/>
                <w:sz w:val="21"/>
              </w:rPr>
            </w:pPr>
            <w:r>
              <w:rPr>
                <w:rFonts w:hint="eastAsia" w:ascii="宋体" w:hAnsi="宋体"/>
                <w:sz w:val="21"/>
              </w:rPr>
              <w:t>应急断电开关</w:t>
            </w:r>
          </w:p>
        </w:tc>
        <w:tc>
          <w:tcPr>
            <w:tcW w:w="966" w:type="dxa"/>
            <w:vAlign w:val="center"/>
          </w:tcPr>
          <w:p w14:paraId="42852593">
            <w:pPr>
              <w:ind w:firstLine="0" w:firstLineChars="0"/>
              <w:jc w:val="center"/>
              <w:rPr>
                <w:rFonts w:ascii="宋体" w:hAnsi="宋体"/>
                <w:sz w:val="21"/>
              </w:rPr>
            </w:pPr>
          </w:p>
        </w:tc>
        <w:tc>
          <w:tcPr>
            <w:tcW w:w="921" w:type="dxa"/>
            <w:vAlign w:val="center"/>
          </w:tcPr>
          <w:p w14:paraId="08FF4A74">
            <w:pPr>
              <w:ind w:firstLine="0" w:firstLineChars="0"/>
              <w:jc w:val="center"/>
              <w:rPr>
                <w:rFonts w:ascii="宋体" w:hAnsi="宋体"/>
                <w:sz w:val="21"/>
              </w:rPr>
            </w:pPr>
          </w:p>
        </w:tc>
      </w:tr>
      <w:tr w14:paraId="6FE4CE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2BAAE0ED">
            <w:pPr>
              <w:ind w:firstLine="0" w:firstLineChars="0"/>
              <w:jc w:val="center"/>
              <w:rPr>
                <w:rFonts w:ascii="宋体" w:hAnsi="宋体"/>
                <w:sz w:val="21"/>
              </w:rPr>
            </w:pPr>
            <w:r>
              <w:rPr>
                <w:rFonts w:hint="eastAsia" w:ascii="宋体" w:hAnsi="宋体"/>
                <w:sz w:val="21"/>
              </w:rPr>
              <w:t>42</w:t>
            </w:r>
          </w:p>
        </w:tc>
        <w:tc>
          <w:tcPr>
            <w:tcW w:w="607" w:type="dxa"/>
            <w:vMerge w:val="continue"/>
            <w:vAlign w:val="center"/>
          </w:tcPr>
          <w:p w14:paraId="5583B1B9">
            <w:pPr>
              <w:ind w:firstLine="0" w:firstLineChars="0"/>
              <w:jc w:val="center"/>
              <w:rPr>
                <w:rFonts w:ascii="宋体" w:hAnsi="宋体"/>
                <w:sz w:val="21"/>
              </w:rPr>
            </w:pPr>
          </w:p>
        </w:tc>
        <w:tc>
          <w:tcPr>
            <w:tcW w:w="5403" w:type="dxa"/>
            <w:gridSpan w:val="6"/>
            <w:vAlign w:val="center"/>
          </w:tcPr>
          <w:p w14:paraId="3845E6F1">
            <w:pPr>
              <w:ind w:firstLine="0" w:firstLineChars="0"/>
              <w:rPr>
                <w:rFonts w:ascii="宋体" w:hAnsi="宋体"/>
                <w:sz w:val="21"/>
              </w:rPr>
            </w:pPr>
            <w:r>
              <w:rPr>
                <w:rFonts w:hint="eastAsia" w:ascii="宋体" w:hAnsi="宋体"/>
                <w:sz w:val="21"/>
              </w:rPr>
              <w:t>连锁保护装置</w:t>
            </w:r>
          </w:p>
        </w:tc>
        <w:tc>
          <w:tcPr>
            <w:tcW w:w="966" w:type="dxa"/>
            <w:vAlign w:val="center"/>
          </w:tcPr>
          <w:p w14:paraId="6CB97221">
            <w:pPr>
              <w:ind w:firstLine="0" w:firstLineChars="0"/>
              <w:jc w:val="center"/>
              <w:rPr>
                <w:rFonts w:ascii="宋体" w:hAnsi="宋体"/>
                <w:sz w:val="21"/>
              </w:rPr>
            </w:pPr>
          </w:p>
        </w:tc>
        <w:tc>
          <w:tcPr>
            <w:tcW w:w="921" w:type="dxa"/>
            <w:vAlign w:val="center"/>
          </w:tcPr>
          <w:p w14:paraId="215C603D">
            <w:pPr>
              <w:ind w:firstLine="0" w:firstLineChars="0"/>
              <w:jc w:val="center"/>
              <w:rPr>
                <w:rFonts w:ascii="宋体" w:hAnsi="宋体"/>
                <w:sz w:val="21"/>
              </w:rPr>
            </w:pPr>
          </w:p>
        </w:tc>
      </w:tr>
      <w:tr w14:paraId="58DA16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37D55250">
            <w:pPr>
              <w:ind w:firstLine="0" w:firstLineChars="0"/>
              <w:jc w:val="center"/>
              <w:rPr>
                <w:rFonts w:ascii="宋体" w:hAnsi="宋体"/>
                <w:sz w:val="21"/>
              </w:rPr>
            </w:pPr>
            <w:r>
              <w:rPr>
                <w:rFonts w:hint="eastAsia" w:ascii="宋体" w:hAnsi="宋体"/>
                <w:sz w:val="21"/>
              </w:rPr>
              <w:t>43</w:t>
            </w:r>
          </w:p>
        </w:tc>
        <w:tc>
          <w:tcPr>
            <w:tcW w:w="607" w:type="dxa"/>
            <w:vMerge w:val="continue"/>
            <w:vAlign w:val="center"/>
          </w:tcPr>
          <w:p w14:paraId="0DC3A567">
            <w:pPr>
              <w:ind w:firstLine="0" w:firstLineChars="0"/>
              <w:jc w:val="center"/>
              <w:rPr>
                <w:rFonts w:ascii="宋体" w:hAnsi="宋体"/>
                <w:sz w:val="21"/>
              </w:rPr>
            </w:pPr>
          </w:p>
        </w:tc>
        <w:tc>
          <w:tcPr>
            <w:tcW w:w="5403" w:type="dxa"/>
            <w:gridSpan w:val="6"/>
            <w:vAlign w:val="center"/>
          </w:tcPr>
          <w:p w14:paraId="25AD07D5">
            <w:pPr>
              <w:ind w:firstLine="0" w:firstLineChars="0"/>
              <w:rPr>
                <w:rFonts w:ascii="宋体" w:hAnsi="宋体"/>
                <w:sz w:val="21"/>
              </w:rPr>
            </w:pPr>
            <w:r>
              <w:rPr>
                <w:rFonts w:hint="eastAsia" w:ascii="宋体" w:hAnsi="宋体"/>
                <w:sz w:val="21"/>
              </w:rPr>
              <w:t>超速保护装置</w:t>
            </w:r>
          </w:p>
        </w:tc>
        <w:tc>
          <w:tcPr>
            <w:tcW w:w="966" w:type="dxa"/>
            <w:vAlign w:val="center"/>
          </w:tcPr>
          <w:p w14:paraId="7A123EAE">
            <w:pPr>
              <w:ind w:firstLine="0" w:firstLineChars="0"/>
              <w:jc w:val="center"/>
              <w:rPr>
                <w:rFonts w:ascii="宋体" w:hAnsi="宋体"/>
                <w:sz w:val="21"/>
              </w:rPr>
            </w:pPr>
          </w:p>
        </w:tc>
        <w:tc>
          <w:tcPr>
            <w:tcW w:w="921" w:type="dxa"/>
            <w:vAlign w:val="center"/>
          </w:tcPr>
          <w:p w14:paraId="28FBA448">
            <w:pPr>
              <w:ind w:firstLine="0" w:firstLineChars="0"/>
              <w:jc w:val="center"/>
              <w:rPr>
                <w:rFonts w:ascii="宋体" w:hAnsi="宋体"/>
                <w:sz w:val="21"/>
              </w:rPr>
            </w:pPr>
          </w:p>
        </w:tc>
      </w:tr>
      <w:tr w14:paraId="0DCC6A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419B3D3F">
            <w:pPr>
              <w:ind w:firstLine="0" w:firstLineChars="0"/>
              <w:jc w:val="center"/>
              <w:rPr>
                <w:rFonts w:ascii="宋体" w:hAnsi="宋体"/>
                <w:sz w:val="21"/>
              </w:rPr>
            </w:pPr>
            <w:r>
              <w:rPr>
                <w:rFonts w:hint="eastAsia" w:ascii="宋体" w:hAnsi="宋体"/>
                <w:sz w:val="21"/>
              </w:rPr>
              <w:t>44</w:t>
            </w:r>
          </w:p>
        </w:tc>
        <w:tc>
          <w:tcPr>
            <w:tcW w:w="607" w:type="dxa"/>
            <w:vMerge w:val="continue"/>
            <w:vAlign w:val="center"/>
          </w:tcPr>
          <w:p w14:paraId="7B897811">
            <w:pPr>
              <w:ind w:firstLine="0" w:firstLineChars="0"/>
              <w:jc w:val="center"/>
              <w:rPr>
                <w:rFonts w:ascii="宋体" w:hAnsi="宋体"/>
                <w:sz w:val="21"/>
              </w:rPr>
            </w:pPr>
          </w:p>
        </w:tc>
        <w:tc>
          <w:tcPr>
            <w:tcW w:w="5403" w:type="dxa"/>
            <w:gridSpan w:val="6"/>
            <w:vAlign w:val="center"/>
          </w:tcPr>
          <w:p w14:paraId="63D030BD">
            <w:pPr>
              <w:ind w:firstLine="0" w:firstLineChars="0"/>
              <w:rPr>
                <w:rFonts w:ascii="宋体" w:hAnsi="宋体"/>
                <w:sz w:val="21"/>
              </w:rPr>
            </w:pPr>
            <w:r>
              <w:rPr>
                <w:rFonts w:hint="eastAsia" w:ascii="宋体" w:hAnsi="宋体"/>
                <w:sz w:val="21"/>
              </w:rPr>
              <w:t>风速仪</w:t>
            </w:r>
          </w:p>
        </w:tc>
        <w:tc>
          <w:tcPr>
            <w:tcW w:w="966" w:type="dxa"/>
            <w:vAlign w:val="center"/>
          </w:tcPr>
          <w:p w14:paraId="44EAB992">
            <w:pPr>
              <w:ind w:firstLine="0" w:firstLineChars="0"/>
              <w:jc w:val="center"/>
              <w:rPr>
                <w:rFonts w:ascii="宋体" w:hAnsi="宋体"/>
                <w:sz w:val="21"/>
              </w:rPr>
            </w:pPr>
          </w:p>
        </w:tc>
        <w:tc>
          <w:tcPr>
            <w:tcW w:w="921" w:type="dxa"/>
            <w:vAlign w:val="center"/>
          </w:tcPr>
          <w:p w14:paraId="7BDDF9FD">
            <w:pPr>
              <w:ind w:firstLine="0" w:firstLineChars="0"/>
              <w:jc w:val="center"/>
              <w:rPr>
                <w:rFonts w:ascii="宋体" w:hAnsi="宋体"/>
                <w:sz w:val="21"/>
              </w:rPr>
            </w:pPr>
          </w:p>
        </w:tc>
      </w:tr>
      <w:tr w14:paraId="575B7D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69" w:hRule="atLeast"/>
          <w:jc w:val="center"/>
        </w:trPr>
        <w:tc>
          <w:tcPr>
            <w:tcW w:w="534" w:type="dxa"/>
            <w:vAlign w:val="center"/>
          </w:tcPr>
          <w:p w14:paraId="762FD8D8">
            <w:pPr>
              <w:ind w:firstLine="0" w:firstLineChars="0"/>
              <w:jc w:val="center"/>
              <w:rPr>
                <w:rFonts w:ascii="宋体" w:hAnsi="宋体"/>
                <w:sz w:val="21"/>
              </w:rPr>
            </w:pPr>
            <w:r>
              <w:rPr>
                <w:rFonts w:hint="eastAsia" w:ascii="宋体" w:hAnsi="宋体"/>
                <w:sz w:val="21"/>
              </w:rPr>
              <w:t>45</w:t>
            </w:r>
          </w:p>
        </w:tc>
        <w:tc>
          <w:tcPr>
            <w:tcW w:w="607" w:type="dxa"/>
            <w:vMerge w:val="continue"/>
            <w:vAlign w:val="center"/>
          </w:tcPr>
          <w:p w14:paraId="249EDE3E">
            <w:pPr>
              <w:ind w:firstLine="0" w:firstLineChars="0"/>
              <w:jc w:val="center"/>
              <w:rPr>
                <w:rFonts w:ascii="宋体" w:hAnsi="宋体"/>
                <w:sz w:val="21"/>
              </w:rPr>
            </w:pPr>
          </w:p>
        </w:tc>
        <w:tc>
          <w:tcPr>
            <w:tcW w:w="5403" w:type="dxa"/>
            <w:gridSpan w:val="6"/>
            <w:vAlign w:val="center"/>
          </w:tcPr>
          <w:p w14:paraId="7DC0A917">
            <w:pPr>
              <w:ind w:firstLine="0" w:firstLineChars="0"/>
              <w:rPr>
                <w:rFonts w:ascii="宋体" w:hAnsi="宋体"/>
                <w:sz w:val="21"/>
              </w:rPr>
            </w:pPr>
            <w:r>
              <w:rPr>
                <w:rFonts w:hint="eastAsia" w:ascii="宋体" w:hAnsi="宋体"/>
                <w:sz w:val="21"/>
              </w:rPr>
              <w:t>防护罩</w:t>
            </w:r>
          </w:p>
        </w:tc>
        <w:tc>
          <w:tcPr>
            <w:tcW w:w="966" w:type="dxa"/>
            <w:vAlign w:val="center"/>
          </w:tcPr>
          <w:p w14:paraId="6323DCE0">
            <w:pPr>
              <w:ind w:firstLine="0" w:firstLineChars="0"/>
              <w:jc w:val="center"/>
              <w:rPr>
                <w:rFonts w:ascii="宋体" w:hAnsi="宋体"/>
                <w:sz w:val="21"/>
              </w:rPr>
            </w:pPr>
          </w:p>
        </w:tc>
        <w:tc>
          <w:tcPr>
            <w:tcW w:w="921" w:type="dxa"/>
            <w:vAlign w:val="center"/>
          </w:tcPr>
          <w:p w14:paraId="71DD7196">
            <w:pPr>
              <w:ind w:firstLine="0" w:firstLineChars="0"/>
              <w:jc w:val="center"/>
              <w:rPr>
                <w:rFonts w:ascii="宋体" w:hAnsi="宋体"/>
                <w:sz w:val="21"/>
              </w:rPr>
            </w:pPr>
          </w:p>
        </w:tc>
      </w:tr>
      <w:tr w14:paraId="24BBA2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534" w:type="dxa"/>
            <w:vAlign w:val="center"/>
          </w:tcPr>
          <w:p w14:paraId="6BDC3BB8">
            <w:pPr>
              <w:ind w:firstLine="0" w:firstLineChars="0"/>
              <w:jc w:val="center"/>
              <w:rPr>
                <w:rFonts w:ascii="宋体" w:hAnsi="宋体"/>
                <w:sz w:val="21"/>
              </w:rPr>
            </w:pPr>
            <w:r>
              <w:rPr>
                <w:rFonts w:hint="eastAsia" w:ascii="宋体" w:hAnsi="宋体"/>
                <w:sz w:val="21"/>
              </w:rPr>
              <w:t>46</w:t>
            </w:r>
          </w:p>
        </w:tc>
        <w:tc>
          <w:tcPr>
            <w:tcW w:w="1476" w:type="dxa"/>
            <w:gridSpan w:val="5"/>
            <w:vMerge w:val="restart"/>
            <w:vAlign w:val="center"/>
          </w:tcPr>
          <w:p w14:paraId="7AEBEEC9">
            <w:pPr>
              <w:ind w:firstLine="0" w:firstLineChars="0"/>
              <w:rPr>
                <w:rFonts w:ascii="宋体" w:hAnsi="宋体"/>
                <w:sz w:val="21"/>
              </w:rPr>
            </w:pPr>
            <w:r>
              <w:rPr>
                <w:rFonts w:hint="eastAsia" w:ascii="宋体" w:hAnsi="宋体"/>
                <w:sz w:val="21"/>
              </w:rPr>
              <w:t>质量管理体系运行情况</w:t>
            </w:r>
          </w:p>
        </w:tc>
        <w:tc>
          <w:tcPr>
            <w:tcW w:w="4534" w:type="dxa"/>
            <w:gridSpan w:val="2"/>
            <w:vAlign w:val="center"/>
          </w:tcPr>
          <w:p w14:paraId="4834996B">
            <w:pPr>
              <w:ind w:firstLine="0" w:firstLineChars="0"/>
              <w:rPr>
                <w:rFonts w:ascii="宋体" w:hAnsi="宋体"/>
                <w:sz w:val="21"/>
              </w:rPr>
            </w:pPr>
            <w:r>
              <w:rPr>
                <w:rFonts w:hint="eastAsia" w:ascii="宋体" w:hAnsi="宋体"/>
                <w:sz w:val="21"/>
              </w:rPr>
              <w:t>现场施工组织机构、质量管理机构和质量控制系统责任人</w:t>
            </w:r>
          </w:p>
        </w:tc>
        <w:tc>
          <w:tcPr>
            <w:tcW w:w="966" w:type="dxa"/>
            <w:vAlign w:val="center"/>
          </w:tcPr>
          <w:p w14:paraId="24EE7637">
            <w:pPr>
              <w:ind w:firstLine="0" w:firstLineChars="0"/>
              <w:jc w:val="center"/>
              <w:rPr>
                <w:rFonts w:ascii="宋体" w:hAnsi="宋体"/>
                <w:sz w:val="21"/>
              </w:rPr>
            </w:pPr>
          </w:p>
        </w:tc>
        <w:tc>
          <w:tcPr>
            <w:tcW w:w="921" w:type="dxa"/>
            <w:vAlign w:val="center"/>
          </w:tcPr>
          <w:p w14:paraId="6B39D560">
            <w:pPr>
              <w:ind w:firstLine="0" w:firstLineChars="0"/>
              <w:jc w:val="center"/>
              <w:rPr>
                <w:rFonts w:ascii="宋体" w:hAnsi="宋体"/>
                <w:sz w:val="21"/>
              </w:rPr>
            </w:pPr>
          </w:p>
        </w:tc>
      </w:tr>
      <w:tr w14:paraId="666FEC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534" w:type="dxa"/>
            <w:vAlign w:val="center"/>
          </w:tcPr>
          <w:p w14:paraId="4D677E2D">
            <w:pPr>
              <w:ind w:firstLine="0" w:firstLineChars="0"/>
              <w:jc w:val="center"/>
              <w:rPr>
                <w:rFonts w:ascii="宋体" w:hAnsi="宋体"/>
                <w:sz w:val="21"/>
              </w:rPr>
            </w:pPr>
            <w:r>
              <w:rPr>
                <w:rFonts w:hint="eastAsia" w:ascii="宋体" w:hAnsi="宋体"/>
                <w:sz w:val="21"/>
              </w:rPr>
              <w:t>47</w:t>
            </w:r>
          </w:p>
        </w:tc>
        <w:tc>
          <w:tcPr>
            <w:tcW w:w="1476" w:type="dxa"/>
            <w:gridSpan w:val="5"/>
            <w:vMerge w:val="continue"/>
            <w:vAlign w:val="center"/>
          </w:tcPr>
          <w:p w14:paraId="166050C7">
            <w:pPr>
              <w:ind w:firstLine="0" w:firstLineChars="0"/>
              <w:rPr>
                <w:rFonts w:ascii="宋体" w:hAnsi="宋体"/>
                <w:sz w:val="21"/>
              </w:rPr>
            </w:pPr>
          </w:p>
        </w:tc>
        <w:tc>
          <w:tcPr>
            <w:tcW w:w="4534" w:type="dxa"/>
            <w:gridSpan w:val="2"/>
            <w:vAlign w:val="center"/>
          </w:tcPr>
          <w:p w14:paraId="0807A043">
            <w:pPr>
              <w:ind w:firstLine="0" w:firstLineChars="0"/>
              <w:rPr>
                <w:rFonts w:ascii="宋体" w:hAnsi="宋体"/>
                <w:sz w:val="21"/>
              </w:rPr>
            </w:pPr>
            <w:r>
              <w:rPr>
                <w:rFonts w:hint="eastAsia" w:ascii="宋体" w:hAnsi="宋体"/>
                <w:sz w:val="21"/>
              </w:rPr>
              <w:t>现场作业人员的证件</w:t>
            </w:r>
          </w:p>
        </w:tc>
        <w:tc>
          <w:tcPr>
            <w:tcW w:w="966" w:type="dxa"/>
            <w:vAlign w:val="center"/>
          </w:tcPr>
          <w:p w14:paraId="279BE622">
            <w:pPr>
              <w:ind w:firstLine="0" w:firstLineChars="0"/>
              <w:jc w:val="center"/>
              <w:rPr>
                <w:rFonts w:ascii="宋体" w:hAnsi="宋体"/>
                <w:sz w:val="21"/>
              </w:rPr>
            </w:pPr>
          </w:p>
        </w:tc>
        <w:tc>
          <w:tcPr>
            <w:tcW w:w="921" w:type="dxa"/>
            <w:vAlign w:val="center"/>
          </w:tcPr>
          <w:p w14:paraId="22D87E3F">
            <w:pPr>
              <w:ind w:firstLine="0" w:firstLineChars="0"/>
              <w:jc w:val="center"/>
              <w:rPr>
                <w:rFonts w:ascii="宋体" w:hAnsi="宋体"/>
                <w:sz w:val="21"/>
              </w:rPr>
            </w:pPr>
          </w:p>
        </w:tc>
      </w:tr>
      <w:tr w14:paraId="5DC2E0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534" w:type="dxa"/>
            <w:vAlign w:val="center"/>
          </w:tcPr>
          <w:p w14:paraId="6EDD9F30">
            <w:pPr>
              <w:ind w:firstLine="0" w:firstLineChars="0"/>
              <w:jc w:val="center"/>
              <w:rPr>
                <w:rFonts w:ascii="宋体" w:hAnsi="宋体"/>
                <w:sz w:val="21"/>
              </w:rPr>
            </w:pPr>
            <w:r>
              <w:rPr>
                <w:rFonts w:hint="eastAsia" w:ascii="宋体" w:hAnsi="宋体"/>
                <w:sz w:val="21"/>
              </w:rPr>
              <w:t>48</w:t>
            </w:r>
          </w:p>
        </w:tc>
        <w:tc>
          <w:tcPr>
            <w:tcW w:w="1476" w:type="dxa"/>
            <w:gridSpan w:val="5"/>
            <w:vMerge w:val="continue"/>
            <w:vAlign w:val="center"/>
          </w:tcPr>
          <w:p w14:paraId="4730DF49">
            <w:pPr>
              <w:ind w:firstLine="0" w:firstLineChars="0"/>
              <w:jc w:val="center"/>
              <w:rPr>
                <w:rFonts w:ascii="宋体" w:hAnsi="宋体"/>
                <w:sz w:val="21"/>
              </w:rPr>
            </w:pPr>
          </w:p>
        </w:tc>
        <w:tc>
          <w:tcPr>
            <w:tcW w:w="4534" w:type="dxa"/>
            <w:gridSpan w:val="2"/>
            <w:vAlign w:val="center"/>
          </w:tcPr>
          <w:p w14:paraId="38F2CE42">
            <w:pPr>
              <w:ind w:firstLine="0" w:firstLineChars="0"/>
              <w:rPr>
                <w:rFonts w:ascii="宋体" w:hAnsi="宋体"/>
                <w:sz w:val="21"/>
              </w:rPr>
            </w:pPr>
            <w:r>
              <w:rPr>
                <w:rFonts w:hint="eastAsia" w:ascii="宋体" w:hAnsi="宋体"/>
                <w:sz w:val="21"/>
              </w:rPr>
              <w:t>施工过程中体系运转异常情况的处理</w:t>
            </w:r>
          </w:p>
        </w:tc>
        <w:tc>
          <w:tcPr>
            <w:tcW w:w="966" w:type="dxa"/>
            <w:vAlign w:val="center"/>
          </w:tcPr>
          <w:p w14:paraId="55DF928A">
            <w:pPr>
              <w:ind w:firstLine="0" w:firstLineChars="0"/>
              <w:jc w:val="center"/>
              <w:rPr>
                <w:rFonts w:ascii="宋体" w:hAnsi="宋体"/>
                <w:sz w:val="21"/>
              </w:rPr>
            </w:pPr>
          </w:p>
        </w:tc>
        <w:tc>
          <w:tcPr>
            <w:tcW w:w="921" w:type="dxa"/>
            <w:vAlign w:val="center"/>
          </w:tcPr>
          <w:p w14:paraId="7D05ACCB">
            <w:pPr>
              <w:ind w:firstLine="0" w:firstLineChars="0"/>
              <w:jc w:val="center"/>
              <w:rPr>
                <w:rFonts w:ascii="宋体" w:hAnsi="宋体"/>
                <w:sz w:val="21"/>
              </w:rPr>
            </w:pPr>
          </w:p>
        </w:tc>
      </w:tr>
      <w:tr w14:paraId="28DCD0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jc w:val="center"/>
        </w:trPr>
        <w:tc>
          <w:tcPr>
            <w:tcW w:w="534" w:type="dxa"/>
            <w:vAlign w:val="center"/>
          </w:tcPr>
          <w:p w14:paraId="1838133D">
            <w:pPr>
              <w:ind w:firstLine="0" w:firstLineChars="0"/>
              <w:jc w:val="center"/>
              <w:rPr>
                <w:rFonts w:ascii="宋体" w:hAnsi="宋体"/>
                <w:sz w:val="21"/>
              </w:rPr>
            </w:pPr>
            <w:r>
              <w:rPr>
                <w:rFonts w:hint="eastAsia" w:ascii="宋体" w:hAnsi="宋体"/>
                <w:sz w:val="21"/>
              </w:rPr>
              <w:t>49</w:t>
            </w:r>
          </w:p>
        </w:tc>
        <w:tc>
          <w:tcPr>
            <w:tcW w:w="1476" w:type="dxa"/>
            <w:gridSpan w:val="5"/>
            <w:vMerge w:val="continue"/>
            <w:vAlign w:val="center"/>
          </w:tcPr>
          <w:p w14:paraId="3A46C60E">
            <w:pPr>
              <w:ind w:firstLine="0" w:firstLineChars="0"/>
              <w:jc w:val="center"/>
              <w:rPr>
                <w:rFonts w:ascii="宋体" w:hAnsi="宋体"/>
                <w:sz w:val="21"/>
              </w:rPr>
            </w:pPr>
          </w:p>
        </w:tc>
        <w:tc>
          <w:tcPr>
            <w:tcW w:w="4534" w:type="dxa"/>
            <w:gridSpan w:val="2"/>
            <w:vAlign w:val="center"/>
          </w:tcPr>
          <w:p w14:paraId="4828D815">
            <w:pPr>
              <w:ind w:firstLine="0" w:firstLineChars="0"/>
              <w:rPr>
                <w:rFonts w:ascii="宋体" w:hAnsi="宋体"/>
                <w:sz w:val="21"/>
              </w:rPr>
            </w:pPr>
            <w:r>
              <w:rPr>
                <w:rFonts w:hint="eastAsia" w:ascii="宋体" w:hAnsi="宋体"/>
                <w:sz w:val="21"/>
              </w:rPr>
              <w:t>对监检机构或监检人员提出问题的处理和反馈情况</w:t>
            </w:r>
          </w:p>
        </w:tc>
        <w:tc>
          <w:tcPr>
            <w:tcW w:w="966" w:type="dxa"/>
            <w:vAlign w:val="center"/>
          </w:tcPr>
          <w:p w14:paraId="61F68507">
            <w:pPr>
              <w:ind w:firstLine="0" w:firstLineChars="0"/>
              <w:jc w:val="center"/>
              <w:rPr>
                <w:rFonts w:ascii="宋体" w:hAnsi="宋体"/>
                <w:sz w:val="21"/>
              </w:rPr>
            </w:pPr>
          </w:p>
        </w:tc>
        <w:tc>
          <w:tcPr>
            <w:tcW w:w="921" w:type="dxa"/>
            <w:vAlign w:val="center"/>
          </w:tcPr>
          <w:p w14:paraId="495A50DB">
            <w:pPr>
              <w:ind w:firstLine="0" w:firstLineChars="0"/>
              <w:jc w:val="center"/>
              <w:rPr>
                <w:rFonts w:ascii="宋体" w:hAnsi="宋体"/>
                <w:sz w:val="21"/>
              </w:rPr>
            </w:pPr>
          </w:p>
        </w:tc>
      </w:tr>
      <w:tr w14:paraId="23FC5A7C">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797" w:hRule="atLeast"/>
          <w:jc w:val="center"/>
        </w:trPr>
        <w:tc>
          <w:tcPr>
            <w:tcW w:w="4181" w:type="dxa"/>
            <w:gridSpan w:val="7"/>
            <w:tcBorders>
              <w:top w:val="single" w:color="auto" w:sz="12" w:space="0"/>
              <w:right w:val="single" w:color="auto" w:sz="4" w:space="0"/>
            </w:tcBorders>
          </w:tcPr>
          <w:p w14:paraId="3A3005A5">
            <w:pPr>
              <w:autoSpaceDE w:val="0"/>
              <w:autoSpaceDN w:val="0"/>
              <w:adjustRightInd w:val="0"/>
              <w:ind w:right="1540" w:rightChars="550" w:firstLine="0" w:firstLineChars="0"/>
              <w:rPr>
                <w:rFonts w:ascii="宋体" w:hAnsi="宋体"/>
                <w:sz w:val="21"/>
              </w:rPr>
            </w:pPr>
            <w:r>
              <w:rPr>
                <w:rFonts w:hint="eastAsia" w:ascii="宋体" w:hAnsi="宋体"/>
                <w:sz w:val="21"/>
              </w:rPr>
              <w:t>租赁单位（章）</w:t>
            </w:r>
          </w:p>
          <w:p w14:paraId="5F556574">
            <w:pPr>
              <w:autoSpaceDE w:val="0"/>
              <w:autoSpaceDN w:val="0"/>
              <w:adjustRightInd w:val="0"/>
              <w:ind w:right="1540" w:rightChars="550" w:firstLine="0" w:firstLineChars="0"/>
              <w:rPr>
                <w:rFonts w:ascii="宋体" w:hAnsi="宋体"/>
                <w:sz w:val="21"/>
              </w:rPr>
            </w:pPr>
          </w:p>
          <w:p w14:paraId="6A21FD29">
            <w:pPr>
              <w:autoSpaceDE w:val="0"/>
              <w:autoSpaceDN w:val="0"/>
              <w:adjustRightInd w:val="0"/>
              <w:ind w:right="1540" w:rightChars="550" w:firstLine="420"/>
              <w:jc w:val="center"/>
              <w:rPr>
                <w:rFonts w:ascii="宋体" w:hAnsi="宋体"/>
                <w:sz w:val="21"/>
              </w:rPr>
            </w:pPr>
            <w:r>
              <w:rPr>
                <w:rFonts w:hint="eastAsia" w:ascii="宋体" w:hAnsi="宋体"/>
                <w:sz w:val="21"/>
              </w:rPr>
              <w:t>租赁单位负责人：</w:t>
            </w:r>
          </w:p>
          <w:p w14:paraId="34FA0EEC">
            <w:pPr>
              <w:autoSpaceDE w:val="0"/>
              <w:autoSpaceDN w:val="0"/>
              <w:adjustRightInd w:val="0"/>
              <w:ind w:right="1540" w:rightChars="550" w:firstLine="0" w:firstLineChars="0"/>
              <w:rPr>
                <w:rFonts w:ascii="宋体" w:hAnsi="宋体"/>
                <w:sz w:val="21"/>
              </w:rPr>
            </w:pPr>
          </w:p>
          <w:p w14:paraId="781B4554">
            <w:pPr>
              <w:autoSpaceDE w:val="0"/>
              <w:autoSpaceDN w:val="0"/>
              <w:adjustRightInd w:val="0"/>
              <w:ind w:right="1540" w:rightChars="550" w:firstLine="420"/>
              <w:jc w:val="center"/>
              <w:rPr>
                <w:rFonts w:ascii="宋体" w:hAnsi="宋体"/>
                <w:sz w:val="21"/>
              </w:rPr>
            </w:pPr>
            <w:r>
              <w:rPr>
                <w:rFonts w:hint="eastAsia" w:ascii="宋体" w:hAnsi="宋体"/>
                <w:sz w:val="21"/>
              </w:rPr>
              <w:t xml:space="preserve">     年   　月　   日</w:t>
            </w:r>
          </w:p>
        </w:tc>
        <w:tc>
          <w:tcPr>
            <w:tcW w:w="4250" w:type="dxa"/>
            <w:gridSpan w:val="3"/>
            <w:tcBorders>
              <w:top w:val="single" w:color="auto" w:sz="12" w:space="0"/>
              <w:left w:val="single" w:color="auto" w:sz="4" w:space="0"/>
            </w:tcBorders>
          </w:tcPr>
          <w:p w14:paraId="493FA04D">
            <w:pPr>
              <w:autoSpaceDE w:val="0"/>
              <w:autoSpaceDN w:val="0"/>
              <w:adjustRightInd w:val="0"/>
              <w:ind w:right="1540" w:rightChars="550" w:firstLine="0" w:firstLineChars="0"/>
              <w:rPr>
                <w:rFonts w:ascii="宋体" w:hAnsi="宋体"/>
                <w:sz w:val="21"/>
              </w:rPr>
            </w:pPr>
            <w:r>
              <w:rPr>
                <w:rFonts w:hint="eastAsia" w:ascii="宋体" w:hAnsi="宋体"/>
                <w:sz w:val="21"/>
              </w:rPr>
              <w:t>安装单位（章）</w:t>
            </w:r>
          </w:p>
          <w:p w14:paraId="28F57C52">
            <w:pPr>
              <w:autoSpaceDE w:val="0"/>
              <w:autoSpaceDN w:val="0"/>
              <w:adjustRightInd w:val="0"/>
              <w:ind w:right="1540" w:rightChars="550" w:firstLine="0" w:firstLineChars="0"/>
              <w:rPr>
                <w:rFonts w:ascii="宋体" w:hAnsi="宋体"/>
                <w:sz w:val="21"/>
              </w:rPr>
            </w:pPr>
          </w:p>
          <w:p w14:paraId="6CAF212A">
            <w:pPr>
              <w:autoSpaceDE w:val="0"/>
              <w:autoSpaceDN w:val="0"/>
              <w:adjustRightInd w:val="0"/>
              <w:ind w:right="1540" w:rightChars="550" w:firstLine="0" w:firstLineChars="0"/>
              <w:rPr>
                <w:rFonts w:ascii="宋体" w:hAnsi="宋体"/>
                <w:sz w:val="21"/>
              </w:rPr>
            </w:pPr>
            <w:r>
              <w:rPr>
                <w:rFonts w:hint="eastAsia" w:ascii="宋体" w:hAnsi="宋体"/>
                <w:sz w:val="21"/>
              </w:rPr>
              <w:t>安装单位技术质量负责人：</w:t>
            </w:r>
          </w:p>
          <w:p w14:paraId="15983E1F">
            <w:pPr>
              <w:autoSpaceDE w:val="0"/>
              <w:autoSpaceDN w:val="0"/>
              <w:adjustRightInd w:val="0"/>
              <w:ind w:right="1540" w:rightChars="550" w:firstLine="0" w:firstLineChars="0"/>
              <w:rPr>
                <w:rFonts w:ascii="宋体" w:hAnsi="宋体"/>
                <w:sz w:val="21"/>
              </w:rPr>
            </w:pPr>
          </w:p>
          <w:p w14:paraId="0C93FA77">
            <w:pPr>
              <w:autoSpaceDE w:val="0"/>
              <w:autoSpaceDN w:val="0"/>
              <w:adjustRightInd w:val="0"/>
              <w:ind w:right="1540" w:rightChars="550" w:firstLine="420"/>
              <w:jc w:val="center"/>
              <w:rPr>
                <w:rFonts w:ascii="宋体" w:hAnsi="宋体"/>
                <w:sz w:val="21"/>
              </w:rPr>
            </w:pPr>
            <w:r>
              <w:rPr>
                <w:rFonts w:hint="eastAsia" w:ascii="宋体" w:hAnsi="宋体"/>
                <w:sz w:val="21"/>
              </w:rPr>
              <w:t xml:space="preserve">     年   　月　   日</w:t>
            </w:r>
          </w:p>
        </w:tc>
      </w:tr>
    </w:tbl>
    <w:p w14:paraId="3F4B4F51">
      <w:pPr>
        <w:pStyle w:val="2"/>
        <w:bidi w:val="0"/>
        <w:ind w:left="432" w:leftChars="0" w:hanging="432" w:firstLineChars="0"/>
      </w:pPr>
      <w:bookmarkStart w:id="326" w:name="_Toc19957"/>
      <w:r>
        <w:rPr>
          <w:rFonts w:hint="eastAsia"/>
          <w:lang w:val="en-US" w:eastAsia="zh-CN"/>
        </w:rPr>
        <w:t>T7020-12</w:t>
      </w:r>
      <w:r>
        <w:rPr>
          <w:rFonts w:hint="eastAsia"/>
        </w:rPr>
        <w:t>安装施工方案</w:t>
      </w:r>
      <w:bookmarkEnd w:id="326"/>
    </w:p>
    <w:p w14:paraId="483746AA">
      <w:pPr>
        <w:pStyle w:val="4"/>
        <w:bidi w:val="0"/>
        <w:ind w:left="720" w:leftChars="0" w:hanging="720" w:firstLineChars="0"/>
        <w:rPr>
          <w:rFonts w:hint="eastAsia"/>
          <w:lang w:val="en-US" w:eastAsia="zh-CN"/>
        </w:rPr>
      </w:pPr>
      <w:r>
        <w:rPr>
          <w:rFonts w:hint="eastAsia"/>
          <w:lang w:val="en-US" w:eastAsia="zh-CN"/>
        </w:rPr>
        <w:t>塔机安装流程</w:t>
      </w:r>
    </w:p>
    <w:p w14:paraId="0738CEDA">
      <w:pPr>
        <w:keepNext w:val="0"/>
        <w:keepLines w:val="0"/>
        <w:widowControl/>
        <w:suppressLineNumbers w:val="0"/>
        <w:shd w:val="clear"/>
        <w:jc w:val="left"/>
        <w:rPr>
          <w:rFonts w:hint="eastAsia"/>
          <w:highlight w:val="none"/>
          <w:lang w:val="en-US" w:eastAsia="zh-CN"/>
        </w:rPr>
      </w:pPr>
      <w:r>
        <w:rPr>
          <w:rFonts w:hint="eastAsia"/>
          <w:highlight w:val="none"/>
          <w:lang w:val="en-US" w:eastAsia="zh-CN"/>
        </w:rPr>
        <w:t>T7020-10塔吊初始安装构件由1节基础节、套架、回转总成、回转塔身、平衡臂及起重臂组成。初始安装完成后，根据现场施工进度需要进行顶升加节。</w:t>
      </w:r>
    </w:p>
    <w:p w14:paraId="1F314B8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黑体"/>
          <w:highlight w:val="none"/>
          <w:lang w:val="en-US" w:eastAsia="zh-CN"/>
        </w:rPr>
      </w:pPr>
      <w:r>
        <w:t xml:space="preserve">图 </w:t>
      </w:r>
      <w:r>
        <w:fldChar w:fldCharType="begin"/>
      </w:r>
      <w:r>
        <w:instrText xml:space="preserve"> STYLEREF 3 \s </w:instrText>
      </w:r>
      <w:r>
        <w:fldChar w:fldCharType="separate"/>
      </w:r>
      <w:r>
        <w:t>6.1.1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T7020-12安装流程图</w:t>
      </w:r>
    </w:p>
    <w:p w14:paraId="5571D617">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highlight w:val="none"/>
        </w:rPr>
        <w:drawing>
          <wp:inline distT="0" distB="0" distL="114300" distR="114300">
            <wp:extent cx="4648200" cy="3609975"/>
            <wp:effectExtent l="0" t="0" r="0" b="9525"/>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83"/>
                    <a:stretch>
                      <a:fillRect/>
                    </a:stretch>
                  </pic:blipFill>
                  <pic:spPr>
                    <a:xfrm>
                      <a:off x="0" y="0"/>
                      <a:ext cx="4648200" cy="3609975"/>
                    </a:xfrm>
                    <a:prstGeom prst="rect">
                      <a:avLst/>
                    </a:prstGeom>
                    <a:noFill/>
                    <a:ln>
                      <a:noFill/>
                    </a:ln>
                  </pic:spPr>
                </pic:pic>
              </a:graphicData>
            </a:graphic>
          </wp:inline>
        </w:drawing>
      </w:r>
    </w:p>
    <w:p w14:paraId="6702C5F9">
      <w:pPr>
        <w:pStyle w:val="4"/>
        <w:bidi w:val="0"/>
        <w:ind w:left="720" w:leftChars="0" w:hanging="720" w:firstLineChars="0"/>
        <w:rPr>
          <w:rFonts w:hint="eastAsia"/>
          <w:lang w:val="en-US" w:eastAsia="zh-CN"/>
        </w:rPr>
      </w:pPr>
      <w:r>
        <w:rPr>
          <w:rFonts w:hint="eastAsia"/>
          <w:lang w:val="en-US" w:eastAsia="zh-CN"/>
        </w:rPr>
        <w:t>塔吊基础</w:t>
      </w:r>
    </w:p>
    <w:p w14:paraId="5E68802D">
      <w:pPr>
        <w:ind w:firstLine="560"/>
        <w:rPr>
          <w:rFonts w:hint="default"/>
          <w:color w:val="000000"/>
          <w:lang w:val="en-US" w:eastAsia="zh-CN"/>
        </w:rPr>
      </w:pPr>
      <w:r>
        <w:rPr>
          <w:rFonts w:hint="eastAsia"/>
          <w:color w:val="000000"/>
          <w:lang w:val="en-US" w:eastAsia="zh-CN"/>
        </w:rPr>
        <w:t>T7020-12塔吊，采用混凝土板式基础形式，基础尺寸7.1×7.1×1.7m，地基承载力≥200Kpa如6.1.1-1图所示。</w:t>
      </w:r>
    </w:p>
    <w:p w14:paraId="22E355E6">
      <w:pPr>
        <w:pStyle w:val="16"/>
        <w:keepNext/>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图6.1.2-1塔吊基础形式</w:t>
      </w:r>
    </w:p>
    <w:p w14:paraId="59FC2D18">
      <w:pPr>
        <w:pStyle w:val="15"/>
        <w:pageBreakBefore w:val="0"/>
        <w:shd w:val="clear"/>
        <w:kinsoku/>
        <w:wordWrap/>
        <w:overflowPunct/>
        <w:topLinePunct w:val="0"/>
        <w:autoSpaceDE/>
        <w:autoSpaceDN/>
        <w:bidi w:val="0"/>
        <w:spacing w:line="240" w:lineRule="auto"/>
        <w:textAlignment w:val="auto"/>
        <w:rPr>
          <w:rFonts w:hint="default"/>
          <w:highlight w:val="none"/>
          <w:lang w:val="en-US" w:eastAsia="zh-CN"/>
        </w:rPr>
      </w:pPr>
      <w:r>
        <w:rPr>
          <w:rFonts w:hint="eastAsia"/>
          <w:highlight w:val="none"/>
          <w:lang w:val="en-US" w:eastAsia="zh-CN"/>
        </w:rPr>
        <w:t xml:space="preserve">          </w:t>
      </w:r>
      <w:r>
        <w:rPr>
          <w:highlight w:val="none"/>
        </w:rPr>
        <w:drawing>
          <wp:inline distT="0" distB="0" distL="114300" distR="114300">
            <wp:extent cx="5755005" cy="3762375"/>
            <wp:effectExtent l="0" t="0" r="17145" b="952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84"/>
                    <a:stretch>
                      <a:fillRect/>
                    </a:stretch>
                  </pic:blipFill>
                  <pic:spPr>
                    <a:xfrm>
                      <a:off x="0" y="0"/>
                      <a:ext cx="5755005" cy="3762375"/>
                    </a:xfrm>
                    <a:prstGeom prst="rect">
                      <a:avLst/>
                    </a:prstGeom>
                    <a:noFill/>
                    <a:ln>
                      <a:noFill/>
                    </a:ln>
                  </pic:spPr>
                </pic:pic>
              </a:graphicData>
            </a:graphic>
          </wp:inline>
        </w:drawing>
      </w:r>
    </w:p>
    <w:p w14:paraId="20E1CC8E">
      <w:pPr>
        <w:pageBreakBefore w:val="0"/>
        <w:shd w:val="clear"/>
        <w:kinsoku/>
        <w:wordWrap/>
        <w:overflowPunct/>
        <w:topLinePunct w:val="0"/>
        <w:autoSpaceDE/>
        <w:autoSpaceDN/>
        <w:bidi w:val="0"/>
        <w:spacing w:line="240" w:lineRule="auto"/>
        <w:ind w:firstLine="0" w:firstLineChars="0"/>
        <w:jc w:val="center"/>
        <w:textAlignment w:val="auto"/>
        <w:rPr>
          <w:rFonts w:hint="default"/>
          <w:highlight w:val="none"/>
          <w:lang w:val="en-US" w:eastAsia="zh-CN"/>
        </w:rPr>
      </w:pPr>
      <w:r>
        <w:rPr>
          <w:highlight w:val="none"/>
        </w:rPr>
        <w:drawing>
          <wp:inline distT="0" distB="0" distL="114300" distR="114300">
            <wp:extent cx="5756910" cy="2566670"/>
            <wp:effectExtent l="0" t="0" r="15240" b="508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85"/>
                    <a:stretch>
                      <a:fillRect/>
                    </a:stretch>
                  </pic:blipFill>
                  <pic:spPr>
                    <a:xfrm>
                      <a:off x="0" y="0"/>
                      <a:ext cx="5756910" cy="2566670"/>
                    </a:xfrm>
                    <a:prstGeom prst="rect">
                      <a:avLst/>
                    </a:prstGeom>
                    <a:noFill/>
                    <a:ln>
                      <a:noFill/>
                    </a:ln>
                  </pic:spPr>
                </pic:pic>
              </a:graphicData>
            </a:graphic>
          </wp:inline>
        </w:drawing>
      </w:r>
    </w:p>
    <w:p w14:paraId="736D097F">
      <w:pPr>
        <w:pageBreakBefore w:val="0"/>
        <w:shd w:val="clear"/>
        <w:kinsoku/>
        <w:wordWrap/>
        <w:overflowPunct/>
        <w:topLinePunct w:val="0"/>
        <w:autoSpaceDE/>
        <w:autoSpaceDN/>
        <w:bidi w:val="0"/>
        <w:spacing w:line="240" w:lineRule="auto"/>
        <w:textAlignment w:val="auto"/>
        <w:rPr>
          <w:rFonts w:hint="default"/>
          <w:highlight w:val="none"/>
          <w:lang w:val="en-US" w:eastAsia="zh-CN"/>
        </w:rPr>
      </w:pPr>
    </w:p>
    <w:p w14:paraId="39E4385F">
      <w:pPr>
        <w:pStyle w:val="4"/>
        <w:bidi w:val="0"/>
        <w:ind w:left="720" w:leftChars="0" w:hanging="720" w:firstLineChars="0"/>
        <w:rPr>
          <w:rFonts w:hint="eastAsia"/>
          <w:lang w:val="en-US" w:eastAsia="zh-CN"/>
        </w:rPr>
      </w:pPr>
      <w:r>
        <w:rPr>
          <w:rFonts w:hint="eastAsia"/>
          <w:lang w:val="en-US" w:eastAsia="zh-CN"/>
        </w:rPr>
        <w:t>安装基础节</w:t>
      </w:r>
    </w:p>
    <w:p w14:paraId="0E079280">
      <w:pPr>
        <w:pStyle w:val="5"/>
        <w:bidi w:val="0"/>
        <w:ind w:left="864" w:leftChars="0" w:hanging="864" w:firstLineChars="0"/>
        <w:rPr>
          <w:rFonts w:hint="eastAsia"/>
          <w:lang w:val="en-US" w:eastAsia="zh-CN"/>
        </w:rPr>
      </w:pPr>
      <w:r>
        <w:rPr>
          <w:rFonts w:hint="eastAsia"/>
          <w:lang w:val="en-US" w:eastAsia="zh-CN"/>
        </w:rPr>
        <w:t>安装前的条件</w:t>
      </w:r>
    </w:p>
    <w:p w14:paraId="7E590E72">
      <w:pPr>
        <w:pStyle w:val="16"/>
        <w:pageBreakBefore w:val="0"/>
        <w:shd w:val="clear"/>
        <w:kinsoku/>
        <w:wordWrap/>
        <w:overflowPunct/>
        <w:topLinePunct w:val="0"/>
        <w:autoSpaceDE/>
        <w:autoSpaceDN/>
        <w:bidi w:val="0"/>
        <w:spacing w:line="240" w:lineRule="auto"/>
        <w:jc w:val="center"/>
        <w:textAlignment w:val="auto"/>
        <w:rPr>
          <w:rFonts w:ascii="宋体" w:hAnsi="宋体" w:cs="宋体"/>
          <w:bCs/>
          <w:color w:val="000000" w:themeColor="text1"/>
          <w:highlight w:val="none"/>
          <w14:textFill>
            <w14:solidFill>
              <w14:schemeClr w14:val="tx1"/>
            </w14:solidFill>
          </w14:textFill>
        </w:rPr>
      </w:pPr>
      <w:r>
        <w:rPr>
          <w:rFonts w:hint="eastAsia"/>
          <w:highlight w:val="none"/>
        </w:rPr>
        <w:t xml:space="preserve">表 </w:t>
      </w:r>
      <w:r>
        <w:rPr>
          <w:highlight w:val="none"/>
        </w:rPr>
        <w:fldChar w:fldCharType="begin"/>
      </w:r>
      <w:r>
        <w:rPr>
          <w:highlight w:val="none"/>
        </w:rPr>
        <w:instrText xml:space="preserve"> </w:instrText>
      </w:r>
      <w:r>
        <w:rPr>
          <w:rFonts w:hint="eastAsia"/>
          <w:highlight w:val="none"/>
        </w:rPr>
        <w:instrText xml:space="preserve">STYLEREF 3 \s</w:instrText>
      </w:r>
      <w:r>
        <w:rPr>
          <w:highlight w:val="none"/>
        </w:rPr>
        <w:instrText xml:space="preserve"> </w:instrText>
      </w:r>
      <w:r>
        <w:rPr>
          <w:highlight w:val="none"/>
        </w:rPr>
        <w:fldChar w:fldCharType="separate"/>
      </w:r>
      <w:r>
        <w:rPr>
          <w:rFonts w:hint="eastAsia"/>
          <w:highlight w:val="none"/>
        </w:rPr>
        <w:t>6.1.3</w:t>
      </w:r>
      <w:r>
        <w:rPr>
          <w:highlight w:val="none"/>
        </w:rPr>
        <w:fldChar w:fldCharType="end"/>
      </w:r>
      <w:r>
        <w:rPr>
          <w:highlight w:val="none"/>
        </w:rPr>
        <w:noBreakHyphen/>
      </w:r>
      <w:r>
        <w:rPr>
          <w:highlight w:val="none"/>
        </w:rPr>
        <w:fldChar w:fldCharType="begin"/>
      </w:r>
      <w:r>
        <w:rPr>
          <w:highlight w:val="none"/>
        </w:rPr>
        <w:instrText xml:space="preserve"> </w:instrText>
      </w:r>
      <w:r>
        <w:rPr>
          <w:rFonts w:hint="eastAsia"/>
          <w:highlight w:val="none"/>
        </w:rPr>
        <w:instrText xml:space="preserve">SEQ 表 \* ARABIC \s 3</w:instrText>
      </w:r>
      <w:r>
        <w:rPr>
          <w:highlight w:val="none"/>
        </w:rPr>
        <w:instrText xml:space="preserve"> </w:instrText>
      </w:r>
      <w:r>
        <w:rPr>
          <w:highlight w:val="none"/>
        </w:rPr>
        <w:fldChar w:fldCharType="separate"/>
      </w:r>
      <w:r>
        <w:rPr>
          <w:rFonts w:hint="eastAsia"/>
          <w:highlight w:val="none"/>
        </w:rPr>
        <w:t>1</w:t>
      </w:r>
      <w:r>
        <w:rPr>
          <w:highlight w:val="none"/>
        </w:rPr>
        <w:fldChar w:fldCharType="end"/>
      </w:r>
      <w:r>
        <w:rPr>
          <w:rFonts w:hint="eastAsia" w:ascii="宋体" w:hAnsi="宋体" w:cs="宋体"/>
          <w:bCs/>
          <w:color w:val="000000" w:themeColor="text1"/>
          <w:highlight w:val="none"/>
          <w14:textFill>
            <w14:solidFill>
              <w14:schemeClr w14:val="tx1"/>
            </w14:solidFill>
          </w14:textFill>
        </w:rPr>
        <w:t>安装前提表</w:t>
      </w:r>
    </w:p>
    <w:tbl>
      <w:tblPr>
        <w:tblStyle w:val="190"/>
        <w:tblW w:w="9072" w:type="dxa"/>
        <w:tblInd w:w="0"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533"/>
        <w:gridCol w:w="6539"/>
      </w:tblGrid>
      <w:tr w14:paraId="1363B2A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blHeader/>
        </w:trPr>
        <w:tc>
          <w:tcPr>
            <w:tcW w:w="2556" w:type="dxa"/>
            <w:tcBorders>
              <w:top w:val="single" w:color="000000" w:sz="12" w:space="0"/>
              <w:left w:val="single" w:color="000000" w:sz="12" w:space="0"/>
              <w:bottom w:val="single" w:color="000000" w:sz="4" w:space="0"/>
              <w:right w:val="single" w:color="000000" w:sz="4" w:space="0"/>
              <w:tl2br w:val="nil"/>
            </w:tcBorders>
            <w:shd w:val="clear" w:color="auto" w:fill="FFFFFF"/>
            <w:vAlign w:val="center"/>
          </w:tcPr>
          <w:p w14:paraId="20A38807">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bCs w:val="0"/>
                <w:i w:val="0"/>
                <w:highlight w:val="none"/>
              </w:rPr>
            </w:pPr>
            <w:r>
              <w:rPr>
                <w:rFonts w:hint="eastAsia" w:ascii="Times New Roman" w:hAnsi="Times New Roman" w:eastAsia="宋体" w:cstheme="minorBidi"/>
                <w:b/>
                <w:bCs w:val="0"/>
                <w:i w:val="0"/>
                <w:highlight w:val="none"/>
              </w:rPr>
              <w:t>序号</w:t>
            </w:r>
          </w:p>
        </w:tc>
        <w:tc>
          <w:tcPr>
            <w:tcW w:w="6604" w:type="dxa"/>
            <w:tcBorders>
              <w:top w:val="single" w:color="000000" w:sz="12" w:space="0"/>
              <w:left w:val="single" w:color="000000" w:sz="4" w:space="0"/>
              <w:bottom w:val="single" w:color="000000" w:sz="4" w:space="0"/>
              <w:right w:val="single" w:color="000000" w:sz="12" w:space="0"/>
            </w:tcBorders>
            <w:shd w:val="clear" w:color="auto" w:fill="FFFFFF"/>
            <w:vAlign w:val="center"/>
          </w:tcPr>
          <w:p w14:paraId="524EC513">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bCs w:val="0"/>
                <w:i w:val="0"/>
                <w:highlight w:val="none"/>
              </w:rPr>
            </w:pPr>
            <w:r>
              <w:rPr>
                <w:rFonts w:hint="eastAsia" w:ascii="Times New Roman" w:hAnsi="Times New Roman" w:eastAsia="宋体" w:cstheme="minorBidi"/>
                <w:b/>
                <w:bCs w:val="0"/>
                <w:i w:val="0"/>
                <w:highlight w:val="none"/>
              </w:rPr>
              <w:t>安装前需具备条件</w:t>
            </w:r>
          </w:p>
        </w:tc>
      </w:tr>
      <w:tr w14:paraId="74DAFB4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255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0A1443F8">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1</w:t>
            </w:r>
          </w:p>
        </w:tc>
        <w:tc>
          <w:tcPr>
            <w:tcW w:w="660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B6CF4F6">
            <w:pPr>
              <w:pStyle w:val="58"/>
              <w:pageBreakBefore w:val="0"/>
              <w:shd w:val="clear"/>
              <w:kinsoku/>
              <w:wordWrap/>
              <w:overflowPunct/>
              <w:topLinePunct w:val="0"/>
              <w:autoSpaceDE/>
              <w:autoSpaceDN/>
              <w:bidi w:val="0"/>
              <w:spacing w:line="240" w:lineRule="auto"/>
              <w:textAlignment w:val="auto"/>
              <w:rPr>
                <w:rFonts w:cstheme="minorBidi"/>
                <w:b w:val="0"/>
                <w:highlight w:val="none"/>
              </w:rPr>
            </w:pPr>
            <w:r>
              <w:rPr>
                <w:rFonts w:hint="eastAsia" w:cstheme="minorBidi"/>
                <w:b w:val="0"/>
                <w:highlight w:val="none"/>
              </w:rPr>
              <w:t>基础验收合格并出具验收表</w:t>
            </w:r>
          </w:p>
        </w:tc>
      </w:tr>
      <w:tr w14:paraId="6013C56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255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B4E0F22">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2</w:t>
            </w:r>
          </w:p>
        </w:tc>
        <w:tc>
          <w:tcPr>
            <w:tcW w:w="660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6FB99D20">
            <w:pPr>
              <w:pStyle w:val="58"/>
              <w:pageBreakBefore w:val="0"/>
              <w:shd w:val="clear"/>
              <w:kinsoku/>
              <w:wordWrap/>
              <w:overflowPunct/>
              <w:topLinePunct w:val="0"/>
              <w:autoSpaceDE/>
              <w:autoSpaceDN/>
              <w:bidi w:val="0"/>
              <w:spacing w:line="240" w:lineRule="auto"/>
              <w:textAlignment w:val="auto"/>
              <w:rPr>
                <w:rFonts w:cstheme="minorBidi"/>
                <w:b w:val="0"/>
                <w:highlight w:val="none"/>
              </w:rPr>
            </w:pPr>
            <w:r>
              <w:rPr>
                <w:rFonts w:hint="eastAsia" w:cstheme="minorBidi"/>
                <w:b w:val="0"/>
                <w:highlight w:val="none"/>
              </w:rPr>
              <w:t>配置符合要求的塔机专用配电箱</w:t>
            </w:r>
          </w:p>
        </w:tc>
      </w:tr>
      <w:tr w14:paraId="40BE9EA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2556" w:type="dxa"/>
            <w:tcBorders>
              <w:top w:val="single" w:color="000000" w:sz="4" w:space="0"/>
              <w:left w:val="single" w:color="000000" w:sz="12" w:space="0"/>
              <w:bottom w:val="single" w:color="000000" w:sz="4" w:space="0"/>
              <w:right w:val="single" w:color="000000" w:sz="4" w:space="0"/>
            </w:tcBorders>
            <w:shd w:val="clear" w:color="auto" w:fill="FFFFFF"/>
            <w:vAlign w:val="center"/>
          </w:tcPr>
          <w:p w14:paraId="63AE3F65">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3</w:t>
            </w:r>
          </w:p>
        </w:tc>
        <w:tc>
          <w:tcPr>
            <w:tcW w:w="6604" w:type="dxa"/>
            <w:tcBorders>
              <w:top w:val="single" w:color="000000" w:sz="4" w:space="0"/>
              <w:left w:val="single" w:color="000000" w:sz="4" w:space="0"/>
              <w:bottom w:val="single" w:color="000000" w:sz="4" w:space="0"/>
              <w:right w:val="single" w:color="000000" w:sz="12" w:space="0"/>
            </w:tcBorders>
            <w:shd w:val="clear" w:color="auto" w:fill="FFFFFF"/>
            <w:vAlign w:val="center"/>
          </w:tcPr>
          <w:p w14:paraId="4DE35BA2">
            <w:pPr>
              <w:pStyle w:val="58"/>
              <w:pageBreakBefore w:val="0"/>
              <w:shd w:val="clear"/>
              <w:kinsoku/>
              <w:wordWrap/>
              <w:overflowPunct/>
              <w:topLinePunct w:val="0"/>
              <w:autoSpaceDE/>
              <w:autoSpaceDN/>
              <w:bidi w:val="0"/>
              <w:spacing w:line="240" w:lineRule="auto"/>
              <w:textAlignment w:val="auto"/>
              <w:rPr>
                <w:rFonts w:cstheme="minorBidi"/>
                <w:b w:val="0"/>
                <w:highlight w:val="none"/>
              </w:rPr>
            </w:pPr>
            <w:r>
              <w:rPr>
                <w:rFonts w:hint="eastAsia" w:cstheme="minorBidi"/>
                <w:b w:val="0"/>
                <w:highlight w:val="none"/>
              </w:rPr>
              <w:t>现场具备</w:t>
            </w:r>
            <w:r>
              <w:rPr>
                <w:rFonts w:hint="eastAsia" w:cstheme="minorBidi"/>
                <w:b w:val="0"/>
                <w:highlight w:val="none"/>
                <w:lang w:eastAsia="zh-CN"/>
              </w:rPr>
              <w:t>吊机</w:t>
            </w:r>
            <w:r>
              <w:rPr>
                <w:rFonts w:hint="eastAsia" w:cstheme="minorBidi"/>
                <w:b w:val="0"/>
                <w:highlight w:val="none"/>
              </w:rPr>
              <w:t>及运输车辆的行驶条件</w:t>
            </w:r>
          </w:p>
        </w:tc>
      </w:tr>
      <w:tr w14:paraId="0E9A3C8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0" w:hRule="atLeast"/>
        </w:trPr>
        <w:tc>
          <w:tcPr>
            <w:tcW w:w="2556" w:type="dxa"/>
            <w:tcBorders>
              <w:top w:val="single" w:color="000000" w:sz="4" w:space="0"/>
              <w:left w:val="single" w:color="000000" w:sz="12" w:space="0"/>
              <w:bottom w:val="single" w:color="000000" w:sz="12" w:space="0"/>
              <w:right w:val="single" w:color="000000" w:sz="4" w:space="0"/>
            </w:tcBorders>
            <w:shd w:val="clear" w:color="auto" w:fill="FFFFFF"/>
            <w:vAlign w:val="center"/>
          </w:tcPr>
          <w:p w14:paraId="4AA0B5A3">
            <w:pPr>
              <w:pStyle w:val="58"/>
              <w:pageBreakBefore w:val="0"/>
              <w:shd w:val="clear"/>
              <w:kinsoku/>
              <w:wordWrap/>
              <w:overflowPunct/>
              <w:topLinePunct w:val="0"/>
              <w:autoSpaceDE/>
              <w:autoSpaceDN/>
              <w:bidi w:val="0"/>
              <w:spacing w:line="240" w:lineRule="auto"/>
              <w:textAlignment w:val="auto"/>
              <w:rPr>
                <w:rFonts w:ascii="Times New Roman" w:hAnsi="Times New Roman" w:eastAsia="宋体" w:cstheme="minorBidi"/>
                <w:b w:val="0"/>
                <w:i w:val="0"/>
                <w:highlight w:val="none"/>
              </w:rPr>
            </w:pPr>
            <w:r>
              <w:rPr>
                <w:rFonts w:hint="eastAsia" w:ascii="Times New Roman" w:hAnsi="Times New Roman" w:eastAsia="宋体" w:cstheme="minorBidi"/>
                <w:b w:val="0"/>
                <w:i w:val="0"/>
                <w:highlight w:val="none"/>
              </w:rPr>
              <w:t>4</w:t>
            </w:r>
          </w:p>
        </w:tc>
        <w:tc>
          <w:tcPr>
            <w:tcW w:w="6604" w:type="dxa"/>
            <w:tcBorders>
              <w:top w:val="single" w:color="000000" w:sz="4" w:space="0"/>
              <w:left w:val="single" w:color="000000" w:sz="4" w:space="0"/>
              <w:bottom w:val="single" w:color="000000" w:sz="12" w:space="0"/>
              <w:right w:val="single" w:color="000000" w:sz="12" w:space="0"/>
            </w:tcBorders>
            <w:shd w:val="clear" w:color="auto" w:fill="FFFFFF"/>
            <w:vAlign w:val="center"/>
          </w:tcPr>
          <w:p w14:paraId="6EDA0E63">
            <w:pPr>
              <w:pStyle w:val="58"/>
              <w:pageBreakBefore w:val="0"/>
              <w:shd w:val="clear"/>
              <w:kinsoku/>
              <w:wordWrap/>
              <w:overflowPunct/>
              <w:topLinePunct w:val="0"/>
              <w:autoSpaceDE/>
              <w:autoSpaceDN/>
              <w:bidi w:val="0"/>
              <w:spacing w:line="240" w:lineRule="auto"/>
              <w:textAlignment w:val="auto"/>
              <w:rPr>
                <w:rFonts w:cstheme="minorBidi"/>
                <w:b w:val="0"/>
                <w:highlight w:val="none"/>
              </w:rPr>
            </w:pPr>
            <w:r>
              <w:rPr>
                <w:rFonts w:hint="eastAsia" w:cstheme="minorBidi"/>
                <w:b w:val="0"/>
                <w:highlight w:val="none"/>
              </w:rPr>
              <w:t>现场具备辅助</w:t>
            </w:r>
            <w:r>
              <w:rPr>
                <w:rFonts w:hint="eastAsia" w:cstheme="minorBidi"/>
                <w:b w:val="0"/>
                <w:highlight w:val="none"/>
                <w:lang w:eastAsia="zh-CN"/>
              </w:rPr>
              <w:t>吊机</w:t>
            </w:r>
            <w:r>
              <w:rPr>
                <w:rFonts w:hint="eastAsia" w:cstheme="minorBidi"/>
                <w:b w:val="0"/>
                <w:highlight w:val="none"/>
              </w:rPr>
              <w:t>支设的场地及塔机拼装场地</w:t>
            </w:r>
          </w:p>
        </w:tc>
      </w:tr>
    </w:tbl>
    <w:p w14:paraId="129D10FD">
      <w:pPr>
        <w:pStyle w:val="5"/>
        <w:bidi w:val="0"/>
        <w:ind w:left="864" w:leftChars="0" w:hanging="864" w:firstLineChars="0"/>
        <w:rPr>
          <w:rFonts w:hint="default"/>
          <w:lang w:val="en-US" w:eastAsia="zh-CN"/>
        </w:rPr>
      </w:pPr>
      <w:r>
        <w:rPr>
          <w:rFonts w:hint="eastAsia"/>
          <w:lang w:val="en-US" w:eastAsia="zh-CN"/>
        </w:rPr>
        <w:t>安装基础节</w:t>
      </w:r>
    </w:p>
    <w:p w14:paraId="41A775B5">
      <w:pPr>
        <w:ind w:firstLine="560"/>
        <w:rPr>
          <w:rFonts w:hint="eastAsia"/>
          <w:color w:val="000000"/>
          <w:lang w:val="en-US" w:eastAsia="zh-CN"/>
        </w:rPr>
      </w:pPr>
      <w:r>
        <w:rPr>
          <w:rFonts w:hint="eastAsia"/>
          <w:color w:val="000000"/>
          <w:lang w:val="en-US" w:eastAsia="zh-CN"/>
        </w:rPr>
        <w:t>T7020-12由1 节基础节组成，基础节高度7.5m</w:t>
      </w:r>
    </w:p>
    <w:p w14:paraId="08AD35F6">
      <w:pPr>
        <w:ind w:firstLine="560"/>
        <w:rPr>
          <w:rFonts w:hint="eastAsia"/>
          <w:color w:val="000000"/>
          <w:lang w:val="en-US" w:eastAsia="zh-CN"/>
        </w:rPr>
      </w:pPr>
      <w:r>
        <w:rPr>
          <w:rFonts w:hint="eastAsia"/>
          <w:color w:val="000000"/>
          <w:lang w:val="en-US" w:eastAsia="zh-CN"/>
        </w:rPr>
        <w:t>基础节吊装采用四点吊，</w:t>
      </w:r>
      <w:r>
        <w:rPr>
          <w:rFonts w:hint="eastAsia"/>
          <w:color w:val="000000"/>
        </w:rPr>
        <w:t>使用</w:t>
      </w:r>
      <w:r>
        <w:rPr>
          <w:rFonts w:hint="eastAsia"/>
          <w:color w:val="000000"/>
          <w:lang w:val="en-US" w:eastAsia="zh-CN"/>
        </w:rPr>
        <w:t>50</w:t>
      </w:r>
      <w:r>
        <w:rPr>
          <w:rFonts w:hint="eastAsia"/>
          <w:color w:val="000000"/>
          <w:lang w:eastAsia="zh-CN"/>
        </w:rPr>
        <w:t>T</w:t>
      </w:r>
      <w:r>
        <w:rPr>
          <w:rFonts w:hint="eastAsia"/>
          <w:color w:val="000000"/>
        </w:rPr>
        <w:t>汽车吊</w:t>
      </w:r>
      <w:r>
        <w:rPr>
          <w:rFonts w:hint="eastAsia"/>
          <w:color w:val="000000"/>
          <w:lang w:val="en-US" w:eastAsia="zh-CN"/>
        </w:rPr>
        <w:t>，基础节以顶部四个销轴孔作为吊装孔，采用4根22mm6×19W+IWR1870Mpa的钢丝绳配套GB/T 25854-6-DW5卸扣进行吊装。</w:t>
      </w:r>
    </w:p>
    <w:p w14:paraId="35F46CC8">
      <w:pPr>
        <w:ind w:firstLine="560"/>
        <w:rPr>
          <w:rFonts w:hint="eastAsia"/>
          <w:color w:val="000000"/>
          <w:lang w:val="en-US" w:eastAsia="zh-CN"/>
        </w:rPr>
      </w:pPr>
      <w:r>
        <w:rPr>
          <w:rFonts w:hint="eastAsia"/>
          <w:color w:val="000000"/>
          <w:lang w:val="en-US" w:eastAsia="zh-CN"/>
        </w:rPr>
        <w:t>作业人员在地面上先将钢丝绳一端挂在吊机吊钩，另一端与卸扣连接，卸扣与吊装孔连接，并在基础节立杆上栓好2根溜绳。启动吊机，将基础节缓慢提升，用溜绳控制其摆动。起吊基础节至塔吊固定支腿上方，吊机缓慢落钩，直至基础节底部销轴孔与预埋固定支腿轴孔对齐，作业人员插入与预埋固定支腿的连接销轴，完成基础节与固定支腿的连接，并在销轴端部插入开口销固定。基础节吊装示意如下图所示：</w:t>
      </w:r>
    </w:p>
    <w:p w14:paraId="07DFB5FF">
      <w:pPr>
        <w:pStyle w:val="13"/>
        <w:pageBreakBefore w:val="0"/>
        <w:shd w:val="clear"/>
        <w:kinsoku/>
        <w:wordWrap/>
        <w:overflowPunct/>
        <w:topLinePunct w:val="0"/>
        <w:autoSpaceDE/>
        <w:autoSpaceDN/>
        <w:bidi w:val="0"/>
        <w:spacing w:line="240" w:lineRule="auto"/>
        <w:ind w:firstLine="0" w:firstLineChars="0"/>
        <w:jc w:val="center"/>
        <w:textAlignment w:val="auto"/>
      </w:pPr>
      <w:r>
        <w:drawing>
          <wp:inline distT="0" distB="0" distL="114300" distR="114300">
            <wp:extent cx="4785995" cy="3348355"/>
            <wp:effectExtent l="0" t="0" r="14605" b="4445"/>
            <wp:docPr id="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
                    <pic:cNvPicPr>
                      <a:picLocks noChangeAspect="1"/>
                    </pic:cNvPicPr>
                  </pic:nvPicPr>
                  <pic:blipFill>
                    <a:blip r:embed="rId86"/>
                    <a:stretch>
                      <a:fillRect/>
                    </a:stretch>
                  </pic:blipFill>
                  <pic:spPr>
                    <a:xfrm>
                      <a:off x="0" y="0"/>
                      <a:ext cx="4785995" cy="3348355"/>
                    </a:xfrm>
                    <a:prstGeom prst="rect">
                      <a:avLst/>
                    </a:prstGeom>
                    <a:noFill/>
                    <a:ln>
                      <a:noFill/>
                    </a:ln>
                  </pic:spPr>
                </pic:pic>
              </a:graphicData>
            </a:graphic>
          </wp:inline>
        </w:drawing>
      </w:r>
    </w:p>
    <w:p w14:paraId="7BCB92E6">
      <w:pPr>
        <w:pStyle w:val="16"/>
        <w:bidi w:val="0"/>
        <w:rPr>
          <w:rFonts w:hint="eastAsia"/>
          <w:lang w:val="en-US" w:eastAsia="zh-CN"/>
        </w:rPr>
      </w:pPr>
      <w:r>
        <w:t xml:space="preserve">图 </w:t>
      </w:r>
      <w:r>
        <w:fldChar w:fldCharType="begin"/>
      </w:r>
      <w:r>
        <w:instrText xml:space="preserve"> STYLEREF 3 \s </w:instrText>
      </w:r>
      <w:r>
        <w:fldChar w:fldCharType="separate"/>
      </w:r>
      <w:r>
        <w:t>6.1.3</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塔机过渡节吊装平面示意图</w:t>
      </w:r>
    </w:p>
    <w:p w14:paraId="18222B45">
      <w:pPr>
        <w:pStyle w:val="13"/>
        <w:pageBreakBefore w:val="0"/>
        <w:shd w:val="clear"/>
        <w:kinsoku/>
        <w:wordWrap/>
        <w:overflowPunct/>
        <w:topLinePunct w:val="0"/>
        <w:autoSpaceDE/>
        <w:autoSpaceDN/>
        <w:bidi w:val="0"/>
        <w:spacing w:line="240" w:lineRule="auto"/>
        <w:ind w:firstLine="0" w:firstLineChars="0"/>
        <w:jc w:val="center"/>
        <w:textAlignment w:val="auto"/>
      </w:pPr>
      <w:r>
        <w:drawing>
          <wp:inline distT="0" distB="0" distL="114300" distR="114300">
            <wp:extent cx="3228975" cy="4352925"/>
            <wp:effectExtent l="0" t="0" r="9525" b="9525"/>
            <wp:docPr id="9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0"/>
                    <pic:cNvPicPr>
                      <a:picLocks noChangeAspect="1"/>
                    </pic:cNvPicPr>
                  </pic:nvPicPr>
                  <pic:blipFill>
                    <a:blip r:embed="rId87"/>
                    <a:stretch>
                      <a:fillRect/>
                    </a:stretch>
                  </pic:blipFill>
                  <pic:spPr>
                    <a:xfrm>
                      <a:off x="0" y="0"/>
                      <a:ext cx="3228975" cy="4352925"/>
                    </a:xfrm>
                    <a:prstGeom prst="rect">
                      <a:avLst/>
                    </a:prstGeom>
                    <a:noFill/>
                    <a:ln>
                      <a:noFill/>
                    </a:ln>
                  </pic:spPr>
                </pic:pic>
              </a:graphicData>
            </a:graphic>
          </wp:inline>
        </w:drawing>
      </w:r>
    </w:p>
    <w:p w14:paraId="713B2A67">
      <w:pPr>
        <w:pStyle w:val="16"/>
        <w:bidi w:val="0"/>
        <w:rPr>
          <w:rFonts w:hint="eastAsia"/>
          <w:lang w:val="en-US" w:eastAsia="zh-CN"/>
        </w:rPr>
      </w:pPr>
      <w:r>
        <w:t xml:space="preserve">图 </w:t>
      </w:r>
      <w:r>
        <w:fldChar w:fldCharType="begin"/>
      </w:r>
      <w:r>
        <w:instrText xml:space="preserve"> STYLEREF 3 \s </w:instrText>
      </w:r>
      <w:r>
        <w:fldChar w:fldCharType="separate"/>
      </w:r>
      <w:r>
        <w:t>6.1.3</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塔机过渡节吊装立面示意图</w:t>
      </w:r>
    </w:p>
    <w:p w14:paraId="1B7DACAA">
      <w:pPr>
        <w:ind w:firstLine="560"/>
        <w:rPr>
          <w:rFonts w:hint="eastAsia"/>
          <w:color w:val="000000"/>
          <w:lang w:val="en-US" w:eastAsia="zh-CN"/>
        </w:rPr>
      </w:pPr>
      <w:r>
        <w:rPr>
          <w:rFonts w:hint="eastAsia"/>
          <w:color w:val="000000"/>
          <w:lang w:val="en-US" w:eastAsia="zh-CN"/>
        </w:rPr>
        <w:t>作业人员通过基础节爬梯爬至基础节顶部，系挂好安全带，站立在基础节横杆上，吊机放松吊钩，作业人员解除卸扣与基础节的连接，完成基础节的安装。</w:t>
      </w:r>
    </w:p>
    <w:p w14:paraId="1B03EC39">
      <w:pPr>
        <w:ind w:firstLine="560"/>
        <w:rPr>
          <w:rFonts w:hint="eastAsia"/>
          <w:color w:val="000000"/>
          <w:lang w:val="en-US" w:eastAsia="zh-CN"/>
        </w:rPr>
      </w:pPr>
      <w:r>
        <w:rPr>
          <w:rFonts w:hint="eastAsia"/>
          <w:color w:val="000000"/>
          <w:lang w:val="en-US" w:eastAsia="zh-CN"/>
        </w:rPr>
        <w:t>塔吊基础节安装时设置警戒区，起吊安排专人负责指挥，专人操作，严禁无关人员进入起重作业范围内。</w:t>
      </w:r>
    </w:p>
    <w:p w14:paraId="103F72E5">
      <w:pPr>
        <w:ind w:firstLine="560"/>
        <w:rPr>
          <w:rFonts w:hint="eastAsia"/>
          <w:color w:val="000000"/>
          <w:lang w:val="en-US" w:eastAsia="zh-CN"/>
        </w:rPr>
      </w:pPr>
      <w:r>
        <w:rPr>
          <w:rFonts w:hint="eastAsia"/>
          <w:color w:val="000000"/>
          <w:lang w:val="en-US" w:eastAsia="zh-CN"/>
        </w:rPr>
        <w:t>基础节吊装后采用垂线法检查其垂直度，主弦杆四个侧面的垂直度误差应不大于 1.5/1000。</w:t>
      </w:r>
    </w:p>
    <w:p w14:paraId="28986BB7">
      <w:pPr>
        <w:pStyle w:val="4"/>
        <w:bidi w:val="0"/>
        <w:ind w:left="720" w:leftChars="0" w:hanging="720" w:firstLineChars="0"/>
        <w:rPr>
          <w:rFonts w:hint="eastAsia"/>
          <w:lang w:val="en-US" w:eastAsia="zh-CN"/>
        </w:rPr>
      </w:pPr>
      <w:r>
        <w:rPr>
          <w:rFonts w:hint="eastAsia"/>
          <w:lang w:val="en-US" w:eastAsia="zh-CN"/>
        </w:rPr>
        <w:t>安装套架</w:t>
      </w:r>
    </w:p>
    <w:p w14:paraId="69AE39C3">
      <w:pPr>
        <w:pStyle w:val="5"/>
        <w:bidi w:val="0"/>
        <w:ind w:left="864" w:leftChars="0" w:hanging="864" w:firstLineChars="0"/>
        <w:rPr>
          <w:rFonts w:hint="default"/>
          <w:lang w:val="en-US" w:eastAsia="zh-CN"/>
        </w:rPr>
      </w:pPr>
      <w:r>
        <w:rPr>
          <w:rFonts w:hint="eastAsia"/>
          <w:lang w:val="en-US" w:eastAsia="zh-CN"/>
        </w:rPr>
        <w:t>结构简述</w:t>
      </w:r>
    </w:p>
    <w:p w14:paraId="2DE298C0">
      <w:pPr>
        <w:ind w:firstLine="560"/>
        <w:rPr>
          <w:rFonts w:hint="eastAsia"/>
          <w:color w:val="000000"/>
          <w:lang w:val="en-US" w:eastAsia="zh-CN"/>
        </w:rPr>
      </w:pPr>
      <w:r>
        <w:rPr>
          <w:rFonts w:hint="eastAsia"/>
          <w:color w:val="000000"/>
          <w:lang w:val="en-US" w:eastAsia="zh-CN"/>
        </w:rPr>
        <w:t xml:space="preserve">套架由主结构、平台、爬梯及液压顶升系统等组成，塔机的顶升运动主要靠此部件完成。 </w:t>
      </w:r>
    </w:p>
    <w:p w14:paraId="1ECF0B5B">
      <w:pPr>
        <w:ind w:firstLine="560"/>
        <w:rPr>
          <w:rFonts w:hint="eastAsia"/>
          <w:color w:val="000000"/>
          <w:lang w:val="en-US" w:eastAsia="zh-CN"/>
        </w:rPr>
      </w:pPr>
      <w:r>
        <w:rPr>
          <w:rFonts w:hint="eastAsia"/>
          <w:color w:val="000000"/>
          <w:lang w:val="en-US" w:eastAsia="zh-CN"/>
        </w:rPr>
        <w:t>顶升油缸安装在套架后侧的横梁上(即预装平衡臂的一侧)，液压泵站放在液压缸一侧的平台上，套架内侧有 16 个滚轮，顶升时滚轮支于塔身主弦杆外侧，起导向支承作用。为了便于顶升安装和安全需要，在顶升挂板上设有防脱装置。在套架上部、中部及下部位置设有平台及栏杆，顶升时，工作人员站在平台上，操纵液压系统，完成顶升、引入标准 节和打入连接销轴的工作。</w:t>
      </w:r>
    </w:p>
    <w:p w14:paraId="532327EB">
      <w:pPr>
        <w:pStyle w:val="5"/>
        <w:bidi w:val="0"/>
        <w:ind w:left="864" w:leftChars="0" w:hanging="864" w:firstLineChars="0"/>
        <w:rPr>
          <w:rFonts w:hint="default"/>
          <w:lang w:val="en-US" w:eastAsia="zh-CN"/>
        </w:rPr>
      </w:pPr>
      <w:r>
        <w:rPr>
          <w:rFonts w:hint="eastAsia"/>
          <w:lang w:val="en-US" w:eastAsia="zh-CN"/>
        </w:rPr>
        <w:t>安装套架平台</w:t>
      </w:r>
    </w:p>
    <w:p w14:paraId="246D30DB">
      <w:pPr>
        <w:ind w:firstLine="560"/>
        <w:rPr>
          <w:rFonts w:hint="eastAsia"/>
          <w:color w:val="000000"/>
          <w:lang w:val="en-US" w:eastAsia="zh-CN"/>
        </w:rPr>
      </w:pPr>
      <w:r>
        <w:rPr>
          <w:rFonts w:hint="eastAsia"/>
          <w:color w:val="000000"/>
          <w:lang w:val="en-US" w:eastAsia="zh-CN"/>
        </w:rPr>
        <w:t>爬升架装有2层含有扶手栏杆的平台：下层包括四个平台，即爬升架每面各一个。上层包括三个平台，即爬升架左右面各一个，后面也有一个，依靠爬梯连接上下两层平台。</w:t>
      </w:r>
    </w:p>
    <w:p w14:paraId="26628C5D">
      <w:pPr>
        <w:pageBreakBefore w:val="0"/>
        <w:shd w:val="clear"/>
        <w:kinsoku/>
        <w:wordWrap/>
        <w:overflowPunct/>
        <w:topLinePunct w:val="0"/>
        <w:autoSpaceDE/>
        <w:autoSpaceDN/>
        <w:bidi w:val="0"/>
        <w:spacing w:line="240" w:lineRule="auto"/>
        <w:ind w:firstLine="0" w:firstLineChars="0"/>
        <w:jc w:val="center"/>
        <w:textAlignment w:val="auto"/>
        <w:rPr>
          <w:highlight w:val="none"/>
        </w:rPr>
      </w:pPr>
      <w:r>
        <w:rPr>
          <w:highlight w:val="none"/>
        </w:rPr>
        <w:drawing>
          <wp:inline distT="0" distB="0" distL="114300" distR="114300">
            <wp:extent cx="3343275" cy="3552825"/>
            <wp:effectExtent l="0" t="0" r="9525" b="9525"/>
            <wp:docPr id="1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0"/>
                    <pic:cNvPicPr>
                      <a:picLocks noChangeAspect="1"/>
                    </pic:cNvPicPr>
                  </pic:nvPicPr>
                  <pic:blipFill>
                    <a:blip r:embed="rId88"/>
                    <a:stretch>
                      <a:fillRect/>
                    </a:stretch>
                  </pic:blipFill>
                  <pic:spPr>
                    <a:xfrm>
                      <a:off x="0" y="0"/>
                      <a:ext cx="3343275" cy="3552825"/>
                    </a:xfrm>
                    <a:prstGeom prst="rect">
                      <a:avLst/>
                    </a:prstGeom>
                    <a:noFill/>
                    <a:ln>
                      <a:noFill/>
                    </a:ln>
                  </pic:spPr>
                </pic:pic>
              </a:graphicData>
            </a:graphic>
          </wp:inline>
        </w:drawing>
      </w:r>
    </w:p>
    <w:p w14:paraId="19F1E81A">
      <w:pPr>
        <w:pStyle w:val="16"/>
        <w:pageBreakBefore w:val="0"/>
        <w:shd w:val="clear"/>
        <w:kinsoku/>
        <w:wordWrap/>
        <w:overflowPunct/>
        <w:topLinePunct w:val="0"/>
        <w:autoSpaceDE/>
        <w:autoSpaceDN/>
        <w:bidi w:val="0"/>
        <w:spacing w:line="240" w:lineRule="auto"/>
        <w:ind w:firstLine="0" w:firstLineChars="0"/>
        <w:jc w:val="center"/>
        <w:textAlignment w:val="auto"/>
        <w:rPr>
          <w:rFonts w:hint="default"/>
          <w:highlight w:val="none"/>
          <w:lang w:val="en-US" w:eastAsia="zh-CN"/>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default"/>
          <w:lang w:val="en-US" w:eastAsia="zh-CN"/>
        </w:rPr>
        <w:t>套架平台示意图</w:t>
      </w:r>
    </w:p>
    <w:p w14:paraId="18FF1BC3">
      <w:pPr>
        <w:pStyle w:val="5"/>
        <w:bidi w:val="0"/>
        <w:ind w:left="864" w:leftChars="0" w:hanging="864" w:firstLineChars="0"/>
        <w:rPr>
          <w:rFonts w:hint="default"/>
          <w:lang w:val="en-US" w:eastAsia="zh-CN"/>
        </w:rPr>
      </w:pPr>
      <w:r>
        <w:rPr>
          <w:rFonts w:hint="default"/>
          <w:lang w:val="en-US" w:eastAsia="zh-CN"/>
        </w:rPr>
        <w:t>安装套架爬梯</w:t>
      </w:r>
    </w:p>
    <w:p w14:paraId="67858FB6">
      <w:pPr>
        <w:ind w:firstLine="560"/>
        <w:rPr>
          <w:rFonts w:hint="eastAsia"/>
          <w:color w:val="000000"/>
          <w:lang w:val="en-US" w:eastAsia="zh-CN"/>
        </w:rPr>
      </w:pPr>
      <w:r>
        <w:rPr>
          <w:rFonts w:hint="eastAsia"/>
          <w:color w:val="000000"/>
          <w:lang w:val="en-US" w:eastAsia="zh-CN"/>
        </w:rPr>
        <w:t>将栏杆扶手（1）插入平台连接套（2）中，用弹簧销（3）将栏杆固定。相邻平台之间的栏杆用两块夹板（5）、螺栓和螺母（4、6）固定，最后将爬梯楔块（7）插入楔套（8）中，至销孔露出楔套，插入开口销（9）并充分打开。</w:t>
      </w:r>
    </w:p>
    <w:p w14:paraId="274885BF">
      <w:pPr>
        <w:pageBreakBefore w:val="0"/>
        <w:shd w:val="clear"/>
        <w:kinsoku/>
        <w:wordWrap/>
        <w:overflowPunct/>
        <w:topLinePunct w:val="0"/>
        <w:autoSpaceDE/>
        <w:autoSpaceDN/>
        <w:bidi w:val="0"/>
        <w:spacing w:line="240" w:lineRule="auto"/>
        <w:jc w:val="center"/>
        <w:textAlignment w:val="auto"/>
        <w:rPr>
          <w:highlight w:val="none"/>
        </w:rPr>
      </w:pPr>
      <w:r>
        <w:rPr>
          <w:highlight w:val="none"/>
        </w:rPr>
        <w:drawing>
          <wp:inline distT="0" distB="0" distL="114300" distR="114300">
            <wp:extent cx="5011420" cy="2704465"/>
            <wp:effectExtent l="0" t="0" r="17780" b="635"/>
            <wp:docPr id="1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1"/>
                    <pic:cNvPicPr>
                      <a:picLocks noChangeAspect="1"/>
                    </pic:cNvPicPr>
                  </pic:nvPicPr>
                  <pic:blipFill>
                    <a:blip r:embed="rId89"/>
                    <a:stretch>
                      <a:fillRect/>
                    </a:stretch>
                  </pic:blipFill>
                  <pic:spPr>
                    <a:xfrm>
                      <a:off x="0" y="0"/>
                      <a:ext cx="5011420" cy="2704465"/>
                    </a:xfrm>
                    <a:prstGeom prst="rect">
                      <a:avLst/>
                    </a:prstGeom>
                    <a:noFill/>
                    <a:ln>
                      <a:noFill/>
                    </a:ln>
                  </pic:spPr>
                </pic:pic>
              </a:graphicData>
            </a:graphic>
          </wp:inline>
        </w:drawing>
      </w:r>
    </w:p>
    <w:p w14:paraId="7A8DA989">
      <w:pPr>
        <w:pStyle w:val="16"/>
        <w:bidi w:val="0"/>
        <w:rPr>
          <w:rFonts w:hint="default"/>
          <w:lang w:val="en-US" w:eastAsia="zh-CN"/>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default"/>
          <w:lang w:val="en-US" w:eastAsia="zh-CN"/>
        </w:rPr>
        <w:t xml:space="preserve"> 套架爬梯安装示意图</w:t>
      </w:r>
    </w:p>
    <w:p w14:paraId="67E87B45">
      <w:pPr>
        <w:pStyle w:val="16"/>
        <w:pageBreakBefore w:val="0"/>
        <w:shd w:val="clear"/>
        <w:kinsoku/>
        <w:wordWrap/>
        <w:overflowPunct/>
        <w:topLinePunct w:val="0"/>
        <w:autoSpaceDE/>
        <w:autoSpaceDN/>
        <w:bidi w:val="0"/>
        <w:spacing w:line="240" w:lineRule="auto"/>
        <w:jc w:val="center"/>
        <w:textAlignment w:val="auto"/>
        <w:rPr>
          <w:rFonts w:hint="default"/>
          <w:highlight w:val="none"/>
          <w:lang w:val="en-US" w:eastAsia="zh-CN"/>
        </w:rPr>
      </w:pPr>
    </w:p>
    <w:p w14:paraId="46EB1A4D">
      <w:pPr>
        <w:pStyle w:val="5"/>
        <w:bidi w:val="0"/>
        <w:ind w:left="864" w:leftChars="0" w:hanging="864" w:firstLineChars="0"/>
        <w:rPr>
          <w:rFonts w:hint="default"/>
          <w:lang w:val="en-US" w:eastAsia="zh-CN"/>
        </w:rPr>
      </w:pPr>
      <w:r>
        <w:rPr>
          <w:rFonts w:hint="eastAsia"/>
          <w:lang w:val="en-US" w:eastAsia="zh-CN"/>
        </w:rPr>
        <w:t>安装顶升顶升油缸</w:t>
      </w:r>
    </w:p>
    <w:p w14:paraId="1D5BDA2C">
      <w:pPr>
        <w:ind w:firstLine="560"/>
        <w:rPr>
          <w:rFonts w:hint="eastAsia"/>
          <w:color w:val="000000"/>
          <w:lang w:val="en-US" w:eastAsia="zh-CN"/>
        </w:rPr>
      </w:pPr>
      <w:r>
        <w:rPr>
          <w:rFonts w:hint="eastAsia"/>
          <w:color w:val="000000"/>
          <w:lang w:val="en-US" w:eastAsia="zh-CN"/>
        </w:rPr>
        <w:t>将吊索绕在顶升横梁（1）上方销孔之间，使用双倍长的吊索以便能更好地引导横梁靠在塔身节的踏步上，将横梁精准定位，使其两侧挂靴挂在踏步上。如下图所示：</w:t>
      </w:r>
    </w:p>
    <w:p w14:paraId="25481D82">
      <w:pPr>
        <w:keepNext w:val="0"/>
        <w:keepLines w:val="0"/>
        <w:pageBreakBefore w:val="0"/>
        <w:widowControl w:val="0"/>
        <w:suppressLineNumbers w:val="0"/>
        <w:shd w:val="clear"/>
        <w:kinsoku/>
        <w:wordWrap/>
        <w:overflowPunct/>
        <w:topLinePunct w:val="0"/>
        <w:autoSpaceDE/>
        <w:autoSpaceDN/>
        <w:bidi w:val="0"/>
        <w:spacing w:line="240" w:lineRule="auto"/>
        <w:ind w:firstLine="0" w:firstLineChars="0"/>
        <w:jc w:val="center"/>
        <w:textAlignment w:val="auto"/>
        <w:rPr>
          <w:highlight w:val="none"/>
        </w:rPr>
      </w:pPr>
      <w:r>
        <w:rPr>
          <w:highlight w:val="none"/>
        </w:rPr>
        <w:drawing>
          <wp:inline distT="0" distB="0" distL="114300" distR="114300">
            <wp:extent cx="4486275" cy="3371215"/>
            <wp:effectExtent l="0" t="0" r="9525" b="635"/>
            <wp:docPr id="1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2"/>
                    <pic:cNvPicPr>
                      <a:picLocks noChangeAspect="1"/>
                    </pic:cNvPicPr>
                  </pic:nvPicPr>
                  <pic:blipFill>
                    <a:blip r:embed="rId90"/>
                    <a:stretch>
                      <a:fillRect/>
                    </a:stretch>
                  </pic:blipFill>
                  <pic:spPr>
                    <a:xfrm>
                      <a:off x="0" y="0"/>
                      <a:ext cx="4486275" cy="3371215"/>
                    </a:xfrm>
                    <a:prstGeom prst="rect">
                      <a:avLst/>
                    </a:prstGeom>
                    <a:noFill/>
                    <a:ln>
                      <a:noFill/>
                    </a:ln>
                  </pic:spPr>
                </pic:pic>
              </a:graphicData>
            </a:graphic>
          </wp:inline>
        </w:drawing>
      </w:r>
    </w:p>
    <w:p w14:paraId="7105D519">
      <w:pPr>
        <w:pStyle w:val="16"/>
        <w:bidi w:val="0"/>
        <w:rPr>
          <w:rFonts w:hint="eastAsia"/>
          <w:lang w:val="en-US" w:eastAsia="zh-CN"/>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lang w:val="en-US" w:eastAsia="zh-CN"/>
        </w:rPr>
        <w:t xml:space="preserve"> 顶升横梁安装示意图</w:t>
      </w:r>
    </w:p>
    <w:p w14:paraId="5D776386">
      <w:pPr>
        <w:pStyle w:val="16"/>
        <w:keepNext w:val="0"/>
        <w:keepLines w:val="0"/>
        <w:pageBreakBefore w:val="0"/>
        <w:widowControl w:val="0"/>
        <w:suppressLineNumbers w:val="0"/>
        <w:shd w:val="clear"/>
        <w:kinsoku/>
        <w:wordWrap/>
        <w:overflowPunct/>
        <w:topLinePunct w:val="0"/>
        <w:autoSpaceDE/>
        <w:autoSpaceDN/>
        <w:bidi w:val="0"/>
        <w:spacing w:line="240" w:lineRule="auto"/>
        <w:ind w:firstLine="0" w:firstLineChars="0"/>
        <w:jc w:val="center"/>
        <w:textAlignment w:val="auto"/>
        <w:rPr>
          <w:highlight w:val="none"/>
        </w:rPr>
      </w:pPr>
    </w:p>
    <w:p w14:paraId="1D220A09">
      <w:pPr>
        <w:ind w:firstLine="560"/>
        <w:rPr>
          <w:rFonts w:hint="eastAsia"/>
          <w:color w:val="000000"/>
          <w:lang w:val="en-US" w:eastAsia="zh-CN"/>
        </w:rPr>
      </w:pPr>
      <w:r>
        <w:rPr>
          <w:rFonts w:hint="eastAsia"/>
          <w:color w:val="000000"/>
          <w:lang w:val="en-US" w:eastAsia="zh-CN"/>
        </w:rPr>
        <w:t>将吊索绕至油缸（1）。将油缸上方固定在爬升架耳板上，并用销轴（2）和开口销（3）固定。伸出油缸，然后将活塞杆固定在顶升横梁耳板上，并用销轴（4）和开口销（5）固定，如下图所示：</w:t>
      </w:r>
    </w:p>
    <w:p w14:paraId="5ADDA7CD">
      <w:pPr>
        <w:keepNext w:val="0"/>
        <w:keepLines w:val="0"/>
        <w:pageBreakBefore w:val="0"/>
        <w:widowControl w:val="0"/>
        <w:suppressLineNumbers w:val="0"/>
        <w:shd w:val="clear"/>
        <w:kinsoku/>
        <w:wordWrap/>
        <w:overflowPunct/>
        <w:topLinePunct w:val="0"/>
        <w:autoSpaceDE/>
        <w:autoSpaceDN/>
        <w:bidi w:val="0"/>
        <w:spacing w:line="240" w:lineRule="auto"/>
        <w:ind w:firstLine="0" w:firstLineChars="0"/>
        <w:jc w:val="center"/>
        <w:textAlignment w:val="auto"/>
        <w:rPr>
          <w:highlight w:val="none"/>
        </w:rPr>
      </w:pPr>
      <w:r>
        <w:rPr>
          <w:highlight w:val="none"/>
        </w:rPr>
        <w:drawing>
          <wp:inline distT="0" distB="0" distL="114300" distR="114300">
            <wp:extent cx="3696335" cy="2938780"/>
            <wp:effectExtent l="0" t="0" r="18415" b="13970"/>
            <wp:docPr id="1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3"/>
                    <pic:cNvPicPr>
                      <a:picLocks noChangeAspect="1"/>
                    </pic:cNvPicPr>
                  </pic:nvPicPr>
                  <pic:blipFill>
                    <a:blip r:embed="rId91"/>
                    <a:stretch>
                      <a:fillRect/>
                    </a:stretch>
                  </pic:blipFill>
                  <pic:spPr>
                    <a:xfrm>
                      <a:off x="0" y="0"/>
                      <a:ext cx="3696335" cy="2938780"/>
                    </a:xfrm>
                    <a:prstGeom prst="rect">
                      <a:avLst/>
                    </a:prstGeom>
                    <a:noFill/>
                    <a:ln>
                      <a:noFill/>
                    </a:ln>
                  </pic:spPr>
                </pic:pic>
              </a:graphicData>
            </a:graphic>
          </wp:inline>
        </w:drawing>
      </w:r>
    </w:p>
    <w:p w14:paraId="14A967B2">
      <w:pPr>
        <w:pStyle w:val="16"/>
        <w:bidi w:val="0"/>
        <w:rPr>
          <w:rFonts w:hint="default"/>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4</w:t>
      </w:r>
      <w:r>
        <w:fldChar w:fldCharType="end"/>
      </w:r>
      <w:r>
        <w:rPr>
          <w:rFonts w:hint="eastAsia"/>
          <w:lang w:val="en-US" w:eastAsia="zh-CN"/>
        </w:rPr>
        <w:t xml:space="preserve"> </w:t>
      </w:r>
      <w:r>
        <w:rPr>
          <w:rFonts w:hint="default"/>
          <w:lang w:val="en-US" w:eastAsia="zh-CN"/>
        </w:rPr>
        <w:t>油缸安装示意图</w:t>
      </w:r>
    </w:p>
    <w:p w14:paraId="41AC7AFA">
      <w:pPr>
        <w:pStyle w:val="5"/>
        <w:bidi w:val="0"/>
        <w:ind w:left="864" w:leftChars="0" w:hanging="864" w:firstLineChars="0"/>
        <w:rPr>
          <w:rFonts w:hint="default"/>
          <w:lang w:val="en-US" w:eastAsia="zh-CN"/>
        </w:rPr>
      </w:pPr>
      <w:r>
        <w:rPr>
          <w:rFonts w:hint="eastAsia"/>
          <w:lang w:val="en-US" w:eastAsia="zh-CN"/>
        </w:rPr>
        <w:t>安装套架</w:t>
      </w:r>
    </w:p>
    <w:p w14:paraId="7C4D354E">
      <w:pPr>
        <w:ind w:firstLine="560"/>
        <w:rPr>
          <w:rFonts w:hint="eastAsia"/>
          <w:color w:val="000000"/>
          <w:lang w:val="en-US" w:eastAsia="zh-CN"/>
        </w:rPr>
      </w:pPr>
      <w:r>
        <w:rPr>
          <w:rFonts w:hint="eastAsia"/>
          <w:color w:val="000000"/>
          <w:lang w:val="en-US" w:eastAsia="zh-CN"/>
        </w:rPr>
        <w:t>采用吊机配合人工在地面上将套架架体、平台、顶升横梁、油缸及液压站等拼装成整体，</w:t>
      </w:r>
      <w:r>
        <w:rPr>
          <w:rFonts w:hint="eastAsia"/>
          <w:color w:val="000000"/>
        </w:rPr>
        <w:t>使用</w:t>
      </w:r>
      <w:r>
        <w:rPr>
          <w:rFonts w:hint="eastAsia"/>
          <w:color w:val="000000"/>
          <w:lang w:val="en-US" w:eastAsia="zh-CN"/>
        </w:rPr>
        <w:t>50</w:t>
      </w:r>
      <w:r>
        <w:rPr>
          <w:rFonts w:hint="eastAsia"/>
          <w:color w:val="000000"/>
          <w:lang w:eastAsia="zh-CN"/>
        </w:rPr>
        <w:t>T</w:t>
      </w:r>
      <w:r>
        <w:rPr>
          <w:rFonts w:hint="eastAsia"/>
          <w:color w:val="000000"/>
        </w:rPr>
        <w:t>汽车吊</w:t>
      </w:r>
      <w:r>
        <w:rPr>
          <w:rFonts w:hint="eastAsia"/>
          <w:color w:val="000000"/>
          <w:lang w:val="en-US" w:eastAsia="zh-CN"/>
        </w:rPr>
        <w:t>，套架吊装采用四点吊，以套架顶部四个销轴孔作为吊装孔，采用4根22mm6×19W+IWR1870Mpa的钢丝绳配套GB/T 25854-6-DW5卸扣进行吊装。</w:t>
      </w:r>
    </w:p>
    <w:p w14:paraId="1197995B">
      <w:pPr>
        <w:ind w:firstLine="560"/>
        <w:rPr>
          <w:rFonts w:hint="eastAsia"/>
          <w:color w:val="000000"/>
          <w:lang w:val="en-US" w:eastAsia="zh-CN"/>
        </w:rPr>
      </w:pPr>
      <w:r>
        <w:rPr>
          <w:rFonts w:hint="eastAsia"/>
          <w:color w:val="000000"/>
          <w:lang w:val="en-US" w:eastAsia="zh-CN"/>
        </w:rPr>
        <w:t>作业人员在地面上先将钢丝绳一端挂在吊机吊钩，另一端与卸扣连接，卸扣与吊装孔连接，并在套架立杆上栓好2根溜绳。启动吊机，将套架缓慢提升，用溜绳控制其摆动。起吊套架至基础节上方，吊机缓慢落钩，将套架套入基础节，作业人员通过爬梯爬至基础节对应的套架爬爪处，将安全带系挂在基础节横杆上，将爬爪放在基础节踏步上，并通过安全销固定。套架吊装示意如下图所示。</w:t>
      </w:r>
    </w:p>
    <w:p w14:paraId="363328A8">
      <w:pPr>
        <w:pageBreakBefore w:val="0"/>
        <w:shd w:val="clear"/>
        <w:kinsoku/>
        <w:wordWrap/>
        <w:overflowPunct/>
        <w:topLinePunct w:val="0"/>
        <w:autoSpaceDE/>
        <w:autoSpaceDN/>
        <w:bidi w:val="0"/>
        <w:spacing w:line="240" w:lineRule="auto"/>
        <w:jc w:val="center"/>
        <w:textAlignment w:val="auto"/>
      </w:pPr>
      <w:r>
        <w:drawing>
          <wp:inline distT="0" distB="0" distL="114300" distR="114300">
            <wp:extent cx="4785995" cy="3348355"/>
            <wp:effectExtent l="0" t="0" r="14605" b="4445"/>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86"/>
                    <a:stretch>
                      <a:fillRect/>
                    </a:stretch>
                  </pic:blipFill>
                  <pic:spPr>
                    <a:xfrm>
                      <a:off x="0" y="0"/>
                      <a:ext cx="4785995" cy="3348355"/>
                    </a:xfrm>
                    <a:prstGeom prst="rect">
                      <a:avLst/>
                    </a:prstGeom>
                    <a:noFill/>
                    <a:ln>
                      <a:noFill/>
                    </a:ln>
                  </pic:spPr>
                </pic:pic>
              </a:graphicData>
            </a:graphic>
          </wp:inline>
        </w:drawing>
      </w:r>
    </w:p>
    <w:p w14:paraId="0B12BA49">
      <w:pPr>
        <w:pStyle w:val="16"/>
        <w:pageBreakBefore w:val="0"/>
        <w:shd w:val="clear"/>
        <w:kinsoku/>
        <w:wordWrap/>
        <w:overflowPunct/>
        <w:topLinePunct w:val="0"/>
        <w:autoSpaceDE/>
        <w:autoSpaceDN/>
        <w:bidi w:val="0"/>
        <w:spacing w:line="240" w:lineRule="auto"/>
        <w:jc w:val="center"/>
        <w:textAlignment w:val="auto"/>
        <w:rPr>
          <w:rFonts w:hint="eastAsia"/>
          <w:lang w:val="en-US" w:eastAsia="zh-CN"/>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5</w:t>
      </w:r>
      <w:r>
        <w:fldChar w:fldCharType="end"/>
      </w:r>
      <w:r>
        <w:rPr>
          <w:rFonts w:hint="eastAsia"/>
          <w:lang w:val="en-US" w:eastAsia="zh-CN"/>
        </w:rPr>
        <w:t xml:space="preserve"> 套架吊装平面示意图</w:t>
      </w:r>
    </w:p>
    <w:p w14:paraId="43BA5C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2486025" cy="4314825"/>
            <wp:effectExtent l="0" t="0" r="9525" b="9525"/>
            <wp:docPr id="1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1"/>
                    <pic:cNvPicPr>
                      <a:picLocks noChangeAspect="1"/>
                    </pic:cNvPicPr>
                  </pic:nvPicPr>
                  <pic:blipFill>
                    <a:blip r:embed="rId92"/>
                    <a:stretch>
                      <a:fillRect/>
                    </a:stretch>
                  </pic:blipFill>
                  <pic:spPr>
                    <a:xfrm>
                      <a:off x="0" y="0"/>
                      <a:ext cx="2486025" cy="4314825"/>
                    </a:xfrm>
                    <a:prstGeom prst="rect">
                      <a:avLst/>
                    </a:prstGeom>
                    <a:noFill/>
                    <a:ln>
                      <a:noFill/>
                    </a:ln>
                  </pic:spPr>
                </pic:pic>
              </a:graphicData>
            </a:graphic>
          </wp:inline>
        </w:drawing>
      </w:r>
    </w:p>
    <w:p w14:paraId="23C66CD0">
      <w:pPr>
        <w:pStyle w:val="16"/>
        <w:pageBreakBefore w:val="0"/>
        <w:shd w:val="clear"/>
        <w:kinsoku/>
        <w:wordWrap/>
        <w:overflowPunct/>
        <w:topLinePunct w:val="0"/>
        <w:autoSpaceDE/>
        <w:autoSpaceDN/>
        <w:bidi w:val="0"/>
        <w:spacing w:line="240" w:lineRule="auto"/>
        <w:jc w:val="center"/>
        <w:textAlignment w:val="auto"/>
        <w:rPr>
          <w:rFonts w:hint="eastAsia"/>
          <w:lang w:val="en-US" w:eastAsia="zh-CN"/>
        </w:rPr>
      </w:pPr>
      <w:r>
        <w:t xml:space="preserve">图 </w:t>
      </w:r>
      <w:r>
        <w:fldChar w:fldCharType="begin"/>
      </w:r>
      <w:r>
        <w:instrText xml:space="preserve"> STYLEREF 3 \s </w:instrText>
      </w:r>
      <w:r>
        <w:fldChar w:fldCharType="separate"/>
      </w:r>
      <w:r>
        <w:t>6.1.4</w:t>
      </w:r>
      <w:r>
        <w:fldChar w:fldCharType="end"/>
      </w:r>
      <w:r>
        <w:rPr>
          <w:rFonts w:hint="eastAsia"/>
          <w:lang w:eastAsia="zh-CN"/>
        </w:rPr>
        <w:t>-</w:t>
      </w:r>
      <w:r>
        <w:fldChar w:fldCharType="begin"/>
      </w:r>
      <w:r>
        <w:instrText xml:space="preserve"> SEQ 图 \* ARABIC \s 3 </w:instrText>
      </w:r>
      <w:r>
        <w:fldChar w:fldCharType="separate"/>
      </w:r>
      <w:r>
        <w:t>6</w:t>
      </w:r>
      <w:r>
        <w:fldChar w:fldCharType="end"/>
      </w:r>
      <w:r>
        <w:rPr>
          <w:rFonts w:hint="eastAsia"/>
          <w:lang w:val="en-US" w:eastAsia="zh-CN"/>
        </w:rPr>
        <w:t xml:space="preserve"> 套架吊装立面示意图</w:t>
      </w:r>
    </w:p>
    <w:p w14:paraId="7A8DB58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作业人员通过爬梯爬至套架顶部，将安全带系挂在套架顶部的横杆上，站立在套架顶部的平台上，吊机放松吊钩，作业人员解除卸扣与套架的连接。</w:t>
      </w:r>
    </w:p>
    <w:p w14:paraId="0987AD3C">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塔吊套架安装时设置警戒区，起吊安排专人负责指挥，专人操作，严禁无关人员进入起重作业范围内。</w:t>
      </w:r>
    </w:p>
    <w:p w14:paraId="39F59C99">
      <w:pPr>
        <w:pStyle w:val="4"/>
        <w:bidi w:val="0"/>
        <w:ind w:left="720" w:leftChars="0" w:hanging="720" w:firstLineChars="0"/>
        <w:rPr>
          <w:rFonts w:hint="eastAsia"/>
          <w:lang w:val="en-US" w:eastAsia="zh-CN"/>
        </w:rPr>
      </w:pPr>
      <w:r>
        <w:rPr>
          <w:rFonts w:hint="eastAsia"/>
          <w:lang w:val="en-US" w:eastAsia="zh-CN"/>
        </w:rPr>
        <w:t>安装回转总成</w:t>
      </w:r>
    </w:p>
    <w:p w14:paraId="53651ABB">
      <w:pPr>
        <w:ind w:firstLine="560"/>
        <w:rPr>
          <w:rFonts w:hint="eastAsia"/>
          <w:color w:val="000000"/>
          <w:lang w:val="en-US" w:eastAsia="zh-CN"/>
        </w:rPr>
      </w:pPr>
      <w:r>
        <w:rPr>
          <w:rFonts w:hint="eastAsia"/>
          <w:color w:val="000000"/>
          <w:lang w:val="en-US" w:eastAsia="zh-CN"/>
        </w:rPr>
        <w:t>采用吊机配合人工在地面上将回转支座、回转限位器、司机室和维修平台等拼装成回转总成，回转总成吊装采用四点吊，以回转总成顶部四个销轴孔作为吊装孔，采用4根22mm6×19W+IWR1870Mpa的钢丝绳配套GB/T 25854-6-DW5卸扣进行吊装。</w:t>
      </w:r>
    </w:p>
    <w:p w14:paraId="3D3CB5CA">
      <w:pPr>
        <w:ind w:firstLine="560"/>
        <w:rPr>
          <w:rFonts w:hint="eastAsia"/>
          <w:color w:val="000000"/>
          <w:lang w:val="en-US" w:eastAsia="zh-CN"/>
        </w:rPr>
      </w:pPr>
      <w:r>
        <w:rPr>
          <w:rFonts w:hint="eastAsia"/>
          <w:color w:val="000000"/>
          <w:lang w:val="en-US" w:eastAsia="zh-CN"/>
        </w:rPr>
        <w:t>（1）检查回转支承上 10.9 级 M27 的高强螺栓的预紧力矩是否达 1215N·m，且防松螺母的预紧力矩稍大于或等于 1215N·m。</w:t>
      </w:r>
    </w:p>
    <w:p w14:paraId="7F72ADF1">
      <w:pPr>
        <w:ind w:firstLine="560"/>
        <w:rPr>
          <w:rFonts w:hint="eastAsia"/>
          <w:color w:val="000000"/>
          <w:lang w:val="en-US" w:eastAsia="zh-CN"/>
        </w:rPr>
      </w:pPr>
      <w:r>
        <w:rPr>
          <w:rFonts w:hint="eastAsia"/>
          <w:color w:val="000000"/>
          <w:lang w:val="en-US" w:eastAsia="zh-CN"/>
        </w:rPr>
        <w:t>（2）作业人员在地面上先将钢丝绳一端挂在吊机吊钩，另一端与卸扣连接，卸扣与吊装孔连接，并在回转总成上栓好2根溜绳。启动吊机，将回转总成缓慢提升，用溜绳控制其摆动。起吊回转总成至标准节上方，吊机缓慢落钩，直至回转总成下支座销轴孔与标准节轴孔对齐，将安全带系挂在标准节的横杆上，站立在标准节顶部的平台上，插入标准节与回转总成下支座的连接销轴，完成回转总成与标准节的连接。</w:t>
      </w:r>
    </w:p>
    <w:p w14:paraId="6D4D76B7">
      <w:pPr>
        <w:pageBreakBefore w:val="0"/>
        <w:shd w:val="clear"/>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auto"/>
          <w:kern w:val="2"/>
          <w:sz w:val="24"/>
          <w:szCs w:val="21"/>
          <w:highlight w:val="none"/>
          <w:lang w:val="en-US" w:eastAsia="zh-CN" w:bidi="ar-SA"/>
        </w:rPr>
      </w:pPr>
    </w:p>
    <w:p w14:paraId="35701D9B">
      <w:pPr>
        <w:pStyle w:val="14"/>
        <w:pageBreakBefore w:val="0"/>
        <w:shd w:val="clear"/>
        <w:kinsoku/>
        <w:wordWrap/>
        <w:overflowPunct/>
        <w:topLinePunct w:val="0"/>
        <w:autoSpaceDE/>
        <w:autoSpaceDN/>
        <w:bidi w:val="0"/>
        <w:spacing w:line="240" w:lineRule="auto"/>
        <w:jc w:val="center"/>
        <w:textAlignment w:val="auto"/>
      </w:pPr>
      <w:r>
        <w:drawing>
          <wp:inline distT="0" distB="0" distL="114300" distR="114300">
            <wp:extent cx="4785995" cy="3348355"/>
            <wp:effectExtent l="0" t="0" r="14605" b="4445"/>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86"/>
                    <a:stretch>
                      <a:fillRect/>
                    </a:stretch>
                  </pic:blipFill>
                  <pic:spPr>
                    <a:xfrm>
                      <a:off x="0" y="0"/>
                      <a:ext cx="4785995" cy="3348355"/>
                    </a:xfrm>
                    <a:prstGeom prst="rect">
                      <a:avLst/>
                    </a:prstGeom>
                    <a:noFill/>
                    <a:ln>
                      <a:noFill/>
                    </a:ln>
                  </pic:spPr>
                </pic:pic>
              </a:graphicData>
            </a:graphic>
          </wp:inline>
        </w:drawing>
      </w:r>
    </w:p>
    <w:p w14:paraId="5AC8E486">
      <w:pPr>
        <w:pStyle w:val="16"/>
        <w:bidi w:val="0"/>
        <w:rPr>
          <w:rFonts w:hint="eastAsia"/>
          <w:lang w:val="en-US" w:eastAsia="zh-CN"/>
        </w:rPr>
      </w:pPr>
      <w:r>
        <w:t xml:space="preserve">图 </w:t>
      </w:r>
      <w:r>
        <w:fldChar w:fldCharType="begin"/>
      </w:r>
      <w:r>
        <w:instrText xml:space="preserve"> STYLEREF 3 \s </w:instrText>
      </w:r>
      <w:r>
        <w:fldChar w:fldCharType="separate"/>
      </w:r>
      <w:r>
        <w:t>6.1.5</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塔吊回转总成吊装平面示意图</w:t>
      </w:r>
    </w:p>
    <w:p w14:paraId="622394AB">
      <w:pPr>
        <w:pStyle w:val="16"/>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pPr>
      <w:r>
        <w:drawing>
          <wp:inline distT="0" distB="0" distL="114300" distR="114300">
            <wp:extent cx="2733675" cy="4371975"/>
            <wp:effectExtent l="0" t="0" r="9525" b="9525"/>
            <wp:docPr id="1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2"/>
                    <pic:cNvPicPr>
                      <a:picLocks noChangeAspect="1"/>
                    </pic:cNvPicPr>
                  </pic:nvPicPr>
                  <pic:blipFill>
                    <a:blip r:embed="rId93"/>
                    <a:stretch>
                      <a:fillRect/>
                    </a:stretch>
                  </pic:blipFill>
                  <pic:spPr>
                    <a:xfrm>
                      <a:off x="0" y="0"/>
                      <a:ext cx="2733675" cy="4371975"/>
                    </a:xfrm>
                    <a:prstGeom prst="rect">
                      <a:avLst/>
                    </a:prstGeom>
                    <a:noFill/>
                    <a:ln>
                      <a:noFill/>
                    </a:ln>
                  </pic:spPr>
                </pic:pic>
              </a:graphicData>
            </a:graphic>
          </wp:inline>
        </w:drawing>
      </w:r>
    </w:p>
    <w:p w14:paraId="2DEF8E46">
      <w:pPr>
        <w:pStyle w:val="16"/>
        <w:bidi w:val="0"/>
        <w:rPr>
          <w:rFonts w:hint="eastAsia"/>
          <w:lang w:val="en-US" w:eastAsia="zh-CN"/>
        </w:rPr>
      </w:pPr>
      <w:r>
        <w:t xml:space="preserve">图 </w:t>
      </w:r>
      <w:r>
        <w:fldChar w:fldCharType="begin"/>
      </w:r>
      <w:r>
        <w:instrText xml:space="preserve"> STYLEREF 3 \s </w:instrText>
      </w:r>
      <w:r>
        <w:fldChar w:fldCharType="separate"/>
      </w:r>
      <w:r>
        <w:t>6.1.5</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塔吊回转总成吊装立面示意图</w:t>
      </w:r>
    </w:p>
    <w:p w14:paraId="60A63878">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作业人员通过爬梯爬至回转总成顶部，将安全带系挂在回转总成顶部的横杆上，站立在回转总成顶部，吊机放松吊钩，作业人员解除卸扣与回转总成的连接。</w:t>
      </w:r>
    </w:p>
    <w:p w14:paraId="76C5A87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塔吊回转总成安装时设置警戒区，起吊安排专人负责指挥，专人操作，严禁无关人员进入起重作业范围内。</w:t>
      </w:r>
    </w:p>
    <w:p w14:paraId="3BDD00DE">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注意：为了方便回转支承注油和螺栓紧固，下支座上设计有维修吊篮，此吊篮仅供维保时使用，正常的工作时务必取下放置在</w:t>
      </w:r>
      <w:r>
        <w:rPr>
          <w:rFonts w:hint="eastAsia" w:ascii="宋体" w:hAnsi="宋体" w:cs="宋体"/>
          <w:color w:val="000000"/>
          <w:kern w:val="0"/>
          <w:sz w:val="28"/>
          <w:szCs w:val="24"/>
          <w:lang w:val="en-US" w:eastAsia="zh-CN" w:bidi="ar-SA"/>
        </w:rPr>
        <w:t>标准节</w:t>
      </w:r>
      <w:r>
        <w:rPr>
          <w:rFonts w:hint="eastAsia" w:ascii="宋体" w:hAnsi="宋体" w:eastAsia="仿宋" w:cs="宋体"/>
          <w:color w:val="000000"/>
          <w:kern w:val="0"/>
          <w:sz w:val="28"/>
          <w:szCs w:val="24"/>
          <w:lang w:val="en-US" w:eastAsia="zh-CN" w:bidi="ar-SA"/>
        </w:rPr>
        <w:t>平台上，否则将导致回转时司机室与该吊篮干涉。</w:t>
      </w:r>
    </w:p>
    <w:p w14:paraId="4963D986">
      <w:pPr>
        <w:pStyle w:val="4"/>
        <w:bidi w:val="0"/>
        <w:ind w:left="720" w:leftChars="0" w:hanging="720" w:firstLineChars="0"/>
        <w:rPr>
          <w:rFonts w:hint="eastAsia"/>
          <w:lang w:val="en-US" w:eastAsia="zh-CN"/>
        </w:rPr>
      </w:pPr>
      <w:r>
        <w:rPr>
          <w:rFonts w:hint="eastAsia"/>
          <w:lang w:val="en-US" w:eastAsia="zh-CN"/>
        </w:rPr>
        <w:t>安装回转塔身</w:t>
      </w:r>
    </w:p>
    <w:p w14:paraId="5A551199">
      <w:pPr>
        <w:ind w:firstLine="560"/>
        <w:rPr>
          <w:rFonts w:hint="default"/>
          <w:color w:val="000000"/>
          <w:lang w:val="en-US" w:eastAsia="zh-CN"/>
        </w:rPr>
      </w:pPr>
      <w:r>
        <w:rPr>
          <w:rFonts w:hint="eastAsia"/>
          <w:color w:val="000000"/>
          <w:lang w:val="en-US" w:eastAsia="zh-CN"/>
        </w:rPr>
        <w:t>选择好吊点，将回转塔身垂直吊起放入回转上支座的耳座中并用销轴和开口销连接牢。</w:t>
      </w:r>
    </w:p>
    <w:p w14:paraId="3C8ABB2B">
      <w:pPr>
        <w:rPr>
          <w:rFonts w:hint="eastAsia"/>
          <w:lang w:val="en-US" w:eastAsia="zh-CN"/>
        </w:rPr>
      </w:pPr>
    </w:p>
    <w:p w14:paraId="51AE6913">
      <w:pPr>
        <w:pageBreakBefore w:val="0"/>
        <w:shd w:val="clear"/>
        <w:kinsoku/>
        <w:wordWrap/>
        <w:overflowPunct/>
        <w:topLinePunct w:val="0"/>
        <w:autoSpaceDE/>
        <w:autoSpaceDN/>
        <w:bidi w:val="0"/>
        <w:spacing w:line="240" w:lineRule="auto"/>
        <w:jc w:val="center"/>
        <w:textAlignment w:val="auto"/>
      </w:pPr>
      <w:r>
        <w:drawing>
          <wp:inline distT="0" distB="0" distL="114300" distR="114300">
            <wp:extent cx="1457325" cy="4143375"/>
            <wp:effectExtent l="0" t="0" r="9525" b="952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94"/>
                    <a:stretch>
                      <a:fillRect/>
                    </a:stretch>
                  </pic:blipFill>
                  <pic:spPr>
                    <a:xfrm>
                      <a:off x="0" y="0"/>
                      <a:ext cx="1457325" cy="4143375"/>
                    </a:xfrm>
                    <a:prstGeom prst="rect">
                      <a:avLst/>
                    </a:prstGeom>
                    <a:noFill/>
                    <a:ln>
                      <a:noFill/>
                    </a:ln>
                  </pic:spPr>
                </pic:pic>
              </a:graphicData>
            </a:graphic>
          </wp:inline>
        </w:drawing>
      </w:r>
      <w:r>
        <w:drawing>
          <wp:inline distT="0" distB="0" distL="114300" distR="114300">
            <wp:extent cx="2705100" cy="4191000"/>
            <wp:effectExtent l="0" t="0" r="0" b="0"/>
            <wp:docPr id="1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3"/>
                    <pic:cNvPicPr>
                      <a:picLocks noChangeAspect="1"/>
                    </pic:cNvPicPr>
                  </pic:nvPicPr>
                  <pic:blipFill>
                    <a:blip r:embed="rId95"/>
                    <a:stretch>
                      <a:fillRect/>
                    </a:stretch>
                  </pic:blipFill>
                  <pic:spPr>
                    <a:xfrm>
                      <a:off x="0" y="0"/>
                      <a:ext cx="2705100" cy="4191000"/>
                    </a:xfrm>
                    <a:prstGeom prst="rect">
                      <a:avLst/>
                    </a:prstGeom>
                    <a:noFill/>
                    <a:ln>
                      <a:noFill/>
                    </a:ln>
                  </pic:spPr>
                </pic:pic>
              </a:graphicData>
            </a:graphic>
          </wp:inline>
        </w:drawing>
      </w:r>
      <w:r>
        <w:drawing>
          <wp:inline distT="0" distB="0" distL="114300" distR="114300">
            <wp:extent cx="3833495" cy="2682240"/>
            <wp:effectExtent l="0" t="0" r="14605" b="381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86"/>
                    <a:stretch>
                      <a:fillRect/>
                    </a:stretch>
                  </pic:blipFill>
                  <pic:spPr>
                    <a:xfrm>
                      <a:off x="0" y="0"/>
                      <a:ext cx="3833495" cy="2682240"/>
                    </a:xfrm>
                    <a:prstGeom prst="rect">
                      <a:avLst/>
                    </a:prstGeom>
                    <a:noFill/>
                    <a:ln>
                      <a:noFill/>
                    </a:ln>
                  </pic:spPr>
                </pic:pic>
              </a:graphicData>
            </a:graphic>
          </wp:inline>
        </w:drawing>
      </w:r>
    </w:p>
    <w:p w14:paraId="0E2F9EE4">
      <w:pPr>
        <w:pStyle w:val="16"/>
        <w:bidi w:val="0"/>
        <w:rPr>
          <w:rFonts w:hint="eastAsia"/>
          <w:b w:val="0"/>
          <w:bCs/>
          <w:highlight w:val="none"/>
          <w:lang w:val="en-US" w:eastAsia="zh-CN"/>
        </w:rPr>
      </w:pPr>
      <w:r>
        <w:t xml:space="preserve">图 </w:t>
      </w:r>
      <w:r>
        <w:fldChar w:fldCharType="begin"/>
      </w:r>
      <w:r>
        <w:instrText xml:space="preserve"> STYLEREF 3 \s </w:instrText>
      </w:r>
      <w:r>
        <w:fldChar w:fldCharType="separate"/>
      </w:r>
      <w:r>
        <w:t>6.1.6</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eastAsia" w:ascii="Times New Roman" w:hAnsi="Times New Roman" w:eastAsia="宋体" w:cstheme="majorBidi"/>
          <w:b w:val="0"/>
          <w:bCs/>
          <w:kern w:val="2"/>
          <w:sz w:val="21"/>
          <w:szCs w:val="20"/>
          <w:highlight w:val="none"/>
          <w:lang w:val="en-US" w:eastAsia="zh-CN" w:bidi="ar-SA"/>
        </w:rPr>
        <w:t>塔吊回转</w:t>
      </w:r>
      <w:r>
        <w:rPr>
          <w:rFonts w:hint="eastAsia" w:cstheme="majorBidi"/>
          <w:b w:val="0"/>
          <w:bCs/>
          <w:kern w:val="2"/>
          <w:sz w:val="21"/>
          <w:szCs w:val="20"/>
          <w:highlight w:val="none"/>
          <w:lang w:val="en-US" w:eastAsia="zh-CN" w:bidi="ar-SA"/>
        </w:rPr>
        <w:t>塔身</w:t>
      </w:r>
      <w:r>
        <w:rPr>
          <w:rFonts w:hint="eastAsia" w:ascii="Times New Roman" w:hAnsi="Times New Roman" w:eastAsia="宋体" w:cstheme="majorBidi"/>
          <w:b w:val="0"/>
          <w:bCs/>
          <w:kern w:val="2"/>
          <w:sz w:val="21"/>
          <w:szCs w:val="20"/>
          <w:highlight w:val="none"/>
          <w:lang w:val="en-US" w:eastAsia="zh-CN" w:bidi="ar-SA"/>
        </w:rPr>
        <w:t>吊装示意图</w:t>
      </w:r>
    </w:p>
    <w:p w14:paraId="6D3F97CF">
      <w:pPr>
        <w:pStyle w:val="4"/>
        <w:bidi w:val="0"/>
        <w:ind w:left="720" w:leftChars="0" w:hanging="720" w:firstLineChars="0"/>
        <w:rPr>
          <w:rFonts w:hint="eastAsia"/>
          <w:lang w:val="en-US" w:eastAsia="zh-CN"/>
        </w:rPr>
      </w:pPr>
      <w:r>
        <w:rPr>
          <w:rFonts w:hint="eastAsia"/>
          <w:lang w:val="en-US" w:eastAsia="zh-CN"/>
        </w:rPr>
        <w:t>安装起重臂一、二、三</w:t>
      </w:r>
    </w:p>
    <w:p w14:paraId="6C231A5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待起重臂的地面拼装完成后，检查起重臂上的变幅机构、电路走线等是否完善，使用回转机构的临时电源将塔机上部结构回转至便于安装起重臂的方位。</w:t>
      </w:r>
    </w:p>
    <w:p w14:paraId="2A9033BC">
      <w:pPr>
        <w:keepNext w:val="0"/>
        <w:keepLines w:val="0"/>
        <w:pageBreakBefore w:val="0"/>
        <w:widowControl/>
        <w:suppressLineNumbers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1706880" cy="2516505"/>
            <wp:effectExtent l="0" t="0" r="7620" b="17145"/>
            <wp:docPr id="1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4"/>
                    <pic:cNvPicPr>
                      <a:picLocks noChangeAspect="1"/>
                    </pic:cNvPicPr>
                  </pic:nvPicPr>
                  <pic:blipFill>
                    <a:blip r:embed="rId96"/>
                    <a:stretch>
                      <a:fillRect/>
                    </a:stretch>
                  </pic:blipFill>
                  <pic:spPr>
                    <a:xfrm flipH="1">
                      <a:off x="0" y="0"/>
                      <a:ext cx="1706880" cy="2516505"/>
                    </a:xfrm>
                    <a:prstGeom prst="rect">
                      <a:avLst/>
                    </a:prstGeom>
                    <a:noFill/>
                    <a:ln>
                      <a:noFill/>
                    </a:ln>
                  </pic:spPr>
                </pic:pic>
              </a:graphicData>
            </a:graphic>
          </wp:inline>
        </w:drawing>
      </w:r>
      <w:r>
        <w:drawing>
          <wp:inline distT="0" distB="0" distL="114300" distR="114300">
            <wp:extent cx="3698240" cy="2340610"/>
            <wp:effectExtent l="0" t="0" r="16510" b="2540"/>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97"/>
                    <a:stretch>
                      <a:fillRect/>
                    </a:stretch>
                  </pic:blipFill>
                  <pic:spPr>
                    <a:xfrm>
                      <a:off x="0" y="0"/>
                      <a:ext cx="3698240" cy="2340610"/>
                    </a:xfrm>
                    <a:prstGeom prst="rect">
                      <a:avLst/>
                    </a:prstGeom>
                    <a:noFill/>
                    <a:ln>
                      <a:noFill/>
                    </a:ln>
                  </pic:spPr>
                </pic:pic>
              </a:graphicData>
            </a:graphic>
          </wp:inline>
        </w:drawing>
      </w:r>
    </w:p>
    <w:p w14:paraId="602E571A">
      <w:pPr>
        <w:pStyle w:val="16"/>
        <w:keepNext w:val="0"/>
        <w:keepLines w:val="0"/>
        <w:pageBreakBefore w:val="0"/>
        <w:kinsoku/>
        <w:wordWrap/>
        <w:overflowPunct/>
        <w:topLinePunct w:val="0"/>
        <w:autoSpaceDE/>
        <w:autoSpaceDN/>
        <w:bidi w:val="0"/>
        <w:adjustRightInd/>
        <w:snapToGrid/>
        <w:ind w:firstLine="0" w:firstLineChars="0"/>
        <w:textAlignment w:val="auto"/>
        <w:rPr>
          <w:rFonts w:hint="eastAsia"/>
          <w:lang w:val="en-US" w:eastAsia="zh-CN"/>
        </w:rPr>
      </w:pPr>
      <w:r>
        <w:t xml:space="preserve">图 </w:t>
      </w:r>
      <w:r>
        <w:fldChar w:fldCharType="begin"/>
      </w:r>
      <w:r>
        <w:instrText xml:space="preserve"> STYLEREF 3 \s </w:instrText>
      </w:r>
      <w:r>
        <w:fldChar w:fldCharType="separate"/>
      </w:r>
      <w:r>
        <w:t>6.1.7</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起重臂臂节1吊装示意图</w:t>
      </w:r>
    </w:p>
    <w:p w14:paraId="4419DCE8">
      <w:pPr>
        <w:pStyle w:val="16"/>
        <w:keepNext w:val="0"/>
        <w:keepLines w:val="0"/>
        <w:pageBreakBefore w:val="0"/>
        <w:widowControl/>
        <w:suppressLineNumbers w:val="0"/>
        <w:shd w:val="clear"/>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p>
    <w:p w14:paraId="134469C7">
      <w:pPr>
        <w:keepNext w:val="0"/>
        <w:keepLines w:val="0"/>
        <w:pageBreakBefore w:val="0"/>
        <w:widowControl/>
        <w:suppressLineNumbers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1914525" cy="2096135"/>
            <wp:effectExtent l="0" t="0" r="0" b="0"/>
            <wp:docPr id="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5"/>
                    <pic:cNvPicPr>
                      <a:picLocks noChangeAspect="1"/>
                    </pic:cNvPicPr>
                  </pic:nvPicPr>
                  <pic:blipFill>
                    <a:blip r:embed="rId98"/>
                    <a:srcRect r="7059"/>
                    <a:stretch>
                      <a:fillRect/>
                    </a:stretch>
                  </pic:blipFill>
                  <pic:spPr>
                    <a:xfrm>
                      <a:off x="0" y="0"/>
                      <a:ext cx="1914525" cy="2096135"/>
                    </a:xfrm>
                    <a:prstGeom prst="rect">
                      <a:avLst/>
                    </a:prstGeom>
                    <a:noFill/>
                    <a:ln>
                      <a:noFill/>
                    </a:ln>
                  </pic:spPr>
                </pic:pic>
              </a:graphicData>
            </a:graphic>
          </wp:inline>
        </w:drawing>
      </w:r>
      <w:r>
        <w:drawing>
          <wp:inline distT="0" distB="0" distL="114300" distR="114300">
            <wp:extent cx="3370580" cy="2138045"/>
            <wp:effectExtent l="0" t="0" r="1270" b="14605"/>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99"/>
                    <a:stretch>
                      <a:fillRect/>
                    </a:stretch>
                  </pic:blipFill>
                  <pic:spPr>
                    <a:xfrm flipH="1">
                      <a:off x="0" y="0"/>
                      <a:ext cx="3370580" cy="2138045"/>
                    </a:xfrm>
                    <a:prstGeom prst="rect">
                      <a:avLst/>
                    </a:prstGeom>
                    <a:noFill/>
                    <a:ln>
                      <a:noFill/>
                    </a:ln>
                  </pic:spPr>
                </pic:pic>
              </a:graphicData>
            </a:graphic>
          </wp:inline>
        </w:drawing>
      </w:r>
    </w:p>
    <w:p w14:paraId="0E7D2F3F">
      <w:pPr>
        <w:pStyle w:val="16"/>
        <w:bidi w:val="0"/>
        <w:rPr>
          <w:rFonts w:hint="eastAsia"/>
          <w:lang w:val="en-US" w:eastAsia="zh-CN"/>
        </w:rPr>
      </w:pPr>
      <w:r>
        <w:t xml:space="preserve">图 </w:t>
      </w:r>
      <w:r>
        <w:fldChar w:fldCharType="begin"/>
      </w:r>
      <w:r>
        <w:instrText xml:space="preserve"> STYLEREF 3 \s </w:instrText>
      </w:r>
      <w:r>
        <w:fldChar w:fldCharType="separate"/>
      </w:r>
      <w:r>
        <w:t>6.1.7</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起重臂臂节二吊装示意图</w:t>
      </w:r>
    </w:p>
    <w:p w14:paraId="77F21E0F">
      <w:pPr>
        <w:pStyle w:val="16"/>
        <w:keepNext w:val="0"/>
        <w:keepLines w:val="0"/>
        <w:pageBreakBefore w:val="0"/>
        <w:widowControl/>
        <w:suppressLineNumbers w:val="0"/>
        <w:shd w:val="clear"/>
        <w:kinsoku/>
        <w:wordWrap/>
        <w:overflowPunct/>
        <w:topLinePunct w:val="0"/>
        <w:autoSpaceDE/>
        <w:autoSpaceDN/>
        <w:bidi w:val="0"/>
        <w:spacing w:line="240" w:lineRule="auto"/>
        <w:jc w:val="center"/>
        <w:textAlignment w:val="auto"/>
        <w:rPr>
          <w:rFonts w:hint="eastAsia"/>
          <w:lang w:val="en-US" w:eastAsia="zh-CN"/>
        </w:rPr>
      </w:pPr>
    </w:p>
    <w:p w14:paraId="0B711DEB">
      <w:pPr>
        <w:keepNext w:val="0"/>
        <w:keepLines w:val="0"/>
        <w:pageBreakBefore w:val="0"/>
        <w:widowControl/>
        <w:suppressLineNumbers w:val="0"/>
        <w:shd w:val="clear"/>
        <w:kinsoku/>
        <w:wordWrap/>
        <w:overflowPunct/>
        <w:topLinePunct w:val="0"/>
        <w:autoSpaceDE/>
        <w:autoSpaceDN/>
        <w:bidi w:val="0"/>
        <w:spacing w:line="240" w:lineRule="auto"/>
        <w:ind w:firstLine="0" w:firstLineChars="0"/>
        <w:jc w:val="center"/>
        <w:textAlignment w:val="auto"/>
        <w:rPr>
          <w:rFonts w:hint="eastAsia" w:ascii="Times New Roman" w:hAnsi="Times New Roman" w:eastAsia="宋体" w:cstheme="majorBidi"/>
          <w:b/>
          <w:color w:val="auto"/>
          <w:kern w:val="2"/>
          <w:sz w:val="21"/>
          <w:szCs w:val="20"/>
          <w:highlight w:val="none"/>
          <w:lang w:val="en-US" w:eastAsia="zh-CN" w:bidi="ar-SA"/>
        </w:rPr>
      </w:pPr>
    </w:p>
    <w:p w14:paraId="1F0A1AE7">
      <w:pPr>
        <w:keepNext w:val="0"/>
        <w:keepLines w:val="0"/>
        <w:pageBreakBefore w:val="0"/>
        <w:widowControl/>
        <w:suppressLineNumbers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4026535" cy="3169920"/>
            <wp:effectExtent l="0" t="0" r="12065" b="11430"/>
            <wp:docPr id="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pic:cNvPicPr>
                      <a:picLocks noChangeAspect="1"/>
                    </pic:cNvPicPr>
                  </pic:nvPicPr>
                  <pic:blipFill>
                    <a:blip r:embed="rId100"/>
                    <a:stretch>
                      <a:fillRect/>
                    </a:stretch>
                  </pic:blipFill>
                  <pic:spPr>
                    <a:xfrm>
                      <a:off x="0" y="0"/>
                      <a:ext cx="4026535" cy="3169920"/>
                    </a:xfrm>
                    <a:prstGeom prst="rect">
                      <a:avLst/>
                    </a:prstGeom>
                    <a:noFill/>
                    <a:ln>
                      <a:noFill/>
                    </a:ln>
                  </pic:spPr>
                </pic:pic>
              </a:graphicData>
            </a:graphic>
          </wp:inline>
        </w:drawing>
      </w:r>
      <w:r>
        <w:drawing>
          <wp:inline distT="0" distB="0" distL="114300" distR="114300">
            <wp:extent cx="3848735" cy="2265045"/>
            <wp:effectExtent l="0" t="0" r="18415" b="1905"/>
            <wp:docPr id="1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4"/>
                    <pic:cNvPicPr>
                      <a:picLocks noChangeAspect="1"/>
                    </pic:cNvPicPr>
                  </pic:nvPicPr>
                  <pic:blipFill>
                    <a:blip r:embed="rId101"/>
                    <a:stretch>
                      <a:fillRect/>
                    </a:stretch>
                  </pic:blipFill>
                  <pic:spPr>
                    <a:xfrm>
                      <a:off x="0" y="0"/>
                      <a:ext cx="3848735" cy="2265045"/>
                    </a:xfrm>
                    <a:prstGeom prst="rect">
                      <a:avLst/>
                    </a:prstGeom>
                    <a:noFill/>
                    <a:ln>
                      <a:noFill/>
                    </a:ln>
                  </pic:spPr>
                </pic:pic>
              </a:graphicData>
            </a:graphic>
          </wp:inline>
        </w:drawing>
      </w:r>
    </w:p>
    <w:p w14:paraId="4E9B97C7">
      <w:pPr>
        <w:pStyle w:val="16"/>
        <w:bidi w:val="0"/>
        <w:rPr>
          <w:rFonts w:hint="eastAsia"/>
          <w:lang w:val="en-US" w:eastAsia="zh-CN"/>
        </w:rPr>
      </w:pPr>
      <w:r>
        <w:t xml:space="preserve">图 </w:t>
      </w:r>
      <w:r>
        <w:fldChar w:fldCharType="begin"/>
      </w:r>
      <w:r>
        <w:instrText xml:space="preserve"> STYLEREF 3 \s </w:instrText>
      </w:r>
      <w:r>
        <w:fldChar w:fldCharType="separate"/>
      </w:r>
      <w:r>
        <w:t>6.1.7</w:t>
      </w:r>
      <w:r>
        <w:fldChar w:fldCharType="end"/>
      </w:r>
      <w:r>
        <w:rPr>
          <w:rFonts w:hint="eastAsia"/>
          <w:lang w:eastAsia="zh-CN"/>
        </w:rPr>
        <w:t>-</w:t>
      </w:r>
      <w:r>
        <w:fldChar w:fldCharType="begin"/>
      </w:r>
      <w:r>
        <w:instrText xml:space="preserve"> SEQ 图 \* ARABIC \s 3 </w:instrText>
      </w:r>
      <w:r>
        <w:fldChar w:fldCharType="separate"/>
      </w:r>
      <w:r>
        <w:t>3</w:t>
      </w:r>
      <w:r>
        <w:fldChar w:fldCharType="end"/>
      </w:r>
      <w:r>
        <w:rPr>
          <w:rFonts w:hint="eastAsia"/>
          <w:lang w:val="en-US" w:eastAsia="zh-CN"/>
        </w:rPr>
        <w:t>起重臂臂节三吊装示意图</w:t>
      </w:r>
    </w:p>
    <w:p w14:paraId="725B9CD2">
      <w:pPr>
        <w:pStyle w:val="16"/>
        <w:keepNext w:val="0"/>
        <w:keepLines w:val="0"/>
        <w:pageBreakBefore w:val="0"/>
        <w:widowControl/>
        <w:suppressLineNumbers w:val="0"/>
        <w:shd w:val="clear"/>
        <w:kinsoku/>
        <w:wordWrap/>
        <w:overflowPunct/>
        <w:topLinePunct w:val="0"/>
        <w:autoSpaceDE/>
        <w:autoSpaceDN/>
        <w:bidi w:val="0"/>
        <w:spacing w:line="240" w:lineRule="auto"/>
        <w:jc w:val="center"/>
        <w:textAlignment w:val="auto"/>
        <w:rPr>
          <w:rFonts w:hint="eastAsia"/>
          <w:lang w:val="en-US" w:eastAsia="zh-CN"/>
        </w:rPr>
      </w:pPr>
    </w:p>
    <w:p w14:paraId="029509F2">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塔吊起重臂总成安装时设置警戒区，起吊安排专人负责指挥，专人操作，严禁无关人员进入起重作业范围内。</w:t>
      </w:r>
    </w:p>
    <w:p w14:paraId="2E23ADE2">
      <w:pPr>
        <w:pStyle w:val="4"/>
        <w:bidi w:val="0"/>
        <w:ind w:left="720" w:leftChars="0" w:hanging="720" w:firstLineChars="0"/>
        <w:rPr>
          <w:rFonts w:hint="eastAsia"/>
          <w:lang w:val="en-US" w:eastAsia="zh-CN"/>
        </w:rPr>
      </w:pPr>
      <w:r>
        <w:rPr>
          <w:rFonts w:hint="eastAsia"/>
          <w:lang w:val="en-US" w:eastAsia="zh-CN"/>
        </w:rPr>
        <w:t>安装平衡臂</w:t>
      </w:r>
    </w:p>
    <w:p w14:paraId="729888F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将组装好的平衡臂吊起，对接好起</w:t>
      </w:r>
      <w:r>
        <w:rPr>
          <w:rFonts w:hint="eastAsia" w:ascii="宋体" w:hAnsi="宋体" w:cs="宋体"/>
          <w:color w:val="000000"/>
          <w:kern w:val="0"/>
          <w:sz w:val="28"/>
          <w:szCs w:val="24"/>
          <w:lang w:val="en-US" w:eastAsia="zh-CN" w:bidi="ar-SA"/>
        </w:rPr>
        <w:t>回转总成</w:t>
      </w:r>
      <w:r>
        <w:rPr>
          <w:rFonts w:hint="eastAsia" w:ascii="宋体" w:hAnsi="宋体" w:eastAsia="仿宋" w:cs="宋体"/>
          <w:color w:val="000000"/>
          <w:kern w:val="0"/>
          <w:sz w:val="28"/>
          <w:szCs w:val="24"/>
          <w:lang w:val="en-US" w:eastAsia="zh-CN" w:bidi="ar-SA"/>
        </w:rPr>
        <w:t>，装入拉杆，插入销轴，缓慢放下。</w:t>
      </w:r>
    </w:p>
    <w:p w14:paraId="0B55A2DA">
      <w:pPr>
        <w:pStyle w:val="39"/>
        <w:pageBreakBefore w:val="0"/>
        <w:shd w:val="clear"/>
        <w:kinsoku/>
        <w:wordWrap/>
        <w:overflowPunct/>
        <w:topLinePunct w:val="0"/>
        <w:autoSpaceDE/>
        <w:autoSpaceDN/>
        <w:bidi w:val="0"/>
        <w:spacing w:line="240" w:lineRule="auto"/>
        <w:jc w:val="center"/>
        <w:textAlignment w:val="auto"/>
        <w:rPr>
          <w:highlight w:val="none"/>
        </w:rPr>
      </w:pPr>
      <w:r>
        <w:rPr>
          <w:highlight w:val="none"/>
        </w:rPr>
        <w:drawing>
          <wp:inline distT="0" distB="0" distL="114300" distR="114300">
            <wp:extent cx="5429250" cy="2409825"/>
            <wp:effectExtent l="0" t="0" r="0" b="9525"/>
            <wp:docPr id="1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0"/>
                    <pic:cNvPicPr>
                      <a:picLocks noChangeAspect="1"/>
                    </pic:cNvPicPr>
                  </pic:nvPicPr>
                  <pic:blipFill>
                    <a:blip r:embed="rId102"/>
                    <a:stretch>
                      <a:fillRect/>
                    </a:stretch>
                  </pic:blipFill>
                  <pic:spPr>
                    <a:xfrm>
                      <a:off x="0" y="0"/>
                      <a:ext cx="5429250" cy="2409825"/>
                    </a:xfrm>
                    <a:prstGeom prst="rect">
                      <a:avLst/>
                    </a:prstGeom>
                    <a:noFill/>
                    <a:ln>
                      <a:noFill/>
                    </a:ln>
                  </pic:spPr>
                </pic:pic>
              </a:graphicData>
            </a:graphic>
          </wp:inline>
        </w:drawing>
      </w:r>
    </w:p>
    <w:p w14:paraId="543341AC">
      <w:pPr>
        <w:pStyle w:val="16"/>
        <w:pageBreakBefore w:val="0"/>
        <w:shd w:val="clear"/>
        <w:kinsoku/>
        <w:wordWrap/>
        <w:overflowPunct/>
        <w:topLinePunct w:val="0"/>
        <w:autoSpaceDE/>
        <w:autoSpaceDN/>
        <w:bidi w:val="0"/>
        <w:spacing w:line="240" w:lineRule="auto"/>
        <w:jc w:val="center"/>
        <w:textAlignment w:val="auto"/>
        <w:rPr>
          <w:rFonts w:hint="default"/>
          <w:highlight w:val="none"/>
          <w:lang w:val="en-US" w:eastAsia="zh-CN"/>
        </w:rPr>
      </w:pPr>
      <w:r>
        <w:t xml:space="preserve">图 </w:t>
      </w:r>
      <w:r>
        <w:fldChar w:fldCharType="begin"/>
      </w:r>
      <w:r>
        <w:instrText xml:space="preserve"> STYLEREF 3 \s </w:instrText>
      </w:r>
      <w:r>
        <w:fldChar w:fldCharType="separate"/>
      </w:r>
      <w:r>
        <w:t>6.1.8</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eastAsia" w:ascii="Times New Roman" w:hAnsi="Times New Roman" w:eastAsia="宋体" w:cstheme="majorBidi"/>
          <w:b w:val="0"/>
          <w:bCs/>
          <w:color w:val="auto"/>
          <w:kern w:val="2"/>
          <w:sz w:val="21"/>
          <w:szCs w:val="20"/>
          <w:highlight w:val="none"/>
          <w:lang w:val="en-US" w:eastAsia="zh-CN" w:bidi="ar-SA"/>
        </w:rPr>
        <w:t>塔吊</w:t>
      </w:r>
      <w:r>
        <w:rPr>
          <w:rFonts w:hint="eastAsia" w:cstheme="majorBidi"/>
          <w:b w:val="0"/>
          <w:bCs/>
          <w:color w:val="auto"/>
          <w:kern w:val="2"/>
          <w:sz w:val="21"/>
          <w:szCs w:val="20"/>
          <w:highlight w:val="none"/>
          <w:lang w:val="en-US" w:eastAsia="zh-CN" w:bidi="ar-SA"/>
        </w:rPr>
        <w:t>平衡臂</w:t>
      </w:r>
      <w:r>
        <w:rPr>
          <w:rFonts w:hint="eastAsia" w:ascii="Times New Roman" w:hAnsi="Times New Roman" w:eastAsia="宋体" w:cstheme="majorBidi"/>
          <w:b w:val="0"/>
          <w:bCs/>
          <w:color w:val="auto"/>
          <w:kern w:val="2"/>
          <w:sz w:val="21"/>
          <w:szCs w:val="20"/>
          <w:highlight w:val="none"/>
          <w:lang w:val="en-US" w:eastAsia="zh-CN" w:bidi="ar-SA"/>
        </w:rPr>
        <w:t>安装示意图</w:t>
      </w:r>
    </w:p>
    <w:p w14:paraId="181C57B0">
      <w:pPr>
        <w:pageBreakBefore w:val="0"/>
        <w:widowControl w:val="0"/>
        <w:shd w:val="clear"/>
        <w:kinsoku/>
        <w:wordWrap/>
        <w:overflowPunct/>
        <w:topLinePunct w:val="0"/>
        <w:autoSpaceDE/>
        <w:autoSpaceDN/>
        <w:bidi w:val="0"/>
        <w:spacing w:before="154" w:line="240" w:lineRule="auto"/>
        <w:ind w:left="0" w:firstLine="0" w:firstLineChars="0"/>
        <w:jc w:val="center"/>
        <w:textAlignment w:val="auto"/>
      </w:pPr>
      <w:r>
        <w:drawing>
          <wp:inline distT="0" distB="0" distL="114300" distR="114300">
            <wp:extent cx="4562475" cy="3019425"/>
            <wp:effectExtent l="0" t="0" r="9525" b="9525"/>
            <wp:docPr id="1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7"/>
                    <pic:cNvPicPr>
                      <a:picLocks noChangeAspect="1"/>
                    </pic:cNvPicPr>
                  </pic:nvPicPr>
                  <pic:blipFill>
                    <a:blip r:embed="rId103"/>
                    <a:stretch>
                      <a:fillRect/>
                    </a:stretch>
                  </pic:blipFill>
                  <pic:spPr>
                    <a:xfrm>
                      <a:off x="0" y="0"/>
                      <a:ext cx="4562475" cy="3019425"/>
                    </a:xfrm>
                    <a:prstGeom prst="rect">
                      <a:avLst/>
                    </a:prstGeom>
                    <a:noFill/>
                    <a:ln>
                      <a:noFill/>
                    </a:ln>
                  </pic:spPr>
                </pic:pic>
              </a:graphicData>
            </a:graphic>
          </wp:inline>
        </w:drawing>
      </w:r>
      <w:r>
        <w:drawing>
          <wp:inline distT="0" distB="0" distL="114300" distR="114300">
            <wp:extent cx="4324350" cy="2283460"/>
            <wp:effectExtent l="0" t="0" r="0" b="2540"/>
            <wp:docPr id="1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6"/>
                    <pic:cNvPicPr>
                      <a:picLocks noChangeAspect="1"/>
                    </pic:cNvPicPr>
                  </pic:nvPicPr>
                  <pic:blipFill>
                    <a:blip r:embed="rId104"/>
                    <a:stretch>
                      <a:fillRect/>
                    </a:stretch>
                  </pic:blipFill>
                  <pic:spPr>
                    <a:xfrm>
                      <a:off x="0" y="0"/>
                      <a:ext cx="4324350" cy="2283460"/>
                    </a:xfrm>
                    <a:prstGeom prst="rect">
                      <a:avLst/>
                    </a:prstGeom>
                    <a:noFill/>
                    <a:ln>
                      <a:noFill/>
                    </a:ln>
                  </pic:spPr>
                </pic:pic>
              </a:graphicData>
            </a:graphic>
          </wp:inline>
        </w:drawing>
      </w:r>
      <w:r>
        <w:drawing>
          <wp:inline distT="0" distB="0" distL="114300" distR="114300">
            <wp:extent cx="4514850" cy="3171825"/>
            <wp:effectExtent l="0" t="0" r="0" b="9525"/>
            <wp:docPr id="1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8"/>
                    <pic:cNvPicPr>
                      <a:picLocks noChangeAspect="1"/>
                    </pic:cNvPicPr>
                  </pic:nvPicPr>
                  <pic:blipFill>
                    <a:blip r:embed="rId105"/>
                    <a:stretch>
                      <a:fillRect/>
                    </a:stretch>
                  </pic:blipFill>
                  <pic:spPr>
                    <a:xfrm>
                      <a:off x="0" y="0"/>
                      <a:ext cx="4514850" cy="3171825"/>
                    </a:xfrm>
                    <a:prstGeom prst="rect">
                      <a:avLst/>
                    </a:prstGeom>
                    <a:noFill/>
                    <a:ln>
                      <a:noFill/>
                    </a:ln>
                  </pic:spPr>
                </pic:pic>
              </a:graphicData>
            </a:graphic>
          </wp:inline>
        </w:drawing>
      </w:r>
      <w:r>
        <w:drawing>
          <wp:inline distT="0" distB="0" distL="114300" distR="114300">
            <wp:extent cx="4196080" cy="2484120"/>
            <wp:effectExtent l="0" t="0" r="13970" b="11430"/>
            <wp:docPr id="1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5"/>
                    <pic:cNvPicPr>
                      <a:picLocks noChangeAspect="1"/>
                    </pic:cNvPicPr>
                  </pic:nvPicPr>
                  <pic:blipFill>
                    <a:blip r:embed="rId106"/>
                    <a:srcRect t="11345" r="132"/>
                    <a:stretch>
                      <a:fillRect/>
                    </a:stretch>
                  </pic:blipFill>
                  <pic:spPr>
                    <a:xfrm>
                      <a:off x="0" y="0"/>
                      <a:ext cx="4196080" cy="2484120"/>
                    </a:xfrm>
                    <a:prstGeom prst="rect">
                      <a:avLst/>
                    </a:prstGeom>
                    <a:noFill/>
                    <a:ln>
                      <a:noFill/>
                    </a:ln>
                  </pic:spPr>
                </pic:pic>
              </a:graphicData>
            </a:graphic>
          </wp:inline>
        </w:drawing>
      </w:r>
    </w:p>
    <w:p w14:paraId="51B1891F">
      <w:pPr>
        <w:pStyle w:val="16"/>
        <w:bidi w:val="0"/>
        <w:rPr>
          <w:rFonts w:hint="eastAsia"/>
          <w:lang w:val="en-US" w:eastAsia="zh-CN"/>
        </w:rPr>
      </w:pPr>
      <w:r>
        <w:t xml:space="preserve">图 </w:t>
      </w:r>
      <w:r>
        <w:fldChar w:fldCharType="begin"/>
      </w:r>
      <w:r>
        <w:instrText xml:space="preserve"> STYLEREF 3 \s </w:instrText>
      </w:r>
      <w:r>
        <w:fldChar w:fldCharType="separate"/>
      </w:r>
      <w:r>
        <w:t>6.1.8</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塔吊平衡臂吊装示意图</w:t>
      </w:r>
    </w:p>
    <w:p w14:paraId="33476B3D">
      <w:pPr>
        <w:pStyle w:val="4"/>
        <w:bidi w:val="0"/>
        <w:ind w:left="720" w:leftChars="0" w:hanging="720" w:firstLineChars="0"/>
        <w:rPr>
          <w:rFonts w:hint="eastAsia"/>
          <w:lang w:val="en-US" w:eastAsia="zh-CN"/>
        </w:rPr>
      </w:pPr>
      <w:r>
        <w:rPr>
          <w:rFonts w:hint="eastAsia"/>
          <w:lang w:val="en-US" w:eastAsia="zh-CN"/>
        </w:rPr>
        <w:t>安装两块平衡重</w:t>
      </w:r>
    </w:p>
    <w:p w14:paraId="7AAD8DF7">
      <w:pPr>
        <w:ind w:firstLine="560"/>
        <w:rPr>
          <w:rFonts w:hint="eastAsia"/>
          <w:color w:val="000000"/>
          <w:lang w:val="en-US" w:eastAsia="zh-CN"/>
        </w:rPr>
      </w:pPr>
      <w:r>
        <w:rPr>
          <w:rFonts w:hint="eastAsia"/>
          <w:color w:val="000000"/>
          <w:lang w:val="en-US" w:eastAsia="zh-CN"/>
        </w:rPr>
        <w:t>平衡重吊装采用两点吊，采用2根22mm6×19W+IWR1870Mpa的钢丝绳配套GB/T 25854-6-DW5卸扣与平衡重吊耳进行连接吊装。</w:t>
      </w:r>
    </w:p>
    <w:p w14:paraId="4122639F">
      <w:pPr>
        <w:ind w:firstLine="560"/>
        <w:rPr>
          <w:rFonts w:hint="eastAsia"/>
          <w:color w:val="000000"/>
          <w:lang w:val="en-US" w:eastAsia="zh-CN"/>
        </w:rPr>
      </w:pPr>
      <w:r>
        <w:rPr>
          <w:rFonts w:hint="eastAsia"/>
          <w:color w:val="000000"/>
          <w:lang w:val="en-US" w:eastAsia="zh-CN"/>
        </w:rPr>
        <w:t>作业人员在地面上先将钢丝绳一端挂在吊机吊钩，另一端与卸扣连接，卸扣与吊耳通过销轴连接，并在平衡重栓好2根溜绳。启动吊机，将一块4.0t配重块缓慢提升，用溜绳控制其摆动。从平衡臂第三节端部开口处平稳起吊，装入平衡臂第三节，位置靠近起升机构旁边，用配重销紧固在平衡臂第三节上，即完成平衡臂安装。平衡重安装后，作业人员解除卸扣与平衡重吊耳的连接。平衡重吊装示意如下图所示。</w:t>
      </w:r>
    </w:p>
    <w:p w14:paraId="7498258D">
      <w:pPr>
        <w:pStyle w:val="14"/>
        <w:keepNext w:val="0"/>
        <w:keepLines w:val="0"/>
        <w:pageBreakBefore w:val="0"/>
        <w:widowControl w:val="0"/>
        <w:shd w:val="clear"/>
        <w:kinsoku/>
        <w:wordWrap/>
        <w:overflowPunct/>
        <w:topLinePunct w:val="0"/>
        <w:autoSpaceDE/>
        <w:autoSpaceDN/>
        <w:bidi w:val="0"/>
        <w:adjustRightInd/>
        <w:snapToGrid/>
        <w:spacing w:line="240" w:lineRule="auto"/>
        <w:ind w:left="119" w:firstLine="0" w:firstLineChars="0"/>
        <w:jc w:val="center"/>
        <w:textAlignment w:val="auto"/>
      </w:pPr>
      <w:r>
        <w:drawing>
          <wp:inline distT="0" distB="0" distL="114300" distR="114300">
            <wp:extent cx="4448810" cy="2623820"/>
            <wp:effectExtent l="0" t="0" r="8890" b="5080"/>
            <wp:docPr id="1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
                    <pic:cNvPicPr>
                      <a:picLocks noChangeAspect="1"/>
                    </pic:cNvPicPr>
                  </pic:nvPicPr>
                  <pic:blipFill>
                    <a:blip r:embed="rId107"/>
                    <a:stretch>
                      <a:fillRect/>
                    </a:stretch>
                  </pic:blipFill>
                  <pic:spPr>
                    <a:xfrm>
                      <a:off x="0" y="0"/>
                      <a:ext cx="4448810" cy="2623820"/>
                    </a:xfrm>
                    <a:prstGeom prst="rect">
                      <a:avLst/>
                    </a:prstGeom>
                    <a:noFill/>
                    <a:ln>
                      <a:noFill/>
                    </a:ln>
                  </pic:spPr>
                </pic:pic>
              </a:graphicData>
            </a:graphic>
          </wp:inline>
        </w:drawing>
      </w:r>
      <w:r>
        <w:drawing>
          <wp:inline distT="0" distB="0" distL="114300" distR="114300">
            <wp:extent cx="4502785" cy="2665730"/>
            <wp:effectExtent l="0" t="0" r="12065" b="1270"/>
            <wp:docPr id="1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5"/>
                    <pic:cNvPicPr>
                      <a:picLocks noChangeAspect="1"/>
                    </pic:cNvPicPr>
                  </pic:nvPicPr>
                  <pic:blipFill>
                    <a:blip r:embed="rId106"/>
                    <a:srcRect t="11345" r="132"/>
                    <a:stretch>
                      <a:fillRect/>
                    </a:stretch>
                  </pic:blipFill>
                  <pic:spPr>
                    <a:xfrm>
                      <a:off x="0" y="0"/>
                      <a:ext cx="4502785" cy="2665730"/>
                    </a:xfrm>
                    <a:prstGeom prst="rect">
                      <a:avLst/>
                    </a:prstGeom>
                    <a:noFill/>
                    <a:ln>
                      <a:noFill/>
                    </a:ln>
                  </pic:spPr>
                </pic:pic>
              </a:graphicData>
            </a:graphic>
          </wp:inline>
        </w:drawing>
      </w:r>
    </w:p>
    <w:p w14:paraId="68794F10">
      <w:pPr>
        <w:pStyle w:val="16"/>
        <w:rPr>
          <w:rFonts w:hint="eastAsia"/>
          <w:lang w:val="en-US" w:eastAsia="zh-CN"/>
        </w:rPr>
      </w:pPr>
      <w:r>
        <w:t xml:space="preserve">图 </w:t>
      </w:r>
      <w:r>
        <w:fldChar w:fldCharType="begin"/>
      </w:r>
      <w:r>
        <w:instrText xml:space="preserve"> STYLEREF 3 \s </w:instrText>
      </w:r>
      <w:r>
        <w:fldChar w:fldCharType="separate"/>
      </w:r>
      <w:r>
        <w:t>6.1.9</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塔吊平衡重吊装示意图</w:t>
      </w:r>
    </w:p>
    <w:p w14:paraId="6311C67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塔吊平衡重安装时设置警戒区，起吊安排专人负责指挥，专人操作，严禁无关人员进入起重作业范围内。</w:t>
      </w:r>
    </w:p>
    <w:p w14:paraId="4212B036">
      <w:pPr>
        <w:pStyle w:val="4"/>
        <w:bidi w:val="0"/>
        <w:ind w:left="720" w:leftChars="0" w:hanging="720" w:firstLineChars="0"/>
        <w:rPr>
          <w:rFonts w:hint="eastAsia"/>
          <w:lang w:val="en-US" w:eastAsia="zh-CN"/>
        </w:rPr>
      </w:pPr>
      <w:r>
        <w:rPr>
          <w:rFonts w:hint="eastAsia"/>
          <w:lang w:val="en-US" w:eastAsia="zh-CN"/>
        </w:rPr>
        <w:t>安装剩余起重臂</w:t>
      </w:r>
    </w:p>
    <w:p w14:paraId="1BD5C5C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将组装好的</w:t>
      </w:r>
      <w:r>
        <w:rPr>
          <w:rFonts w:hint="eastAsia" w:ascii="宋体" w:hAnsi="宋体" w:cs="宋体"/>
          <w:color w:val="000000"/>
          <w:kern w:val="0"/>
          <w:sz w:val="28"/>
          <w:szCs w:val="24"/>
          <w:lang w:val="en-US" w:eastAsia="zh-CN" w:bidi="ar-SA"/>
        </w:rPr>
        <w:t>起重臂</w:t>
      </w:r>
      <w:r>
        <w:rPr>
          <w:rFonts w:hint="eastAsia" w:ascii="宋体" w:hAnsi="宋体" w:eastAsia="仿宋" w:cs="宋体"/>
          <w:color w:val="000000"/>
          <w:kern w:val="0"/>
          <w:sz w:val="28"/>
          <w:szCs w:val="24"/>
          <w:lang w:val="en-US" w:eastAsia="zh-CN" w:bidi="ar-SA"/>
        </w:rPr>
        <w:t>吊起，对接好起</w:t>
      </w:r>
      <w:r>
        <w:rPr>
          <w:rFonts w:hint="eastAsia" w:ascii="宋体" w:hAnsi="宋体" w:cs="宋体"/>
          <w:color w:val="000000"/>
          <w:kern w:val="0"/>
          <w:sz w:val="28"/>
          <w:szCs w:val="24"/>
          <w:lang w:val="en-US" w:eastAsia="zh-CN" w:bidi="ar-SA"/>
        </w:rPr>
        <w:t>回转塔身</w:t>
      </w:r>
      <w:r>
        <w:rPr>
          <w:rFonts w:hint="eastAsia" w:ascii="宋体" w:hAnsi="宋体" w:eastAsia="仿宋" w:cs="宋体"/>
          <w:color w:val="000000"/>
          <w:kern w:val="0"/>
          <w:sz w:val="28"/>
          <w:szCs w:val="24"/>
          <w:lang w:val="en-US" w:eastAsia="zh-CN" w:bidi="ar-SA"/>
        </w:rPr>
        <w:t>，装入拉杆，插入销轴，缓慢放下。</w:t>
      </w:r>
    </w:p>
    <w:p w14:paraId="54C502A6">
      <w:pPr>
        <w:keepNext w:val="0"/>
        <w:keepLines w:val="0"/>
        <w:pageBreakBefore w:val="0"/>
        <w:widowControl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2390140" cy="1456055"/>
            <wp:effectExtent l="0" t="0" r="0" b="0"/>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108"/>
                    <a:srcRect r="7450"/>
                    <a:stretch>
                      <a:fillRect/>
                    </a:stretch>
                  </pic:blipFill>
                  <pic:spPr>
                    <a:xfrm>
                      <a:off x="0" y="0"/>
                      <a:ext cx="2390140" cy="1456055"/>
                    </a:xfrm>
                    <a:prstGeom prst="rect">
                      <a:avLst/>
                    </a:prstGeom>
                    <a:noFill/>
                    <a:ln>
                      <a:noFill/>
                    </a:ln>
                  </pic:spPr>
                </pic:pic>
              </a:graphicData>
            </a:graphic>
          </wp:inline>
        </w:drawing>
      </w:r>
      <w:r>
        <w:drawing>
          <wp:inline distT="0" distB="0" distL="114300" distR="114300">
            <wp:extent cx="2937510" cy="1620520"/>
            <wp:effectExtent l="0" t="0" r="15240" b="1778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109"/>
                    <a:stretch>
                      <a:fillRect/>
                    </a:stretch>
                  </pic:blipFill>
                  <pic:spPr>
                    <a:xfrm>
                      <a:off x="0" y="0"/>
                      <a:ext cx="2937510" cy="1620520"/>
                    </a:xfrm>
                    <a:prstGeom prst="rect">
                      <a:avLst/>
                    </a:prstGeom>
                    <a:noFill/>
                    <a:ln>
                      <a:noFill/>
                    </a:ln>
                  </pic:spPr>
                </pic:pic>
              </a:graphicData>
            </a:graphic>
          </wp:inline>
        </w:drawing>
      </w:r>
      <w:r>
        <w:drawing>
          <wp:inline distT="0" distB="0" distL="114300" distR="114300">
            <wp:extent cx="2360930" cy="1443355"/>
            <wp:effectExtent l="0" t="0" r="0" b="0"/>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10"/>
                    <a:srcRect r="10431"/>
                    <a:stretch>
                      <a:fillRect/>
                    </a:stretch>
                  </pic:blipFill>
                  <pic:spPr>
                    <a:xfrm>
                      <a:off x="0" y="0"/>
                      <a:ext cx="2360930" cy="1443355"/>
                    </a:xfrm>
                    <a:prstGeom prst="rect">
                      <a:avLst/>
                    </a:prstGeom>
                    <a:noFill/>
                    <a:ln>
                      <a:noFill/>
                    </a:ln>
                  </pic:spPr>
                </pic:pic>
              </a:graphicData>
            </a:graphic>
          </wp:inline>
        </w:drawing>
      </w:r>
      <w:r>
        <w:drawing>
          <wp:inline distT="0" distB="0" distL="114300" distR="114300">
            <wp:extent cx="3147060" cy="1545590"/>
            <wp:effectExtent l="0" t="0" r="15240" b="16510"/>
            <wp:docPr id="1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7"/>
                    <pic:cNvPicPr>
                      <a:picLocks noChangeAspect="1"/>
                    </pic:cNvPicPr>
                  </pic:nvPicPr>
                  <pic:blipFill>
                    <a:blip r:embed="rId111"/>
                    <a:stretch>
                      <a:fillRect/>
                    </a:stretch>
                  </pic:blipFill>
                  <pic:spPr>
                    <a:xfrm>
                      <a:off x="0" y="0"/>
                      <a:ext cx="3147060" cy="1545590"/>
                    </a:xfrm>
                    <a:prstGeom prst="rect">
                      <a:avLst/>
                    </a:prstGeom>
                    <a:noFill/>
                    <a:ln>
                      <a:noFill/>
                    </a:ln>
                  </pic:spPr>
                </pic:pic>
              </a:graphicData>
            </a:graphic>
          </wp:inline>
        </w:drawing>
      </w:r>
      <w:r>
        <w:drawing>
          <wp:inline distT="0" distB="0" distL="114300" distR="114300">
            <wp:extent cx="2486025" cy="1206500"/>
            <wp:effectExtent l="0" t="0" r="9525" b="1270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112"/>
                    <a:stretch>
                      <a:fillRect/>
                    </a:stretch>
                  </pic:blipFill>
                  <pic:spPr>
                    <a:xfrm>
                      <a:off x="0" y="0"/>
                      <a:ext cx="2486025" cy="1206500"/>
                    </a:xfrm>
                    <a:prstGeom prst="rect">
                      <a:avLst/>
                    </a:prstGeom>
                    <a:noFill/>
                    <a:ln>
                      <a:noFill/>
                    </a:ln>
                  </pic:spPr>
                </pic:pic>
              </a:graphicData>
            </a:graphic>
          </wp:inline>
        </w:drawing>
      </w:r>
      <w:r>
        <w:drawing>
          <wp:inline distT="0" distB="0" distL="114300" distR="114300">
            <wp:extent cx="3166745" cy="1097280"/>
            <wp:effectExtent l="0" t="0" r="14605" b="762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113"/>
                    <a:stretch>
                      <a:fillRect/>
                    </a:stretch>
                  </pic:blipFill>
                  <pic:spPr>
                    <a:xfrm>
                      <a:off x="0" y="0"/>
                      <a:ext cx="3166745" cy="1097280"/>
                    </a:xfrm>
                    <a:prstGeom prst="rect">
                      <a:avLst/>
                    </a:prstGeom>
                    <a:noFill/>
                    <a:ln>
                      <a:noFill/>
                    </a:ln>
                  </pic:spPr>
                </pic:pic>
              </a:graphicData>
            </a:graphic>
          </wp:inline>
        </w:drawing>
      </w:r>
    </w:p>
    <w:p w14:paraId="2937DE52">
      <w:pPr>
        <w:keepNext w:val="0"/>
        <w:keepLines w:val="0"/>
        <w:pageBreakBefore w:val="0"/>
        <w:widowControl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2573655" cy="1268095"/>
            <wp:effectExtent l="0" t="0" r="17145" b="8255"/>
            <wp:docPr id="16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4"/>
                    <pic:cNvPicPr>
                      <a:picLocks noChangeAspect="1"/>
                    </pic:cNvPicPr>
                  </pic:nvPicPr>
                  <pic:blipFill>
                    <a:blip r:embed="rId114"/>
                    <a:stretch>
                      <a:fillRect/>
                    </a:stretch>
                  </pic:blipFill>
                  <pic:spPr>
                    <a:xfrm>
                      <a:off x="0" y="0"/>
                      <a:ext cx="2573655" cy="1268095"/>
                    </a:xfrm>
                    <a:prstGeom prst="rect">
                      <a:avLst/>
                    </a:prstGeom>
                    <a:noFill/>
                    <a:ln>
                      <a:noFill/>
                    </a:ln>
                  </pic:spPr>
                </pic:pic>
              </a:graphicData>
            </a:graphic>
          </wp:inline>
        </w:drawing>
      </w:r>
      <w:r>
        <w:drawing>
          <wp:inline distT="0" distB="0" distL="114300" distR="114300">
            <wp:extent cx="3119120" cy="1203325"/>
            <wp:effectExtent l="0" t="0" r="5080" b="15875"/>
            <wp:docPr id="1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0"/>
                    <pic:cNvPicPr>
                      <a:picLocks noChangeAspect="1"/>
                    </pic:cNvPicPr>
                  </pic:nvPicPr>
                  <pic:blipFill>
                    <a:blip r:embed="rId115"/>
                    <a:stretch>
                      <a:fillRect/>
                    </a:stretch>
                  </pic:blipFill>
                  <pic:spPr>
                    <a:xfrm>
                      <a:off x="0" y="0"/>
                      <a:ext cx="3119120" cy="1203325"/>
                    </a:xfrm>
                    <a:prstGeom prst="rect">
                      <a:avLst/>
                    </a:prstGeom>
                    <a:noFill/>
                    <a:ln>
                      <a:noFill/>
                    </a:ln>
                  </pic:spPr>
                </pic:pic>
              </a:graphicData>
            </a:graphic>
          </wp:inline>
        </w:drawing>
      </w:r>
    </w:p>
    <w:p w14:paraId="5354C870">
      <w:pPr>
        <w:pStyle w:val="16"/>
        <w:keepNext w:val="0"/>
        <w:keepLines w:val="0"/>
        <w:pageBreakBefore w:val="0"/>
        <w:widowControl w:val="0"/>
        <w:kinsoku/>
        <w:wordWrap/>
        <w:overflowPunct/>
        <w:topLinePunct w:val="0"/>
        <w:autoSpaceDE/>
        <w:autoSpaceDN/>
        <w:bidi w:val="0"/>
        <w:adjustRightInd/>
        <w:snapToGrid/>
        <w:ind w:firstLine="0" w:firstLineChars="0"/>
        <w:textAlignment w:val="auto"/>
      </w:pPr>
      <w:r>
        <w:t xml:space="preserve">图 </w:t>
      </w:r>
      <w:r>
        <w:fldChar w:fldCharType="begin"/>
      </w:r>
      <w:r>
        <w:instrText xml:space="preserve"> STYLEREF 3 \s </w:instrText>
      </w:r>
      <w:r>
        <w:fldChar w:fldCharType="separate"/>
      </w:r>
      <w:r>
        <w:t>6.1.10</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塔吊剩余起重臂吊装示意图</w:t>
      </w:r>
    </w:p>
    <w:p w14:paraId="4160FCDF">
      <w:pPr>
        <w:pStyle w:val="4"/>
        <w:bidi w:val="0"/>
        <w:ind w:left="720" w:leftChars="0" w:hanging="720" w:firstLineChars="0"/>
        <w:rPr>
          <w:rFonts w:hint="eastAsia"/>
          <w:lang w:val="en-US" w:eastAsia="zh-CN"/>
        </w:rPr>
      </w:pPr>
      <w:r>
        <w:rPr>
          <w:rFonts w:hint="eastAsia"/>
          <w:lang w:val="en-US" w:eastAsia="zh-CN"/>
        </w:rPr>
        <w:t>安装剩余平衡重</w:t>
      </w:r>
    </w:p>
    <w:p w14:paraId="3421D18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剩余平衡重吊装方法同安装第1块平衡重。吊</w:t>
      </w:r>
      <w:r>
        <w:rPr>
          <w:rFonts w:hint="eastAsia" w:ascii="宋体" w:hAnsi="宋体" w:cs="宋体"/>
          <w:color w:val="000000"/>
          <w:kern w:val="0"/>
          <w:sz w:val="28"/>
          <w:szCs w:val="24"/>
          <w:lang w:val="en-US" w:eastAsia="zh-CN" w:bidi="ar-SA"/>
        </w:rPr>
        <w:t>E</w:t>
      </w:r>
      <w:r>
        <w:rPr>
          <w:rFonts w:hint="eastAsia" w:ascii="宋体" w:hAnsi="宋体" w:eastAsia="仿宋" w:cs="宋体"/>
          <w:color w:val="000000"/>
          <w:kern w:val="0"/>
          <w:sz w:val="28"/>
          <w:szCs w:val="24"/>
          <w:lang w:val="en-US" w:eastAsia="zh-CN" w:bidi="ar-SA"/>
        </w:rPr>
        <w:t>装完成后检查并确认相邻平衡重块的整个表面是否贴紧。</w:t>
      </w:r>
    </w:p>
    <w:p w14:paraId="66E59558">
      <w:pPr>
        <w:keepNext w:val="0"/>
        <w:keepLines w:val="0"/>
        <w:pageBreakBefore w:val="0"/>
        <w:widowControl w:val="0"/>
        <w:shd w:val="clear"/>
        <w:kinsoku/>
        <w:wordWrap/>
        <w:overflowPunct/>
        <w:topLinePunct w:val="0"/>
        <w:autoSpaceDE/>
        <w:autoSpaceDN/>
        <w:bidi w:val="0"/>
        <w:adjustRightInd/>
        <w:snapToGrid/>
        <w:spacing w:line="240" w:lineRule="auto"/>
        <w:jc w:val="center"/>
        <w:textAlignment w:val="auto"/>
        <w:rPr>
          <w:rFonts w:hint="eastAsia" w:ascii="宋体" w:hAnsi="宋体" w:eastAsia="仿宋" w:cs="宋体"/>
          <w:color w:val="000000"/>
          <w:kern w:val="0"/>
          <w:sz w:val="28"/>
          <w:szCs w:val="24"/>
          <w:lang w:val="en-US" w:eastAsia="zh-CN" w:bidi="ar-SA"/>
        </w:rPr>
      </w:pPr>
      <w:r>
        <w:drawing>
          <wp:inline distT="0" distB="0" distL="114300" distR="114300">
            <wp:extent cx="4377055" cy="1389380"/>
            <wp:effectExtent l="0" t="0" r="4445" b="1270"/>
            <wp:docPr id="1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
                    <pic:cNvPicPr>
                      <a:picLocks noChangeAspect="1"/>
                    </pic:cNvPicPr>
                  </pic:nvPicPr>
                  <pic:blipFill>
                    <a:blip r:embed="rId116"/>
                    <a:srcRect t="4353" r="614"/>
                    <a:stretch>
                      <a:fillRect/>
                    </a:stretch>
                  </pic:blipFill>
                  <pic:spPr>
                    <a:xfrm>
                      <a:off x="0" y="0"/>
                      <a:ext cx="4377055" cy="1389380"/>
                    </a:xfrm>
                    <a:prstGeom prst="rect">
                      <a:avLst/>
                    </a:prstGeom>
                    <a:noFill/>
                    <a:ln>
                      <a:noFill/>
                    </a:ln>
                  </pic:spPr>
                </pic:pic>
              </a:graphicData>
            </a:graphic>
          </wp:inline>
        </w:drawing>
      </w:r>
    </w:p>
    <w:p w14:paraId="216BCB76">
      <w:pPr>
        <w:pageBreakBefore w:val="0"/>
        <w:widowControl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2301240" cy="1918970"/>
            <wp:effectExtent l="0" t="0" r="3810" b="508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117"/>
                    <a:stretch>
                      <a:fillRect/>
                    </a:stretch>
                  </pic:blipFill>
                  <pic:spPr>
                    <a:xfrm>
                      <a:off x="0" y="0"/>
                      <a:ext cx="2301240" cy="1918970"/>
                    </a:xfrm>
                    <a:prstGeom prst="rect">
                      <a:avLst/>
                    </a:prstGeom>
                    <a:noFill/>
                    <a:ln>
                      <a:noFill/>
                    </a:ln>
                  </pic:spPr>
                </pic:pic>
              </a:graphicData>
            </a:graphic>
          </wp:inline>
        </w:drawing>
      </w:r>
    </w:p>
    <w:p w14:paraId="7D2C8777">
      <w:pPr>
        <w:pStyle w:val="16"/>
        <w:pageBreakBefore w:val="0"/>
        <w:widowControl w:val="0"/>
        <w:shd w:val="clear"/>
        <w:kinsoku/>
        <w:wordWrap/>
        <w:overflowPunct/>
        <w:topLinePunct w:val="0"/>
        <w:autoSpaceDE/>
        <w:autoSpaceDN/>
        <w:bidi w:val="0"/>
        <w:adjustRightInd/>
        <w:snapToGrid/>
        <w:spacing w:line="240" w:lineRule="auto"/>
        <w:ind w:firstLine="0" w:firstLineChars="0"/>
        <w:jc w:val="center"/>
        <w:textAlignment w:val="auto"/>
        <w:rPr>
          <w:rFonts w:hint="eastAsia" w:eastAsia="黑体"/>
          <w:lang w:val="en-US" w:eastAsia="zh-CN"/>
        </w:rPr>
      </w:pPr>
      <w:r>
        <w:t xml:space="preserve">图 </w:t>
      </w:r>
      <w:r>
        <w:fldChar w:fldCharType="begin"/>
      </w:r>
      <w:r>
        <w:instrText xml:space="preserve"> STYLEREF 3 \s </w:instrText>
      </w:r>
      <w:r>
        <w:fldChar w:fldCharType="separate"/>
      </w:r>
      <w:r>
        <w:t>6.1.11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70米臂长平衡重组合图</w:t>
      </w:r>
    </w:p>
    <w:p w14:paraId="5F6C401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按从起升机构侧向塔身侧依次吊装平衡重。</w:t>
      </w:r>
    </w:p>
    <w:p w14:paraId="0364343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作业人员在地面上先将钢丝绳一端挂在吊机吊钩上，另一端与卸扣连接，启动吊机，将卸扣缓慢提升至平衡重上方时，缓慢放松吊钩，作业人员通过平衡臂走道走行至平衡臂尾部，将安全带系挂在平衡臂横杆上，将配重吊起放置于平衡臂的配重槽上时，穿入平衡重销孔轴，然后平稳地将平衡重落于配重槽内。解除吊装钢丝绳。</w:t>
      </w:r>
    </w:p>
    <w:p w14:paraId="1F29F3F3">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塔吊平衡重安装时设置警戒区，起吊安排专人负责指挥，专人操作，严禁无关人员进入起重作业范围内。</w:t>
      </w:r>
    </w:p>
    <w:p w14:paraId="525B5DDA">
      <w:pPr>
        <w:keepNext w:val="0"/>
        <w:keepLines w:val="0"/>
        <w:pageBreakBefore w:val="0"/>
        <w:widowControl/>
        <w:suppressLineNumbers w:val="0"/>
        <w:shd w:val="clear"/>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4803140" cy="2044065"/>
            <wp:effectExtent l="0" t="0" r="16510" b="13335"/>
            <wp:docPr id="15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0"/>
                    <pic:cNvPicPr>
                      <a:picLocks noChangeAspect="1"/>
                    </pic:cNvPicPr>
                  </pic:nvPicPr>
                  <pic:blipFill>
                    <a:blip r:embed="rId118"/>
                    <a:stretch>
                      <a:fillRect/>
                    </a:stretch>
                  </pic:blipFill>
                  <pic:spPr>
                    <a:xfrm>
                      <a:off x="0" y="0"/>
                      <a:ext cx="4803140" cy="2044065"/>
                    </a:xfrm>
                    <a:prstGeom prst="rect">
                      <a:avLst/>
                    </a:prstGeom>
                    <a:noFill/>
                    <a:ln>
                      <a:noFill/>
                    </a:ln>
                  </pic:spPr>
                </pic:pic>
              </a:graphicData>
            </a:graphic>
          </wp:inline>
        </w:drawing>
      </w:r>
      <w:r>
        <w:drawing>
          <wp:inline distT="0" distB="0" distL="114300" distR="114300">
            <wp:extent cx="4909185" cy="1751330"/>
            <wp:effectExtent l="0" t="0" r="5715" b="1270"/>
            <wp:docPr id="1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1"/>
                    <pic:cNvPicPr>
                      <a:picLocks noChangeAspect="1"/>
                    </pic:cNvPicPr>
                  </pic:nvPicPr>
                  <pic:blipFill>
                    <a:blip r:embed="rId119"/>
                    <a:stretch>
                      <a:fillRect/>
                    </a:stretch>
                  </pic:blipFill>
                  <pic:spPr>
                    <a:xfrm>
                      <a:off x="0" y="0"/>
                      <a:ext cx="4909185" cy="1751330"/>
                    </a:xfrm>
                    <a:prstGeom prst="rect">
                      <a:avLst/>
                    </a:prstGeom>
                    <a:noFill/>
                    <a:ln>
                      <a:noFill/>
                    </a:ln>
                  </pic:spPr>
                </pic:pic>
              </a:graphicData>
            </a:graphic>
          </wp:inline>
        </w:drawing>
      </w:r>
    </w:p>
    <w:p w14:paraId="2A99799F">
      <w:pPr>
        <w:pStyle w:val="16"/>
        <w:bidi w:val="0"/>
        <w:rPr>
          <w:rFonts w:hint="eastAsia"/>
          <w:lang w:val="en-US" w:eastAsia="zh-CN"/>
        </w:rPr>
      </w:pPr>
      <w:r>
        <w:t xml:space="preserve">图 </w:t>
      </w:r>
      <w:r>
        <w:fldChar w:fldCharType="begin"/>
      </w:r>
      <w:r>
        <w:instrText xml:space="preserve"> STYLEREF 3 \s </w:instrText>
      </w:r>
      <w:r>
        <w:fldChar w:fldCharType="separate"/>
      </w:r>
      <w:r>
        <w:t>6.1.11</w:t>
      </w:r>
      <w:r>
        <w:fldChar w:fldCharType="end"/>
      </w:r>
      <w:r>
        <w:rPr>
          <w:rFonts w:hint="eastAsia"/>
          <w:lang w:eastAsia="zh-CN"/>
        </w:rPr>
        <w:t>-</w:t>
      </w:r>
      <w:r>
        <w:fldChar w:fldCharType="begin"/>
      </w:r>
      <w:r>
        <w:instrText xml:space="preserve"> SEQ 图 \* ARABIC \s 3 </w:instrText>
      </w:r>
      <w:r>
        <w:fldChar w:fldCharType="separate"/>
      </w:r>
      <w:r>
        <w:t>2</w:t>
      </w:r>
      <w:r>
        <w:fldChar w:fldCharType="end"/>
      </w:r>
      <w:r>
        <w:rPr>
          <w:rFonts w:hint="eastAsia"/>
          <w:lang w:val="en-US" w:eastAsia="zh-CN"/>
        </w:rPr>
        <w:t xml:space="preserve"> 塔吊剩余平衡重吊装示意图</w:t>
      </w:r>
    </w:p>
    <w:p w14:paraId="38DA1F0F">
      <w:pPr>
        <w:pStyle w:val="4"/>
        <w:bidi w:val="0"/>
        <w:ind w:left="720" w:leftChars="0" w:hanging="720" w:firstLineChars="0"/>
        <w:rPr>
          <w:rFonts w:hint="eastAsia"/>
          <w:lang w:val="en-US" w:eastAsia="zh-CN"/>
        </w:rPr>
      </w:pPr>
      <w:r>
        <w:rPr>
          <w:rFonts w:hint="eastAsia"/>
          <w:lang w:val="en-US" w:eastAsia="zh-CN"/>
        </w:rPr>
        <w:t>穿绕钢丝绳</w:t>
      </w:r>
    </w:p>
    <w:p w14:paraId="45A704B5">
      <w:pPr>
        <w:pStyle w:val="5"/>
        <w:bidi w:val="0"/>
        <w:ind w:left="864" w:leftChars="0" w:hanging="864" w:firstLineChars="0"/>
      </w:pPr>
      <w:r>
        <w:rPr>
          <w:rFonts w:hint="eastAsia"/>
        </w:rPr>
        <w:t>穿绕变幅钢丝绳</w:t>
      </w:r>
    </w:p>
    <w:p w14:paraId="122535F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将变幅小车临时锁定，作业人员通过爬梯爬至回转总成平台上，将安全带交替系挂在起重臂臂根节上弦杆，沿下弦杆走行至变幅卷筒处，启动变幅卷筒放出后变幅钢丝绳，人工牵引变幅钢丝绳穿过起重臂根部滑轮，使用销轴将后变幅钢丝绳上的楔形接头固定在小车上。</w:t>
      </w:r>
    </w:p>
    <w:p w14:paraId="3616F8B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（2）启动变幅卷扬机收紧后变幅钢丝绳，并将后变幅钢丝绳缓慢卷绕至变幅卷筒上。</w:t>
      </w:r>
    </w:p>
    <w:p w14:paraId="3BEFF79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从变幅卷筒内放出前变幅钢丝绳，作业人员安全带交替系挂在起重臂安全绳上，沿下弦杆牵引前变幅钢丝绳至起重臂臂端滑轮处，将变幅钢丝绳穿过起重臂臂端滑轮，再将前变幅钢丝绳牵引至小车处进行固定，并用小车上的张紧卷筒张紧钢丝绳。</w:t>
      </w:r>
    </w:p>
    <w:p w14:paraId="0B347488">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变幅钢丝绳绕绳总体示意如下图所示。</w:t>
      </w:r>
    </w:p>
    <w:p w14:paraId="7A58DE69">
      <w:pPr>
        <w:pageBreakBefore w:val="0"/>
        <w:widowControl w:val="0"/>
        <w:shd w:val="clear"/>
        <w:kinsoku/>
        <w:wordWrap/>
        <w:overflowPunct/>
        <w:topLinePunct w:val="0"/>
        <w:autoSpaceDE/>
        <w:autoSpaceDN/>
        <w:bidi w:val="0"/>
        <w:adjustRightInd/>
        <w:snapToGrid/>
        <w:spacing w:line="240" w:lineRule="auto"/>
        <w:ind w:firstLine="480"/>
        <w:jc w:val="center"/>
        <w:textAlignment w:val="auto"/>
        <w:rPr>
          <w:highlight w:val="none"/>
        </w:rPr>
      </w:pPr>
      <w:r>
        <w:rPr>
          <w:highlight w:val="none"/>
        </w:rPr>
        <w:drawing>
          <wp:inline distT="0" distB="0" distL="114300" distR="114300">
            <wp:extent cx="5756275" cy="2272030"/>
            <wp:effectExtent l="0" t="0" r="15875" b="13970"/>
            <wp:docPr id="14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1"/>
                    <pic:cNvPicPr>
                      <a:picLocks noChangeAspect="1"/>
                    </pic:cNvPicPr>
                  </pic:nvPicPr>
                  <pic:blipFill>
                    <a:blip r:embed="rId120"/>
                    <a:stretch>
                      <a:fillRect/>
                    </a:stretch>
                  </pic:blipFill>
                  <pic:spPr>
                    <a:xfrm>
                      <a:off x="0" y="0"/>
                      <a:ext cx="5756275" cy="2272030"/>
                    </a:xfrm>
                    <a:prstGeom prst="rect">
                      <a:avLst/>
                    </a:prstGeom>
                    <a:noFill/>
                    <a:ln>
                      <a:noFill/>
                    </a:ln>
                  </pic:spPr>
                </pic:pic>
              </a:graphicData>
            </a:graphic>
          </wp:inline>
        </w:drawing>
      </w:r>
    </w:p>
    <w:p w14:paraId="5ABCC990">
      <w:pPr>
        <w:pStyle w:val="16"/>
        <w:pageBreakBefore w:val="0"/>
        <w:widowControl w:val="0"/>
        <w:shd w:val="clear"/>
        <w:kinsoku/>
        <w:wordWrap/>
        <w:overflowPunct/>
        <w:topLinePunct w:val="0"/>
        <w:autoSpaceDE/>
        <w:autoSpaceDN/>
        <w:bidi w:val="0"/>
        <w:adjustRightInd/>
        <w:snapToGrid/>
        <w:spacing w:line="240" w:lineRule="auto"/>
        <w:ind w:firstLine="480"/>
        <w:jc w:val="center"/>
        <w:textAlignment w:val="auto"/>
        <w:rPr>
          <w:rFonts w:hint="eastAsia"/>
          <w:lang w:val="en-US" w:eastAsia="zh-CN"/>
        </w:rPr>
      </w:pPr>
      <w:r>
        <w:t xml:space="preserve">图 </w:t>
      </w:r>
      <w:r>
        <w:fldChar w:fldCharType="begin"/>
      </w:r>
      <w:r>
        <w:instrText xml:space="preserve"> STYLEREF 3 \s </w:instrText>
      </w:r>
      <w:r>
        <w:fldChar w:fldCharType="separate"/>
      </w:r>
      <w:r>
        <w:t>6.1.12</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变幅钢丝绳穿绕示意图</w:t>
      </w:r>
    </w:p>
    <w:p w14:paraId="39A892A6">
      <w:pPr>
        <w:pStyle w:val="5"/>
        <w:bidi w:val="0"/>
        <w:ind w:left="864" w:leftChars="0" w:hanging="864" w:firstLineChars="0"/>
      </w:pPr>
      <w:r>
        <w:rPr>
          <w:rFonts w:hint="eastAsia"/>
        </w:rPr>
        <w:t>穿绕起升钢丝绳</w:t>
      </w:r>
    </w:p>
    <w:p w14:paraId="1B73E0F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钢丝绳从起升机构（1）卷筒上端出绳，穿过起重臂臂根节上托绳轮（2），再穿过起重臂臂根节上起重量限制器滑轮（3），再穿过起重臂臂根部滑轮（4），然后钢丝绳伸出连接小车。</w:t>
      </w:r>
    </w:p>
    <w:p w14:paraId="779CF9B0">
      <w:pPr>
        <w:pageBreakBefore w:val="0"/>
        <w:widowControl w:val="0"/>
        <w:shd w:val="clear"/>
        <w:kinsoku/>
        <w:wordWrap/>
        <w:overflowPunct/>
        <w:topLinePunct w:val="0"/>
        <w:autoSpaceDE/>
        <w:autoSpaceDN/>
        <w:bidi w:val="0"/>
        <w:adjustRightInd/>
        <w:snapToGrid/>
        <w:spacing w:line="240" w:lineRule="auto"/>
        <w:ind w:firstLine="480"/>
        <w:textAlignment w:val="auto"/>
        <w:rPr>
          <w:rFonts w:hint="eastAsia" w:ascii="Times New Roman" w:hAnsi="Times New Roman" w:eastAsia="宋体" w:cs="Times New Roman"/>
          <w:szCs w:val="21"/>
          <w:highlight w:val="none"/>
          <w:lang w:eastAsia="zh-CN"/>
        </w:rPr>
      </w:pPr>
      <w:r>
        <w:rPr>
          <w:highlight w:val="none"/>
        </w:rPr>
        <w:drawing>
          <wp:inline distT="0" distB="0" distL="114300" distR="114300">
            <wp:extent cx="5758180" cy="3295650"/>
            <wp:effectExtent l="0" t="0" r="13970" b="0"/>
            <wp:docPr id="1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2"/>
                    <pic:cNvPicPr>
                      <a:picLocks noChangeAspect="1"/>
                    </pic:cNvPicPr>
                  </pic:nvPicPr>
                  <pic:blipFill>
                    <a:blip r:embed="rId121"/>
                    <a:stretch>
                      <a:fillRect/>
                    </a:stretch>
                  </pic:blipFill>
                  <pic:spPr>
                    <a:xfrm>
                      <a:off x="0" y="0"/>
                      <a:ext cx="5758180" cy="3295650"/>
                    </a:xfrm>
                    <a:prstGeom prst="rect">
                      <a:avLst/>
                    </a:prstGeom>
                    <a:noFill/>
                    <a:ln>
                      <a:noFill/>
                    </a:ln>
                  </pic:spPr>
                </pic:pic>
              </a:graphicData>
            </a:graphic>
          </wp:inline>
        </w:drawing>
      </w:r>
    </w:p>
    <w:p w14:paraId="2D989367">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穿绕变幅小车上起升钢丝绳。由于本小车和吊钩为自动变倍率方式，变倍率时通过吊 钩上上下滑轮组自动断开方式实现，因此起升钢丝绳的绕绳方式不变。</w:t>
      </w:r>
    </w:p>
    <w:p w14:paraId="02C162E2">
      <w:pPr>
        <w:keepNext w:val="0"/>
        <w:keepLines w:val="0"/>
        <w:pageBreakBefore w:val="0"/>
        <w:widowControl w:val="0"/>
        <w:suppressLineNumbers w:val="0"/>
        <w:shd w:val="clear"/>
        <w:kinsoku/>
        <w:wordWrap/>
        <w:overflowPunct/>
        <w:topLinePunct w:val="0"/>
        <w:autoSpaceDE/>
        <w:autoSpaceDN/>
        <w:bidi w:val="0"/>
        <w:spacing w:line="240" w:lineRule="auto"/>
        <w:ind w:firstLine="0" w:firstLineChars="0"/>
        <w:jc w:val="center"/>
        <w:textAlignment w:val="auto"/>
        <w:rPr>
          <w:highlight w:val="none"/>
        </w:rPr>
      </w:pPr>
      <w:r>
        <w:rPr>
          <w:highlight w:val="none"/>
        </w:rPr>
        <w:drawing>
          <wp:inline distT="0" distB="0" distL="114300" distR="114300">
            <wp:extent cx="3038475" cy="2628900"/>
            <wp:effectExtent l="0" t="0" r="9525" b="0"/>
            <wp:docPr id="14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3"/>
                    <pic:cNvPicPr>
                      <a:picLocks noChangeAspect="1"/>
                    </pic:cNvPicPr>
                  </pic:nvPicPr>
                  <pic:blipFill>
                    <a:blip r:embed="rId122"/>
                    <a:stretch>
                      <a:fillRect/>
                    </a:stretch>
                  </pic:blipFill>
                  <pic:spPr>
                    <a:xfrm>
                      <a:off x="0" y="0"/>
                      <a:ext cx="3038475" cy="2628900"/>
                    </a:xfrm>
                    <a:prstGeom prst="rect">
                      <a:avLst/>
                    </a:prstGeom>
                    <a:noFill/>
                    <a:ln>
                      <a:noFill/>
                    </a:ln>
                  </pic:spPr>
                </pic:pic>
              </a:graphicData>
            </a:graphic>
          </wp:inline>
        </w:drawing>
      </w:r>
    </w:p>
    <w:p w14:paraId="5C30957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default" w:ascii="宋体" w:hAnsi="宋体" w:eastAsia="仿宋" w:cs="宋体"/>
          <w:color w:val="000000"/>
          <w:kern w:val="0"/>
          <w:sz w:val="28"/>
          <w:szCs w:val="24"/>
          <w:lang w:val="en-US" w:eastAsia="zh-CN" w:bidi="ar-SA"/>
        </w:rPr>
        <w:t>起升钢丝绳从小车绕出之后进入起重臂臂头防扭装置。用楔块（3）锁住钢丝绳（1） 至楔套（2），并在钢丝绳末端装上一个绳夹（4）。用销轴（6）和开口销（7）安装楔套（2） 至钢丝绳防扭器（5）。安装完毕后检查防扭器是否旋转自如。</w:t>
      </w:r>
    </w:p>
    <w:p w14:paraId="7B8E0B3A">
      <w:pPr>
        <w:keepNext w:val="0"/>
        <w:keepLines w:val="0"/>
        <w:pageBreakBefore w:val="0"/>
        <w:widowControl/>
        <w:suppressLineNumbers w:val="0"/>
        <w:shd w:val="clear"/>
        <w:kinsoku/>
        <w:wordWrap/>
        <w:overflowPunct/>
        <w:topLinePunct w:val="0"/>
        <w:autoSpaceDE/>
        <w:autoSpaceDN/>
        <w:bidi w:val="0"/>
        <w:spacing w:line="240" w:lineRule="auto"/>
        <w:ind w:firstLine="0" w:firstLineChars="0"/>
        <w:jc w:val="center"/>
        <w:textAlignment w:val="auto"/>
        <w:rPr>
          <w:rFonts w:hint="eastAsia"/>
          <w:highlight w:val="none"/>
          <w:lang w:bidi="ar"/>
        </w:rPr>
      </w:pPr>
      <w:r>
        <w:rPr>
          <w:highlight w:val="none"/>
        </w:rPr>
        <w:drawing>
          <wp:inline distT="0" distB="0" distL="114300" distR="114300">
            <wp:extent cx="5758815" cy="2462530"/>
            <wp:effectExtent l="0" t="0" r="13335" b="13970"/>
            <wp:docPr id="14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4"/>
                    <pic:cNvPicPr>
                      <a:picLocks noChangeAspect="1"/>
                    </pic:cNvPicPr>
                  </pic:nvPicPr>
                  <pic:blipFill>
                    <a:blip r:embed="rId123"/>
                    <a:stretch>
                      <a:fillRect/>
                    </a:stretch>
                  </pic:blipFill>
                  <pic:spPr>
                    <a:xfrm>
                      <a:off x="0" y="0"/>
                      <a:ext cx="5758815" cy="2462530"/>
                    </a:xfrm>
                    <a:prstGeom prst="rect">
                      <a:avLst/>
                    </a:prstGeom>
                    <a:noFill/>
                    <a:ln>
                      <a:noFill/>
                    </a:ln>
                  </pic:spPr>
                </pic:pic>
              </a:graphicData>
            </a:graphic>
          </wp:inline>
        </w:drawing>
      </w:r>
    </w:p>
    <w:p w14:paraId="4DDD3ABB">
      <w:pPr>
        <w:pStyle w:val="4"/>
        <w:bidi w:val="0"/>
        <w:ind w:left="720" w:leftChars="0" w:hanging="720" w:firstLineChars="0"/>
        <w:rPr>
          <w:rFonts w:hint="eastAsia"/>
          <w:lang w:val="en-US" w:eastAsia="zh-CN"/>
        </w:rPr>
      </w:pPr>
      <w:r>
        <w:rPr>
          <w:rFonts w:hint="eastAsia"/>
          <w:lang w:val="en-US" w:eastAsia="zh-CN"/>
        </w:rPr>
        <w:t>电气系统安装及试运转</w:t>
      </w:r>
    </w:p>
    <w:p w14:paraId="4E885A8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（1）起重臂安装完成后，按照说明书的要求，进行</w:t>
      </w:r>
      <w:r>
        <w:rPr>
          <w:rFonts w:hint="default" w:ascii="宋体" w:hAnsi="宋体" w:eastAsia="仿宋" w:cs="宋体"/>
          <w:color w:val="000000"/>
          <w:kern w:val="0"/>
          <w:sz w:val="28"/>
          <w:szCs w:val="24"/>
          <w:lang w:val="en-US" w:eastAsia="zh-CN" w:bidi="ar-SA"/>
        </w:rPr>
        <w:t>驾配箱、主控柜</w:t>
      </w:r>
      <w:r>
        <w:rPr>
          <w:rFonts w:hint="eastAsia" w:ascii="宋体" w:hAnsi="宋体" w:eastAsia="仿宋" w:cs="宋体"/>
          <w:color w:val="000000"/>
          <w:kern w:val="0"/>
          <w:sz w:val="28"/>
          <w:szCs w:val="24"/>
          <w:lang w:val="en-US" w:eastAsia="zh-CN" w:bidi="ar-SA"/>
        </w:rPr>
        <w:t>、</w:t>
      </w:r>
      <w:r>
        <w:rPr>
          <w:rFonts w:hint="default" w:ascii="宋体" w:hAnsi="宋体" w:eastAsia="仿宋" w:cs="宋体"/>
          <w:color w:val="000000"/>
          <w:kern w:val="0"/>
          <w:sz w:val="28"/>
          <w:szCs w:val="24"/>
          <w:lang w:val="en-US" w:eastAsia="zh-CN" w:bidi="ar-SA"/>
        </w:rPr>
        <w:t>重量限制器、力矩限制器、起升限位器、回转限位器、变幅限位器、行走限位器</w:t>
      </w:r>
      <w:r>
        <w:rPr>
          <w:rFonts w:hint="eastAsia" w:ascii="宋体" w:hAnsi="宋体" w:eastAsia="仿宋" w:cs="宋体"/>
          <w:color w:val="000000"/>
          <w:kern w:val="0"/>
          <w:sz w:val="28"/>
          <w:szCs w:val="24"/>
          <w:lang w:val="en-US" w:eastAsia="zh-CN" w:bidi="ar-SA"/>
        </w:rPr>
        <w:t>等的安装。</w:t>
      </w:r>
    </w:p>
    <w:p w14:paraId="1941E39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（2）在塔头顶部安装风速仪，平衡臂尾部以及起重臂前端部各安装一个警示灯。</w:t>
      </w:r>
    </w:p>
    <w:p w14:paraId="5FD404A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（3）在风速不大于3m/s且空载状态下，检查塔身轴线的垂直度，允许偏差为 4/1000。</w:t>
      </w:r>
    </w:p>
    <w:p w14:paraId="2EEBCE2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（4）侧向垂直度在使用高度、空载状态，臂架相当于塔身0°和90°时分别沿臂架方向测量，标尺贴靠在塔身结构中心的最低处和最高处，用全站仪读出两处的偏位值。</w:t>
      </w:r>
    </w:p>
    <w:p w14:paraId="16D9E6BE">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（5）塔吊接通电源，试运转各机构，检查各机构运转是否正常，同时检查各钢丝绳是否处于正常工作状态，是否与各机构有干扰。</w:t>
      </w:r>
    </w:p>
    <w:p w14:paraId="0560333B">
      <w:pPr>
        <w:pStyle w:val="5"/>
        <w:bidi w:val="0"/>
        <w:ind w:left="864" w:leftChars="0" w:hanging="864" w:firstLineChars="0"/>
      </w:pPr>
      <w:r>
        <w:rPr>
          <w:rFonts w:hint="eastAsia"/>
        </w:rPr>
        <w:t>操作系统的调试</w:t>
      </w:r>
    </w:p>
    <w:p w14:paraId="5E35EC65">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①电源检查：</w:t>
      </w:r>
    </w:p>
    <w:p w14:paraId="170F5CCF">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连通电源，检查三相电源的相序是否正确，电压是否满足要求（380V±5%）。</w:t>
      </w:r>
    </w:p>
    <w:p w14:paraId="092CFFC4">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②操作系统逻辑关系检查：</w:t>
      </w:r>
    </w:p>
    <w:p w14:paraId="7E7268B3">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操作起升手柄，观察吊钩起升运转情况，当起升手柄向内拉时，吊钩应向上运动；当起升手柄向外推时，吊钩应向下运动，否则应调整起升电机电源的相序。</w:t>
      </w:r>
    </w:p>
    <w:p w14:paraId="6C6FBC66">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操作回转手柄，当回转手柄向左推时，起重臂应向左转；当回转手柄向右推时，起重臂应向右转，否则应调整回转电机电源的相序。</w:t>
      </w:r>
    </w:p>
    <w:p w14:paraId="4D2DC2E0">
      <w:pPr>
        <w:keepNext w:val="0"/>
        <w:keepLines w:val="0"/>
        <w:pageBreakBefore w:val="0"/>
        <w:widowControl w:val="0"/>
        <w:suppressLineNumbers w:val="0"/>
        <w:shd w:val="clear"/>
        <w:kinsoku/>
        <w:wordWrap/>
        <w:overflowPunct/>
        <w:topLinePunct w:val="0"/>
        <w:autoSpaceDE/>
        <w:autoSpaceDN/>
        <w:bidi w:val="0"/>
        <w:spacing w:line="240" w:lineRule="auto"/>
        <w:ind w:firstLine="480"/>
        <w:jc w:val="lef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操作变幅手柄，当变幅手柄向内拉时，变幅小车应该向内行走；当变幅手柄向外推时，变幅小车应该向外行走，否则应调整变幅小车电机电源的相序。</w:t>
      </w:r>
    </w:p>
    <w:p w14:paraId="6186836A">
      <w:pPr>
        <w:pStyle w:val="4"/>
        <w:bidi w:val="0"/>
        <w:ind w:left="720" w:leftChars="0" w:hanging="720" w:firstLineChars="0"/>
        <w:rPr>
          <w:rFonts w:hint="eastAsia"/>
          <w:lang w:val="en-US" w:eastAsia="zh-CN"/>
        </w:rPr>
      </w:pPr>
      <w:r>
        <w:rPr>
          <w:rFonts w:hint="eastAsia"/>
          <w:lang w:val="en-US" w:eastAsia="zh-CN"/>
        </w:rPr>
        <w:t>塔吊顶升加节</w:t>
      </w:r>
    </w:p>
    <w:p w14:paraId="6EC764FE">
      <w:pPr>
        <w:pStyle w:val="5"/>
        <w:bidi w:val="0"/>
        <w:ind w:left="864" w:leftChars="0" w:hanging="864" w:firstLineChars="0"/>
      </w:pPr>
      <w:r>
        <w:rPr>
          <w:rFonts w:hint="eastAsia"/>
        </w:rPr>
        <w:t>顶升前准备工作</w:t>
      </w:r>
    </w:p>
    <w:p w14:paraId="13B7E8DA">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按液压泵站要求给其油箱加油，顶升横梁防脱装置的销轴退出踏步的圆孔； </w:t>
      </w:r>
    </w:p>
    <w:p w14:paraId="6B0025B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清理好各个塔身节，在塔身节连接套内涂上黄油，将待顶升加高用的标准节在顶升位 置时的起重臂下排成一排，这样能使塔机在整个顶升加节过程中不用回转机构，能使顶升加节过程所用时间最短； </w:t>
      </w:r>
    </w:p>
    <w:p w14:paraId="422F6FE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放松电缆长度略大于总的顶升高度，并紧固好电缆； </w:t>
      </w:r>
    </w:p>
    <w:p w14:paraId="5759B2E2">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将起重臂旋转至爬升架前方，平衡臂处于爬升架的后方（顶升油缸必须位于平衡臂下方）； </w:t>
      </w:r>
    </w:p>
    <w:p w14:paraId="74E3D07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爬升架平台上准备好塔身高强度螺栓； </w:t>
      </w:r>
    </w:p>
    <w:p w14:paraId="6AA1374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检查、调试并确认顶升机构工作正确、可靠，保证爬升架能按塔机爬升规定的程序上 升、下降、可靠停止；运行过程中应平稳，无爬行、振动现象； </w:t>
      </w:r>
    </w:p>
    <w:p w14:paraId="3AB964C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检查爬升架支承系统，确保各部分运动灵活，承重可靠； </w:t>
      </w:r>
    </w:p>
    <w:p w14:paraId="7F50A5FA">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液压顶升机构应保证安全，溢流阀的调整压力不得大于系统额定工作压力的 </w:t>
      </w:r>
      <w:r>
        <w:rPr>
          <w:rFonts w:hint="default" w:ascii="宋体" w:hAnsi="宋体" w:eastAsia="仿宋" w:cs="宋体"/>
          <w:color w:val="000000"/>
          <w:kern w:val="0"/>
          <w:sz w:val="28"/>
          <w:szCs w:val="24"/>
          <w:lang w:val="en-US" w:eastAsia="zh-CN" w:bidi="ar-SA"/>
        </w:rPr>
        <w:t>110%</w:t>
      </w:r>
      <w:r>
        <w:rPr>
          <w:rFonts w:hint="eastAsia" w:ascii="宋体" w:hAnsi="宋体" w:eastAsia="仿宋" w:cs="宋体"/>
          <w:color w:val="000000"/>
          <w:kern w:val="0"/>
          <w:sz w:val="28"/>
          <w:szCs w:val="24"/>
          <w:lang w:val="en-US" w:eastAsia="zh-CN" w:bidi="ar-SA"/>
        </w:rPr>
        <w:t>。</w:t>
      </w:r>
    </w:p>
    <w:p w14:paraId="13BBB853">
      <w:pPr>
        <w:pStyle w:val="5"/>
        <w:bidi w:val="0"/>
        <w:ind w:left="864" w:leftChars="0" w:hanging="864" w:firstLineChars="0"/>
        <w:rPr>
          <w:rFonts w:hint="default"/>
          <w:lang w:val="en-US" w:eastAsia="zh-CN"/>
        </w:rPr>
      </w:pPr>
      <w:r>
        <w:rPr>
          <w:rFonts w:hint="eastAsia"/>
          <w:lang w:val="en-US" w:eastAsia="zh-CN"/>
        </w:rPr>
        <w:t>顶升作业注意事项</w:t>
      </w:r>
    </w:p>
    <w:p w14:paraId="236408D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塔机最高处风速大于 </w:t>
      </w:r>
      <w:r>
        <w:rPr>
          <w:rFonts w:hint="default" w:ascii="宋体" w:hAnsi="宋体" w:eastAsia="仿宋" w:cs="宋体"/>
          <w:color w:val="000000"/>
          <w:kern w:val="0"/>
          <w:sz w:val="28"/>
          <w:szCs w:val="24"/>
          <w:lang w:val="en-US" w:eastAsia="zh-CN" w:bidi="ar-SA"/>
        </w:rPr>
        <w:t xml:space="preserve">12m/s </w:t>
      </w:r>
      <w:r>
        <w:rPr>
          <w:rFonts w:hint="eastAsia" w:ascii="宋体" w:hAnsi="宋体" w:eastAsia="仿宋" w:cs="宋体"/>
          <w:color w:val="000000"/>
          <w:kern w:val="0"/>
          <w:sz w:val="28"/>
          <w:szCs w:val="24"/>
          <w:lang w:val="en-US" w:eastAsia="zh-CN" w:bidi="ar-SA"/>
        </w:rPr>
        <w:t xml:space="preserve">时，不得进行顶升作业； </w:t>
      </w:r>
    </w:p>
    <w:p w14:paraId="6170DBD7">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塔机的爬升机构，其爬升作业时应确保爬升架上支承在塔身上的受力部位与塔身顶升 支承部位应可靠定位和结合。并应及时查看顶升支承部位焊缝情况，若有异常情况应排除后才能继续进行爬升作业； </w:t>
      </w:r>
    </w:p>
    <w:p w14:paraId="0D67009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顶升过程中必须保证起重臂与引入标准节方向一致，并利用回转机构制动器将起重臂 制动住，载重小车必须停靠在顶升配平位置； </w:t>
      </w:r>
    </w:p>
    <w:p w14:paraId="1330C83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若要连续加高几节标准节，则每加完一节后，用塔机自身起吊下一节标准节前，塔身 </w:t>
      </w:r>
      <w:r>
        <w:rPr>
          <w:rFonts w:hint="default" w:ascii="宋体" w:hAnsi="宋体" w:eastAsia="仿宋" w:cs="宋体"/>
          <w:color w:val="000000"/>
          <w:kern w:val="0"/>
          <w:sz w:val="28"/>
          <w:szCs w:val="24"/>
          <w:lang w:val="en-US" w:eastAsia="zh-CN" w:bidi="ar-SA"/>
        </w:rPr>
        <w:t xml:space="preserve">4 </w:t>
      </w:r>
      <w:r>
        <w:rPr>
          <w:rFonts w:hint="eastAsia" w:ascii="宋体" w:hAnsi="宋体" w:eastAsia="仿宋" w:cs="宋体"/>
          <w:color w:val="000000"/>
          <w:kern w:val="0"/>
          <w:sz w:val="28"/>
          <w:szCs w:val="24"/>
          <w:lang w:val="en-US" w:eastAsia="zh-CN" w:bidi="ar-SA"/>
        </w:rPr>
        <w:t xml:space="preserve">个主弦杆和特殊节必须有 </w:t>
      </w:r>
      <w:r>
        <w:rPr>
          <w:rFonts w:hint="default" w:ascii="宋体" w:hAnsi="宋体" w:eastAsia="仿宋" w:cs="宋体"/>
          <w:color w:val="000000"/>
          <w:kern w:val="0"/>
          <w:sz w:val="28"/>
          <w:szCs w:val="24"/>
          <w:lang w:val="en-US" w:eastAsia="zh-CN" w:bidi="ar-SA"/>
        </w:rPr>
        <w:t xml:space="preserve">8 </w:t>
      </w:r>
      <w:r>
        <w:rPr>
          <w:rFonts w:hint="eastAsia" w:ascii="宋体" w:hAnsi="宋体" w:eastAsia="仿宋" w:cs="宋体"/>
          <w:color w:val="000000"/>
          <w:kern w:val="0"/>
          <w:sz w:val="28"/>
          <w:szCs w:val="24"/>
          <w:lang w:val="en-US" w:eastAsia="zh-CN" w:bidi="ar-SA"/>
        </w:rPr>
        <w:t xml:space="preserve">个安全销轴连接； </w:t>
      </w:r>
    </w:p>
    <w:p w14:paraId="096A144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所加标准节上的踏步，必须与已有塔身节对正； </w:t>
      </w:r>
    </w:p>
    <w:p w14:paraId="168AC47C">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在特殊节与塔身没有用销轴连接好之前，严禁起重臂回转、载重小车变幅和吊装作业； </w:t>
      </w:r>
    </w:p>
    <w:p w14:paraId="76724D4E">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在顶升过程中，若液压顶升系统出现异常，应立即停止顶升，收回油缸，将特殊节落在塔身顶部，并用 </w:t>
      </w:r>
      <w:r>
        <w:rPr>
          <w:rFonts w:hint="default" w:ascii="宋体" w:hAnsi="宋体" w:eastAsia="仿宋" w:cs="宋体"/>
          <w:color w:val="000000"/>
          <w:kern w:val="0"/>
          <w:sz w:val="28"/>
          <w:szCs w:val="24"/>
          <w:lang w:val="en-US" w:eastAsia="zh-CN" w:bidi="ar-SA"/>
        </w:rPr>
        <w:t xml:space="preserve">8 </w:t>
      </w:r>
      <w:r>
        <w:rPr>
          <w:rFonts w:hint="eastAsia" w:ascii="宋体" w:hAnsi="宋体" w:eastAsia="仿宋" w:cs="宋体"/>
          <w:color w:val="000000"/>
          <w:kern w:val="0"/>
          <w:sz w:val="28"/>
          <w:szCs w:val="24"/>
          <w:lang w:val="en-US" w:eastAsia="zh-CN" w:bidi="ar-SA"/>
        </w:rPr>
        <w:t>根销轴将特殊节与塔身连接牢靠后，再排除液压系统的故障；</w:t>
      </w:r>
    </w:p>
    <w:p w14:paraId="0E20884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default"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 xml:space="preserve">塔机加节达到所需工作高度（但不超过独立高度）后，应旋转起重臂至不同的角度， 检查塔身各接头处销轴的装配、基础支脚处螺栓的拧紧问题。 </w:t>
      </w:r>
    </w:p>
    <w:p w14:paraId="7AA4B505">
      <w:pPr>
        <w:pStyle w:val="5"/>
        <w:bidi w:val="0"/>
        <w:ind w:left="864" w:leftChars="0" w:hanging="864" w:firstLineChars="0"/>
        <w:rPr>
          <w:rFonts w:hint="eastAsia"/>
          <w:lang w:val="en-US" w:eastAsia="zh-CN"/>
        </w:rPr>
      </w:pPr>
      <w:r>
        <w:rPr>
          <w:rFonts w:hint="eastAsia"/>
          <w:lang w:val="en-US" w:eastAsia="zh-CN"/>
        </w:rPr>
        <w:t xml:space="preserve">钢丝绳防脱装置 </w:t>
      </w:r>
    </w:p>
    <w:p w14:paraId="052B59B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该塔机的滑轮、起升卷筒均设有钢丝绳防脱装置，该装置表面与滑轮或卷筒侧板外缘间的间隙不超过钢丝绳直径的 20% ,该装置可能与钢丝绳接触的表面没有棱角，目测检验防脱是否有效。</w:t>
      </w:r>
    </w:p>
    <w:p w14:paraId="1EDBC3F6">
      <w:pPr>
        <w:pStyle w:val="5"/>
        <w:bidi w:val="0"/>
        <w:ind w:left="864" w:leftChars="0" w:hanging="864" w:firstLineChars="0"/>
      </w:pPr>
      <w:r>
        <w:rPr>
          <w:rFonts w:hint="eastAsia"/>
        </w:rPr>
        <w:t>顶升时的配平</w:t>
      </w:r>
    </w:p>
    <w:p w14:paraId="14A9ED06">
      <w:pPr>
        <w:shd w:val="clear"/>
        <w:spacing w:line="240" w:lineRule="auto"/>
        <w:jc w:val="left"/>
        <w:rPr>
          <w:rFonts w:hint="eastAsia"/>
          <w:highlight w:val="none"/>
          <w:lang w:eastAsia="zh-CN"/>
        </w:rPr>
      </w:pPr>
      <w:r>
        <w:rPr>
          <w:rFonts w:hint="eastAsia" w:eastAsia="宋体"/>
          <w:b/>
          <w:sz w:val="21"/>
          <w:highlight w:val="none"/>
          <w:lang w:eastAsia="zh-CN"/>
        </w:rPr>
        <w:drawing>
          <wp:inline distT="0" distB="0" distL="114300" distR="114300">
            <wp:extent cx="2578100" cy="2991485"/>
            <wp:effectExtent l="0" t="0" r="12700" b="18415"/>
            <wp:docPr id="105" name="图片 105" descr="172067932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720679320783"/>
                    <pic:cNvPicPr>
                      <a:picLocks noChangeAspect="1"/>
                    </pic:cNvPicPr>
                  </pic:nvPicPr>
                  <pic:blipFill>
                    <a:blip r:embed="rId124"/>
                    <a:stretch>
                      <a:fillRect/>
                    </a:stretch>
                  </pic:blipFill>
                  <pic:spPr>
                    <a:xfrm>
                      <a:off x="0" y="0"/>
                      <a:ext cx="2578100" cy="2991485"/>
                    </a:xfrm>
                    <a:prstGeom prst="rect">
                      <a:avLst/>
                    </a:prstGeom>
                  </pic:spPr>
                </pic:pic>
              </a:graphicData>
            </a:graphic>
          </wp:inline>
        </w:drawing>
      </w:r>
      <w:r>
        <w:rPr>
          <w:rFonts w:hint="eastAsia"/>
          <w:highlight w:val="none"/>
          <w:lang w:eastAsia="zh-CN"/>
        </w:rPr>
        <w:drawing>
          <wp:inline distT="0" distB="0" distL="114300" distR="114300">
            <wp:extent cx="1999615" cy="3013075"/>
            <wp:effectExtent l="0" t="0" r="635" b="15875"/>
            <wp:docPr id="106" name="图片 106" descr="172067941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720679417501"/>
                    <pic:cNvPicPr>
                      <a:picLocks noChangeAspect="1"/>
                    </pic:cNvPicPr>
                  </pic:nvPicPr>
                  <pic:blipFill>
                    <a:blip r:embed="rId125"/>
                    <a:stretch>
                      <a:fillRect/>
                    </a:stretch>
                  </pic:blipFill>
                  <pic:spPr>
                    <a:xfrm>
                      <a:off x="0" y="0"/>
                      <a:ext cx="1999615" cy="3013075"/>
                    </a:xfrm>
                    <a:prstGeom prst="rect">
                      <a:avLst/>
                    </a:prstGeom>
                  </pic:spPr>
                </pic:pic>
              </a:graphicData>
            </a:graphic>
          </wp:inline>
        </w:drawing>
      </w:r>
    </w:p>
    <w:p w14:paraId="7F825FB3">
      <w:pPr>
        <w:pStyle w:val="16"/>
        <w:bidi w:val="0"/>
        <w:rPr>
          <w:rFonts w:hint="eastAsia"/>
          <w:lang w:val="en-US" w:eastAsia="zh-CN"/>
        </w:rPr>
      </w:pPr>
      <w:r>
        <w:t xml:space="preserve">图 </w:t>
      </w:r>
      <w:r>
        <w:fldChar w:fldCharType="begin"/>
      </w:r>
      <w:r>
        <w:instrText xml:space="preserve"> STYLEREF 3 \s </w:instrText>
      </w:r>
      <w:r>
        <w:fldChar w:fldCharType="separate"/>
      </w:r>
      <w:r>
        <w:t>6.1.14</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标准节引进示意图</w:t>
      </w:r>
    </w:p>
    <w:p w14:paraId="3F62536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（1）塔机配平前，必须先吊一节标准节放在下支座的引进横梁上（标准节的平台、平台栏杆和爬梯要固定好），钢丝绳挂在标准节的对角吊耳上，再将载重小车吊一节标准节运行到配平参考位置见</w:t>
      </w:r>
      <w:r>
        <w:t xml:space="preserve">表 </w:t>
      </w:r>
      <w:r>
        <w:fldChar w:fldCharType="begin"/>
      </w:r>
      <w:r>
        <w:instrText xml:space="preserve"> STYLEREF 3 \s </w:instrText>
      </w:r>
      <w:r>
        <w:fldChar w:fldCharType="separate"/>
      </w:r>
      <w:r>
        <w:t>6.1.14</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rPr>
          <w:rFonts w:hint="eastAsia"/>
          <w:lang w:val="en-US" w:eastAsia="zh-CN"/>
        </w:rPr>
        <w:t xml:space="preserve"> </w:t>
      </w:r>
      <w:r>
        <w:rPr>
          <w:rFonts w:hint="eastAsia" w:ascii="宋体" w:hAnsi="宋体" w:eastAsia="仿宋" w:cs="宋体"/>
          <w:color w:val="000000"/>
          <w:kern w:val="0"/>
          <w:sz w:val="28"/>
          <w:szCs w:val="24"/>
          <w:lang w:val="en-US" w:eastAsia="zh-CN" w:bidi="ar-SA"/>
        </w:rPr>
        <w:t>，然后拆除特殊节 4 个支腿与标准节连接的 8 个销轴。</w:t>
      </w:r>
    </w:p>
    <w:p w14:paraId="1A4FCB9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（2）将液压顶升系统操纵杆推至“顶升”方向，使套架顶升至特殊节支腿刚刚脱离塔身的主弦杆的位置。</w:t>
      </w:r>
    </w:p>
    <w:p w14:paraId="7F7D440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（3）通过检验特殊节支腿与塔身主弦杆是否在一条垂直线上，并观察套架 8 个导轮与塔身主弦杆间隙是否基本相同来检查塔机是否平衡。略微调整载重小车的配平位置，直至平衡。记录实际配平位置，以后顶升或降节时使用。 必须使得塔机上部重心落在顶升油缸梁的位置上。</w:t>
      </w:r>
    </w:p>
    <w:p w14:paraId="55B7CA2D">
      <w:pPr>
        <w:pStyle w:val="16"/>
        <w:keepNext/>
        <w:keepLines w:val="0"/>
        <w:pageBreakBefore w:val="0"/>
        <w:widowControl w:val="0"/>
        <w:shd w:val="clear"/>
        <w:kinsoku/>
        <w:wordWrap/>
        <w:overflowPunct/>
        <w:topLinePunct w:val="0"/>
        <w:autoSpaceDE/>
        <w:autoSpaceDN/>
        <w:bidi w:val="0"/>
        <w:adjustRightInd/>
        <w:snapToGrid/>
        <w:spacing w:line="240" w:lineRule="atLeast"/>
        <w:jc w:val="center"/>
        <w:textAlignment w:val="auto"/>
        <w:rPr>
          <w:rFonts w:hint="eastAsia"/>
          <w:lang w:val="en-US" w:eastAsia="zh-CN"/>
        </w:rPr>
      </w:pPr>
      <w:r>
        <w:t xml:space="preserve">表 </w:t>
      </w:r>
      <w:r>
        <w:fldChar w:fldCharType="begin"/>
      </w:r>
      <w:r>
        <w:instrText xml:space="preserve"> STYLEREF 3 \s </w:instrText>
      </w:r>
      <w:r>
        <w:fldChar w:fldCharType="separate"/>
      </w:r>
      <w:r>
        <w:t>6.1.14</w:t>
      </w:r>
      <w:r>
        <w:fldChar w:fldCharType="end"/>
      </w:r>
      <w:r>
        <w:rPr>
          <w:rFonts w:hint="eastAsia"/>
          <w:lang w:eastAsia="zh-CN"/>
        </w:rPr>
        <w:t>-</w:t>
      </w:r>
      <w:r>
        <w:fldChar w:fldCharType="begin"/>
      </w:r>
      <w:r>
        <w:instrText xml:space="preserve"> SEQ 表 \* ARABIC \s 3 </w:instrText>
      </w:r>
      <w:r>
        <w:fldChar w:fldCharType="separate"/>
      </w:r>
      <w:r>
        <w:t>2</w:t>
      </w:r>
      <w:r>
        <w:fldChar w:fldCharType="end"/>
      </w:r>
      <w:r>
        <w:rPr>
          <w:rFonts w:hint="eastAsia"/>
          <w:lang w:val="en-US" w:eastAsia="zh-CN"/>
        </w:rPr>
        <w:t xml:space="preserve"> 不同臂长理论顶升配平位置表</w:t>
      </w:r>
    </w:p>
    <w:p w14:paraId="6F4DBE60">
      <w:pPr>
        <w:pStyle w:val="5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drawing>
          <wp:inline distT="0" distB="0" distL="114300" distR="114300">
            <wp:extent cx="5131435" cy="2825115"/>
            <wp:effectExtent l="0" t="0" r="12065" b="13335"/>
            <wp:docPr id="1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pic:cNvPicPr>
                      <a:picLocks noChangeAspect="1"/>
                    </pic:cNvPicPr>
                  </pic:nvPicPr>
                  <pic:blipFill>
                    <a:blip r:embed="rId126"/>
                    <a:stretch>
                      <a:fillRect/>
                    </a:stretch>
                  </pic:blipFill>
                  <pic:spPr>
                    <a:xfrm>
                      <a:off x="0" y="0"/>
                      <a:ext cx="5131435" cy="2825115"/>
                    </a:xfrm>
                    <a:prstGeom prst="rect">
                      <a:avLst/>
                    </a:prstGeom>
                    <a:noFill/>
                    <a:ln>
                      <a:noFill/>
                    </a:ln>
                  </pic:spPr>
                </pic:pic>
              </a:graphicData>
            </a:graphic>
          </wp:inline>
        </w:drawing>
      </w:r>
    </w:p>
    <w:p w14:paraId="22A220FB">
      <w:pPr>
        <w:pStyle w:val="5"/>
        <w:bidi w:val="0"/>
        <w:ind w:left="864" w:leftChars="0" w:hanging="864" w:firstLineChars="0"/>
      </w:pPr>
      <w:r>
        <w:rPr>
          <w:rFonts w:hint="eastAsia"/>
        </w:rPr>
        <w:t>顶升作业</w:t>
      </w:r>
    </w:p>
    <w:p w14:paraId="7386A4F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顶升作业为多人配合作业，专人负责操作泵站、其余人负责操作标准节及销轴。</w:t>
      </w:r>
    </w:p>
    <w:p w14:paraId="1855A74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（1）按在引进梁上吊挂标准节的方法将一节标准节吊挂在引进梁上，并保证标准节上端面与引进小车下端面的距离在 100～250mm 之间。</w:t>
      </w:r>
    </w:p>
    <w:p w14:paraId="6A01797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（2）再吊配平标准节，将载重小车开至顶升平衡位置，塔机处于配平状态。</w:t>
      </w:r>
    </w:p>
    <w:p w14:paraId="56FABC8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（3）使用回转机构上的回转制动器，将塔机上部机构处于制动状态；</w:t>
      </w:r>
    </w:p>
    <w:p w14:paraId="14B5BFA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（4）卸下塔身顶部与下支座连接的顶升用临时销轴。</w:t>
      </w:r>
    </w:p>
    <w:p w14:paraId="107B83F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（5）开动液压顶升系统，使油缸活塞杆伸出，将顶升横梁两端的止动靴挂在距顶升横梁最近的塔身节踏步上（要设专人负责观察顶升横梁两端止动靴都必须落入踏步圆弧槽内）；</w:t>
      </w:r>
    </w:p>
    <w:p w14:paraId="524E6FA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（6）打开套架上止动靴操纵杆，使套架止动靴与塔身分开，继续顶升，将套架及以上部分顶起 0.1~0.5m 时停止。</w:t>
      </w:r>
    </w:p>
    <w:p w14:paraId="394BB6C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（7）当液压油缸活塞接近下止点位置时，推动套架止动靴操纵杆使上止动靴挂入踏步上的圆弧槽内，使塔机套架以上部分临时固定在顶升踏步上。</w:t>
      </w:r>
    </w:p>
    <w:p w14:paraId="63BE933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（8）将顶升横梁上的止动靴从塔身节踏步上脱开。</w:t>
      </w:r>
    </w:p>
    <w:p w14:paraId="5285C55C">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（9）液压泵站操纵杆搬向“向下”位置，使顶升横梁收回。在收回的过程中，注意不要使顶升梁与塔身上螺栓或鱼尾板卡住，防止造成事故。</w:t>
      </w:r>
    </w:p>
    <w:p w14:paraId="69D40D9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（10）当顶升横梁止动靴开口与上一级顶升踏步对齐时，搬动顶升横梁止动靴使其挂入顶升踏步上。</w:t>
      </w:r>
    </w:p>
    <w:p w14:paraId="6740F7E3">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（11）打开顶升套架上止动靴操纵杆，使套架止动靴与塔身分开，液压泵站操纵杆搬向“向上”位置，继续顶升。</w:t>
      </w:r>
    </w:p>
    <w:p w14:paraId="6FFF90B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该过程要重复三次方能形成可将一节标准节放进顶升套架内的空间。</w:t>
      </w:r>
    </w:p>
    <w:p w14:paraId="48AA71A0">
      <w:pPr>
        <w:pStyle w:val="5"/>
        <w:bidi w:val="0"/>
        <w:ind w:left="864" w:leftChars="0" w:hanging="864" w:firstLineChars="0"/>
      </w:pPr>
      <w:r>
        <w:rPr>
          <w:rFonts w:hint="eastAsia"/>
        </w:rPr>
        <w:t>引进标准节作业</w:t>
      </w:r>
    </w:p>
    <w:p w14:paraId="32C6C6F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（1）当顶升第三循环接近完成、顶升套架内空间可以容纳标准节时，将挂在引进梁上的标准节轻轻推向塔身、引入套架内；</w:t>
      </w:r>
    </w:p>
    <w:p w14:paraId="7C7B7A7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（2）液压泵站操纵杆搬向“向下”位置，引进的标准节下端与塔身原标准节上端鱼尾板对齐相联，打入 8 个标准节联接销轴，并用锁销固定。在联接标准节时注意使两标准节上爬梯对正，上下插接在一起。</w:t>
      </w:r>
    </w:p>
    <w:p w14:paraId="034783BA">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（3）拆下引进小车上 4 根固定标准节的螺栓，将螺栓装在引进小车吊环内。向外推出引进小车至标准节以外位置；</w:t>
      </w:r>
    </w:p>
    <w:p w14:paraId="1897D60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（4）继续下降顶升套架使下支座 4 个支腿落在新安装好的标准节上端鱼尾板内。用顶升套架上附带的四个临时固定销轴将下支座与标准节联接起来；</w:t>
      </w:r>
    </w:p>
    <w:p w14:paraId="1FF6D48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（5）重复上述顶升程序，直到塔机顶升作业完成为止。</w:t>
      </w:r>
    </w:p>
    <w:p w14:paraId="59A4A497">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注意：在 4 个临时销轴没有安装以前， 塔机不能做任何动作 （包括小车、 起升和回转）。否则有可能造成塔机倾翻的事故。</w:t>
      </w:r>
    </w:p>
    <w:p w14:paraId="487089C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关于顶升用临时销轴的说明：</w:t>
      </w:r>
    </w:p>
    <w:p w14:paraId="5319DB37">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为方便顶升作业，配有 4 个临时销轴，此销轴直径比标准节销轴小 2mm 。此销轴只做顶升时联接下支座与塔身用， 塔机正式作业时不允许用此销轴替代标准节销轴。</w:t>
      </w:r>
    </w:p>
    <w:p w14:paraId="637ED7E4">
      <w:pPr>
        <w:pStyle w:val="5"/>
        <w:bidi w:val="0"/>
        <w:ind w:left="864" w:leftChars="0" w:hanging="864" w:firstLineChars="0"/>
        <w:rPr>
          <w:rFonts w:hint="eastAsia"/>
          <w:lang w:val="en-US" w:eastAsia="zh-CN"/>
        </w:rPr>
      </w:pPr>
      <w:r>
        <w:rPr>
          <w:rFonts w:hint="eastAsia"/>
          <w:lang w:val="en-US" w:eastAsia="zh-CN"/>
        </w:rPr>
        <w:t>顶升过程的注意事项</w:t>
      </w:r>
    </w:p>
    <w:p w14:paraId="15437213">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（1）塔机最高处风速大于 12m/s 时，不得进行顶升作业；</w:t>
      </w:r>
    </w:p>
    <w:p w14:paraId="583EBB5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（2）塔机的爬升机构，其爬升作业时应确保套架上支承在塔身上的受力部位与塔身顶升支承部位应可靠定位和结合。并应及时查看顶升支承部位焊缝情况，若有异常情况应排除后才能继续进行爬升作业。</w:t>
      </w:r>
    </w:p>
    <w:p w14:paraId="0DBB754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 顶升过程中必须保证起重臂与引入标准节方向一致，并利用回转机构制动器将起重臂制动住，载重小车必须停靠在顶升配平位置；</w:t>
      </w:r>
    </w:p>
    <w:p w14:paraId="5B16620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（4）所加标准节上的踏步，必须与已有塔身节对正；</w:t>
      </w:r>
    </w:p>
    <w:p w14:paraId="02B9967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 在下支座与塔身没有用销轴连接好之前，严禁起重臂回转、载重小车变幅和吊装作业；</w:t>
      </w:r>
    </w:p>
    <w:p w14:paraId="08E9C34B">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（6）在顶升过程中，若液压顶升系统出现异常，应立即停止顶升，收回油缸，将下支座落在塔身顶部，并用 8 个销轴将下支座与塔身连接牢靠后，再排除液压系统的故障；</w:t>
      </w:r>
    </w:p>
    <w:p w14:paraId="1CF926D3">
      <w:pPr>
        <w:pStyle w:val="5"/>
        <w:bidi w:val="0"/>
        <w:ind w:left="864" w:leftChars="0" w:hanging="864" w:firstLineChars="0"/>
        <w:rPr>
          <w:rFonts w:hint="eastAsia"/>
          <w:lang w:val="en-US" w:eastAsia="zh-CN"/>
        </w:rPr>
      </w:pPr>
      <w:r>
        <w:rPr>
          <w:rFonts w:hint="eastAsia"/>
          <w:lang w:val="en-US" w:eastAsia="zh-CN"/>
        </w:rPr>
        <w:t>顶升作业完成后注意事项</w:t>
      </w:r>
    </w:p>
    <w:p w14:paraId="62C0E5C7">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（1）最后一节标准节要带有休息平台；</w:t>
      </w:r>
    </w:p>
    <w:p w14:paraId="44DC3F9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（2）引进小车不要放在塔身内；</w:t>
      </w:r>
    </w:p>
    <w:p w14:paraId="50DC1A4E">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（3）必要时可以放下引进梁；</w:t>
      </w:r>
    </w:p>
    <w:p w14:paraId="6EE2265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（4）下支座与塔身必须用 8 个标准节销轴联接好并用锁销固定；</w:t>
      </w:r>
    </w:p>
    <w:p w14:paraId="25078B1A">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（5）顶升梁必须轻挂在最后一级顶升踏步上，注意要使液压油缸卸荷；</w:t>
      </w:r>
    </w:p>
    <w:p w14:paraId="3F0EF1B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（6）拆掉液压泵站的电源线，整理好塔机电源随线；</w:t>
      </w:r>
    </w:p>
    <w:p w14:paraId="562DF07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（7）整个塔机安装完毕后，将套架降到塔身最底部，固定牢固，以降低风载；</w:t>
      </w:r>
    </w:p>
    <w:p w14:paraId="3B53BAEE">
      <w:pPr>
        <w:pStyle w:val="3"/>
        <w:bidi w:val="0"/>
        <w:ind w:left="575" w:leftChars="0" w:hanging="575" w:firstLineChars="0"/>
        <w:rPr>
          <w:rFonts w:hint="eastAsia"/>
          <w:lang w:val="en-US" w:eastAsia="zh-CN"/>
        </w:rPr>
      </w:pPr>
      <w:bookmarkStart w:id="327" w:name="_Toc1811"/>
      <w:r>
        <w:rPr>
          <w:rFonts w:hint="eastAsia"/>
          <w:lang w:val="en-US" w:eastAsia="zh-CN"/>
        </w:rPr>
        <w:t>试验</w:t>
      </w:r>
      <w:bookmarkEnd w:id="327"/>
    </w:p>
    <w:p w14:paraId="456861A8">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试验的顺序按空载试验、额定载荷试验、静载试验与动载试验的顺序进行。试验的重物可考虑用吊机的配重、或者路基箱等已知重量的物件组成。负载试验的风速不大于4级（不大于8m/s)。在做负载试验前需提前办理安全施工作业票。</w:t>
      </w:r>
    </w:p>
    <w:p w14:paraId="335E995A">
      <w:pPr>
        <w:pStyle w:val="4"/>
        <w:bidi w:val="0"/>
        <w:ind w:left="720" w:leftChars="0" w:hanging="720" w:firstLineChars="0"/>
        <w:rPr>
          <w:rFonts w:hint="eastAsia"/>
          <w:lang w:val="en-US" w:eastAsia="zh-CN"/>
        </w:rPr>
      </w:pPr>
      <w:r>
        <w:rPr>
          <w:rFonts w:hint="eastAsia"/>
          <w:lang w:val="en-US" w:eastAsia="zh-CN"/>
        </w:rPr>
        <w:t>空载试验</w:t>
      </w:r>
    </w:p>
    <w:p w14:paraId="16918F7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各机构应分别进行数次运行，然后再做三次综合动作运行，运行过程中各机构不得发生任何异常现象，各机构制动器、操作系统、控制系统、联锁装置及各限位器、限制器应动作准确、可靠，否则应及时排除故障。</w:t>
      </w:r>
    </w:p>
    <w:p w14:paraId="23D6A699">
      <w:pPr>
        <w:pStyle w:val="4"/>
        <w:bidi w:val="0"/>
        <w:ind w:left="720" w:leftChars="0" w:hanging="720" w:firstLineChars="0"/>
        <w:rPr>
          <w:rFonts w:hint="eastAsia"/>
          <w:lang w:val="en-US" w:eastAsia="zh-CN"/>
        </w:rPr>
      </w:pPr>
      <w:r>
        <w:rPr>
          <w:rFonts w:hint="eastAsia"/>
          <w:lang w:val="en-US" w:eastAsia="zh-CN"/>
        </w:rPr>
        <w:t>负荷试验</w:t>
      </w:r>
    </w:p>
    <w:p w14:paraId="45D0777A">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在最大幅度处分别吊对应额定起重量的25%，50%，75%，100%，按空载试验要求进行实验。运行过程中不得发生任何异常现象，各机构制动器、操作系统、控制系统、联锁装置及各限位器、限制器应动作准确、可靠。</w:t>
      </w:r>
    </w:p>
    <w:p w14:paraId="0046F7D7">
      <w:pPr>
        <w:pStyle w:val="4"/>
        <w:bidi w:val="0"/>
        <w:ind w:left="720" w:leftChars="0" w:hanging="720" w:firstLineChars="0"/>
        <w:rPr>
          <w:rFonts w:hint="eastAsia"/>
          <w:lang w:val="en-US" w:eastAsia="zh-CN"/>
        </w:rPr>
      </w:pPr>
      <w:r>
        <w:rPr>
          <w:rFonts w:hint="eastAsia"/>
          <w:lang w:val="en-US" w:eastAsia="zh-CN"/>
        </w:rPr>
        <w:t>额定载荷试验</w:t>
      </w:r>
    </w:p>
    <w:p w14:paraId="0828284C">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额定载荷试验按下表进行。每一工况试验不少于３次。各参数的测定值取为３次测量的算术平均值。</w:t>
      </w:r>
    </w:p>
    <w:p w14:paraId="63F16F6C">
      <w:pPr>
        <w:pStyle w:val="16"/>
        <w:bidi w:val="0"/>
        <w:rPr>
          <w:rFonts w:hint="eastAsia" w:ascii="宋体" w:hAnsi="宋体" w:eastAsia="宋体" w:cs="宋体"/>
          <w:color w:val="0000FF"/>
          <w:highlight w:val="none"/>
        </w:rPr>
      </w:pPr>
      <w:r>
        <w:t xml:space="preserve">表 </w:t>
      </w:r>
      <w:r>
        <w:fldChar w:fldCharType="begin"/>
      </w:r>
      <w:r>
        <w:instrText xml:space="preserve"> STYLEREF 3 \s </w:instrText>
      </w:r>
      <w:r>
        <w:fldChar w:fldCharType="separate"/>
      </w:r>
      <w:r>
        <w:t>6.2.3</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rPr>
          <w:rFonts w:hint="eastAsia"/>
          <w:lang w:val="en-US" w:eastAsia="zh-CN"/>
        </w:rPr>
        <w:t xml:space="preserve"> 额定载荷试验表</w:t>
      </w:r>
    </w:p>
    <w:p w14:paraId="5B80B44D">
      <w:pPr>
        <w:shd w:val="clear"/>
        <w:bidi w:val="0"/>
        <w:spacing w:line="240" w:lineRule="auto"/>
        <w:ind w:firstLine="0" w:firstLineChars="0"/>
        <w:jc w:val="center"/>
        <w:rPr>
          <w:rFonts w:hint="eastAsia" w:ascii="宋体" w:hAnsi="宋体" w:eastAsia="宋体" w:cs="宋体"/>
          <w:color w:val="0000FF"/>
          <w:highlight w:val="none"/>
        </w:rPr>
      </w:pPr>
      <w:r>
        <w:rPr>
          <w:rFonts w:hint="eastAsia" w:ascii="宋体" w:hAnsi="宋体" w:eastAsia="宋体" w:cs="宋体"/>
          <w:color w:val="0000FF"/>
          <w:highlight w:val="none"/>
        </w:rPr>
        <w:drawing>
          <wp:inline distT="0" distB="0" distL="114300" distR="114300">
            <wp:extent cx="5298440" cy="3941445"/>
            <wp:effectExtent l="0" t="0" r="16510" b="1905"/>
            <wp:docPr id="1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pic:cNvPicPr>
                      <a:picLocks noChangeAspect="1"/>
                    </pic:cNvPicPr>
                  </pic:nvPicPr>
                  <pic:blipFill>
                    <a:blip r:embed="rId127"/>
                    <a:stretch>
                      <a:fillRect/>
                    </a:stretch>
                  </pic:blipFill>
                  <pic:spPr>
                    <a:xfrm>
                      <a:off x="0" y="0"/>
                      <a:ext cx="5298440" cy="3941445"/>
                    </a:xfrm>
                    <a:prstGeom prst="rect">
                      <a:avLst/>
                    </a:prstGeom>
                    <a:noFill/>
                    <a:ln>
                      <a:noFill/>
                    </a:ln>
                  </pic:spPr>
                </pic:pic>
              </a:graphicData>
            </a:graphic>
          </wp:inline>
        </w:drawing>
      </w:r>
    </w:p>
    <w:p w14:paraId="2044C93E">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另外，在做吊起额定载荷之后，需要对塔机刚性进行测量。刚性测量方法为：在额定载荷作用下，塔机起重机根部连接处的水平静位移应不大于1.34H%(H为最大独立状态下起重臂根部连接处至塔机基准面的垂直距离)。</w:t>
      </w:r>
    </w:p>
    <w:p w14:paraId="546814D7">
      <w:pPr>
        <w:pStyle w:val="4"/>
        <w:bidi w:val="0"/>
        <w:ind w:left="720" w:leftChars="0" w:hanging="720" w:firstLineChars="0"/>
        <w:rPr>
          <w:rFonts w:hint="eastAsia"/>
        </w:rPr>
      </w:pPr>
      <w:r>
        <w:rPr>
          <w:rFonts w:hint="eastAsia"/>
          <w:lang w:val="en-US" w:eastAsia="zh-CN"/>
        </w:rPr>
        <w:t>超载25%静载试验</w:t>
      </w:r>
    </w:p>
    <w:p w14:paraId="1D2923B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按下表，吊重额定起重量的125%，制动器动作可靠。机构及结构各部件无异常，连接无松动和破坏并做好记录。</w:t>
      </w:r>
    </w:p>
    <w:p w14:paraId="6F6D4BCB">
      <w:pPr>
        <w:pStyle w:val="16"/>
        <w:bidi w:val="0"/>
      </w:pPr>
      <w:r>
        <w:t xml:space="preserve">表 </w:t>
      </w:r>
      <w:r>
        <w:fldChar w:fldCharType="begin"/>
      </w:r>
      <w:r>
        <w:instrText xml:space="preserve"> STYLEREF 3 \s </w:instrText>
      </w:r>
      <w:r>
        <w:fldChar w:fldCharType="separate"/>
      </w:r>
      <w:r>
        <w:t>6.2.4</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rPr>
          <w:rFonts w:hint="eastAsia"/>
          <w:lang w:val="en-US" w:eastAsia="zh-CN"/>
        </w:rPr>
        <w:t xml:space="preserve"> T7020-12静载试验荷载表</w:t>
      </w:r>
    </w:p>
    <w:tbl>
      <w:tblPr>
        <w:tblStyle w:val="44"/>
        <w:tblW w:w="9320"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fixed"/>
        <w:tblCellMar>
          <w:top w:w="0" w:type="dxa"/>
          <w:left w:w="108" w:type="dxa"/>
          <w:bottom w:w="0" w:type="dxa"/>
          <w:right w:w="108" w:type="dxa"/>
        </w:tblCellMar>
      </w:tblPr>
      <w:tblGrid>
        <w:gridCol w:w="2810"/>
        <w:gridCol w:w="1641"/>
        <w:gridCol w:w="1684"/>
        <w:gridCol w:w="1511"/>
        <w:gridCol w:w="1674"/>
      </w:tblGrid>
      <w:tr w14:paraId="31D4A76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3" w:hRule="atLeast"/>
          <w:jc w:val="center"/>
        </w:trPr>
        <w:tc>
          <w:tcPr>
            <w:tcW w:w="2810" w:type="dxa"/>
            <w:tcBorders>
              <w:top w:val="single" w:color="000000" w:sz="12" w:space="0"/>
              <w:left w:val="single" w:color="000000" w:sz="12" w:space="0"/>
              <w:bottom w:val="single" w:color="000000" w:sz="4" w:space="0"/>
              <w:right w:val="single" w:color="000000" w:sz="4" w:space="0"/>
              <w:tl2br w:val="nil"/>
              <w:tr2bl w:val="nil"/>
            </w:tcBorders>
            <w:shd w:val="clear" w:color="auto" w:fill="FFFFFF"/>
            <w:noWrap w:val="0"/>
            <w:vAlign w:val="top"/>
            <mc:AlternateContent>
              <mc:Choice Requires="wpsCustomData">
                <wpsCustomData:diagonals>
                  <wpsCustomData:diagonal from="30000" to="10000">
                    <wpsCustomData:border w:val="single" w:color="000000" w:sz="12" w:space="0"/>
                  </wpsCustomData:diagonal>
                </wpsCustomData:diagonals>
              </mc:Choice>
            </mc:AlternateContent>
          </w:tcPr>
          <w:p w14:paraId="1A00704D">
            <w:pPr>
              <w:keepNext w:val="0"/>
              <w:keepLines w:val="0"/>
              <w:pageBreakBefore w:val="0"/>
              <w:widowControl w:val="0"/>
              <w:shd w:val="clear"/>
              <w:tabs>
                <w:tab w:val="left" w:pos="360"/>
              </w:tabs>
              <w:kinsoku/>
              <w:wordWrap/>
              <w:overflowPunct/>
              <w:topLinePunct w:val="0"/>
              <w:autoSpaceDE/>
              <w:autoSpaceDN/>
              <w:bidi w:val="0"/>
              <w:adjustRightInd w:val="0"/>
              <w:snapToGrid w:val="0"/>
              <w:spacing w:line="240" w:lineRule="auto"/>
              <w:ind w:firstLine="0" w:firstLineChars="0"/>
              <w:jc w:val="center"/>
              <w:textAlignment w:val="auto"/>
              <mc:AlternateContent>
                <mc:Choice Requires="wpsCustomData">
                  <wpsCustomData:diagonalParaType/>
                </mc:Choice>
              </mc:AlternateContent>
              <w:rPr>
                <w:rFonts w:hint="eastAsia" w:ascii="宋体" w:hAnsi="宋体" w:eastAsia="宋体" w:cs="宋体"/>
                <w:b w:val="0"/>
                <w:bCs/>
                <w:color w:val="000000"/>
                <w:sz w:val="21"/>
                <w:szCs w:val="21"/>
                <w:highlight w:val="none"/>
                <w:lang w:val="en-US" w:eastAsia="zh-CN"/>
              </w:rPr>
            </w:pPr>
            <w:r>
              <w:rPr>
                <w:rFonts w:hint="eastAsia" w:ascii="宋体" w:hAnsi="宋体" w:eastAsia="宋体" w:cs="宋体"/>
                <w:b w:val="0"/>
                <w:bCs/>
                <w:color w:val="000000"/>
                <w:sz w:val="21"/>
                <w:szCs w:val="21"/>
                <w:highlight w:val="none"/>
                <w:lang w:val="en-US" w:eastAsia="zh-CN"/>
              </w:rPr>
              <w:t>项目</w:t>
            </w:r>
          </w:p>
          <w:p w14:paraId="4A96A7BA">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val="0"/>
                <w:bCs/>
                <w:color w:val="000000"/>
                <w:sz w:val="21"/>
                <w:szCs w:val="21"/>
                <w:highlight w:val="none"/>
                <w:lang w:val="en-US" w:eastAsia="zh-CN"/>
              </w:rPr>
            </w:pPr>
            <w:r>
              <w:rPr>
                <w:rFonts w:hint="eastAsia" w:ascii="宋体" w:hAnsi="宋体" w:eastAsia="宋体" w:cs="宋体"/>
                <w:b w:val="0"/>
                <w:bCs/>
                <w:color w:val="000000"/>
                <w:sz w:val="21"/>
                <w:szCs w:val="21"/>
                <w:highlight w:val="none"/>
                <w:lang w:val="en-US" w:eastAsia="zh-CN"/>
              </w:rPr>
              <w:t>臂长</w:t>
            </w:r>
          </w:p>
        </w:tc>
        <w:tc>
          <w:tcPr>
            <w:tcW w:w="1641"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14:paraId="1D156789">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val="0"/>
                <w:color w:val="000000"/>
                <w:sz w:val="21"/>
                <w:szCs w:val="21"/>
                <w:highlight w:val="none"/>
              </w:rPr>
            </w:pPr>
            <w:r>
              <w:rPr>
                <w:rFonts w:hint="eastAsia" w:ascii="宋体" w:hAnsi="宋体" w:eastAsia="宋体" w:cs="宋体"/>
                <w:b/>
                <w:bCs w:val="0"/>
                <w:color w:val="000000"/>
                <w:sz w:val="21"/>
                <w:szCs w:val="21"/>
                <w:highlight w:val="none"/>
              </w:rPr>
              <w:t>幅度Ⅰ</w:t>
            </w:r>
          </w:p>
        </w:tc>
        <w:tc>
          <w:tcPr>
            <w:tcW w:w="1684"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14:paraId="717EC1E6">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val="0"/>
                <w:color w:val="000000"/>
                <w:sz w:val="21"/>
                <w:szCs w:val="21"/>
                <w:highlight w:val="none"/>
              </w:rPr>
            </w:pPr>
            <w:r>
              <w:rPr>
                <w:rFonts w:hint="eastAsia" w:ascii="宋体" w:hAnsi="宋体" w:eastAsia="宋体" w:cs="宋体"/>
                <w:b/>
                <w:bCs w:val="0"/>
                <w:color w:val="000000"/>
                <w:sz w:val="21"/>
                <w:szCs w:val="21"/>
                <w:highlight w:val="none"/>
              </w:rPr>
              <w:t>吊重Ⅰ</w:t>
            </w:r>
          </w:p>
        </w:tc>
        <w:tc>
          <w:tcPr>
            <w:tcW w:w="1511" w:type="dxa"/>
            <w:tcBorders>
              <w:top w:val="single" w:color="000000" w:sz="12" w:space="0"/>
              <w:left w:val="single" w:color="000000" w:sz="4" w:space="0"/>
              <w:bottom w:val="single" w:color="000000" w:sz="4" w:space="0"/>
              <w:right w:val="single" w:color="000000" w:sz="4" w:space="0"/>
              <w:tl2br w:val="nil"/>
              <w:tr2bl w:val="nil"/>
            </w:tcBorders>
            <w:shd w:val="clear" w:color="auto" w:fill="FFFFFF"/>
            <w:noWrap w:val="0"/>
            <w:vAlign w:val="center"/>
          </w:tcPr>
          <w:p w14:paraId="34B06BCC">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val="0"/>
                <w:color w:val="000000"/>
                <w:sz w:val="21"/>
                <w:szCs w:val="21"/>
                <w:highlight w:val="none"/>
              </w:rPr>
            </w:pPr>
            <w:r>
              <w:rPr>
                <w:rFonts w:hint="eastAsia" w:ascii="宋体" w:hAnsi="宋体" w:eastAsia="宋体" w:cs="宋体"/>
                <w:b/>
                <w:bCs w:val="0"/>
                <w:color w:val="000000"/>
                <w:sz w:val="21"/>
                <w:szCs w:val="21"/>
                <w:highlight w:val="none"/>
              </w:rPr>
              <w:t>幅度Ⅱ</w:t>
            </w:r>
          </w:p>
        </w:tc>
        <w:tc>
          <w:tcPr>
            <w:tcW w:w="1674" w:type="dxa"/>
            <w:tcBorders>
              <w:top w:val="single" w:color="000000" w:sz="12" w:space="0"/>
              <w:left w:val="single" w:color="000000" w:sz="4" w:space="0"/>
              <w:bottom w:val="single" w:color="000000" w:sz="4" w:space="0"/>
              <w:right w:val="single" w:color="000000" w:sz="12" w:space="0"/>
              <w:tl2br w:val="nil"/>
              <w:tr2bl w:val="nil"/>
            </w:tcBorders>
            <w:shd w:val="clear" w:color="auto" w:fill="FFFFFF"/>
            <w:noWrap w:val="0"/>
            <w:vAlign w:val="center"/>
          </w:tcPr>
          <w:p w14:paraId="6B1953CA">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val="0"/>
                <w:color w:val="000000"/>
                <w:sz w:val="21"/>
                <w:szCs w:val="21"/>
                <w:highlight w:val="none"/>
              </w:rPr>
            </w:pPr>
            <w:r>
              <w:rPr>
                <w:rFonts w:hint="eastAsia" w:ascii="宋体" w:hAnsi="宋体" w:eastAsia="宋体" w:cs="宋体"/>
                <w:b/>
                <w:bCs w:val="0"/>
                <w:color w:val="000000"/>
                <w:sz w:val="21"/>
                <w:szCs w:val="21"/>
                <w:highlight w:val="none"/>
              </w:rPr>
              <w:t>吊重Ⅱ</w:t>
            </w:r>
          </w:p>
        </w:tc>
      </w:tr>
      <w:tr w14:paraId="2D93326B">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3" w:hRule="atLeast"/>
          <w:jc w:val="center"/>
        </w:trPr>
        <w:tc>
          <w:tcPr>
            <w:tcW w:w="2810" w:type="dxa"/>
            <w:tcBorders>
              <w:top w:val="single" w:color="000000" w:sz="4" w:space="0"/>
              <w:left w:val="single" w:color="000000" w:sz="12" w:space="0"/>
              <w:bottom w:val="single" w:color="000000" w:sz="12" w:space="0"/>
              <w:right w:val="single" w:color="000000" w:sz="4" w:space="0"/>
              <w:tl2br w:val="nil"/>
              <w:tr2bl w:val="nil"/>
            </w:tcBorders>
            <w:shd w:val="clear" w:color="auto" w:fill="FFFFFF"/>
            <w:noWrap w:val="0"/>
            <w:vAlign w:val="center"/>
          </w:tcPr>
          <w:p w14:paraId="473B9FC5">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840" w:firstLineChars="400"/>
              <w:jc w:val="both"/>
              <w:textAlignment w:val="auto"/>
              <w:rPr>
                <w:rFonts w:hint="eastAsia" w:ascii="宋体" w:hAnsi="宋体" w:eastAsia="宋体" w:cs="宋体"/>
                <w:b w:val="0"/>
                <w:color w:val="000000"/>
                <w:sz w:val="21"/>
                <w:szCs w:val="21"/>
                <w:highlight w:val="none"/>
              </w:rPr>
            </w:pPr>
            <w:r>
              <w:rPr>
                <w:rFonts w:hint="eastAsia" w:ascii="宋体" w:hAnsi="宋体" w:cs="宋体"/>
                <w:b w:val="0"/>
                <w:color w:val="000000"/>
                <w:sz w:val="21"/>
                <w:szCs w:val="21"/>
                <w:highlight w:val="none"/>
                <w:lang w:val="en-US" w:eastAsia="zh-CN"/>
              </w:rPr>
              <w:t>70</w:t>
            </w:r>
            <w:r>
              <w:rPr>
                <w:rFonts w:hint="eastAsia" w:ascii="宋体" w:hAnsi="宋体" w:eastAsia="宋体" w:cs="宋体"/>
                <w:b w:val="0"/>
                <w:color w:val="000000"/>
                <w:sz w:val="21"/>
                <w:szCs w:val="21"/>
                <w:highlight w:val="none"/>
              </w:rPr>
              <w:t>m</w:t>
            </w:r>
          </w:p>
        </w:tc>
        <w:tc>
          <w:tcPr>
            <w:tcW w:w="1641" w:type="dxa"/>
            <w:tcBorders>
              <w:top w:val="single" w:color="000000" w:sz="4" w:space="0"/>
              <w:left w:val="single" w:color="000000" w:sz="4" w:space="0"/>
              <w:bottom w:val="single" w:color="000000" w:sz="12" w:space="0"/>
              <w:right w:val="single" w:color="000000" w:sz="4" w:space="0"/>
              <w:tl2br w:val="nil"/>
              <w:tr2bl w:val="nil"/>
            </w:tcBorders>
            <w:shd w:val="clear" w:color="auto" w:fill="FFFFFF"/>
            <w:noWrap w:val="0"/>
            <w:vAlign w:val="center"/>
          </w:tcPr>
          <w:p w14:paraId="1BE74164">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val="0"/>
                <w:color w:val="000000"/>
                <w:sz w:val="21"/>
                <w:szCs w:val="21"/>
                <w:highlight w:val="none"/>
              </w:rPr>
            </w:pPr>
            <w:r>
              <w:rPr>
                <w:rFonts w:hint="eastAsia" w:ascii="宋体" w:hAnsi="宋体" w:cs="宋体"/>
                <w:b w:val="0"/>
                <w:color w:val="000000"/>
                <w:sz w:val="21"/>
                <w:szCs w:val="21"/>
                <w:highlight w:val="none"/>
                <w:lang w:val="en-US" w:eastAsia="zh-CN"/>
              </w:rPr>
              <w:t>15.1</w:t>
            </w:r>
            <w:r>
              <w:rPr>
                <w:rFonts w:hint="eastAsia" w:ascii="宋体" w:hAnsi="宋体" w:eastAsia="宋体" w:cs="宋体"/>
                <w:b w:val="0"/>
                <w:color w:val="000000"/>
                <w:sz w:val="21"/>
                <w:szCs w:val="21"/>
                <w:highlight w:val="none"/>
              </w:rPr>
              <w:t>m</w:t>
            </w:r>
          </w:p>
        </w:tc>
        <w:tc>
          <w:tcPr>
            <w:tcW w:w="1684" w:type="dxa"/>
            <w:tcBorders>
              <w:top w:val="single" w:color="000000" w:sz="4" w:space="0"/>
              <w:left w:val="single" w:color="000000" w:sz="4" w:space="0"/>
              <w:bottom w:val="single" w:color="000000" w:sz="12" w:space="0"/>
              <w:right w:val="single" w:color="000000" w:sz="4" w:space="0"/>
              <w:tl2br w:val="nil"/>
              <w:tr2bl w:val="nil"/>
            </w:tcBorders>
            <w:shd w:val="clear" w:color="auto" w:fill="FFFFFF"/>
            <w:noWrap w:val="0"/>
            <w:vAlign w:val="center"/>
          </w:tcPr>
          <w:p w14:paraId="62F28F1D">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val="0"/>
                <w:color w:val="000000"/>
                <w:sz w:val="21"/>
                <w:szCs w:val="21"/>
                <w:highlight w:val="none"/>
              </w:rPr>
            </w:pPr>
            <w:r>
              <w:rPr>
                <w:rFonts w:hint="eastAsia" w:ascii="宋体" w:hAnsi="宋体" w:eastAsia="宋体" w:cs="宋体"/>
                <w:b w:val="0"/>
                <w:color w:val="000000"/>
                <w:sz w:val="21"/>
                <w:szCs w:val="21"/>
                <w:highlight w:val="none"/>
                <w:lang w:val="en-US" w:eastAsia="zh-CN"/>
              </w:rPr>
              <w:t>15</w:t>
            </w:r>
            <w:r>
              <w:rPr>
                <w:rFonts w:hint="eastAsia" w:ascii="宋体" w:hAnsi="宋体" w:eastAsia="宋体" w:cs="宋体"/>
                <w:b w:val="0"/>
                <w:color w:val="000000"/>
                <w:sz w:val="21"/>
                <w:szCs w:val="21"/>
                <w:highlight w:val="none"/>
              </w:rPr>
              <w:t>t</w:t>
            </w:r>
          </w:p>
        </w:tc>
        <w:tc>
          <w:tcPr>
            <w:tcW w:w="1511" w:type="dxa"/>
            <w:tcBorders>
              <w:top w:val="single" w:color="000000" w:sz="4" w:space="0"/>
              <w:left w:val="single" w:color="000000" w:sz="4" w:space="0"/>
              <w:bottom w:val="single" w:color="000000" w:sz="12" w:space="0"/>
              <w:right w:val="single" w:color="000000" w:sz="4" w:space="0"/>
              <w:tl2br w:val="nil"/>
              <w:tr2bl w:val="nil"/>
            </w:tcBorders>
            <w:shd w:val="clear" w:color="auto" w:fill="FFFFFF"/>
            <w:noWrap w:val="0"/>
            <w:vAlign w:val="center"/>
          </w:tcPr>
          <w:p w14:paraId="0A3B9D27">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val="0"/>
                <w:color w:val="000000"/>
                <w:sz w:val="21"/>
                <w:szCs w:val="21"/>
                <w:highlight w:val="none"/>
              </w:rPr>
            </w:pPr>
            <w:r>
              <w:rPr>
                <w:rFonts w:hint="eastAsia" w:ascii="宋体" w:hAnsi="宋体" w:cs="宋体"/>
                <w:b w:val="0"/>
                <w:color w:val="000000"/>
                <w:sz w:val="21"/>
                <w:szCs w:val="21"/>
                <w:highlight w:val="none"/>
                <w:lang w:val="en-US" w:eastAsia="zh-CN"/>
              </w:rPr>
              <w:t>70</w:t>
            </w:r>
            <w:r>
              <w:rPr>
                <w:rFonts w:hint="eastAsia" w:ascii="宋体" w:hAnsi="宋体" w:eastAsia="宋体" w:cs="宋体"/>
                <w:b w:val="0"/>
                <w:color w:val="000000"/>
                <w:sz w:val="21"/>
                <w:szCs w:val="21"/>
                <w:highlight w:val="none"/>
              </w:rPr>
              <w:t>m</w:t>
            </w:r>
          </w:p>
        </w:tc>
        <w:tc>
          <w:tcPr>
            <w:tcW w:w="1674" w:type="dxa"/>
            <w:tcBorders>
              <w:top w:val="single" w:color="000000" w:sz="4" w:space="0"/>
              <w:left w:val="single" w:color="000000" w:sz="4" w:space="0"/>
              <w:bottom w:val="single" w:color="000000" w:sz="12" w:space="0"/>
              <w:right w:val="single" w:color="000000" w:sz="12" w:space="0"/>
              <w:tl2br w:val="nil"/>
              <w:tr2bl w:val="nil"/>
            </w:tcBorders>
            <w:shd w:val="clear" w:color="auto" w:fill="FFFFFF"/>
            <w:noWrap w:val="0"/>
            <w:vAlign w:val="center"/>
          </w:tcPr>
          <w:p w14:paraId="2CA0A6D0">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default" w:ascii="宋体" w:hAnsi="宋体" w:eastAsia="宋体" w:cs="宋体"/>
                <w:b w:val="0"/>
                <w:color w:val="000000"/>
                <w:sz w:val="21"/>
                <w:szCs w:val="21"/>
                <w:highlight w:val="none"/>
                <w:lang w:val="en-US"/>
              </w:rPr>
            </w:pPr>
            <w:r>
              <w:rPr>
                <w:rFonts w:hint="eastAsia" w:ascii="宋体" w:hAnsi="宋体" w:cs="宋体"/>
                <w:b w:val="0"/>
                <w:color w:val="000000"/>
                <w:sz w:val="21"/>
                <w:szCs w:val="21"/>
                <w:highlight w:val="none"/>
                <w:lang w:val="en-US" w:eastAsia="zh-CN"/>
              </w:rPr>
              <w:t>1.6t</w:t>
            </w:r>
          </w:p>
        </w:tc>
      </w:tr>
    </w:tbl>
    <w:p w14:paraId="367B04E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在以上幅度Ⅰ、幅度Ⅱ处以最低安全速度将对应的吊重吊离地面100~200mm处，并在吊钩上逐次增加重量至1.25倍，停留10min，卸载后检查金属结构及焊缝是否出现可见裂纹，永久变形、连接松动。（注意：静态超载实验不允许进行变幅及回转）</w:t>
      </w:r>
    </w:p>
    <w:p w14:paraId="5A4E1B8B">
      <w:pPr>
        <w:pStyle w:val="4"/>
        <w:bidi w:val="0"/>
        <w:ind w:left="720" w:leftChars="0" w:hanging="720" w:firstLineChars="0"/>
        <w:rPr>
          <w:rFonts w:hint="eastAsia"/>
          <w:lang w:val="en-US" w:eastAsia="zh-CN"/>
        </w:rPr>
      </w:pPr>
      <w:r>
        <w:rPr>
          <w:rFonts w:hint="eastAsia"/>
          <w:lang w:val="en-US" w:eastAsia="zh-CN"/>
        </w:rPr>
        <w:t>超载10%动载试验</w:t>
      </w:r>
    </w:p>
    <w:p w14:paraId="18539C0D">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按下表，吊重额定起重量的110%，对各机构对应的全程范围内动作三次，各机构应动作灵活，制动器动作可靠。机构及结构各部件无异常，连接无松动和破坏并做好记录。</w:t>
      </w:r>
    </w:p>
    <w:p w14:paraId="6E1BD3B8">
      <w:pPr>
        <w:pStyle w:val="16"/>
        <w:bidi w:val="0"/>
        <w:rPr>
          <w:rFonts w:hint="default"/>
          <w:lang w:val="en-US" w:eastAsia="zh-CN"/>
        </w:rPr>
      </w:pPr>
      <w:r>
        <w:t xml:space="preserve">表 </w:t>
      </w:r>
      <w:r>
        <w:fldChar w:fldCharType="begin"/>
      </w:r>
      <w:r>
        <w:instrText xml:space="preserve"> STYLEREF 3 \s </w:instrText>
      </w:r>
      <w:r>
        <w:fldChar w:fldCharType="separate"/>
      </w:r>
      <w:r>
        <w:t>6.2.5</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rPr>
          <w:rFonts w:hint="eastAsia"/>
          <w:lang w:val="en-US" w:eastAsia="zh-CN"/>
        </w:rPr>
        <w:t xml:space="preserve"> T7020-12静载试验荷载表</w:t>
      </w:r>
    </w:p>
    <w:tbl>
      <w:tblPr>
        <w:tblStyle w:val="44"/>
        <w:tblW w:w="9320" w:type="dxa"/>
        <w:jc w:val="center"/>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Layout w:type="fixed"/>
        <w:tblCellMar>
          <w:top w:w="0" w:type="dxa"/>
          <w:left w:w="108" w:type="dxa"/>
          <w:bottom w:w="0" w:type="dxa"/>
          <w:right w:w="108" w:type="dxa"/>
        </w:tblCellMar>
      </w:tblPr>
      <w:tblGrid>
        <w:gridCol w:w="2810"/>
        <w:gridCol w:w="1641"/>
        <w:gridCol w:w="1684"/>
        <w:gridCol w:w="1511"/>
        <w:gridCol w:w="1674"/>
      </w:tblGrid>
      <w:tr w14:paraId="676EC5A7">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3" w:hRule="atLeast"/>
          <w:jc w:val="center"/>
        </w:trPr>
        <w:tc>
          <w:tcPr>
            <w:tcW w:w="2810" w:type="dxa"/>
            <w:tcBorders>
              <w:tl2br w:val="nil"/>
              <w:tr2bl w:val="nil"/>
            </w:tcBorders>
            <w:shd w:val="clear" w:color="auto" w:fill="auto"/>
            <w:noWrap w:val="0"/>
            <w:vAlign w:val="top"/>
            <mc:AlternateContent>
              <mc:Choice Requires="wpsCustomData">
                <wpsCustomData:diagonals>
                  <wpsCustomData:diagonal from="30000" to="10000">
                    <wpsCustomData:border w:val="single" w:color="000000" w:themeColor="text1" w:sz="12" w:space="0"/>
                  </wpsCustomData:diagonal>
                </wpsCustomData:diagonals>
              </mc:Choice>
            </mc:AlternateContent>
          </w:tcPr>
          <w:p w14:paraId="0C09DF51">
            <w:pPr>
              <w:keepNext w:val="0"/>
              <w:keepLines w:val="0"/>
              <w:pageBreakBefore w:val="0"/>
              <w:widowControl w:val="0"/>
              <w:shd w:val="clear"/>
              <w:tabs>
                <w:tab w:val="left" w:pos="360"/>
              </w:tabs>
              <w:kinsoku/>
              <w:wordWrap/>
              <w:overflowPunct/>
              <w:topLinePunct w:val="0"/>
              <w:autoSpaceDE/>
              <w:autoSpaceDN/>
              <w:bidi w:val="0"/>
              <w:adjustRightInd w:val="0"/>
              <w:snapToGrid w:val="0"/>
              <w:spacing w:line="240" w:lineRule="auto"/>
              <w:ind w:firstLine="0" w:firstLineChars="0"/>
              <w:jc w:val="center"/>
              <w:textAlignment w:val="auto"/>
              <mc:AlternateContent>
                <mc:Choice Requires="wpsCustomData">
                  <wpsCustomData:diagonalParaType/>
                </mc:Choice>
              </mc:AlternateContent>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项目</w:t>
            </w:r>
          </w:p>
          <w:p w14:paraId="3EEFD835">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臂长</w:t>
            </w:r>
          </w:p>
        </w:tc>
        <w:tc>
          <w:tcPr>
            <w:tcW w:w="1641" w:type="dxa"/>
            <w:tcBorders>
              <w:tl2br w:val="nil"/>
              <w:tr2bl w:val="nil"/>
            </w:tcBorders>
            <w:shd w:val="clear" w:color="auto" w:fill="auto"/>
            <w:noWrap w:val="0"/>
            <w:vAlign w:val="center"/>
          </w:tcPr>
          <w:p w14:paraId="60EA6652">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幅度Ⅰ</w:t>
            </w:r>
          </w:p>
        </w:tc>
        <w:tc>
          <w:tcPr>
            <w:tcW w:w="1684" w:type="dxa"/>
            <w:tcBorders>
              <w:tl2br w:val="nil"/>
              <w:tr2bl w:val="nil"/>
            </w:tcBorders>
            <w:shd w:val="clear" w:color="auto" w:fill="auto"/>
            <w:noWrap w:val="0"/>
            <w:vAlign w:val="center"/>
          </w:tcPr>
          <w:p w14:paraId="62695855">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吊重Ⅰ</w:t>
            </w:r>
          </w:p>
        </w:tc>
        <w:tc>
          <w:tcPr>
            <w:tcW w:w="1511" w:type="dxa"/>
            <w:tcBorders>
              <w:tl2br w:val="nil"/>
              <w:tr2bl w:val="nil"/>
            </w:tcBorders>
            <w:shd w:val="clear" w:color="auto" w:fill="auto"/>
            <w:noWrap w:val="0"/>
            <w:vAlign w:val="center"/>
          </w:tcPr>
          <w:p w14:paraId="05D17267">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幅度Ⅱ</w:t>
            </w:r>
          </w:p>
        </w:tc>
        <w:tc>
          <w:tcPr>
            <w:tcW w:w="1674" w:type="dxa"/>
            <w:tcBorders>
              <w:tl2br w:val="nil"/>
              <w:tr2bl w:val="nil"/>
            </w:tcBorders>
            <w:shd w:val="clear" w:color="auto" w:fill="auto"/>
            <w:noWrap w:val="0"/>
            <w:vAlign w:val="center"/>
          </w:tcPr>
          <w:p w14:paraId="345925C5">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吊重Ⅱ</w:t>
            </w:r>
          </w:p>
        </w:tc>
      </w:tr>
      <w:tr w14:paraId="7C7AEC98">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shd w:val="clear" w:color="auto" w:fill="auto"/>
          <w:tblCellMar>
            <w:top w:w="0" w:type="dxa"/>
            <w:left w:w="108" w:type="dxa"/>
            <w:bottom w:w="0" w:type="dxa"/>
            <w:right w:w="108" w:type="dxa"/>
          </w:tblCellMar>
        </w:tblPrEx>
        <w:trPr>
          <w:trHeight w:val="23" w:hRule="atLeast"/>
          <w:jc w:val="center"/>
        </w:trPr>
        <w:tc>
          <w:tcPr>
            <w:tcW w:w="2810" w:type="dxa"/>
            <w:tcBorders>
              <w:tl2br w:val="nil"/>
              <w:tr2bl w:val="nil"/>
            </w:tcBorders>
            <w:shd w:val="clear" w:color="auto" w:fill="auto"/>
            <w:noWrap w:val="0"/>
            <w:vAlign w:val="center"/>
          </w:tcPr>
          <w:p w14:paraId="5B9C701E">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840" w:firstLineChars="400"/>
              <w:jc w:val="both"/>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70</w:t>
            </w:r>
            <w:r>
              <w:rPr>
                <w:rFonts w:hint="eastAsia" w:ascii="宋体" w:hAnsi="宋体" w:eastAsia="宋体" w:cs="宋体"/>
                <w:color w:val="auto"/>
                <w:sz w:val="21"/>
                <w:szCs w:val="21"/>
                <w:highlight w:val="none"/>
              </w:rPr>
              <w:t>m</w:t>
            </w:r>
          </w:p>
        </w:tc>
        <w:tc>
          <w:tcPr>
            <w:tcW w:w="1641" w:type="dxa"/>
            <w:tcBorders>
              <w:tl2br w:val="nil"/>
              <w:tr2bl w:val="nil"/>
            </w:tcBorders>
            <w:shd w:val="clear" w:color="auto" w:fill="auto"/>
            <w:noWrap w:val="0"/>
            <w:vAlign w:val="center"/>
          </w:tcPr>
          <w:p w14:paraId="0C31006D">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cs="宋体"/>
                <w:b w:val="0"/>
                <w:color w:val="000000"/>
                <w:sz w:val="21"/>
                <w:szCs w:val="21"/>
                <w:highlight w:val="none"/>
                <w:lang w:val="en-US" w:eastAsia="zh-CN"/>
              </w:rPr>
              <w:t>15.1</w:t>
            </w:r>
            <w:r>
              <w:rPr>
                <w:rFonts w:hint="eastAsia" w:ascii="宋体" w:hAnsi="宋体" w:cs="宋体"/>
                <w:color w:val="auto"/>
                <w:sz w:val="21"/>
                <w:szCs w:val="21"/>
                <w:highlight w:val="none"/>
                <w:lang w:val="en-US" w:eastAsia="zh-CN"/>
              </w:rPr>
              <w:t>m</w:t>
            </w:r>
          </w:p>
        </w:tc>
        <w:tc>
          <w:tcPr>
            <w:tcW w:w="1684" w:type="dxa"/>
            <w:tcBorders>
              <w:tl2br w:val="nil"/>
              <w:tr2bl w:val="nil"/>
            </w:tcBorders>
            <w:shd w:val="clear" w:color="auto" w:fill="auto"/>
            <w:noWrap w:val="0"/>
            <w:vAlign w:val="center"/>
          </w:tcPr>
          <w:p w14:paraId="05B06E7F">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13.2</w:t>
            </w:r>
            <w:r>
              <w:rPr>
                <w:rFonts w:hint="eastAsia" w:ascii="宋体" w:hAnsi="宋体" w:eastAsia="宋体" w:cs="宋体"/>
                <w:color w:val="auto"/>
                <w:sz w:val="21"/>
                <w:szCs w:val="21"/>
                <w:highlight w:val="none"/>
              </w:rPr>
              <w:t>t</w:t>
            </w:r>
          </w:p>
        </w:tc>
        <w:tc>
          <w:tcPr>
            <w:tcW w:w="1511" w:type="dxa"/>
            <w:tcBorders>
              <w:tl2br w:val="nil"/>
              <w:tr2bl w:val="nil"/>
            </w:tcBorders>
            <w:shd w:val="clear" w:color="auto" w:fill="auto"/>
            <w:noWrap w:val="0"/>
            <w:vAlign w:val="center"/>
          </w:tcPr>
          <w:p w14:paraId="3F1F431E">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70</w:t>
            </w:r>
            <w:r>
              <w:rPr>
                <w:rFonts w:hint="eastAsia" w:ascii="宋体" w:hAnsi="宋体" w:eastAsia="宋体" w:cs="宋体"/>
                <w:color w:val="auto"/>
                <w:sz w:val="21"/>
                <w:szCs w:val="21"/>
                <w:highlight w:val="none"/>
              </w:rPr>
              <w:t>m</w:t>
            </w:r>
          </w:p>
        </w:tc>
        <w:tc>
          <w:tcPr>
            <w:tcW w:w="1674" w:type="dxa"/>
            <w:tcBorders>
              <w:tl2br w:val="nil"/>
              <w:tr2bl w:val="nil"/>
            </w:tcBorders>
            <w:shd w:val="clear" w:color="auto" w:fill="auto"/>
            <w:noWrap w:val="0"/>
            <w:vAlign w:val="center"/>
          </w:tcPr>
          <w:p w14:paraId="13E34923">
            <w:pPr>
              <w:keepNext w:val="0"/>
              <w:keepLines w:val="0"/>
              <w:pageBreakBefore w:val="0"/>
              <w:widowControl w:val="0"/>
              <w:shd w:val="clear"/>
              <w:tabs>
                <w:tab w:val="left" w:pos="360"/>
              </w:tabs>
              <w:kinsoku/>
              <w:wordWrap/>
              <w:overflowPunct/>
              <w:topLinePunct w:val="0"/>
              <w:autoSpaceDE/>
              <w:autoSpaceDN/>
              <w:bidi w:val="0"/>
              <w:adjustRightInd w:val="0"/>
              <w:snapToGrid/>
              <w:spacing w:line="240" w:lineRule="auto"/>
              <w:ind w:firstLine="0" w:firstLineChars="0"/>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1.408t</w:t>
            </w:r>
          </w:p>
        </w:tc>
      </w:tr>
    </w:tbl>
    <w:p w14:paraId="5F7E65BC"/>
    <w:p w14:paraId="6221FAFE">
      <w:pPr>
        <w:pStyle w:val="2"/>
        <w:bidi w:val="0"/>
        <w:ind w:left="432" w:leftChars="0" w:hanging="432" w:firstLineChars="0"/>
      </w:pPr>
      <w:bookmarkStart w:id="328" w:name="_Toc12424"/>
      <w:bookmarkStart w:id="329" w:name="_Toc16960"/>
      <w:bookmarkStart w:id="330" w:name="_Toc21048"/>
      <w:r>
        <w:rPr>
          <w:rFonts w:hint="eastAsia"/>
          <w:lang w:val="en-US" w:eastAsia="zh-CN"/>
        </w:rPr>
        <w:t>XGT6515D-10S</w:t>
      </w:r>
      <w:r>
        <w:rPr>
          <w:rFonts w:hint="default"/>
          <w:lang w:val="en-US" w:eastAsia="zh-CN"/>
        </w:rPr>
        <w:t>塔吊安装</w:t>
      </w:r>
      <w:bookmarkEnd w:id="328"/>
      <w:bookmarkEnd w:id="329"/>
      <w:bookmarkEnd w:id="330"/>
    </w:p>
    <w:p w14:paraId="315EBB90">
      <w:pPr>
        <w:pStyle w:val="3"/>
        <w:bidi w:val="0"/>
        <w:ind w:left="575" w:leftChars="0" w:hanging="575" w:firstLineChars="0"/>
      </w:pPr>
      <w:bookmarkStart w:id="331" w:name="_Toc13072"/>
      <w:bookmarkStart w:id="332" w:name="_Toc2688"/>
      <w:r>
        <w:rPr>
          <w:rFonts w:hint="eastAsia"/>
        </w:rPr>
        <w:t>塔机安装流程</w:t>
      </w:r>
      <w:bookmarkEnd w:id="331"/>
      <w:bookmarkEnd w:id="332"/>
    </w:p>
    <w:p w14:paraId="4FD742EB">
      <w:pPr>
        <w:keepNext w:val="0"/>
        <w:keepLines w:val="0"/>
        <w:pageBreakBefore w:val="0"/>
        <w:widowControl w:val="0"/>
        <w:kinsoku/>
        <w:wordWrap/>
        <w:overflowPunct/>
        <w:topLinePunct w:val="0"/>
        <w:autoSpaceDE/>
        <w:autoSpaceDN/>
        <w:bidi w:val="0"/>
        <w:adjustRightInd/>
        <w:snapToGrid/>
        <w:spacing w:line="240" w:lineRule="auto"/>
        <w:jc w:val="both"/>
        <w:textAlignment w:val="auto"/>
      </w:pPr>
      <w:r>
        <w:drawing>
          <wp:inline distT="0" distB="0" distL="114300" distR="114300">
            <wp:extent cx="5420995" cy="2733675"/>
            <wp:effectExtent l="0" t="0" r="8255" b="952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128"/>
                    <a:stretch>
                      <a:fillRect/>
                    </a:stretch>
                  </pic:blipFill>
                  <pic:spPr>
                    <a:xfrm>
                      <a:off x="0" y="0"/>
                      <a:ext cx="5420995" cy="2733675"/>
                    </a:xfrm>
                    <a:prstGeom prst="rect">
                      <a:avLst/>
                    </a:prstGeom>
                    <a:noFill/>
                    <a:ln>
                      <a:noFill/>
                    </a:ln>
                  </pic:spPr>
                </pic:pic>
              </a:graphicData>
            </a:graphic>
          </wp:inline>
        </w:drawing>
      </w:r>
    </w:p>
    <w:p w14:paraId="10E4D97D">
      <w:pPr>
        <w:pStyle w:val="3"/>
        <w:keepNext w:val="0"/>
        <w:keepLines/>
        <w:pageBreakBefore w:val="0"/>
        <w:widowControl w:val="0"/>
        <w:kinsoku/>
        <w:wordWrap/>
        <w:overflowPunct/>
        <w:topLinePunct w:val="0"/>
        <w:autoSpaceDE/>
        <w:autoSpaceDN/>
        <w:bidi w:val="0"/>
        <w:adjustRightInd/>
        <w:snapToGrid/>
        <w:spacing w:line="240" w:lineRule="auto"/>
        <w:ind w:left="573" w:leftChars="0" w:hanging="573" w:firstLineChars="0"/>
        <w:textAlignment w:val="auto"/>
        <w:rPr>
          <w:rFonts w:hint="eastAsia"/>
          <w:lang w:val="en-US" w:eastAsia="zh-CN"/>
        </w:rPr>
      </w:pPr>
      <w:r>
        <w:rPr>
          <w:rFonts w:hint="eastAsia"/>
          <w:lang w:val="en-US" w:eastAsia="zh-CN"/>
        </w:rPr>
        <w:t>塔吊基础</w:t>
      </w:r>
    </w:p>
    <w:p w14:paraId="7D257B58">
      <w:pPr>
        <w:keepNext w:val="0"/>
        <w:keepLines w:val="0"/>
        <w:widowControl/>
        <w:suppressLineNumbers w:val="0"/>
        <w:jc w:val="left"/>
        <w:rPr>
          <w:rFonts w:hint="default"/>
          <w:lang w:val="en-US"/>
        </w:rPr>
      </w:pPr>
      <w:r>
        <w:rPr>
          <w:rFonts w:hint="eastAsia" w:ascii="仿宋" w:hAnsi="仿宋" w:eastAsia="仿宋" w:cs="仿宋"/>
          <w:color w:val="000000"/>
          <w:sz w:val="28"/>
          <w:szCs w:val="28"/>
          <w:lang w:val="en-US" w:eastAsia="zh-CN"/>
        </w:rPr>
        <w:t>13#墩处塔机基础采用与承台连接的整体式基础形式</w:t>
      </w:r>
      <w:r>
        <w:rPr>
          <w:rFonts w:hint="eastAsia" w:ascii="仿宋" w:hAnsi="仿宋" w:cs="仿宋"/>
          <w:color w:val="000000"/>
          <w:sz w:val="28"/>
          <w:szCs w:val="28"/>
          <w:lang w:val="en-US" w:eastAsia="zh-CN"/>
        </w:rPr>
        <w:t>，基础承载力需项目部根据《</w:t>
      </w:r>
      <w:r>
        <w:rPr>
          <w:rFonts w:hint="eastAsia"/>
          <w:lang w:val="en-US" w:eastAsia="zh-CN"/>
        </w:rPr>
        <w:t>XGT6515D-10S塔式起重机安装手册</w:t>
      </w:r>
      <w:r>
        <w:rPr>
          <w:rFonts w:hint="eastAsia" w:ascii="仿宋" w:hAnsi="仿宋" w:cs="仿宋"/>
          <w:color w:val="000000"/>
          <w:sz w:val="28"/>
          <w:szCs w:val="28"/>
          <w:lang w:val="en-US" w:eastAsia="zh-CN"/>
        </w:rPr>
        <w:t>》校核是否满足要求。</w:t>
      </w:r>
    </w:p>
    <w:p w14:paraId="1C94393F">
      <w:pPr>
        <w:pStyle w:val="3"/>
        <w:keepNext w:val="0"/>
        <w:keepLines/>
        <w:pageBreakBefore w:val="0"/>
        <w:widowControl w:val="0"/>
        <w:kinsoku/>
        <w:wordWrap/>
        <w:overflowPunct/>
        <w:topLinePunct w:val="0"/>
        <w:autoSpaceDE/>
        <w:autoSpaceDN/>
        <w:bidi w:val="0"/>
        <w:adjustRightInd/>
        <w:snapToGrid/>
        <w:spacing w:line="240" w:lineRule="auto"/>
        <w:ind w:left="573" w:leftChars="0" w:hanging="573" w:firstLineChars="0"/>
        <w:textAlignment w:val="auto"/>
      </w:pPr>
      <w:bookmarkStart w:id="333" w:name="_Toc22549"/>
      <w:bookmarkStart w:id="334" w:name="_Toc23792"/>
      <w:r>
        <w:rPr>
          <w:rFonts w:hint="eastAsia"/>
        </w:rPr>
        <w:t>安装前准备工作</w:t>
      </w:r>
      <w:bookmarkEnd w:id="333"/>
      <w:bookmarkEnd w:id="334"/>
    </w:p>
    <w:p w14:paraId="3C7F452F">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1．由塔机使用单位对施工现场的道路进行铺设与平整，并清除障碍等。</w:t>
      </w:r>
    </w:p>
    <w:p w14:paraId="65BBE16A">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2．由塔机使用单位与塔机安装技术负责人按基础制作的技术要求共同对塔机砼基础进行验收。</w:t>
      </w:r>
    </w:p>
    <w:p w14:paraId="38A1371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3．由塔机质检人员对塔机进行检查，检查内容如下：</w:t>
      </w:r>
    </w:p>
    <w:p w14:paraId="10BADC44">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A.钢结构件有无严重锈蚀变形开裂与脱焊；</w:t>
      </w:r>
    </w:p>
    <w:p w14:paraId="0B5C0A5B">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B.钢丝绳是否牢固可靠，完好状态是否符合要求，绳扎头是否可靠；</w:t>
      </w:r>
    </w:p>
    <w:p w14:paraId="2B851DFC">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C.各电路及电气元件是否正常；</w:t>
      </w:r>
    </w:p>
    <w:p w14:paraId="04D9F2F1">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D.爬升机构导向轮是否转动灵活，与塔机间隙是否符合要求</w:t>
      </w:r>
    </w:p>
    <w:p w14:paraId="27428B20">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E.顶升液压装置是否正常；</w:t>
      </w:r>
    </w:p>
    <w:p w14:paraId="04038EA7">
      <w:pPr>
        <w:autoSpaceDE w:val="0"/>
        <w:autoSpaceDN w:val="0"/>
        <w:adjustRightInd w:val="0"/>
        <w:ind w:firstLine="840" w:firstLineChars="300"/>
        <w:rPr>
          <w:rFonts w:ascii="宋体" w:hAnsi="宋体" w:cs="宋体"/>
          <w:color w:val="1E1C11" w:themeColor="background2" w:themeShade="1A"/>
          <w:kern w:val="0"/>
        </w:rPr>
      </w:pPr>
      <w:r>
        <w:rPr>
          <w:rFonts w:hint="eastAsia" w:ascii="宋体" w:hAnsi="宋体" w:cs="宋体"/>
          <w:color w:val="1E1C11" w:themeColor="background2" w:themeShade="1A"/>
          <w:kern w:val="0"/>
        </w:rPr>
        <w:t>F.转场塔机安装前应认真进行检修、保养，对变形件及时修复，必要时全机涂装油漆。</w:t>
      </w:r>
    </w:p>
    <w:p w14:paraId="65C9220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4．按要求做好人员的组织工作。</w:t>
      </w:r>
    </w:p>
    <w:p w14:paraId="2B8FA96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5．要求做好常用工具、索具及材料的配备。</w:t>
      </w:r>
    </w:p>
    <w:p w14:paraId="24BC769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6．由技术负责人对全体作业人员进行技术交底。</w:t>
      </w:r>
    </w:p>
    <w:p w14:paraId="0EC03F2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7．由安全员对全体作业人员进行安全交底。</w:t>
      </w:r>
    </w:p>
    <w:p w14:paraId="489FE79B">
      <w:pPr>
        <w:autoSpaceDE w:val="0"/>
        <w:autoSpaceDN w:val="0"/>
        <w:adjustRightInd w:val="0"/>
        <w:ind w:firstLine="560"/>
        <w:rPr>
          <w:color w:val="000000"/>
        </w:rPr>
      </w:pPr>
      <w:r>
        <w:rPr>
          <w:rFonts w:hint="eastAsia" w:ascii="宋体" w:hAnsi="宋体" w:cs="宋体"/>
          <w:color w:val="1E1C11" w:themeColor="background2" w:themeShade="1A"/>
          <w:kern w:val="0"/>
        </w:rPr>
        <w:t>8．明确分工职责，持证上岗，作业过程中做好安全防护。</w:t>
      </w:r>
    </w:p>
    <w:p w14:paraId="41185655">
      <w:pPr>
        <w:pStyle w:val="3"/>
        <w:bidi w:val="0"/>
        <w:ind w:left="575" w:leftChars="0" w:hanging="575" w:firstLineChars="0"/>
      </w:pPr>
      <w:bookmarkStart w:id="335" w:name="_Toc23154"/>
      <w:bookmarkStart w:id="336" w:name="_Toc16515"/>
      <w:r>
        <w:rPr>
          <w:rFonts w:hint="eastAsia"/>
          <w:lang w:eastAsia="zh-CN"/>
        </w:rPr>
        <w:t>XGT6515D-10S</w:t>
      </w:r>
      <w:r>
        <w:rPr>
          <w:rFonts w:hint="eastAsia"/>
        </w:rPr>
        <w:t>塔机主机安装过程</w:t>
      </w:r>
      <w:bookmarkEnd w:id="335"/>
      <w:bookmarkEnd w:id="336"/>
    </w:p>
    <w:p w14:paraId="512A30F2">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在塔机安装过程中只需要安装</w:t>
      </w:r>
      <w:r>
        <w:rPr>
          <w:rFonts w:hint="eastAsia" w:ascii="宋体" w:hAnsi="宋体" w:cs="宋体"/>
          <w:color w:val="1E1C11" w:themeColor="background2" w:themeShade="1A"/>
          <w:kern w:val="0"/>
          <w:lang w:val="en-US" w:eastAsia="zh-CN"/>
        </w:rPr>
        <w:t>两</w:t>
      </w:r>
      <w:r>
        <w:rPr>
          <w:rFonts w:hint="eastAsia" w:ascii="宋体" w:hAnsi="宋体" w:cs="宋体"/>
          <w:color w:val="1E1C11" w:themeColor="background2" w:themeShade="1A"/>
          <w:kern w:val="0"/>
        </w:rPr>
        <w:t>节基础节即可安装爬升架和回转总成等部件。在安装平衡臂和大臂前要先接通回转电源，以便于大臂的安装。</w:t>
      </w:r>
    </w:p>
    <w:p w14:paraId="5AA4A37B">
      <w:pPr>
        <w:pStyle w:val="4"/>
        <w:bidi w:val="0"/>
        <w:ind w:left="720" w:leftChars="0" w:hanging="720" w:firstLineChars="0"/>
      </w:pPr>
      <w:r>
        <w:rPr>
          <w:rFonts w:hint="eastAsia"/>
        </w:rPr>
        <w:t>吊装</w:t>
      </w:r>
      <w:r>
        <w:rPr>
          <w:rFonts w:hint="eastAsia"/>
          <w:lang w:val="en-US" w:eastAsia="zh-CN"/>
        </w:rPr>
        <w:t>两</w:t>
      </w:r>
      <w:r>
        <w:rPr>
          <w:rFonts w:hint="eastAsia"/>
        </w:rPr>
        <w:t>节基础节（S48JR、S46JR）</w:t>
      </w:r>
    </w:p>
    <w:p w14:paraId="71724AB3">
      <w:pPr>
        <w:autoSpaceDE w:val="0"/>
        <w:autoSpaceDN w:val="0"/>
        <w:adjustRightInd w:val="0"/>
        <w:ind w:firstLine="560"/>
        <w:jc w:val="both"/>
        <w:rPr>
          <w:rFonts w:ascii="宋体" w:hAnsi="宋体" w:cs="宋体"/>
          <w:color w:val="1E1C11" w:themeColor="background2" w:themeShade="1A"/>
          <w:kern w:val="0"/>
          <w:highlight w:val="none"/>
        </w:rPr>
      </w:pPr>
      <w:r>
        <w:rPr>
          <w:rFonts w:hint="eastAsia"/>
          <w:color w:val="000000"/>
        </w:rPr>
        <w:t>基础节</w:t>
      </w:r>
      <w:r>
        <w:rPr>
          <w:rFonts w:hint="eastAsia"/>
          <w:color w:val="000000"/>
          <w:highlight w:val="none"/>
        </w:rPr>
        <w:t>重</w:t>
      </w:r>
      <w:r>
        <w:rPr>
          <w:rFonts w:hint="eastAsia"/>
          <w:color w:val="000000"/>
          <w:highlight w:val="none"/>
          <w:lang w:val="en-US" w:eastAsia="zh-CN"/>
        </w:rPr>
        <w:t>3.928</w:t>
      </w:r>
      <w:r>
        <w:rPr>
          <w:rFonts w:hint="eastAsia"/>
          <w:color w:val="000000"/>
          <w:highlight w:val="none"/>
        </w:rPr>
        <w:t>t，使用</w:t>
      </w:r>
      <w:r>
        <w:rPr>
          <w:rFonts w:hint="eastAsia"/>
          <w:color w:val="000000"/>
          <w:highlight w:val="none"/>
          <w:lang w:eastAsia="zh-CN"/>
        </w:rPr>
        <w:t>25T</w:t>
      </w:r>
      <w:r>
        <w:rPr>
          <w:rFonts w:hint="eastAsia"/>
          <w:color w:val="000000"/>
          <w:highlight w:val="none"/>
        </w:rPr>
        <w:t>汽车吊，采用</w:t>
      </w:r>
      <w:r>
        <w:rPr>
          <w:rFonts w:hint="eastAsia"/>
          <w:color w:val="000000"/>
          <w:highlight w:val="none"/>
          <w:lang w:val="en-US" w:eastAsia="zh-CN"/>
        </w:rPr>
        <w:t>四</w:t>
      </w:r>
      <w:r>
        <w:rPr>
          <w:rFonts w:hint="eastAsia"/>
          <w:color w:val="000000"/>
          <w:highlight w:val="none"/>
        </w:rPr>
        <w:t>根</w:t>
      </w:r>
      <w:r>
        <w:rPr>
          <w:rFonts w:hint="eastAsia"/>
          <w:color w:val="000000"/>
          <w:highlight w:val="none"/>
          <w:lang w:eastAsia="zh-CN"/>
        </w:rPr>
        <w:t>22mm6×19W+IWR1870Mpa</w:t>
      </w:r>
      <w:r>
        <w:rPr>
          <w:rFonts w:hint="eastAsia"/>
          <w:color w:val="000000"/>
          <w:highlight w:val="none"/>
        </w:rPr>
        <w:t>钢丝绳，4个</w:t>
      </w:r>
      <w:r>
        <w:rPr>
          <w:rFonts w:hint="eastAsia"/>
          <w:color w:val="000000"/>
          <w:highlight w:val="none"/>
          <w:lang w:val="en-US" w:eastAsia="zh-CN"/>
        </w:rPr>
        <w:t>GB/T25854-6-DW5卸扣</w:t>
      </w:r>
      <w:r>
        <w:rPr>
          <w:rFonts w:hint="eastAsia"/>
          <w:color w:val="000000"/>
          <w:highlight w:val="none"/>
        </w:rPr>
        <w:t>，4吊点起吊。</w:t>
      </w:r>
    </w:p>
    <w:p w14:paraId="65BC055A">
      <w:pPr>
        <w:autoSpaceDE w:val="0"/>
        <w:autoSpaceDN w:val="0"/>
        <w:adjustRightInd w:val="0"/>
        <w:spacing w:line="240" w:lineRule="auto"/>
        <w:ind w:firstLine="560" w:firstLineChars="200"/>
        <w:jc w:val="both"/>
        <w:rPr>
          <w:rFonts w:hint="eastAsia"/>
          <w:color w:val="000000"/>
        </w:rPr>
      </w:pPr>
      <w:r>
        <w:rPr>
          <w:rFonts w:hint="eastAsia"/>
          <w:color w:val="000000"/>
          <w:highlight w:val="none"/>
        </w:rPr>
        <w:t>如下图所示，将基础节吊起至固定支腿的上方，缓缓放下，将基础节销轴孔与支腿孔对齐，穿入Φ65</w:t>
      </w:r>
      <w:r>
        <w:rPr>
          <w:rFonts w:hint="eastAsia"/>
          <w:color w:val="000000"/>
        </w:rPr>
        <w:t>销轴、立销及开口销。</w:t>
      </w:r>
    </w:p>
    <w:p w14:paraId="28456734">
      <w:pPr>
        <w:autoSpaceDE w:val="0"/>
        <w:autoSpaceDN w:val="0"/>
        <w:adjustRightInd w:val="0"/>
        <w:spacing w:line="240" w:lineRule="auto"/>
        <w:ind w:firstLine="560" w:firstLineChars="200"/>
        <w:jc w:val="both"/>
        <w:rPr>
          <w:rFonts w:hint="default" w:eastAsia="仿宋"/>
          <w:color w:val="000000"/>
          <w:lang w:val="en-US" w:eastAsia="zh-CN"/>
        </w:rPr>
      </w:pPr>
      <w:r>
        <w:rPr>
          <w:rFonts w:hint="eastAsia"/>
          <w:color w:val="000000"/>
          <w:lang w:val="en-US" w:eastAsia="zh-CN"/>
        </w:rPr>
        <w:t>以同样的方法安装第二节基础节。</w:t>
      </w:r>
    </w:p>
    <w:p w14:paraId="0C08F2FF">
      <w:pPr>
        <w:autoSpaceDE w:val="0"/>
        <w:autoSpaceDN w:val="0"/>
        <w:adjustRightInd w:val="0"/>
        <w:spacing w:line="240" w:lineRule="auto"/>
        <w:ind w:firstLine="0" w:firstLineChars="0"/>
        <w:jc w:val="center"/>
      </w:pPr>
      <w:r>
        <w:drawing>
          <wp:inline distT="0" distB="0" distL="114300" distR="114300">
            <wp:extent cx="1831975" cy="3091815"/>
            <wp:effectExtent l="0" t="0" r="15875" b="13335"/>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129"/>
                    <a:stretch>
                      <a:fillRect/>
                    </a:stretch>
                  </pic:blipFill>
                  <pic:spPr>
                    <a:xfrm>
                      <a:off x="0" y="0"/>
                      <a:ext cx="1831975" cy="3091815"/>
                    </a:xfrm>
                    <a:prstGeom prst="rect">
                      <a:avLst/>
                    </a:prstGeom>
                    <a:noFill/>
                    <a:ln>
                      <a:noFill/>
                    </a:ln>
                  </pic:spPr>
                </pic:pic>
              </a:graphicData>
            </a:graphic>
          </wp:inline>
        </w:drawing>
      </w:r>
      <w:r>
        <w:drawing>
          <wp:inline distT="0" distB="0" distL="114300" distR="114300">
            <wp:extent cx="1776730" cy="3061335"/>
            <wp:effectExtent l="0" t="0" r="13970" b="571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30"/>
                    <a:stretch>
                      <a:fillRect/>
                    </a:stretch>
                  </pic:blipFill>
                  <pic:spPr>
                    <a:xfrm>
                      <a:off x="0" y="0"/>
                      <a:ext cx="1776730" cy="30613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402965" cy="2186305"/>
            <wp:effectExtent l="0" t="0" r="6985" b="4445"/>
            <wp:docPr id="1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
                    <pic:cNvPicPr>
                      <a:picLocks noChangeAspect="1"/>
                    </pic:cNvPicPr>
                  </pic:nvPicPr>
                  <pic:blipFill>
                    <a:blip r:embed="rId131"/>
                    <a:stretch>
                      <a:fillRect/>
                    </a:stretch>
                  </pic:blipFill>
                  <pic:spPr>
                    <a:xfrm>
                      <a:off x="0" y="0"/>
                      <a:ext cx="3402965" cy="2186305"/>
                    </a:xfrm>
                    <a:prstGeom prst="rect">
                      <a:avLst/>
                    </a:prstGeom>
                    <a:noFill/>
                    <a:ln>
                      <a:noFill/>
                    </a:ln>
                  </pic:spPr>
                </pic:pic>
              </a:graphicData>
            </a:graphic>
          </wp:inline>
        </w:drawing>
      </w:r>
    </w:p>
    <w:p w14:paraId="074BCD0B">
      <w:pPr>
        <w:pStyle w:val="16"/>
        <w:spacing w:line="240" w:lineRule="auto"/>
        <w:ind w:left="480" w:firstLine="0" w:firstLineChars="0"/>
        <w:jc w:val="center"/>
        <w:rPr>
          <w:rFonts w:hint="default" w:eastAsia="仿宋"/>
          <w:lang w:val="en-US" w:eastAsia="zh-CN"/>
        </w:rPr>
      </w:pPr>
      <w:r>
        <w:t xml:space="preserve">图 </w:t>
      </w:r>
      <w:r>
        <w:fldChar w:fldCharType="begin"/>
      </w:r>
      <w:r>
        <w:instrText xml:space="preserve"> STYLEREF 3 \s </w:instrText>
      </w:r>
      <w:r>
        <w:fldChar w:fldCharType="separate"/>
      </w:r>
      <w:r>
        <w:t>7.4.1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eastAsia="zh-CN"/>
        </w:rPr>
        <w:t>吊装</w:t>
      </w:r>
      <w:r>
        <w:rPr>
          <w:rFonts w:hint="eastAsia"/>
          <w:lang w:val="en-US" w:eastAsia="zh-CN"/>
        </w:rPr>
        <w:t>基础节</w:t>
      </w:r>
    </w:p>
    <w:p w14:paraId="6C1C014F">
      <w:pPr>
        <w:ind w:firstLine="560"/>
      </w:pPr>
      <w:r>
        <w:rPr>
          <w:rFonts w:hint="eastAsia"/>
        </w:rPr>
        <w:t>注意；</w:t>
      </w:r>
    </w:p>
    <w:p w14:paraId="096B16FC">
      <w:pPr>
        <w:ind w:firstLine="560"/>
      </w:pPr>
      <w:r>
        <w:rPr>
          <w:rFonts w:hint="eastAsia"/>
        </w:rPr>
        <w:t>1）确保安装过程中的吊装安全可靠。</w:t>
      </w:r>
    </w:p>
    <w:p w14:paraId="6C5D6895">
      <w:pPr>
        <w:ind w:firstLine="560"/>
      </w:pPr>
      <w:r>
        <w:rPr>
          <w:rFonts w:hint="eastAsia"/>
        </w:rPr>
        <w:t>2）注意基础节踏步安装方向应与建筑物方向垂直，否则将会造成后期无法降塔！</w:t>
      </w:r>
    </w:p>
    <w:p w14:paraId="0FE33310">
      <w:pPr>
        <w:spacing w:line="240" w:lineRule="auto"/>
        <w:ind w:firstLine="0" w:firstLineChars="0"/>
        <w:jc w:val="center"/>
      </w:pPr>
      <w:r>
        <w:drawing>
          <wp:inline distT="0" distB="0" distL="114300" distR="114300">
            <wp:extent cx="2800350" cy="1971675"/>
            <wp:effectExtent l="0" t="0" r="0" b="9525"/>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132"/>
                    <a:stretch>
                      <a:fillRect/>
                    </a:stretch>
                  </pic:blipFill>
                  <pic:spPr>
                    <a:xfrm>
                      <a:off x="0" y="0"/>
                      <a:ext cx="2800350" cy="1971675"/>
                    </a:xfrm>
                    <a:prstGeom prst="rect">
                      <a:avLst/>
                    </a:prstGeom>
                    <a:noFill/>
                    <a:ln>
                      <a:noFill/>
                    </a:ln>
                  </pic:spPr>
                </pic:pic>
              </a:graphicData>
            </a:graphic>
          </wp:inline>
        </w:drawing>
      </w:r>
    </w:p>
    <w:p w14:paraId="1A2A9B58">
      <w:pPr>
        <w:bidi w:val="0"/>
        <w:jc w:val="center"/>
        <w:rPr>
          <w:rFonts w:ascii="Cambria" w:hAnsi="Cambria" w:eastAsia="黑体" w:cs="Times New Roman"/>
          <w:kern w:val="2"/>
          <w:sz w:val="20"/>
          <w:szCs w:val="20"/>
          <w:lang w:val="en-US" w:eastAsia="zh-CN" w:bidi="ar-SA"/>
        </w:rPr>
      </w:pPr>
      <w:r>
        <w:rPr>
          <w:rFonts w:ascii="Cambria" w:hAnsi="Cambria" w:eastAsia="黑体" w:cs="Times New Roman"/>
          <w:kern w:val="2"/>
          <w:sz w:val="20"/>
          <w:szCs w:val="20"/>
          <w:lang w:val="en-US" w:eastAsia="zh-CN" w:bidi="ar-SA"/>
        </w:rPr>
        <w:t xml:space="preserve">图 </w:t>
      </w:r>
      <w:r>
        <w:rPr>
          <w:rFonts w:ascii="Cambria" w:hAnsi="Cambria" w:eastAsia="黑体" w:cs="Times New Roman"/>
          <w:kern w:val="2"/>
          <w:sz w:val="20"/>
          <w:szCs w:val="20"/>
          <w:lang w:val="en-US" w:eastAsia="zh-CN" w:bidi="ar-SA"/>
        </w:rPr>
        <w:fldChar w:fldCharType="begin"/>
      </w:r>
      <w:r>
        <w:rPr>
          <w:rFonts w:ascii="Cambria" w:hAnsi="Cambria" w:eastAsia="黑体" w:cs="Times New Roman"/>
          <w:kern w:val="2"/>
          <w:sz w:val="20"/>
          <w:szCs w:val="20"/>
          <w:lang w:val="en-US" w:eastAsia="zh-CN" w:bidi="ar-SA"/>
        </w:rPr>
        <w:instrText xml:space="preserve"> STYLEREF 3 \s </w:instrText>
      </w:r>
      <w:r>
        <w:rPr>
          <w:rFonts w:ascii="Cambria" w:hAnsi="Cambria" w:eastAsia="黑体" w:cs="Times New Roman"/>
          <w:kern w:val="2"/>
          <w:sz w:val="20"/>
          <w:szCs w:val="20"/>
          <w:lang w:val="en-US" w:eastAsia="zh-CN" w:bidi="ar-SA"/>
        </w:rPr>
        <w:fldChar w:fldCharType="separate"/>
      </w:r>
      <w:r>
        <w:rPr>
          <w:rFonts w:ascii="Cambria" w:hAnsi="Cambria" w:eastAsia="黑体" w:cs="Times New Roman"/>
          <w:kern w:val="2"/>
          <w:sz w:val="20"/>
          <w:szCs w:val="20"/>
          <w:lang w:val="en-US" w:eastAsia="zh-CN" w:bidi="ar-SA"/>
        </w:rPr>
        <w:t>7.4.1</w:t>
      </w:r>
      <w:r>
        <w:rPr>
          <w:rFonts w:ascii="Cambria" w:hAnsi="Cambria" w:eastAsia="黑体" w:cs="Times New Roman"/>
          <w:kern w:val="2"/>
          <w:sz w:val="20"/>
          <w:szCs w:val="20"/>
          <w:lang w:val="en-US" w:eastAsia="zh-CN" w:bidi="ar-SA"/>
        </w:rPr>
        <w:fldChar w:fldCharType="end"/>
      </w:r>
      <w:r>
        <w:rPr>
          <w:rFonts w:hint="eastAsia" w:ascii="Cambria" w:hAnsi="Cambria" w:eastAsia="黑体" w:cs="Times New Roman"/>
          <w:kern w:val="2"/>
          <w:sz w:val="20"/>
          <w:szCs w:val="20"/>
          <w:lang w:val="en-US" w:eastAsia="zh-CN" w:bidi="ar-SA"/>
        </w:rPr>
        <w:t>-</w:t>
      </w:r>
      <w:r>
        <w:rPr>
          <w:rFonts w:ascii="Cambria" w:hAnsi="Cambria" w:eastAsia="黑体" w:cs="Times New Roman"/>
          <w:kern w:val="2"/>
          <w:sz w:val="20"/>
          <w:szCs w:val="20"/>
          <w:lang w:val="en-US" w:eastAsia="zh-CN" w:bidi="ar-SA"/>
        </w:rPr>
        <w:fldChar w:fldCharType="begin"/>
      </w:r>
      <w:r>
        <w:rPr>
          <w:rFonts w:ascii="Cambria" w:hAnsi="Cambria" w:eastAsia="黑体" w:cs="Times New Roman"/>
          <w:kern w:val="2"/>
          <w:sz w:val="20"/>
          <w:szCs w:val="20"/>
          <w:lang w:val="en-US" w:eastAsia="zh-CN" w:bidi="ar-SA"/>
        </w:rPr>
        <w:instrText xml:space="preserve"> SEQ 图 \* ARABIC \s 3 </w:instrText>
      </w:r>
      <w:r>
        <w:rPr>
          <w:rFonts w:ascii="Cambria" w:hAnsi="Cambria" w:eastAsia="黑体" w:cs="Times New Roman"/>
          <w:kern w:val="2"/>
          <w:sz w:val="20"/>
          <w:szCs w:val="20"/>
          <w:lang w:val="en-US" w:eastAsia="zh-CN" w:bidi="ar-SA"/>
        </w:rPr>
        <w:fldChar w:fldCharType="separate"/>
      </w:r>
      <w:r>
        <w:rPr>
          <w:rFonts w:ascii="Cambria" w:hAnsi="Cambria" w:eastAsia="黑体" w:cs="Times New Roman"/>
          <w:kern w:val="2"/>
          <w:sz w:val="20"/>
          <w:szCs w:val="20"/>
          <w:lang w:val="en-US" w:eastAsia="zh-CN" w:bidi="ar-SA"/>
        </w:rPr>
        <w:t>2</w:t>
      </w:r>
      <w:r>
        <w:rPr>
          <w:rFonts w:ascii="Cambria" w:hAnsi="Cambria" w:eastAsia="黑体" w:cs="Times New Roman"/>
          <w:kern w:val="2"/>
          <w:sz w:val="20"/>
          <w:szCs w:val="20"/>
          <w:lang w:val="en-US" w:eastAsia="zh-CN" w:bidi="ar-SA"/>
        </w:rPr>
        <w:fldChar w:fldCharType="end"/>
      </w:r>
      <w:r>
        <w:rPr>
          <w:rFonts w:hint="eastAsia" w:ascii="Cambria" w:hAnsi="Cambria" w:eastAsia="黑体" w:cs="Times New Roman"/>
          <w:kern w:val="2"/>
          <w:sz w:val="20"/>
          <w:szCs w:val="20"/>
          <w:lang w:val="en-US" w:eastAsia="zh-CN" w:bidi="ar-SA"/>
        </w:rPr>
        <w:t>基础节安装方向示意图</w:t>
      </w:r>
    </w:p>
    <w:p w14:paraId="367BB930">
      <w:pPr>
        <w:pStyle w:val="4"/>
        <w:bidi w:val="0"/>
        <w:ind w:left="720" w:leftChars="0" w:hanging="720" w:firstLineChars="0"/>
      </w:pPr>
      <w:r>
        <w:rPr>
          <w:rFonts w:hint="eastAsia"/>
        </w:rPr>
        <w:t>吊装爬升架</w:t>
      </w:r>
    </w:p>
    <w:p w14:paraId="47E57DFC">
      <w:pPr>
        <w:ind w:firstLine="560"/>
        <w:rPr>
          <w:color w:val="000000"/>
          <w:highlight w:val="none"/>
        </w:rPr>
      </w:pPr>
      <w:r>
        <w:rPr>
          <w:rFonts w:hint="eastAsia"/>
          <w:color w:val="000000"/>
        </w:rPr>
        <w:t>爬升架总重</w:t>
      </w:r>
      <w:r>
        <w:rPr>
          <w:rFonts w:hint="eastAsia"/>
          <w:color w:val="000000"/>
          <w:lang w:val="en-US" w:eastAsia="zh-CN"/>
        </w:rPr>
        <w:t>4.314</w:t>
      </w:r>
      <w:r>
        <w:rPr>
          <w:rFonts w:hint="eastAsia"/>
          <w:color w:val="000000"/>
        </w:rPr>
        <w:t>t</w:t>
      </w:r>
      <w:r>
        <w:rPr>
          <w:rFonts w:hint="eastAsia"/>
          <w:color w:val="000000"/>
          <w:highlight w:val="none"/>
        </w:rPr>
        <w:t>，使用</w:t>
      </w:r>
      <w:r>
        <w:rPr>
          <w:rFonts w:hint="eastAsia"/>
          <w:color w:val="000000"/>
          <w:highlight w:val="none"/>
          <w:lang w:eastAsia="zh-CN"/>
        </w:rPr>
        <w:t>25T</w:t>
      </w:r>
      <w:r>
        <w:rPr>
          <w:rFonts w:hint="eastAsia"/>
          <w:color w:val="000000"/>
          <w:highlight w:val="none"/>
        </w:rPr>
        <w:t>汽车吊，采用</w:t>
      </w:r>
      <w:r>
        <w:rPr>
          <w:rFonts w:hint="eastAsia"/>
          <w:color w:val="000000"/>
          <w:highlight w:val="none"/>
          <w:lang w:val="en-US" w:eastAsia="zh-CN"/>
        </w:rPr>
        <w:t>四</w:t>
      </w:r>
      <w:r>
        <w:rPr>
          <w:rFonts w:hint="eastAsia"/>
          <w:color w:val="000000"/>
          <w:highlight w:val="none"/>
        </w:rPr>
        <w:t>根</w:t>
      </w:r>
      <w:r>
        <w:rPr>
          <w:rFonts w:hint="eastAsia"/>
          <w:color w:val="000000"/>
          <w:highlight w:val="none"/>
          <w:lang w:eastAsia="zh-CN"/>
        </w:rPr>
        <w:t>22mm6×19W+IWR1870Mpa</w:t>
      </w:r>
      <w:r>
        <w:rPr>
          <w:rFonts w:hint="eastAsia"/>
          <w:color w:val="000000"/>
          <w:highlight w:val="none"/>
        </w:rPr>
        <w:t>钢丝绳，4个</w:t>
      </w:r>
      <w:r>
        <w:rPr>
          <w:rFonts w:hint="eastAsia"/>
          <w:color w:val="000000"/>
          <w:highlight w:val="none"/>
          <w:lang w:val="en-US" w:eastAsia="zh-CN"/>
        </w:rPr>
        <w:t>GB/T25854-6-DW5卸扣</w:t>
      </w:r>
      <w:r>
        <w:rPr>
          <w:rFonts w:hint="eastAsia"/>
          <w:color w:val="000000"/>
          <w:highlight w:val="none"/>
        </w:rPr>
        <w:t>，4吊点起吊。</w:t>
      </w:r>
    </w:p>
    <w:p w14:paraId="3A459EBD">
      <w:pPr>
        <w:ind w:firstLine="560"/>
        <w:rPr>
          <w:color w:val="000000"/>
        </w:rPr>
      </w:pPr>
      <w:r>
        <w:rPr>
          <w:color w:val="000000"/>
          <w:highlight w:val="none"/>
        </w:rPr>
        <w:t>a.</w:t>
      </w:r>
      <w:r>
        <w:rPr>
          <w:rFonts w:hint="eastAsia"/>
          <w:color w:val="000000"/>
          <w:highlight w:val="none"/>
        </w:rPr>
        <w:t>将爬升架组装完毕后，将吊具</w:t>
      </w:r>
      <w:r>
        <w:rPr>
          <w:rFonts w:hint="eastAsia"/>
          <w:color w:val="000000"/>
        </w:rPr>
        <w:t xml:space="preserve">挂在爬升架上，拉紧钢丝绳吊起。切记安装顶升油缸的位置必须与塔身踏步同侧。 </w:t>
      </w:r>
    </w:p>
    <w:p w14:paraId="70CD072A">
      <w:pPr>
        <w:ind w:firstLine="560"/>
        <w:rPr>
          <w:color w:val="000000"/>
        </w:rPr>
      </w:pPr>
      <w:r>
        <w:rPr>
          <w:color w:val="000000"/>
        </w:rPr>
        <w:t>b.</w:t>
      </w:r>
      <w:r>
        <w:rPr>
          <w:rFonts w:hint="eastAsia"/>
          <w:color w:val="000000"/>
        </w:rPr>
        <w:t xml:space="preserve">将爬升架缓慢套装在塔身节外侧。 </w:t>
      </w:r>
    </w:p>
    <w:p w14:paraId="779963C7">
      <w:pPr>
        <w:ind w:firstLine="560"/>
        <w:rPr>
          <w:color w:val="000000"/>
        </w:rPr>
      </w:pPr>
      <w:r>
        <w:rPr>
          <w:color w:val="000000"/>
        </w:rPr>
        <w:t>c.</w:t>
      </w:r>
      <w:r>
        <w:rPr>
          <w:rFonts w:hint="eastAsia"/>
          <w:color w:val="000000"/>
        </w:rPr>
        <w:t>将爬升架上的爬爪放在塔身节的第二节上部的踏步上，再调整好爬升导轮与标准节的间隙</w:t>
      </w:r>
      <w:r>
        <w:rPr>
          <w:color w:val="000000"/>
        </w:rPr>
        <w:t>(</w:t>
      </w:r>
      <w:r>
        <w:rPr>
          <w:rFonts w:hint="eastAsia"/>
          <w:color w:val="000000"/>
        </w:rPr>
        <w:t xml:space="preserve">间隙最好为 </w:t>
      </w:r>
      <w:r>
        <w:rPr>
          <w:color w:val="000000"/>
        </w:rPr>
        <w:t>2</w:t>
      </w:r>
      <w:r>
        <w:rPr>
          <w:rFonts w:hint="eastAsia"/>
          <w:color w:val="000000"/>
        </w:rPr>
        <w:t>～</w:t>
      </w:r>
      <w:r>
        <w:rPr>
          <w:color w:val="000000"/>
        </w:rPr>
        <w:t>3mm)</w:t>
      </w:r>
      <w:r>
        <w:rPr>
          <w:rFonts w:hint="eastAsia"/>
          <w:color w:val="000000"/>
        </w:rPr>
        <w:t xml:space="preserve">。 </w:t>
      </w:r>
    </w:p>
    <w:p w14:paraId="43E400C7">
      <w:pPr>
        <w:ind w:firstLine="560"/>
        <w:rPr>
          <w:color w:val="000000"/>
        </w:rPr>
      </w:pPr>
      <w:r>
        <w:rPr>
          <w:color w:val="000000"/>
        </w:rPr>
        <w:t>d.</w:t>
      </w:r>
      <w:r>
        <w:rPr>
          <w:rFonts w:hint="eastAsia"/>
          <w:color w:val="000000"/>
        </w:rPr>
        <w:t>安装好顶升油缸，将液压泵站吊装到平台一角，接好油管，检查液压系统的运转情况，应保证油泵电机风扇叶片旋向应与外壳箭头标识一致，以避免烧坏油泵。如有错误。则应重新接好电机接线。</w:t>
      </w:r>
    </w:p>
    <w:p w14:paraId="35E24015">
      <w:pPr>
        <w:pStyle w:val="177"/>
        <w:spacing w:line="240" w:lineRule="auto"/>
        <w:ind w:left="480" w:firstLine="0" w:firstLineChars="0"/>
        <w:jc w:val="center"/>
      </w:pPr>
      <w:r>
        <w:drawing>
          <wp:inline distT="0" distB="0" distL="114300" distR="114300">
            <wp:extent cx="1793875" cy="3007360"/>
            <wp:effectExtent l="0" t="0" r="15875" b="254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133"/>
                    <a:stretch>
                      <a:fillRect/>
                    </a:stretch>
                  </pic:blipFill>
                  <pic:spPr>
                    <a:xfrm>
                      <a:off x="0" y="0"/>
                      <a:ext cx="1793875" cy="3007360"/>
                    </a:xfrm>
                    <a:prstGeom prst="rect">
                      <a:avLst/>
                    </a:prstGeom>
                    <a:noFill/>
                    <a:ln>
                      <a:noFill/>
                    </a:ln>
                  </pic:spPr>
                </pic:pic>
              </a:graphicData>
            </a:graphic>
          </wp:inline>
        </w:drawing>
      </w:r>
      <w:r>
        <w:drawing>
          <wp:inline distT="0" distB="0" distL="114300" distR="114300">
            <wp:extent cx="3402965" cy="2186305"/>
            <wp:effectExtent l="0" t="0" r="6985" b="4445"/>
            <wp:docPr id="1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
                    <pic:cNvPicPr>
                      <a:picLocks noChangeAspect="1"/>
                    </pic:cNvPicPr>
                  </pic:nvPicPr>
                  <pic:blipFill>
                    <a:blip r:embed="rId131"/>
                    <a:stretch>
                      <a:fillRect/>
                    </a:stretch>
                  </pic:blipFill>
                  <pic:spPr>
                    <a:xfrm>
                      <a:off x="0" y="0"/>
                      <a:ext cx="3402965" cy="2186305"/>
                    </a:xfrm>
                    <a:prstGeom prst="rect">
                      <a:avLst/>
                    </a:prstGeom>
                    <a:noFill/>
                    <a:ln>
                      <a:noFill/>
                    </a:ln>
                  </pic:spPr>
                </pic:pic>
              </a:graphicData>
            </a:graphic>
          </wp:inline>
        </w:drawing>
      </w:r>
    </w:p>
    <w:p w14:paraId="6002778D">
      <w:pPr>
        <w:pStyle w:val="16"/>
        <w:spacing w:line="240" w:lineRule="auto"/>
        <w:ind w:left="480" w:firstLine="0" w:firstLineChars="0"/>
        <w:jc w:val="center"/>
        <w:rPr>
          <w:rFonts w:hint="eastAsia" w:eastAsia="仿宋"/>
          <w:lang w:eastAsia="zh-CN"/>
        </w:rPr>
      </w:pPr>
      <w:r>
        <w:t xml:space="preserve">图 </w:t>
      </w:r>
      <w:r>
        <w:fldChar w:fldCharType="begin"/>
      </w:r>
      <w:r>
        <w:instrText xml:space="preserve"> STYLEREF 3 \s </w:instrText>
      </w:r>
      <w:r>
        <w:fldChar w:fldCharType="separate"/>
      </w:r>
      <w:r>
        <w:t>7.4.2</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eastAsia="zh-CN"/>
        </w:rPr>
        <w:t>吊装爬升架</w:t>
      </w:r>
    </w:p>
    <w:p w14:paraId="5002396E">
      <w:pPr>
        <w:pStyle w:val="4"/>
        <w:bidi w:val="0"/>
        <w:ind w:left="720" w:leftChars="0" w:hanging="720" w:firstLineChars="0"/>
      </w:pPr>
      <w:r>
        <w:rPr>
          <w:rFonts w:hint="eastAsia"/>
        </w:rPr>
        <w:t>安装特殊节</w:t>
      </w:r>
    </w:p>
    <w:p w14:paraId="06984794">
      <w:pPr>
        <w:ind w:firstLine="560"/>
        <w:rPr>
          <w:color w:val="000000"/>
        </w:rPr>
      </w:pPr>
      <w:r>
        <w:rPr>
          <w:rFonts w:hint="eastAsia"/>
          <w:color w:val="000000"/>
          <w:lang w:val="en-US" w:eastAsia="zh-CN"/>
        </w:rPr>
        <w:t>特殊节</w:t>
      </w:r>
      <w:r>
        <w:rPr>
          <w:rFonts w:hint="eastAsia"/>
          <w:color w:val="000000"/>
        </w:rPr>
        <w:t>总重</w:t>
      </w:r>
      <w:r>
        <w:rPr>
          <w:rFonts w:hint="eastAsia"/>
          <w:color w:val="000000"/>
          <w:lang w:val="en-US" w:eastAsia="zh-CN"/>
        </w:rPr>
        <w:t>1.716</w:t>
      </w:r>
      <w:r>
        <w:rPr>
          <w:rFonts w:hint="eastAsia"/>
          <w:color w:val="000000"/>
        </w:rPr>
        <w:t>t，使用</w:t>
      </w:r>
      <w:r>
        <w:rPr>
          <w:rFonts w:hint="eastAsia"/>
          <w:color w:val="000000"/>
          <w:lang w:eastAsia="zh-CN"/>
        </w:rPr>
        <w:t>25T</w:t>
      </w:r>
      <w:r>
        <w:rPr>
          <w:rFonts w:hint="eastAsia"/>
          <w:color w:val="000000"/>
        </w:rPr>
        <w:t>汽车吊，采用4根</w:t>
      </w:r>
      <w:r>
        <w:rPr>
          <w:rFonts w:hint="eastAsia"/>
          <w:color w:val="000000"/>
          <w:lang w:eastAsia="zh-CN"/>
        </w:rPr>
        <w:t>22mm6×19W+IWR1870Mpa</w:t>
      </w:r>
      <w:r>
        <w:rPr>
          <w:rFonts w:hint="eastAsia"/>
          <w:color w:val="000000"/>
        </w:rPr>
        <w:t>钢丝绳，4个</w:t>
      </w:r>
      <w:r>
        <w:rPr>
          <w:rFonts w:hint="eastAsia"/>
          <w:color w:val="000000"/>
          <w:lang w:val="en-US" w:eastAsia="zh-CN"/>
        </w:rPr>
        <w:t>GB/T25854-6-DW5卸扣</w:t>
      </w:r>
      <w:r>
        <w:rPr>
          <w:rFonts w:hint="eastAsia"/>
          <w:color w:val="000000"/>
        </w:rPr>
        <w:t>，4吊点起吊。</w:t>
      </w:r>
    </w:p>
    <w:p w14:paraId="280DA529">
      <w:pPr>
        <w:ind w:firstLine="560"/>
      </w:pPr>
      <w:r>
        <w:rPr>
          <w:rFonts w:hint="eastAsia"/>
        </w:rPr>
        <w:t>将吊索绕入特殊节（1）四根主弦的连接套，并挂至吊钩，移动到塔身上方，确保与塔身节的爬梯一致后，缓缓落下，将特殊节支腿与与爬升架耳板孔对准后，插入销轴及开口销（7、8）；同时将特殊节与塔身节用螺栓（2、3、6）紧固。</w:t>
      </w:r>
    </w:p>
    <w:p w14:paraId="4CC23055">
      <w:pPr>
        <w:spacing w:line="240" w:lineRule="auto"/>
        <w:ind w:firstLine="0" w:firstLineChars="0"/>
        <w:jc w:val="center"/>
      </w:pPr>
      <w:r>
        <w:drawing>
          <wp:inline distT="0" distB="0" distL="114300" distR="114300">
            <wp:extent cx="4740275" cy="3272155"/>
            <wp:effectExtent l="0" t="0" r="3175" b="4445"/>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52"/>
                    <a:stretch>
                      <a:fillRect/>
                    </a:stretch>
                  </pic:blipFill>
                  <pic:spPr>
                    <a:xfrm>
                      <a:off x="0" y="0"/>
                      <a:ext cx="4740275" cy="3272155"/>
                    </a:xfrm>
                    <a:prstGeom prst="rect">
                      <a:avLst/>
                    </a:prstGeom>
                    <a:noFill/>
                    <a:ln>
                      <a:noFill/>
                    </a:ln>
                  </pic:spPr>
                </pic:pic>
              </a:graphicData>
            </a:graphic>
          </wp:inline>
        </w:drawing>
      </w:r>
      <w:r>
        <w:drawing>
          <wp:inline distT="0" distB="0" distL="114300" distR="114300">
            <wp:extent cx="1710055" cy="2563495"/>
            <wp:effectExtent l="0" t="0" r="4445" b="825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134"/>
                    <a:stretch>
                      <a:fillRect/>
                    </a:stretch>
                  </pic:blipFill>
                  <pic:spPr>
                    <a:xfrm>
                      <a:off x="0" y="0"/>
                      <a:ext cx="1710055" cy="2563495"/>
                    </a:xfrm>
                    <a:prstGeom prst="rect">
                      <a:avLst/>
                    </a:prstGeom>
                    <a:noFill/>
                    <a:ln>
                      <a:noFill/>
                    </a:ln>
                  </pic:spPr>
                </pic:pic>
              </a:graphicData>
            </a:graphic>
          </wp:inline>
        </w:drawing>
      </w:r>
      <w:r>
        <w:drawing>
          <wp:inline distT="0" distB="0" distL="114300" distR="114300">
            <wp:extent cx="3402965" cy="2186305"/>
            <wp:effectExtent l="0" t="0" r="6985" b="4445"/>
            <wp:docPr id="1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7"/>
                    <pic:cNvPicPr>
                      <a:picLocks noChangeAspect="1"/>
                    </pic:cNvPicPr>
                  </pic:nvPicPr>
                  <pic:blipFill>
                    <a:blip r:embed="rId131"/>
                    <a:stretch>
                      <a:fillRect/>
                    </a:stretch>
                  </pic:blipFill>
                  <pic:spPr>
                    <a:xfrm>
                      <a:off x="0" y="0"/>
                      <a:ext cx="3402965" cy="2186305"/>
                    </a:xfrm>
                    <a:prstGeom prst="rect">
                      <a:avLst/>
                    </a:prstGeom>
                    <a:noFill/>
                    <a:ln>
                      <a:noFill/>
                    </a:ln>
                  </pic:spPr>
                </pic:pic>
              </a:graphicData>
            </a:graphic>
          </wp:inline>
        </w:drawing>
      </w:r>
    </w:p>
    <w:p w14:paraId="50C511F5">
      <w:pPr>
        <w:pStyle w:val="16"/>
        <w:spacing w:line="240" w:lineRule="auto"/>
        <w:ind w:left="480" w:firstLine="0" w:firstLineChars="0"/>
        <w:jc w:val="center"/>
      </w:pPr>
      <w:r>
        <w:t xml:space="preserve">图 </w:t>
      </w:r>
      <w:r>
        <w:fldChar w:fldCharType="begin"/>
      </w:r>
      <w:r>
        <w:instrText xml:space="preserve"> STYLEREF 3 \s </w:instrText>
      </w:r>
      <w:r>
        <w:fldChar w:fldCharType="separate"/>
      </w:r>
      <w:r>
        <w:t>7.4.3</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rPr>
        <w:t xml:space="preserve"> 吊装特殊节</w:t>
      </w:r>
    </w:p>
    <w:p w14:paraId="04033C2B">
      <w:pPr>
        <w:pStyle w:val="4"/>
        <w:bidi w:val="0"/>
        <w:ind w:left="720" w:leftChars="0" w:hanging="720" w:firstLineChars="0"/>
      </w:pPr>
      <w:r>
        <w:rPr>
          <w:rFonts w:hint="eastAsia"/>
        </w:rPr>
        <w:t>安装回转支承总成</w:t>
      </w:r>
    </w:p>
    <w:p w14:paraId="088DFFEB">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t>在地面将下支座、回转支承、上支座、回转机构、工作平台栏杆、司机室等机构装配在一起。</w:t>
      </w:r>
    </w:p>
    <w:p w14:paraId="7B29C90A">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t>回转总成重</w:t>
      </w:r>
      <w:r>
        <w:rPr>
          <w:rFonts w:hint="eastAsia" w:ascii="宋体" w:hAnsi="宋体" w:cs="宋体"/>
          <w:color w:val="1E1C11" w:themeColor="background2" w:themeShade="1A"/>
          <w:kern w:val="0"/>
          <w:lang w:val="en-US" w:eastAsia="zh-CN"/>
        </w:rPr>
        <w:t>4.678</w:t>
      </w:r>
      <w:r>
        <w:rPr>
          <w:rFonts w:ascii="宋体" w:hAnsi="宋体" w:cs="宋体"/>
          <w:color w:val="1E1C11" w:themeColor="background2" w:themeShade="1A"/>
          <w:kern w:val="0"/>
        </w:rPr>
        <w:t>t，使用</w:t>
      </w:r>
      <w:r>
        <w:rPr>
          <w:rFonts w:hint="eastAsia" w:ascii="宋体" w:hAnsi="宋体" w:cs="宋体"/>
          <w:color w:val="1E1C11" w:themeColor="background2" w:themeShade="1A"/>
          <w:kern w:val="0"/>
          <w:lang w:eastAsia="zh-CN"/>
        </w:rPr>
        <w:t>25T</w:t>
      </w:r>
      <w:r>
        <w:rPr>
          <w:rFonts w:hint="eastAsia" w:ascii="宋体" w:hAnsi="宋体" w:cs="宋体"/>
          <w:color w:val="1E1C11" w:themeColor="background2" w:themeShade="1A"/>
          <w:kern w:val="0"/>
        </w:rPr>
        <w:t>汽车吊</w:t>
      </w:r>
      <w:r>
        <w:rPr>
          <w:rFonts w:ascii="宋体" w:hAnsi="宋体" w:cs="宋体"/>
          <w:color w:val="1E1C11" w:themeColor="background2" w:themeShade="1A"/>
          <w:kern w:val="0"/>
        </w:rPr>
        <w:t>，4根</w:t>
      </w:r>
      <w:r>
        <w:rPr>
          <w:rFonts w:hint="eastAsia"/>
          <w:color w:val="000000"/>
          <w:lang w:val="en-US" w:eastAsia="zh-CN"/>
        </w:rPr>
        <w:t>22mm6×19W+IWR1870Mpa</w:t>
      </w:r>
      <w:r>
        <w:rPr>
          <w:rFonts w:ascii="宋体" w:hAnsi="宋体" w:cs="宋体"/>
          <w:color w:val="1E1C11" w:themeColor="background2" w:themeShade="1A"/>
          <w:kern w:val="0"/>
        </w:rPr>
        <w:t>钢丝绳，4个</w:t>
      </w:r>
      <w:r>
        <w:rPr>
          <w:rFonts w:hint="eastAsia"/>
          <w:color w:val="000000"/>
          <w:lang w:val="en-US" w:eastAsia="zh-CN"/>
        </w:rPr>
        <w:t>GB/T25854-6-DW5卸扣</w:t>
      </w:r>
      <w:r>
        <w:rPr>
          <w:rFonts w:ascii="宋体" w:hAnsi="宋体" w:cs="宋体"/>
          <w:color w:val="1E1C11" w:themeColor="background2" w:themeShade="1A"/>
          <w:kern w:val="0"/>
        </w:rPr>
        <w:t>，4吊点起吊。</w:t>
      </w:r>
    </w:p>
    <w:p w14:paraId="650F1E39">
      <w:pPr>
        <w:widowControl/>
        <w:ind w:firstLine="560"/>
        <w:jc w:val="left"/>
        <w:rPr>
          <w:rFonts w:ascii="宋体" w:hAnsi="宋体" w:cs="宋体"/>
          <w:color w:val="1E1C11" w:themeColor="background2" w:themeShade="1A"/>
          <w:kern w:val="0"/>
        </w:rPr>
      </w:pPr>
      <w:r>
        <w:rPr>
          <w:rFonts w:ascii="宋体" w:hAnsi="宋体" w:cs="宋体"/>
          <w:color w:val="1E1C11" w:themeColor="background2" w:themeShade="1A"/>
          <w:kern w:val="0"/>
        </w:rPr>
        <w:t>将吊具挂在上支座四个支柱耳套下，将回转支承总成吊起</w:t>
      </w:r>
      <w:r>
        <w:rPr>
          <w:rFonts w:hint="eastAsia" w:ascii="宋体" w:hAnsi="宋体" w:cs="宋体"/>
          <w:color w:val="1E1C11" w:themeColor="background2" w:themeShade="1A"/>
          <w:kern w:val="0"/>
        </w:rPr>
        <w:t>。</w:t>
      </w:r>
    </w:p>
    <w:p w14:paraId="32FFE5AD">
      <w:pPr>
        <w:widowControl/>
        <w:ind w:firstLine="560"/>
        <w:jc w:val="left"/>
        <w:rPr>
          <w:rFonts w:ascii="宋体" w:hAnsi="宋体" w:cs="宋体"/>
          <w:color w:val="1E1C11" w:themeColor="background2" w:themeShade="1A"/>
          <w:kern w:val="0"/>
        </w:rPr>
      </w:pPr>
      <w:r>
        <w:rPr>
          <w:rFonts w:ascii="宋体" w:hAnsi="宋体" w:cs="宋体"/>
          <w:color w:val="1E1C11" w:themeColor="background2" w:themeShade="1A"/>
          <w:kern w:val="0"/>
        </w:rPr>
        <w:t>吊起回转总成（1）至特殊节上方，注意下支座爬梯方向与特殊节爬梯方向保持一致，将回转总成缓慢的落下，通过 8 个销轴（2）连接，为防止销轴脱出，两个销轴之间通过立销（3）固定，立销下端穿入葫芦销固定。</w:t>
      </w:r>
    </w:p>
    <w:p w14:paraId="36EA42E4">
      <w:pPr>
        <w:widowControl/>
        <w:spacing w:line="240" w:lineRule="auto"/>
        <w:ind w:firstLine="0" w:firstLineChars="0"/>
        <w:jc w:val="center"/>
      </w:pPr>
      <w:r>
        <w:drawing>
          <wp:inline distT="0" distB="0" distL="114300" distR="114300">
            <wp:extent cx="3251835" cy="3084830"/>
            <wp:effectExtent l="0" t="0" r="5715" b="1270"/>
            <wp:docPr id="1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0"/>
                    <pic:cNvPicPr>
                      <a:picLocks noChangeAspect="1"/>
                    </pic:cNvPicPr>
                  </pic:nvPicPr>
                  <pic:blipFill>
                    <a:blip r:embed="rId135"/>
                    <a:stretch>
                      <a:fillRect/>
                    </a:stretch>
                  </pic:blipFill>
                  <pic:spPr>
                    <a:xfrm>
                      <a:off x="0" y="0"/>
                      <a:ext cx="3251835" cy="3084830"/>
                    </a:xfrm>
                    <a:prstGeom prst="rect">
                      <a:avLst/>
                    </a:prstGeom>
                    <a:noFill/>
                    <a:ln>
                      <a:noFill/>
                    </a:ln>
                  </pic:spPr>
                </pic:pic>
              </a:graphicData>
            </a:graphic>
          </wp:inline>
        </w:drawing>
      </w:r>
    </w:p>
    <w:p w14:paraId="0B3ADF44">
      <w:pPr>
        <w:widowControl/>
        <w:spacing w:line="240" w:lineRule="auto"/>
        <w:ind w:firstLine="0" w:firstLineChars="0"/>
        <w:jc w:val="center"/>
        <w:rPr>
          <w:rFonts w:ascii="宋体" w:hAnsi="宋体" w:eastAsia="宋体" w:cs="宋体"/>
          <w:color w:val="000000"/>
          <w:kern w:val="0"/>
          <w:sz w:val="24"/>
          <w:szCs w:val="24"/>
        </w:rPr>
      </w:pPr>
      <w:r>
        <w:drawing>
          <wp:inline distT="0" distB="0" distL="114300" distR="114300">
            <wp:extent cx="2281555" cy="4084320"/>
            <wp:effectExtent l="0" t="0" r="4445" b="11430"/>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136"/>
                    <a:stretch>
                      <a:fillRect/>
                    </a:stretch>
                  </pic:blipFill>
                  <pic:spPr>
                    <a:xfrm>
                      <a:off x="0" y="0"/>
                      <a:ext cx="2281555" cy="4084320"/>
                    </a:xfrm>
                    <a:prstGeom prst="rect">
                      <a:avLst/>
                    </a:prstGeom>
                    <a:noFill/>
                    <a:ln>
                      <a:noFill/>
                    </a:ln>
                  </pic:spPr>
                </pic:pic>
              </a:graphicData>
            </a:graphic>
          </wp:inline>
        </w:drawing>
      </w:r>
      <w:r>
        <w:drawing>
          <wp:inline distT="0" distB="0" distL="114300" distR="114300">
            <wp:extent cx="3402965" cy="2186305"/>
            <wp:effectExtent l="0" t="0" r="6985" b="4445"/>
            <wp:docPr id="19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
                    <pic:cNvPicPr>
                      <a:picLocks noChangeAspect="1"/>
                    </pic:cNvPicPr>
                  </pic:nvPicPr>
                  <pic:blipFill>
                    <a:blip r:embed="rId131"/>
                    <a:stretch>
                      <a:fillRect/>
                    </a:stretch>
                  </pic:blipFill>
                  <pic:spPr>
                    <a:xfrm>
                      <a:off x="0" y="0"/>
                      <a:ext cx="3402965" cy="2186305"/>
                    </a:xfrm>
                    <a:prstGeom prst="rect">
                      <a:avLst/>
                    </a:prstGeom>
                    <a:noFill/>
                    <a:ln>
                      <a:noFill/>
                    </a:ln>
                  </pic:spPr>
                </pic:pic>
              </a:graphicData>
            </a:graphic>
          </wp:inline>
        </w:drawing>
      </w:r>
    </w:p>
    <w:p w14:paraId="6C93E2C1">
      <w:pPr>
        <w:bidi w:val="0"/>
        <w:jc w:val="center"/>
      </w:pPr>
      <w:r>
        <w:t xml:space="preserve">图 </w:t>
      </w:r>
      <w:r>
        <w:fldChar w:fldCharType="begin"/>
      </w:r>
      <w:r>
        <w:instrText xml:space="preserve"> STYLEREF 3 \s </w:instrText>
      </w:r>
      <w:r>
        <w:fldChar w:fldCharType="separate"/>
      </w:r>
      <w:r>
        <w:t>7.4.4</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回转安装图</w:t>
      </w:r>
    </w:p>
    <w:p w14:paraId="5E289BFA">
      <w:pPr>
        <w:pStyle w:val="4"/>
        <w:bidi w:val="0"/>
        <w:ind w:left="720" w:leftChars="0" w:hanging="720" w:firstLineChars="0"/>
      </w:pPr>
      <w:r>
        <w:rPr>
          <w:rFonts w:hint="eastAsia"/>
        </w:rPr>
        <w:t>安装起重臂根节</w:t>
      </w:r>
    </w:p>
    <w:p w14:paraId="11C1879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起重臂根节</w:t>
      </w:r>
      <w:r>
        <w:rPr>
          <w:rFonts w:ascii="宋体" w:hAnsi="宋体" w:cs="宋体"/>
          <w:color w:val="1E1C11" w:themeColor="background2" w:themeShade="1A"/>
          <w:kern w:val="0"/>
        </w:rPr>
        <w:t>重</w:t>
      </w:r>
      <w:r>
        <w:rPr>
          <w:rFonts w:hint="eastAsia" w:ascii="宋体" w:hAnsi="宋体" w:cs="宋体"/>
          <w:color w:val="1E1C11" w:themeColor="background2" w:themeShade="1A"/>
          <w:kern w:val="0"/>
          <w:lang w:val="en-US" w:eastAsia="zh-CN"/>
        </w:rPr>
        <w:t>3.8</w:t>
      </w:r>
      <w:r>
        <w:rPr>
          <w:rFonts w:ascii="宋体" w:hAnsi="宋体" w:cs="宋体"/>
          <w:color w:val="1E1C11" w:themeColor="background2" w:themeShade="1A"/>
          <w:kern w:val="0"/>
        </w:rPr>
        <w:t>t，使用</w:t>
      </w:r>
      <w:r>
        <w:rPr>
          <w:rFonts w:hint="eastAsia" w:ascii="宋体" w:hAnsi="宋体" w:cs="宋体"/>
          <w:color w:val="1E1C11" w:themeColor="background2" w:themeShade="1A"/>
          <w:kern w:val="0"/>
          <w:lang w:eastAsia="zh-CN"/>
        </w:rPr>
        <w:t>25T</w:t>
      </w:r>
      <w:r>
        <w:rPr>
          <w:rFonts w:hint="eastAsia" w:ascii="宋体" w:hAnsi="宋体" w:cs="宋体"/>
          <w:color w:val="1E1C11" w:themeColor="background2" w:themeShade="1A"/>
          <w:kern w:val="0"/>
        </w:rPr>
        <w:t>汽车吊</w:t>
      </w:r>
      <w:r>
        <w:rPr>
          <w:rFonts w:ascii="宋体" w:hAnsi="宋体" w:cs="宋体"/>
          <w:color w:val="1E1C11" w:themeColor="background2" w:themeShade="1A"/>
          <w:kern w:val="0"/>
        </w:rPr>
        <w:t>，</w:t>
      </w:r>
      <w:r>
        <w:rPr>
          <w:rFonts w:hint="eastAsia" w:ascii="宋体" w:hAnsi="宋体" w:cs="宋体"/>
          <w:color w:val="1E1C11" w:themeColor="background2" w:themeShade="1A"/>
          <w:kern w:val="0"/>
        </w:rPr>
        <w:t>4</w:t>
      </w:r>
      <w:r>
        <w:rPr>
          <w:rFonts w:ascii="宋体" w:hAnsi="宋体" w:cs="宋体"/>
          <w:color w:val="1E1C11" w:themeColor="background2" w:themeShade="1A"/>
          <w:kern w:val="0"/>
        </w:rPr>
        <w:t>根</w:t>
      </w:r>
      <w:r>
        <w:rPr>
          <w:rFonts w:hint="eastAsia"/>
          <w:color w:val="000000"/>
          <w:lang w:val="en-US" w:eastAsia="zh-CN"/>
        </w:rPr>
        <w:t>22mm6×19W+IWR1870Mpa</w:t>
      </w:r>
      <w:r>
        <w:rPr>
          <w:rFonts w:ascii="宋体" w:hAnsi="宋体" w:cs="宋体"/>
          <w:color w:val="1E1C11" w:themeColor="background2" w:themeShade="1A"/>
          <w:kern w:val="0"/>
        </w:rPr>
        <w:t>钢丝绳，</w:t>
      </w:r>
      <w:r>
        <w:rPr>
          <w:rFonts w:hint="eastAsia" w:ascii="宋体" w:hAnsi="宋体" w:cs="宋体"/>
          <w:color w:val="1E1C11" w:themeColor="background2" w:themeShade="1A"/>
          <w:kern w:val="0"/>
        </w:rPr>
        <w:t>4</w:t>
      </w:r>
      <w:r>
        <w:rPr>
          <w:rFonts w:ascii="宋体" w:hAnsi="宋体" w:cs="宋体"/>
          <w:color w:val="1E1C11" w:themeColor="background2" w:themeShade="1A"/>
          <w:kern w:val="0"/>
        </w:rPr>
        <w:t>个</w:t>
      </w:r>
      <w:r>
        <w:rPr>
          <w:rFonts w:hint="eastAsia"/>
          <w:color w:val="000000"/>
          <w:lang w:val="en-US" w:eastAsia="zh-CN"/>
        </w:rPr>
        <w:t>GB/T25854-6-DW5</w:t>
      </w:r>
      <w:r>
        <w:rPr>
          <w:rFonts w:hint="eastAsia" w:ascii="宋体" w:hAnsi="宋体" w:cs="宋体"/>
          <w:color w:val="1E1C11" w:themeColor="background2" w:themeShade="1A"/>
          <w:kern w:val="0"/>
          <w:lang w:val="en-US" w:eastAsia="zh-CN"/>
        </w:rPr>
        <w:t>卸扣</w:t>
      </w:r>
      <w:r>
        <w:rPr>
          <w:rFonts w:ascii="宋体" w:hAnsi="宋体" w:cs="宋体"/>
          <w:color w:val="1E1C11" w:themeColor="background2" w:themeShade="1A"/>
          <w:kern w:val="0"/>
        </w:rPr>
        <w:t>，</w:t>
      </w:r>
      <w:r>
        <w:rPr>
          <w:rFonts w:hint="eastAsia" w:ascii="宋体" w:hAnsi="宋体" w:cs="宋体"/>
          <w:color w:val="1E1C11" w:themeColor="background2" w:themeShade="1A"/>
          <w:kern w:val="0"/>
        </w:rPr>
        <w:t>4</w:t>
      </w:r>
      <w:r>
        <w:rPr>
          <w:rFonts w:ascii="宋体" w:hAnsi="宋体" w:cs="宋体"/>
          <w:color w:val="1E1C11" w:themeColor="background2" w:themeShade="1A"/>
          <w:kern w:val="0"/>
        </w:rPr>
        <w:t>吊点起吊。</w:t>
      </w:r>
    </w:p>
    <w:p w14:paraId="0D925ABA">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如下图所示，在吊装臂根节时，选用四根钢丝绳分别穿过吊耳，最终统一悬挂在吊</w:t>
      </w:r>
      <w:r>
        <w:rPr>
          <w:rFonts w:ascii="宋体" w:hAnsi="宋体" w:cs="宋体"/>
          <w:color w:val="1E1C11" w:themeColor="background2" w:themeShade="1A"/>
          <w:kern w:val="0"/>
        </w:rPr>
        <w:t>钩上，吊装中保证吊装平衡，实现臂根节的吊装。将臂根节（1）与上支座通过销轴装配到一起。</w:t>
      </w:r>
    </w:p>
    <w:p w14:paraId="34649B5C">
      <w:pPr>
        <w:spacing w:line="240" w:lineRule="auto"/>
        <w:ind w:firstLine="0" w:firstLineChars="0"/>
        <w:jc w:val="center"/>
        <w:rPr>
          <w:rFonts w:ascii="Tahoma" w:hAnsi="Tahoma" w:eastAsia="宋体" w:cs="Tahoma"/>
          <w:szCs w:val="24"/>
        </w:rPr>
      </w:pPr>
      <w:r>
        <w:drawing>
          <wp:inline distT="0" distB="0" distL="114300" distR="114300">
            <wp:extent cx="4533900" cy="3080385"/>
            <wp:effectExtent l="0" t="0" r="0" b="5715"/>
            <wp:docPr id="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pic:cNvPicPr>
                      <a:picLocks noChangeAspect="1"/>
                    </pic:cNvPicPr>
                  </pic:nvPicPr>
                  <pic:blipFill>
                    <a:blip r:embed="rId55"/>
                    <a:stretch>
                      <a:fillRect/>
                    </a:stretch>
                  </pic:blipFill>
                  <pic:spPr>
                    <a:xfrm>
                      <a:off x="0" y="0"/>
                      <a:ext cx="4533900" cy="3080385"/>
                    </a:xfrm>
                    <a:prstGeom prst="rect">
                      <a:avLst/>
                    </a:prstGeom>
                    <a:noFill/>
                    <a:ln>
                      <a:noFill/>
                    </a:ln>
                  </pic:spPr>
                </pic:pic>
              </a:graphicData>
            </a:graphic>
          </wp:inline>
        </w:drawing>
      </w:r>
      <w:r>
        <w:drawing>
          <wp:inline distT="0" distB="0" distL="114300" distR="114300">
            <wp:extent cx="1807845" cy="2644775"/>
            <wp:effectExtent l="0" t="0" r="1905" b="3175"/>
            <wp:docPr id="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
                    <pic:cNvPicPr>
                      <a:picLocks noChangeAspect="1"/>
                    </pic:cNvPicPr>
                  </pic:nvPicPr>
                  <pic:blipFill>
                    <a:blip r:embed="rId137"/>
                    <a:stretch>
                      <a:fillRect/>
                    </a:stretch>
                  </pic:blipFill>
                  <pic:spPr>
                    <a:xfrm>
                      <a:off x="0" y="0"/>
                      <a:ext cx="1807845" cy="2644775"/>
                    </a:xfrm>
                    <a:prstGeom prst="rect">
                      <a:avLst/>
                    </a:prstGeom>
                    <a:noFill/>
                    <a:ln>
                      <a:noFill/>
                    </a:ln>
                  </pic:spPr>
                </pic:pic>
              </a:graphicData>
            </a:graphic>
          </wp:inline>
        </w:drawing>
      </w:r>
      <w:r>
        <w:drawing>
          <wp:inline distT="0" distB="0" distL="114300" distR="114300">
            <wp:extent cx="3869690" cy="2224405"/>
            <wp:effectExtent l="0" t="0" r="0" b="0"/>
            <wp:docPr id="1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
                    <pic:cNvPicPr>
                      <a:picLocks noChangeAspect="1"/>
                    </pic:cNvPicPr>
                  </pic:nvPicPr>
                  <pic:blipFill>
                    <a:blip r:embed="rId138"/>
                    <a:srcRect t="7719"/>
                    <a:stretch>
                      <a:fillRect/>
                    </a:stretch>
                  </pic:blipFill>
                  <pic:spPr>
                    <a:xfrm>
                      <a:off x="0" y="0"/>
                      <a:ext cx="3869690" cy="2224405"/>
                    </a:xfrm>
                    <a:prstGeom prst="rect">
                      <a:avLst/>
                    </a:prstGeom>
                    <a:noFill/>
                    <a:ln>
                      <a:noFill/>
                    </a:ln>
                  </pic:spPr>
                </pic:pic>
              </a:graphicData>
            </a:graphic>
          </wp:inline>
        </w:drawing>
      </w:r>
    </w:p>
    <w:p w14:paraId="693A30CA">
      <w:pPr>
        <w:bidi w:val="0"/>
        <w:jc w:val="center"/>
        <w:rPr>
          <w:rFonts w:hint="eastAsia" w:eastAsia="仿宋"/>
          <w:lang w:val="en-US" w:eastAsia="zh-CN"/>
        </w:rPr>
      </w:pPr>
      <w:r>
        <w:t xml:space="preserve">图 </w:t>
      </w:r>
      <w:r>
        <w:fldChar w:fldCharType="begin"/>
      </w:r>
      <w:r>
        <w:instrText xml:space="preserve"> STYLEREF 3 \s </w:instrText>
      </w:r>
      <w:r>
        <w:fldChar w:fldCharType="separate"/>
      </w:r>
      <w:r>
        <w:t>7.4.5</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吊装起重臂根节</w:t>
      </w:r>
      <w:r>
        <w:rPr>
          <w:rFonts w:hint="eastAsia"/>
          <w:lang w:val="en-US" w:eastAsia="zh-CN"/>
        </w:rPr>
        <w:t>图</w:t>
      </w:r>
    </w:p>
    <w:p w14:paraId="4194FB40">
      <w:pPr>
        <w:pStyle w:val="4"/>
        <w:bidi w:val="0"/>
        <w:ind w:left="720" w:leftChars="0" w:hanging="720" w:firstLineChars="0"/>
      </w:pPr>
      <w:r>
        <w:rPr>
          <w:rFonts w:hint="eastAsia"/>
        </w:rPr>
        <w:t>安装平衡臂总成及部分平衡重</w:t>
      </w:r>
    </w:p>
    <w:p w14:paraId="108F9E9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在地面根据起重臂的长度组装好相应的平衡臂，将平衡臂上的栏杆、走道、工作平台、起升机构、电控柜、电阻柜、平衡臂拉杆等组装在一起并紧固好回转机构上接临时电源，将回转支承以上的部分回转到便于安装平衡臂的方位。</w:t>
      </w:r>
    </w:p>
    <w:p w14:paraId="1FCA9728">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平衡臂总成</w:t>
      </w:r>
      <w:r>
        <w:rPr>
          <w:rFonts w:ascii="宋体" w:hAnsi="宋体" w:cs="宋体"/>
          <w:color w:val="1E1C11" w:themeColor="background2" w:themeShade="1A"/>
          <w:kern w:val="0"/>
        </w:rPr>
        <w:t>重</w:t>
      </w:r>
      <w:r>
        <w:rPr>
          <w:rFonts w:hint="eastAsia" w:ascii="宋体" w:hAnsi="宋体" w:cs="宋体"/>
          <w:color w:val="1E1C11" w:themeColor="background2" w:themeShade="1A"/>
          <w:kern w:val="0"/>
          <w:lang w:val="en-US" w:eastAsia="zh-CN"/>
        </w:rPr>
        <w:t>5.2</w:t>
      </w:r>
      <w:r>
        <w:rPr>
          <w:rFonts w:ascii="宋体" w:hAnsi="宋体" w:cs="宋体"/>
          <w:color w:val="1E1C11" w:themeColor="background2" w:themeShade="1A"/>
          <w:kern w:val="0"/>
        </w:rPr>
        <w:t>t，使用</w:t>
      </w:r>
      <w:r>
        <w:rPr>
          <w:rFonts w:hint="eastAsia" w:ascii="宋体" w:hAnsi="宋体" w:cs="宋体"/>
          <w:color w:val="1E1C11" w:themeColor="background2" w:themeShade="1A"/>
          <w:kern w:val="0"/>
          <w:lang w:eastAsia="zh-CN"/>
        </w:rPr>
        <w:t>25T</w:t>
      </w:r>
      <w:r>
        <w:rPr>
          <w:rFonts w:hint="eastAsia" w:ascii="宋体" w:hAnsi="宋体" w:cs="宋体"/>
          <w:color w:val="1E1C11" w:themeColor="background2" w:themeShade="1A"/>
          <w:kern w:val="0"/>
        </w:rPr>
        <w:t>汽车</w:t>
      </w:r>
      <w:r>
        <w:rPr>
          <w:rFonts w:ascii="宋体" w:hAnsi="宋体" w:cs="宋体"/>
          <w:color w:val="1E1C11" w:themeColor="background2" w:themeShade="1A"/>
          <w:kern w:val="0"/>
        </w:rPr>
        <w:t>吊，</w:t>
      </w:r>
      <w:r>
        <w:rPr>
          <w:rFonts w:hint="eastAsia" w:ascii="宋体" w:hAnsi="宋体" w:cs="宋体"/>
          <w:color w:val="1E1C11" w:themeColor="background2" w:themeShade="1A"/>
          <w:kern w:val="0"/>
        </w:rPr>
        <w:t>4</w:t>
      </w:r>
      <w:r>
        <w:rPr>
          <w:rFonts w:ascii="宋体" w:hAnsi="宋体" w:cs="宋体"/>
          <w:color w:val="1E1C11" w:themeColor="background2" w:themeShade="1A"/>
          <w:kern w:val="0"/>
        </w:rPr>
        <w:t>根</w:t>
      </w:r>
      <w:r>
        <w:rPr>
          <w:rFonts w:hint="eastAsia"/>
          <w:color w:val="000000"/>
          <w:lang w:val="en-US" w:eastAsia="zh-CN"/>
        </w:rPr>
        <w:t>22mm6×19W+IWR1870Mpa</w:t>
      </w:r>
      <w:r>
        <w:rPr>
          <w:rFonts w:ascii="宋体" w:hAnsi="宋体" w:cs="宋体"/>
          <w:color w:val="1E1C11" w:themeColor="background2" w:themeShade="1A"/>
          <w:kern w:val="0"/>
        </w:rPr>
        <w:t>钢丝绳，</w:t>
      </w:r>
      <w:r>
        <w:rPr>
          <w:rFonts w:hint="eastAsia" w:ascii="宋体" w:hAnsi="宋体" w:cs="宋体"/>
          <w:color w:val="1E1C11" w:themeColor="background2" w:themeShade="1A"/>
          <w:kern w:val="0"/>
        </w:rPr>
        <w:t>4</w:t>
      </w:r>
      <w:r>
        <w:rPr>
          <w:rFonts w:ascii="宋体" w:hAnsi="宋体" w:cs="宋体"/>
          <w:color w:val="1E1C11" w:themeColor="background2" w:themeShade="1A"/>
          <w:kern w:val="0"/>
        </w:rPr>
        <w:t>个</w:t>
      </w:r>
      <w:r>
        <w:rPr>
          <w:rFonts w:hint="eastAsia"/>
          <w:color w:val="000000"/>
          <w:lang w:val="en-US" w:eastAsia="zh-CN"/>
        </w:rPr>
        <w:t>GB/T25854-6-DW5</w:t>
      </w:r>
      <w:r>
        <w:rPr>
          <w:rFonts w:hint="eastAsia" w:ascii="宋体" w:hAnsi="宋体" w:cs="宋体"/>
          <w:color w:val="1E1C11" w:themeColor="background2" w:themeShade="1A"/>
          <w:kern w:val="0"/>
          <w:lang w:val="en-US" w:eastAsia="zh-CN"/>
        </w:rPr>
        <w:t>卸扣</w:t>
      </w:r>
      <w:r>
        <w:rPr>
          <w:rFonts w:ascii="宋体" w:hAnsi="宋体" w:cs="宋体"/>
          <w:color w:val="1E1C11" w:themeColor="background2" w:themeShade="1A"/>
          <w:kern w:val="0"/>
        </w:rPr>
        <w:t>，</w:t>
      </w:r>
      <w:r>
        <w:rPr>
          <w:rFonts w:hint="eastAsia" w:ascii="宋体" w:hAnsi="宋体" w:cs="宋体"/>
          <w:color w:val="1E1C11" w:themeColor="background2" w:themeShade="1A"/>
          <w:kern w:val="0"/>
        </w:rPr>
        <w:t>4</w:t>
      </w:r>
      <w:r>
        <w:rPr>
          <w:rFonts w:ascii="宋体" w:hAnsi="宋体" w:cs="宋体"/>
          <w:color w:val="1E1C11" w:themeColor="background2" w:themeShade="1A"/>
          <w:kern w:val="0"/>
        </w:rPr>
        <w:t>吊点起吊。</w:t>
      </w:r>
      <w:r>
        <w:rPr>
          <w:rFonts w:hint="eastAsia" w:ascii="宋体" w:hAnsi="宋体" w:cs="宋体"/>
          <w:color w:val="1E1C11" w:themeColor="background2" w:themeShade="1A"/>
          <w:kern w:val="0"/>
        </w:rPr>
        <w:t>吊起平衡臂，用定轴架和销轴将平衡臂与起重臂根节固定好。</w:t>
      </w:r>
    </w:p>
    <w:p w14:paraId="23DC110E">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再将平衡臂逐渐抬高至适当的位置，以便于平衡臂上拉杆与起重臂根节上的平衡拉杆板顺利相连，将拉杆用销轴铰接，穿好并张开开口销。</w:t>
      </w:r>
    </w:p>
    <w:p w14:paraId="15078B14">
      <w:pPr>
        <w:spacing w:line="240" w:lineRule="auto"/>
        <w:ind w:firstLine="0" w:firstLineChars="0"/>
        <w:jc w:val="center"/>
        <w:rPr>
          <w:rFonts w:ascii="Tahoma" w:hAnsi="Tahoma" w:eastAsia="宋体" w:cs="Tahoma"/>
          <w:szCs w:val="24"/>
        </w:rPr>
      </w:pPr>
      <w:r>
        <w:drawing>
          <wp:inline distT="0" distB="0" distL="114300" distR="114300">
            <wp:extent cx="4743450" cy="1770380"/>
            <wp:effectExtent l="0" t="0" r="0" b="1270"/>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60"/>
                    <a:srcRect t="3704"/>
                    <a:stretch>
                      <a:fillRect/>
                    </a:stretch>
                  </pic:blipFill>
                  <pic:spPr>
                    <a:xfrm>
                      <a:off x="0" y="0"/>
                      <a:ext cx="4743450" cy="1770380"/>
                    </a:xfrm>
                    <a:prstGeom prst="rect">
                      <a:avLst/>
                    </a:prstGeom>
                    <a:noFill/>
                    <a:ln>
                      <a:noFill/>
                    </a:ln>
                  </pic:spPr>
                </pic:pic>
              </a:graphicData>
            </a:graphic>
          </wp:inline>
        </w:drawing>
      </w:r>
      <w:r>
        <w:drawing>
          <wp:inline distT="0" distB="0" distL="114300" distR="114300">
            <wp:extent cx="2035175" cy="2268220"/>
            <wp:effectExtent l="0" t="0" r="3175" b="17780"/>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139"/>
                    <a:stretch>
                      <a:fillRect/>
                    </a:stretch>
                  </pic:blipFill>
                  <pic:spPr>
                    <a:xfrm>
                      <a:off x="0" y="0"/>
                      <a:ext cx="2035175" cy="2268220"/>
                    </a:xfrm>
                    <a:prstGeom prst="rect">
                      <a:avLst/>
                    </a:prstGeom>
                    <a:noFill/>
                    <a:ln>
                      <a:noFill/>
                    </a:ln>
                  </pic:spPr>
                </pic:pic>
              </a:graphicData>
            </a:graphic>
          </wp:inline>
        </w:drawing>
      </w:r>
      <w:r>
        <w:drawing>
          <wp:inline distT="0" distB="0" distL="114300" distR="114300">
            <wp:extent cx="3347085" cy="1854200"/>
            <wp:effectExtent l="0" t="0" r="5715" b="12700"/>
            <wp:docPr id="1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2"/>
                    <pic:cNvPicPr>
                      <a:picLocks noChangeAspect="1"/>
                    </pic:cNvPicPr>
                  </pic:nvPicPr>
                  <pic:blipFill>
                    <a:blip r:embed="rId140"/>
                    <a:stretch>
                      <a:fillRect/>
                    </a:stretch>
                  </pic:blipFill>
                  <pic:spPr>
                    <a:xfrm>
                      <a:off x="0" y="0"/>
                      <a:ext cx="3347085" cy="1854200"/>
                    </a:xfrm>
                    <a:prstGeom prst="rect">
                      <a:avLst/>
                    </a:prstGeom>
                    <a:noFill/>
                    <a:ln>
                      <a:noFill/>
                    </a:ln>
                  </pic:spPr>
                </pic:pic>
              </a:graphicData>
            </a:graphic>
          </wp:inline>
        </w:drawing>
      </w:r>
    </w:p>
    <w:p w14:paraId="466B4BBA">
      <w:pPr>
        <w:bidi w:val="0"/>
        <w:jc w:val="center"/>
      </w:pPr>
      <w:r>
        <w:t xml:space="preserve">图 </w:t>
      </w:r>
      <w:r>
        <w:fldChar w:fldCharType="begin"/>
      </w:r>
      <w:r>
        <w:instrText xml:space="preserve"> STYLEREF 3 \s </w:instrText>
      </w:r>
      <w:r>
        <w:fldChar w:fldCharType="separate"/>
      </w:r>
      <w:r>
        <w:t>7.4.6</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 xml:space="preserve"> 吊装平衡臂图</w:t>
      </w:r>
    </w:p>
    <w:p w14:paraId="76A74707">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按照下图所示，将吊具绕过专用吊耳，实现平衡重的吊装。依次吊装两块平衡重，平稳放置在平衡臂上。</w:t>
      </w:r>
    </w:p>
    <w:p w14:paraId="5C0AEE34">
      <w:pPr>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平衡重的安装共分为两个阶段：</w:t>
      </w:r>
    </w:p>
    <w:p w14:paraId="68B581F3">
      <w:pPr>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 xml:space="preserve">阶段 1：平衡臂安装完成后，安装 </w:t>
      </w:r>
      <w:r>
        <w:rPr>
          <w:rFonts w:hint="eastAsia" w:ascii="宋体" w:hAnsi="宋体" w:cs="宋体"/>
          <w:color w:val="1E1C11" w:themeColor="background2" w:themeShade="1A"/>
          <w:kern w:val="0"/>
          <w:lang w:val="en-US" w:eastAsia="zh-CN"/>
        </w:rPr>
        <w:t>1</w:t>
      </w:r>
      <w:r>
        <w:rPr>
          <w:rFonts w:hint="eastAsia" w:ascii="宋体" w:hAnsi="宋体" w:cs="宋体"/>
          <w:color w:val="1E1C11" w:themeColor="background2" w:themeShade="1A"/>
          <w:kern w:val="0"/>
        </w:rPr>
        <w:t xml:space="preserve"> 块 3200kg 的平衡重，安装位置为靠近起升机构方向，然后安装起重臂；</w:t>
      </w:r>
    </w:p>
    <w:p w14:paraId="59C43058">
      <w:pPr>
        <w:ind w:firstLine="560"/>
      </w:pPr>
      <w:r>
        <w:rPr>
          <w:rFonts w:hint="eastAsia" w:ascii="宋体" w:hAnsi="宋体" w:cs="宋体"/>
          <w:color w:val="1E1C11" w:themeColor="background2" w:themeShade="1A"/>
          <w:kern w:val="0"/>
        </w:rPr>
        <w:t>阶段 2：起重臂安装完成后按照平衡重配置完成剩余平衡重的安装。吊装完成后检查并确认相邻平衡重块的整个表面是否贴紧。</w:t>
      </w:r>
    </w:p>
    <w:p w14:paraId="5FA0A540">
      <w:pPr>
        <w:autoSpaceDE w:val="0"/>
        <w:spacing w:after="120" w:line="360" w:lineRule="auto"/>
        <w:ind w:firstLine="0" w:firstLineChars="0"/>
        <w:jc w:val="center"/>
        <w:rPr>
          <w:rFonts w:ascii="黑体" w:hAnsi="黑体" w:eastAsia="黑体"/>
          <w:sz w:val="21"/>
        </w:rPr>
      </w:pPr>
      <w:r>
        <w:drawing>
          <wp:inline distT="0" distB="0" distL="114300" distR="114300">
            <wp:extent cx="4646930" cy="2229485"/>
            <wp:effectExtent l="0" t="0" r="1270" b="18415"/>
            <wp:docPr id="1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5"/>
                    <pic:cNvPicPr>
                      <a:picLocks noChangeAspect="1"/>
                    </pic:cNvPicPr>
                  </pic:nvPicPr>
                  <pic:blipFill>
                    <a:blip r:embed="rId64"/>
                    <a:stretch>
                      <a:fillRect/>
                    </a:stretch>
                  </pic:blipFill>
                  <pic:spPr>
                    <a:xfrm>
                      <a:off x="0" y="0"/>
                      <a:ext cx="4646930" cy="2229485"/>
                    </a:xfrm>
                    <a:prstGeom prst="rect">
                      <a:avLst/>
                    </a:prstGeom>
                    <a:noFill/>
                    <a:ln>
                      <a:noFill/>
                    </a:ln>
                  </pic:spPr>
                </pic:pic>
              </a:graphicData>
            </a:graphic>
          </wp:inline>
        </w:drawing>
      </w:r>
      <w:r>
        <w:drawing>
          <wp:inline distT="0" distB="0" distL="114300" distR="114300">
            <wp:extent cx="2087880" cy="2118360"/>
            <wp:effectExtent l="0" t="0" r="7620" b="1524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141"/>
                    <a:stretch>
                      <a:fillRect/>
                    </a:stretch>
                  </pic:blipFill>
                  <pic:spPr>
                    <a:xfrm>
                      <a:off x="0" y="0"/>
                      <a:ext cx="2087880" cy="2118360"/>
                    </a:xfrm>
                    <a:prstGeom prst="rect">
                      <a:avLst/>
                    </a:prstGeom>
                    <a:noFill/>
                    <a:ln>
                      <a:noFill/>
                    </a:ln>
                  </pic:spPr>
                </pic:pic>
              </a:graphicData>
            </a:graphic>
          </wp:inline>
        </w:drawing>
      </w:r>
      <w:r>
        <w:drawing>
          <wp:inline distT="0" distB="0" distL="114300" distR="114300">
            <wp:extent cx="2894965" cy="1603375"/>
            <wp:effectExtent l="0" t="0" r="635" b="15875"/>
            <wp:docPr id="1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2"/>
                    <pic:cNvPicPr>
                      <a:picLocks noChangeAspect="1"/>
                    </pic:cNvPicPr>
                  </pic:nvPicPr>
                  <pic:blipFill>
                    <a:blip r:embed="rId140"/>
                    <a:stretch>
                      <a:fillRect/>
                    </a:stretch>
                  </pic:blipFill>
                  <pic:spPr>
                    <a:xfrm>
                      <a:off x="0" y="0"/>
                      <a:ext cx="2894965" cy="1603375"/>
                    </a:xfrm>
                    <a:prstGeom prst="rect">
                      <a:avLst/>
                    </a:prstGeom>
                    <a:noFill/>
                    <a:ln>
                      <a:noFill/>
                    </a:ln>
                  </pic:spPr>
                </pic:pic>
              </a:graphicData>
            </a:graphic>
          </wp:inline>
        </w:drawing>
      </w:r>
    </w:p>
    <w:p w14:paraId="341CFCC9">
      <w:pPr>
        <w:bidi w:val="0"/>
        <w:jc w:val="center"/>
      </w:pPr>
      <w:r>
        <w:t xml:space="preserve">图 </w:t>
      </w:r>
      <w:r>
        <w:fldChar w:fldCharType="begin"/>
      </w:r>
      <w:r>
        <w:instrText xml:space="preserve"> STYLEREF 3 \s </w:instrText>
      </w:r>
      <w:r>
        <w:fldChar w:fldCharType="separate"/>
      </w:r>
      <w:r>
        <w:t>7.4.6</w:t>
      </w:r>
      <w:r>
        <w:fldChar w:fldCharType="end"/>
      </w:r>
      <w:r>
        <w:rPr>
          <w:rFonts w:hint="eastAsia" w:eastAsia="宋体"/>
          <w:lang w:eastAsia="zh-CN"/>
        </w:rPr>
        <w:t>-</w:t>
      </w:r>
      <w:r>
        <w:fldChar w:fldCharType="begin"/>
      </w:r>
      <w:r>
        <w:instrText xml:space="preserve"> SEQ 图 \* ARABIC \s 3 </w:instrText>
      </w:r>
      <w:r>
        <w:fldChar w:fldCharType="separate"/>
      </w:r>
      <w:r>
        <w:t>2</w:t>
      </w:r>
      <w:r>
        <w:fldChar w:fldCharType="end"/>
      </w:r>
      <w:r>
        <w:rPr>
          <w:rFonts w:hint="eastAsia"/>
        </w:rPr>
        <w:t>吊装</w:t>
      </w:r>
      <w:r>
        <w:rPr>
          <w:rFonts w:hint="eastAsia"/>
          <w:lang w:val="en-US" w:eastAsia="zh-CN"/>
        </w:rPr>
        <w:t>1</w:t>
      </w:r>
      <w:r>
        <w:rPr>
          <w:rFonts w:hint="eastAsia"/>
        </w:rPr>
        <w:t>块3.2t配重</w:t>
      </w:r>
    </w:p>
    <w:p w14:paraId="04AA0B4E">
      <w:pPr>
        <w:pStyle w:val="4"/>
        <w:bidi w:val="0"/>
        <w:ind w:left="720" w:leftChars="0" w:hanging="720" w:firstLineChars="0"/>
      </w:pPr>
      <w:r>
        <w:rPr>
          <w:rFonts w:hint="eastAsia"/>
        </w:rPr>
        <w:t>安装起重臂总成</w:t>
      </w:r>
    </w:p>
    <w:p w14:paraId="7361BC0E">
      <w:pPr>
        <w:ind w:firstLine="480"/>
        <w:rPr>
          <w:rFonts w:ascii="宋体" w:hAnsi="宋体" w:cs="宋体"/>
          <w:bCs/>
          <w:szCs w:val="24"/>
          <w:lang w:val="en-GB"/>
        </w:rPr>
      </w:pPr>
      <w:r>
        <w:rPr>
          <w:rFonts w:hint="eastAsia" w:ascii="宋体" w:hAnsi="宋体" w:cs="宋体"/>
          <w:bCs/>
          <w:szCs w:val="24"/>
        </w:rPr>
        <w:t>起重臂的安装采用分节吊装方式，用</w:t>
      </w:r>
      <w:r>
        <w:rPr>
          <w:rFonts w:hint="eastAsia" w:ascii="宋体" w:hAnsi="宋体" w:cs="宋体"/>
          <w:bCs/>
          <w:szCs w:val="24"/>
          <w:lang w:val="en-US" w:eastAsia="zh-CN"/>
        </w:rPr>
        <w:t>2</w:t>
      </w:r>
      <w:r>
        <w:rPr>
          <w:rFonts w:hint="eastAsia"/>
        </w:rPr>
        <w:t>根</w:t>
      </w:r>
      <w:r>
        <w:rPr>
          <w:rFonts w:hint="eastAsia"/>
          <w:lang w:eastAsia="zh-CN"/>
        </w:rPr>
        <w:t>22mm6×19W+IWR1870Mpa</w:t>
      </w:r>
      <w:r>
        <w:rPr>
          <w:rFonts w:hint="eastAsia"/>
        </w:rPr>
        <w:t>的钢丝绳配套GB/T 25854-6-DW5卸扣</w:t>
      </w:r>
      <w:r>
        <w:rPr>
          <w:rFonts w:hint="eastAsia" w:ascii="宋体" w:hAnsi="宋体" w:cs="宋体"/>
          <w:bCs/>
          <w:szCs w:val="24"/>
        </w:rPr>
        <w:t>按顺序吊装起重臂臂节，试吊起重臂，使根部稍倾斜，倾斜角度不合适，应适当调整，并再次试吊，直至起重臂角度最佳为止，在起重臂上弦做好标志，以便拆卸时吊点选择。起吊前，将麻绳固定于便于牵引的一端，缓慢起吊起重臂至空中，可通过电力或手动摇动回转机构回转到安装起重臂的最佳角度，将起重臂上弦杆1个用销轴与前一节臂上弦杆的销孔连接，穿好立销及开口销。缓慢落钩至起重臂下弦与平衡臂下弦连接口对正后，缓慢落下起重臂，安装下弦连接专用高强螺栓，完成一节起重臂的安装。</w:t>
      </w:r>
    </w:p>
    <w:p w14:paraId="76C464EB">
      <w:pPr>
        <w:spacing w:after="156" w:afterLines="50" w:line="300" w:lineRule="auto"/>
        <w:ind w:firstLine="480"/>
        <w:jc w:val="left"/>
      </w:pPr>
      <w:r>
        <w:rPr>
          <w:rFonts w:hint="eastAsia" w:ascii="宋体" w:hAnsi="宋体" w:cs="宋体"/>
          <w:bCs/>
          <w:szCs w:val="24"/>
        </w:rPr>
        <w:t>各个起重臂节的在空中拼装方式都相同。如下图所示。</w:t>
      </w:r>
    </w:p>
    <w:p w14:paraId="52591137">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pPr>
      <w:r>
        <w:drawing>
          <wp:inline distT="0" distB="0" distL="114300" distR="114300">
            <wp:extent cx="5718175" cy="3201670"/>
            <wp:effectExtent l="0" t="0" r="15875" b="17780"/>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142"/>
                    <a:stretch>
                      <a:fillRect/>
                    </a:stretch>
                  </pic:blipFill>
                  <pic:spPr>
                    <a:xfrm>
                      <a:off x="0" y="0"/>
                      <a:ext cx="5718175" cy="3201670"/>
                    </a:xfrm>
                    <a:prstGeom prst="rect">
                      <a:avLst/>
                    </a:prstGeom>
                    <a:noFill/>
                    <a:ln>
                      <a:noFill/>
                    </a:ln>
                  </pic:spPr>
                </pic:pic>
              </a:graphicData>
            </a:graphic>
          </wp:inline>
        </w:drawing>
      </w:r>
    </w:p>
    <w:p w14:paraId="36683AB5">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t xml:space="preserve">图 </w:t>
      </w:r>
      <w:r>
        <w:fldChar w:fldCharType="begin"/>
      </w:r>
      <w:r>
        <w:instrText xml:space="preserve"> STYLEREF 3 \s </w:instrText>
      </w:r>
      <w:r>
        <w:fldChar w:fldCharType="separate"/>
      </w:r>
      <w:r>
        <w:t>7.4.7</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起重臂</w:t>
      </w:r>
      <w:r>
        <w:rPr>
          <w:rFonts w:hint="eastAsia"/>
          <w:lang w:val="en-US" w:eastAsia="zh-CN"/>
        </w:rPr>
        <w:t>组成</w:t>
      </w:r>
      <w:r>
        <w:rPr>
          <w:rFonts w:hint="eastAsia"/>
        </w:rPr>
        <w:t>示意图</w:t>
      </w:r>
    </w:p>
    <w:p w14:paraId="7716B78A">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2025015" cy="1767205"/>
            <wp:effectExtent l="0" t="0" r="13335" b="4445"/>
            <wp:docPr id="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
                    <pic:cNvPicPr>
                      <a:picLocks noChangeAspect="1"/>
                    </pic:cNvPicPr>
                  </pic:nvPicPr>
                  <pic:blipFill>
                    <a:blip r:embed="rId143"/>
                    <a:stretch>
                      <a:fillRect/>
                    </a:stretch>
                  </pic:blipFill>
                  <pic:spPr>
                    <a:xfrm>
                      <a:off x="0" y="0"/>
                      <a:ext cx="2025015" cy="1767205"/>
                    </a:xfrm>
                    <a:prstGeom prst="rect">
                      <a:avLst/>
                    </a:prstGeom>
                    <a:noFill/>
                    <a:ln>
                      <a:noFill/>
                    </a:ln>
                  </pic:spPr>
                </pic:pic>
              </a:graphicData>
            </a:graphic>
          </wp:inline>
        </w:drawing>
      </w:r>
      <w:r>
        <w:drawing>
          <wp:inline distT="0" distB="0" distL="114300" distR="114300">
            <wp:extent cx="3295650" cy="1889125"/>
            <wp:effectExtent l="0" t="0" r="0" b="15875"/>
            <wp:docPr id="2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5"/>
                    <pic:cNvPicPr>
                      <a:picLocks noChangeAspect="1"/>
                    </pic:cNvPicPr>
                  </pic:nvPicPr>
                  <pic:blipFill>
                    <a:blip r:embed="rId144"/>
                    <a:stretch>
                      <a:fillRect/>
                    </a:stretch>
                  </pic:blipFill>
                  <pic:spPr>
                    <a:xfrm>
                      <a:off x="0" y="0"/>
                      <a:ext cx="3295650" cy="1889125"/>
                    </a:xfrm>
                    <a:prstGeom prst="rect">
                      <a:avLst/>
                    </a:prstGeom>
                    <a:noFill/>
                    <a:ln>
                      <a:noFill/>
                    </a:ln>
                  </pic:spPr>
                </pic:pic>
              </a:graphicData>
            </a:graphic>
          </wp:inline>
        </w:drawing>
      </w:r>
      <w:r>
        <w:drawing>
          <wp:inline distT="0" distB="0" distL="114300" distR="114300">
            <wp:extent cx="2278380" cy="1864995"/>
            <wp:effectExtent l="0" t="0" r="7620" b="1905"/>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145"/>
                    <a:stretch>
                      <a:fillRect/>
                    </a:stretch>
                  </pic:blipFill>
                  <pic:spPr>
                    <a:xfrm>
                      <a:off x="0" y="0"/>
                      <a:ext cx="2278380" cy="1864995"/>
                    </a:xfrm>
                    <a:prstGeom prst="rect">
                      <a:avLst/>
                    </a:prstGeom>
                    <a:noFill/>
                    <a:ln>
                      <a:noFill/>
                    </a:ln>
                  </pic:spPr>
                </pic:pic>
              </a:graphicData>
            </a:graphic>
          </wp:inline>
        </w:drawing>
      </w:r>
      <w:r>
        <w:drawing>
          <wp:inline distT="0" distB="0" distL="114300" distR="114300">
            <wp:extent cx="3246755" cy="2070735"/>
            <wp:effectExtent l="0" t="0" r="10795" b="5715"/>
            <wp:docPr id="2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6"/>
                    <pic:cNvPicPr>
                      <a:picLocks noChangeAspect="1"/>
                    </pic:cNvPicPr>
                  </pic:nvPicPr>
                  <pic:blipFill>
                    <a:blip r:embed="rId146"/>
                    <a:srcRect t="9970" b="3519"/>
                    <a:stretch>
                      <a:fillRect/>
                    </a:stretch>
                  </pic:blipFill>
                  <pic:spPr>
                    <a:xfrm>
                      <a:off x="0" y="0"/>
                      <a:ext cx="3246755" cy="2070735"/>
                    </a:xfrm>
                    <a:prstGeom prst="rect">
                      <a:avLst/>
                    </a:prstGeom>
                    <a:noFill/>
                    <a:ln>
                      <a:noFill/>
                    </a:ln>
                  </pic:spPr>
                </pic:pic>
              </a:graphicData>
            </a:graphic>
          </wp:inline>
        </w:drawing>
      </w:r>
      <w:r>
        <w:drawing>
          <wp:inline distT="0" distB="0" distL="114300" distR="114300">
            <wp:extent cx="3974465" cy="2459990"/>
            <wp:effectExtent l="0" t="0" r="6985" b="1651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147"/>
                    <a:stretch>
                      <a:fillRect/>
                    </a:stretch>
                  </pic:blipFill>
                  <pic:spPr>
                    <a:xfrm>
                      <a:off x="0" y="0"/>
                      <a:ext cx="3974465" cy="2459990"/>
                    </a:xfrm>
                    <a:prstGeom prst="rect">
                      <a:avLst/>
                    </a:prstGeom>
                    <a:noFill/>
                    <a:ln>
                      <a:noFill/>
                    </a:ln>
                  </pic:spPr>
                </pic:pic>
              </a:graphicData>
            </a:graphic>
          </wp:inline>
        </w:drawing>
      </w:r>
      <w:r>
        <w:drawing>
          <wp:inline distT="0" distB="0" distL="114300" distR="114300">
            <wp:extent cx="3416935" cy="2349500"/>
            <wp:effectExtent l="0" t="0" r="12065" b="12700"/>
            <wp:docPr id="2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7"/>
                    <pic:cNvPicPr>
                      <a:picLocks noChangeAspect="1"/>
                    </pic:cNvPicPr>
                  </pic:nvPicPr>
                  <pic:blipFill>
                    <a:blip r:embed="rId148"/>
                    <a:stretch>
                      <a:fillRect/>
                    </a:stretch>
                  </pic:blipFill>
                  <pic:spPr>
                    <a:xfrm>
                      <a:off x="0" y="0"/>
                      <a:ext cx="3416935" cy="2349500"/>
                    </a:xfrm>
                    <a:prstGeom prst="rect">
                      <a:avLst/>
                    </a:prstGeom>
                    <a:noFill/>
                    <a:ln>
                      <a:noFill/>
                    </a:ln>
                  </pic:spPr>
                </pic:pic>
              </a:graphicData>
            </a:graphic>
          </wp:inline>
        </w:drawing>
      </w:r>
    </w:p>
    <w:p w14:paraId="59BF6887">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3314065" cy="1760855"/>
            <wp:effectExtent l="0" t="0" r="635" b="1079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149"/>
                    <a:stretch>
                      <a:fillRect/>
                    </a:stretch>
                  </pic:blipFill>
                  <pic:spPr>
                    <a:xfrm>
                      <a:off x="0" y="0"/>
                      <a:ext cx="3314065" cy="1760855"/>
                    </a:xfrm>
                    <a:prstGeom prst="rect">
                      <a:avLst/>
                    </a:prstGeom>
                    <a:noFill/>
                    <a:ln>
                      <a:noFill/>
                    </a:ln>
                  </pic:spPr>
                </pic:pic>
              </a:graphicData>
            </a:graphic>
          </wp:inline>
        </w:drawing>
      </w:r>
    </w:p>
    <w:p w14:paraId="5F4EF14E">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3224530" cy="1820545"/>
            <wp:effectExtent l="0" t="0" r="13970" b="8255"/>
            <wp:docPr id="2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8"/>
                    <pic:cNvPicPr>
                      <a:picLocks noChangeAspect="1"/>
                    </pic:cNvPicPr>
                  </pic:nvPicPr>
                  <pic:blipFill>
                    <a:blip r:embed="rId150"/>
                    <a:stretch>
                      <a:fillRect/>
                    </a:stretch>
                  </pic:blipFill>
                  <pic:spPr>
                    <a:xfrm>
                      <a:off x="0" y="0"/>
                      <a:ext cx="3224530" cy="1820545"/>
                    </a:xfrm>
                    <a:prstGeom prst="rect">
                      <a:avLst/>
                    </a:prstGeom>
                    <a:noFill/>
                    <a:ln>
                      <a:noFill/>
                    </a:ln>
                  </pic:spPr>
                </pic:pic>
              </a:graphicData>
            </a:graphic>
          </wp:inline>
        </w:drawing>
      </w:r>
      <w:r>
        <w:drawing>
          <wp:inline distT="0" distB="0" distL="114300" distR="114300">
            <wp:extent cx="3874770" cy="2457450"/>
            <wp:effectExtent l="0" t="0" r="11430" b="0"/>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151"/>
                    <a:stretch>
                      <a:fillRect/>
                    </a:stretch>
                  </pic:blipFill>
                  <pic:spPr>
                    <a:xfrm>
                      <a:off x="0" y="0"/>
                      <a:ext cx="3874770" cy="2457450"/>
                    </a:xfrm>
                    <a:prstGeom prst="rect">
                      <a:avLst/>
                    </a:prstGeom>
                    <a:noFill/>
                    <a:ln>
                      <a:noFill/>
                    </a:ln>
                  </pic:spPr>
                </pic:pic>
              </a:graphicData>
            </a:graphic>
          </wp:inline>
        </w:drawing>
      </w:r>
      <w:r>
        <w:drawing>
          <wp:inline distT="0" distB="0" distL="114300" distR="114300">
            <wp:extent cx="3302000" cy="1753870"/>
            <wp:effectExtent l="0" t="0" r="12700" b="17780"/>
            <wp:docPr id="2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9"/>
                    <pic:cNvPicPr>
                      <a:picLocks noChangeAspect="1"/>
                    </pic:cNvPicPr>
                  </pic:nvPicPr>
                  <pic:blipFill>
                    <a:blip r:embed="rId152"/>
                    <a:stretch>
                      <a:fillRect/>
                    </a:stretch>
                  </pic:blipFill>
                  <pic:spPr>
                    <a:xfrm>
                      <a:off x="0" y="0"/>
                      <a:ext cx="3302000" cy="1753870"/>
                    </a:xfrm>
                    <a:prstGeom prst="rect">
                      <a:avLst/>
                    </a:prstGeom>
                    <a:noFill/>
                    <a:ln>
                      <a:noFill/>
                    </a:ln>
                  </pic:spPr>
                </pic:pic>
              </a:graphicData>
            </a:graphic>
          </wp:inline>
        </w:drawing>
      </w:r>
      <w:r>
        <w:drawing>
          <wp:inline distT="0" distB="0" distL="114300" distR="114300">
            <wp:extent cx="3570605" cy="2022475"/>
            <wp:effectExtent l="0" t="0" r="10795" b="15875"/>
            <wp:docPr id="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5"/>
                    <pic:cNvPicPr>
                      <a:picLocks noChangeAspect="1"/>
                    </pic:cNvPicPr>
                  </pic:nvPicPr>
                  <pic:blipFill>
                    <a:blip r:embed="rId153"/>
                    <a:stretch>
                      <a:fillRect/>
                    </a:stretch>
                  </pic:blipFill>
                  <pic:spPr>
                    <a:xfrm>
                      <a:off x="0" y="0"/>
                      <a:ext cx="3570605" cy="2022475"/>
                    </a:xfrm>
                    <a:prstGeom prst="rect">
                      <a:avLst/>
                    </a:prstGeom>
                    <a:noFill/>
                    <a:ln>
                      <a:noFill/>
                    </a:ln>
                  </pic:spPr>
                </pic:pic>
              </a:graphicData>
            </a:graphic>
          </wp:inline>
        </w:drawing>
      </w:r>
    </w:p>
    <w:p w14:paraId="44EA380E">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4131310" cy="2072640"/>
            <wp:effectExtent l="0" t="0" r="2540" b="3810"/>
            <wp:docPr id="20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
                    <pic:cNvPicPr>
                      <a:picLocks noChangeAspect="1"/>
                    </pic:cNvPicPr>
                  </pic:nvPicPr>
                  <pic:blipFill>
                    <a:blip r:embed="rId154"/>
                    <a:stretch>
                      <a:fillRect/>
                    </a:stretch>
                  </pic:blipFill>
                  <pic:spPr>
                    <a:xfrm>
                      <a:off x="0" y="0"/>
                      <a:ext cx="4131310" cy="2072640"/>
                    </a:xfrm>
                    <a:prstGeom prst="rect">
                      <a:avLst/>
                    </a:prstGeom>
                    <a:noFill/>
                    <a:ln>
                      <a:noFill/>
                    </a:ln>
                  </pic:spPr>
                </pic:pic>
              </a:graphicData>
            </a:graphic>
          </wp:inline>
        </w:drawing>
      </w:r>
    </w:p>
    <w:p w14:paraId="249D1773">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drawing>
          <wp:inline distT="0" distB="0" distL="114300" distR="114300">
            <wp:extent cx="4456430" cy="2259965"/>
            <wp:effectExtent l="0" t="0" r="1270" b="6985"/>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155"/>
                    <a:stretch>
                      <a:fillRect/>
                    </a:stretch>
                  </pic:blipFill>
                  <pic:spPr>
                    <a:xfrm>
                      <a:off x="0" y="0"/>
                      <a:ext cx="4456430" cy="2259965"/>
                    </a:xfrm>
                    <a:prstGeom prst="rect">
                      <a:avLst/>
                    </a:prstGeom>
                    <a:noFill/>
                    <a:ln>
                      <a:noFill/>
                    </a:ln>
                  </pic:spPr>
                </pic:pic>
              </a:graphicData>
            </a:graphic>
          </wp:inline>
        </w:drawing>
      </w:r>
      <w:r>
        <w:drawing>
          <wp:inline distT="0" distB="0" distL="114300" distR="114300">
            <wp:extent cx="4043045" cy="2205990"/>
            <wp:effectExtent l="0" t="0" r="14605" b="3810"/>
            <wp:docPr id="20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2"/>
                    <pic:cNvPicPr>
                      <a:picLocks noChangeAspect="1"/>
                    </pic:cNvPicPr>
                  </pic:nvPicPr>
                  <pic:blipFill>
                    <a:blip r:embed="rId156"/>
                    <a:stretch>
                      <a:fillRect/>
                    </a:stretch>
                  </pic:blipFill>
                  <pic:spPr>
                    <a:xfrm>
                      <a:off x="0" y="0"/>
                      <a:ext cx="4043045" cy="2205990"/>
                    </a:xfrm>
                    <a:prstGeom prst="rect">
                      <a:avLst/>
                    </a:prstGeom>
                    <a:noFill/>
                    <a:ln>
                      <a:noFill/>
                    </a:ln>
                  </pic:spPr>
                </pic:pic>
              </a:graphicData>
            </a:graphic>
          </wp:inline>
        </w:drawing>
      </w:r>
    </w:p>
    <w:p w14:paraId="43FAB9A0">
      <w:pPr>
        <w:keepNext w:val="0"/>
        <w:keepLines w:val="0"/>
        <w:pageBreakBefore w:val="0"/>
        <w:widowControl w:val="0"/>
        <w:kinsoku/>
        <w:wordWrap/>
        <w:overflowPunct/>
        <w:topLinePunct w:val="0"/>
        <w:autoSpaceDE/>
        <w:autoSpaceDN/>
        <w:bidi w:val="0"/>
        <w:adjustRightInd/>
        <w:snapToGrid/>
        <w:spacing w:line="240" w:lineRule="auto"/>
        <w:jc w:val="center"/>
        <w:textAlignment w:val="auto"/>
      </w:pPr>
      <w:r>
        <w:t xml:space="preserve">图 </w:t>
      </w:r>
      <w:r>
        <w:fldChar w:fldCharType="begin"/>
      </w:r>
      <w:r>
        <w:instrText xml:space="preserve"> STYLEREF 3 \s </w:instrText>
      </w:r>
      <w:r>
        <w:fldChar w:fldCharType="separate"/>
      </w:r>
      <w:r>
        <w:t>7.4.7</w:t>
      </w:r>
      <w:r>
        <w:fldChar w:fldCharType="end"/>
      </w:r>
      <w:r>
        <w:rPr>
          <w:rFonts w:hint="eastAsia" w:eastAsia="宋体"/>
          <w:lang w:eastAsia="zh-CN"/>
        </w:rPr>
        <w:t>-</w:t>
      </w:r>
      <w:r>
        <w:fldChar w:fldCharType="begin"/>
      </w:r>
      <w:r>
        <w:instrText xml:space="preserve"> SEQ 图 \* ARABIC \s 3 </w:instrText>
      </w:r>
      <w:r>
        <w:fldChar w:fldCharType="separate"/>
      </w:r>
      <w:r>
        <w:t>2</w:t>
      </w:r>
      <w:r>
        <w:fldChar w:fldCharType="end"/>
      </w:r>
      <w:r>
        <w:rPr>
          <w:rFonts w:hint="eastAsia"/>
        </w:rPr>
        <w:t>吊装起重臂示意图</w:t>
      </w:r>
    </w:p>
    <w:p w14:paraId="0D5A3EC2">
      <w:pPr>
        <w:pStyle w:val="4"/>
        <w:bidi w:val="0"/>
        <w:ind w:left="720" w:leftChars="0" w:hanging="720" w:firstLineChars="0"/>
      </w:pPr>
      <w:r>
        <w:rPr>
          <w:rFonts w:hint="eastAsia"/>
        </w:rPr>
        <w:t>装配剩余平衡重</w:t>
      </w:r>
    </w:p>
    <w:p w14:paraId="6BEC4B4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根据塔基臂长装配剩余平衡重（平衡重的配置及安装位置严格按照要求安装），</w:t>
      </w:r>
      <w:r>
        <w:rPr>
          <w:rFonts w:hint="eastAsia" w:ascii="宋体" w:hAnsi="宋体" w:cs="宋体"/>
          <w:color w:val="1E1C11" w:themeColor="background2" w:themeShade="1A"/>
          <w:kern w:val="0"/>
          <w:lang w:val="en-US" w:eastAsia="zh-CN"/>
        </w:rPr>
        <w:t>60米</w:t>
      </w:r>
      <w:r>
        <w:rPr>
          <w:rFonts w:hint="eastAsia" w:ascii="宋体" w:hAnsi="宋体" w:cs="宋体"/>
          <w:color w:val="1E1C11" w:themeColor="background2" w:themeShade="1A"/>
          <w:kern w:val="0"/>
        </w:rPr>
        <w:t>起重臂时其配置要求如下图：</w:t>
      </w:r>
    </w:p>
    <w:p w14:paraId="73272DC4">
      <w:pPr>
        <w:spacing w:line="240" w:lineRule="auto"/>
        <w:ind w:firstLine="0" w:firstLineChars="0"/>
        <w:jc w:val="center"/>
      </w:pPr>
      <w:r>
        <w:drawing>
          <wp:inline distT="0" distB="0" distL="114300" distR="114300">
            <wp:extent cx="2943225" cy="2609850"/>
            <wp:effectExtent l="0" t="0" r="9525"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57"/>
                    <a:stretch>
                      <a:fillRect/>
                    </a:stretch>
                  </pic:blipFill>
                  <pic:spPr>
                    <a:xfrm>
                      <a:off x="0" y="0"/>
                      <a:ext cx="2943225" cy="2609850"/>
                    </a:xfrm>
                    <a:prstGeom prst="rect">
                      <a:avLst/>
                    </a:prstGeom>
                    <a:noFill/>
                    <a:ln>
                      <a:noFill/>
                    </a:ln>
                  </pic:spPr>
                </pic:pic>
              </a:graphicData>
            </a:graphic>
          </wp:inline>
        </w:drawing>
      </w:r>
    </w:p>
    <w:p w14:paraId="583ADC06">
      <w:pPr>
        <w:spacing w:line="240" w:lineRule="auto"/>
        <w:ind w:firstLine="0" w:firstLineChars="0"/>
        <w:jc w:val="center"/>
      </w:pPr>
    </w:p>
    <w:p w14:paraId="6DDC57D4">
      <w:pPr>
        <w:spacing w:line="240" w:lineRule="auto"/>
        <w:ind w:firstLine="0" w:firstLineChars="0"/>
        <w:jc w:val="center"/>
      </w:pPr>
      <w:r>
        <w:drawing>
          <wp:inline distT="0" distB="0" distL="114300" distR="114300">
            <wp:extent cx="4721225" cy="1927860"/>
            <wp:effectExtent l="0" t="0" r="3175" b="15240"/>
            <wp:docPr id="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pic:cNvPicPr>
                      <a:picLocks noChangeAspect="1"/>
                    </pic:cNvPicPr>
                  </pic:nvPicPr>
                  <pic:blipFill>
                    <a:blip r:embed="rId158"/>
                    <a:stretch>
                      <a:fillRect/>
                    </a:stretch>
                  </pic:blipFill>
                  <pic:spPr>
                    <a:xfrm>
                      <a:off x="0" y="0"/>
                      <a:ext cx="4721225" cy="1927860"/>
                    </a:xfrm>
                    <a:prstGeom prst="rect">
                      <a:avLst/>
                    </a:prstGeom>
                    <a:noFill/>
                    <a:ln>
                      <a:noFill/>
                    </a:ln>
                  </pic:spPr>
                </pic:pic>
              </a:graphicData>
            </a:graphic>
          </wp:inline>
        </w:drawing>
      </w:r>
      <w:r>
        <w:drawing>
          <wp:inline distT="0" distB="0" distL="114300" distR="114300">
            <wp:extent cx="4510405" cy="2569845"/>
            <wp:effectExtent l="0" t="0" r="4445" b="1905"/>
            <wp:docPr id="2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3"/>
                    <pic:cNvPicPr>
                      <a:picLocks noChangeAspect="1"/>
                    </pic:cNvPicPr>
                  </pic:nvPicPr>
                  <pic:blipFill>
                    <a:blip r:embed="rId159"/>
                    <a:stretch>
                      <a:fillRect/>
                    </a:stretch>
                  </pic:blipFill>
                  <pic:spPr>
                    <a:xfrm>
                      <a:off x="0" y="0"/>
                      <a:ext cx="4510405" cy="2569845"/>
                    </a:xfrm>
                    <a:prstGeom prst="rect">
                      <a:avLst/>
                    </a:prstGeom>
                    <a:noFill/>
                    <a:ln>
                      <a:noFill/>
                    </a:ln>
                  </pic:spPr>
                </pic:pic>
              </a:graphicData>
            </a:graphic>
          </wp:inline>
        </w:drawing>
      </w:r>
    </w:p>
    <w:p w14:paraId="67F3B248">
      <w:pPr>
        <w:bidi w:val="0"/>
        <w:jc w:val="center"/>
      </w:pPr>
      <w:r>
        <w:t xml:space="preserve">图 </w:t>
      </w:r>
      <w:r>
        <w:fldChar w:fldCharType="begin"/>
      </w:r>
      <w:r>
        <w:instrText xml:space="preserve"> STYLEREF 3 \s </w:instrText>
      </w:r>
      <w:r>
        <w:fldChar w:fldCharType="separate"/>
      </w:r>
      <w:r>
        <w:t>7.4.8</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 xml:space="preserve">  </w:t>
      </w:r>
      <w:r>
        <w:rPr>
          <w:rFonts w:hint="eastAsia"/>
          <w:lang w:val="en-US" w:eastAsia="zh-CN"/>
        </w:rPr>
        <w:t>60m</w:t>
      </w:r>
      <w:r>
        <w:rPr>
          <w:rFonts w:hint="eastAsia"/>
        </w:rPr>
        <w:t>起重臂时平衡重示意图</w:t>
      </w:r>
    </w:p>
    <w:p w14:paraId="13BC10BD">
      <w:pPr>
        <w:pStyle w:val="4"/>
        <w:bidi w:val="0"/>
        <w:ind w:left="720" w:leftChars="0" w:hanging="720" w:firstLineChars="0"/>
      </w:pPr>
      <w:r>
        <w:rPr>
          <w:rFonts w:hint="eastAsia"/>
        </w:rPr>
        <w:t>穿绕起升钢丝绳</w:t>
      </w:r>
    </w:p>
    <w:p w14:paraId="1F6E06DA">
      <w:pPr>
        <w:pStyle w:val="177"/>
        <w:ind w:firstLine="560"/>
        <w:rPr>
          <w:kern w:val="0"/>
          <w:szCs w:val="24"/>
        </w:rPr>
      </w:pPr>
      <w:r>
        <w:rPr>
          <w:rFonts w:hint="eastAsia"/>
          <w:kern w:val="0"/>
          <w:szCs w:val="24"/>
        </w:rPr>
        <w:t>吊装完毕后，进行起升钢丝绳穿绕。</w:t>
      </w:r>
    </w:p>
    <w:p w14:paraId="5BA1898C">
      <w:pPr>
        <w:pStyle w:val="177"/>
        <w:ind w:firstLine="0" w:firstLineChars="0"/>
        <w:rPr>
          <w:kern w:val="0"/>
          <w:szCs w:val="24"/>
        </w:rPr>
      </w:pPr>
      <w:r>
        <w:rPr>
          <w:rFonts w:hint="eastAsia"/>
          <w:kern w:val="0"/>
          <w:szCs w:val="24"/>
        </w:rPr>
        <w:t xml:space="preserve">    将钢丝绳从起升机构卷筒放出，通过排绳滑轮、塔顶滑轮、称重滑轮，将钢丝绳引至于位于起重臂根部的小车上，通过小车和吊钩之间的滑轮组，最后将绳头通过绳头夹用销轴固定在起重臂头部防扭装置上。注：钢丝绳穿绕完毕后检查防扭装置是否转动自如。</w:t>
      </w:r>
    </w:p>
    <w:p w14:paraId="6E54365B">
      <w:pPr>
        <w:pStyle w:val="177"/>
        <w:spacing w:line="240" w:lineRule="auto"/>
        <w:ind w:firstLine="0" w:firstLineChars="0"/>
        <w:jc w:val="center"/>
        <w:rPr>
          <w:kern w:val="0"/>
          <w:szCs w:val="24"/>
        </w:rPr>
      </w:pPr>
      <w:r>
        <w:drawing>
          <wp:inline distT="0" distB="0" distL="114300" distR="114300">
            <wp:extent cx="5718175" cy="2103755"/>
            <wp:effectExtent l="0" t="0" r="15875" b="10795"/>
            <wp:docPr id="1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4"/>
                    <pic:cNvPicPr>
                      <a:picLocks noChangeAspect="1"/>
                    </pic:cNvPicPr>
                  </pic:nvPicPr>
                  <pic:blipFill>
                    <a:blip r:embed="rId76"/>
                    <a:srcRect t="6067"/>
                    <a:stretch>
                      <a:fillRect/>
                    </a:stretch>
                  </pic:blipFill>
                  <pic:spPr>
                    <a:xfrm>
                      <a:off x="0" y="0"/>
                      <a:ext cx="5718175" cy="2103755"/>
                    </a:xfrm>
                    <a:prstGeom prst="rect">
                      <a:avLst/>
                    </a:prstGeom>
                    <a:noFill/>
                    <a:ln>
                      <a:noFill/>
                    </a:ln>
                  </pic:spPr>
                </pic:pic>
              </a:graphicData>
            </a:graphic>
          </wp:inline>
        </w:drawing>
      </w:r>
    </w:p>
    <w:p w14:paraId="772E7CAB">
      <w:pPr>
        <w:bidi w:val="0"/>
        <w:jc w:val="center"/>
      </w:pPr>
      <w:r>
        <w:t xml:space="preserve">图 </w:t>
      </w:r>
      <w:r>
        <w:fldChar w:fldCharType="begin"/>
      </w:r>
      <w:r>
        <w:instrText xml:space="preserve"> STYLEREF 3 \s </w:instrText>
      </w:r>
      <w:r>
        <w:fldChar w:fldCharType="separate"/>
      </w:r>
      <w:r>
        <w:t>7.4.9</w:t>
      </w:r>
      <w:r>
        <w:fldChar w:fldCharType="end"/>
      </w:r>
      <w:r>
        <w:rPr>
          <w:rFonts w:hint="eastAsia" w:eastAsia="宋体"/>
          <w:lang w:eastAsia="zh-CN"/>
        </w:rPr>
        <w:t>-</w:t>
      </w:r>
      <w:r>
        <w:fldChar w:fldCharType="begin"/>
      </w:r>
      <w:r>
        <w:instrText xml:space="preserve"> SEQ 图 \* ARABIC \s 3 </w:instrText>
      </w:r>
      <w:r>
        <w:fldChar w:fldCharType="separate"/>
      </w:r>
      <w:r>
        <w:t>1</w:t>
      </w:r>
      <w:r>
        <w:fldChar w:fldCharType="end"/>
      </w:r>
      <w:r>
        <w:rPr>
          <w:rFonts w:hint="eastAsia"/>
        </w:rPr>
        <w:t>钢丝绳穿绕图</w:t>
      </w:r>
    </w:p>
    <w:p w14:paraId="64F4DBAA">
      <w:pPr>
        <w:pStyle w:val="4"/>
        <w:bidi w:val="0"/>
        <w:ind w:left="720" w:leftChars="0" w:hanging="720" w:firstLineChars="0"/>
      </w:pPr>
      <w:r>
        <w:rPr>
          <w:rFonts w:hint="eastAsia"/>
        </w:rPr>
        <w:t>电气安装与使用</w:t>
      </w:r>
    </w:p>
    <w:p w14:paraId="1855F403">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电气安装处在塔机安装完毕后进行，参看原理图，外部接线图及控制箱连线图，连接各控制及动力电缆、制动器电缆，及安全装置，接地装置，障碍灯等；</w:t>
      </w:r>
    </w:p>
    <w:p w14:paraId="1A29618F">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a.电气安装</w:t>
      </w:r>
    </w:p>
    <w:p w14:paraId="6689B052">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t>送电之前应对所有线路进行检查，须固定的电缆应有可靠地固定，防止塔机在运行时损伤电缆，其主控制回路对地绝缘电阻不应小于0.5MΩ，塔机对地的接地电阻应不大于4Ω，电缆进入司机室时应穿入电缆保护圈后再进入司机室并留适当的长度。</w:t>
      </w:r>
    </w:p>
    <w:p w14:paraId="588697A8">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b.通电调试</w:t>
      </w:r>
    </w:p>
    <w:p w14:paraId="1BE6EF98">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 xml:space="preserve">   场地内的电源采用单独分配箱控制采用</w:t>
      </w:r>
      <w:r>
        <w:rPr>
          <w:rFonts w:ascii="宋体" w:hAnsi="宋体" w:cs="宋体"/>
          <w:color w:val="1E1C11" w:themeColor="background2" w:themeShade="1A"/>
          <w:kern w:val="0"/>
        </w:rPr>
        <w:t>TNS</w:t>
      </w:r>
      <w:r>
        <w:rPr>
          <w:rFonts w:hint="eastAsia" w:ascii="宋体" w:hAnsi="宋体" w:cs="宋体"/>
          <w:color w:val="1E1C11" w:themeColor="background2" w:themeShade="1A"/>
          <w:kern w:val="0"/>
        </w:rPr>
        <w:t>五线三相制接线系统。地面电源合上，送电到司机室，检查三相电源应三相平衡，电压应为380V±10%（地面电网应提供足够的容量，以保护电机正常启动和运行）。松开高度限制器，幅度限制器，配合机械安装，穿好起升，载重小车钢丝绳，然后检查各机构运转是否正常，否则应调整接至起升电机的电源相序，以符合要求。</w:t>
      </w:r>
    </w:p>
    <w:p w14:paraId="0B5F89C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c.使用应注意事项</w:t>
      </w:r>
    </w:p>
    <w:p w14:paraId="7A565E30">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1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①</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电送到司机室后障碍灯和司机室照明可通过操作台上的开关送电，插座上也有电，可供插风扇之用。</w:t>
      </w:r>
    </w:p>
    <w:p w14:paraId="640F00BB">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2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②</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按启动按钮时，各操作手柄必须归零位，总接触器才可得电自保;</w:t>
      </w:r>
    </w:p>
    <w:p w14:paraId="2B59A4E7">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3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③</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严禁回转机构打反车制动和紧急刹车，为防止回转打反车和紧急刹车和回转手柄归零后不能马上刹车，电气上设置延时装置须设有几秒的延时间隔。</w:t>
      </w:r>
    </w:p>
    <w:p w14:paraId="42E99790">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4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④</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小车变幅采用变频方案，工作时应根据需要选择适当的速度。</w:t>
      </w:r>
    </w:p>
    <w:p w14:paraId="72D2C153">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5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⑤</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控制柜已调好的延时继电器不能随便调整，如更换元件应按电气系统说明书调整正确。</w:t>
      </w:r>
    </w:p>
    <w:p w14:paraId="70442D0C">
      <w:pPr>
        <w:autoSpaceDE w:val="0"/>
        <w:autoSpaceDN w:val="0"/>
        <w:adjustRightInd w:val="0"/>
        <w:ind w:firstLine="560"/>
        <w:rPr>
          <w:rFonts w:ascii="宋体" w:hAnsi="宋体" w:cs="宋体"/>
          <w:color w:val="1E1C11" w:themeColor="background2" w:themeShade="1A"/>
          <w:kern w:val="0"/>
        </w:rPr>
      </w:pPr>
      <w:r>
        <w:rPr>
          <w:rFonts w:ascii="宋体" w:hAnsi="宋体" w:cs="宋体"/>
          <w:color w:val="1E1C11" w:themeColor="background2" w:themeShade="1A"/>
          <w:kern w:val="0"/>
        </w:rPr>
        <w:fldChar w:fldCharType="begin"/>
      </w:r>
      <w:r>
        <w:rPr>
          <w:rFonts w:ascii="宋体" w:hAnsi="宋体" w:cs="宋体"/>
          <w:color w:val="1E1C11" w:themeColor="background2" w:themeShade="1A"/>
          <w:kern w:val="0"/>
        </w:rPr>
        <w:instrText xml:space="preserve"> </w:instrText>
      </w:r>
      <w:r>
        <w:rPr>
          <w:rFonts w:hint="eastAsia" w:ascii="宋体" w:hAnsi="宋体" w:cs="宋体"/>
          <w:color w:val="1E1C11" w:themeColor="background2" w:themeShade="1A"/>
          <w:kern w:val="0"/>
        </w:rPr>
        <w:instrText xml:space="preserve">= 6 \* GB3</w:instrText>
      </w:r>
      <w:r>
        <w:rPr>
          <w:rFonts w:ascii="宋体" w:hAnsi="宋体" w:cs="宋体"/>
          <w:color w:val="1E1C11" w:themeColor="background2" w:themeShade="1A"/>
          <w:kern w:val="0"/>
        </w:rPr>
        <w:instrText xml:space="preserve"> </w:instrText>
      </w:r>
      <w:r>
        <w:rPr>
          <w:rFonts w:ascii="宋体" w:hAnsi="宋体" w:cs="宋体"/>
          <w:color w:val="1E1C11" w:themeColor="background2" w:themeShade="1A"/>
          <w:kern w:val="0"/>
        </w:rPr>
        <w:fldChar w:fldCharType="separate"/>
      </w:r>
      <w:r>
        <w:rPr>
          <w:rFonts w:hint="eastAsia" w:ascii="宋体" w:hAnsi="宋体" w:cs="宋体"/>
          <w:color w:val="1E1C11" w:themeColor="background2" w:themeShade="1A"/>
          <w:kern w:val="0"/>
        </w:rPr>
        <w:t>⑥</w:t>
      </w:r>
      <w:r>
        <w:rPr>
          <w:rFonts w:ascii="宋体" w:hAnsi="宋体" w:cs="宋体"/>
          <w:color w:val="1E1C11" w:themeColor="background2" w:themeShade="1A"/>
          <w:kern w:val="0"/>
        </w:rPr>
        <w:fldChar w:fldCharType="end"/>
      </w:r>
      <w:r>
        <w:rPr>
          <w:rFonts w:hint="eastAsia" w:ascii="宋体" w:hAnsi="宋体" w:cs="宋体"/>
          <w:color w:val="1E1C11" w:themeColor="background2" w:themeShade="1A"/>
          <w:kern w:val="0"/>
        </w:rPr>
        <w:t>顶升前要检查泵站电机转向是否与要求一致，否则应将转向调整正确方向进行顶升，顶升时严禁回转变幅和起升，防止发生安全事故和绞断电缆。</w:t>
      </w:r>
    </w:p>
    <w:p w14:paraId="0E7C4A99">
      <w:pPr>
        <w:autoSpaceDE w:val="0"/>
        <w:autoSpaceDN w:val="0"/>
        <w:adjustRightInd w:val="0"/>
        <w:ind w:firstLine="562"/>
        <w:rPr>
          <w:rFonts w:ascii="宋体" w:hAnsi="宋体" w:cs="宋体"/>
          <w:b/>
          <w:bCs/>
          <w:color w:val="1E1C11" w:themeColor="background2" w:themeShade="1A"/>
          <w:kern w:val="0"/>
        </w:rPr>
      </w:pPr>
      <w:r>
        <w:rPr>
          <w:rFonts w:hint="eastAsia" w:ascii="宋体" w:hAnsi="宋体" w:cs="宋体"/>
          <w:b/>
          <w:bCs/>
          <w:color w:val="1E1C11" w:themeColor="background2" w:themeShade="1A"/>
          <w:kern w:val="0"/>
        </w:rPr>
        <w:t>注：塔机接地保护应使用横截面积不小于16mm²的绝缘铜电缆或横截面30mm×35mm表面经电镀的金属条，接地件至少入地面以下1.5米。</w:t>
      </w:r>
    </w:p>
    <w:p w14:paraId="26A5808C">
      <w:pPr>
        <w:autoSpaceDE w:val="0"/>
        <w:autoSpaceDN w:val="0"/>
        <w:adjustRightInd w:val="0"/>
        <w:ind w:firstLine="562"/>
        <w:rPr>
          <w:rFonts w:ascii="宋体" w:hAnsi="宋体" w:cs="宋体"/>
          <w:b/>
          <w:bCs/>
          <w:color w:val="1E1C11" w:themeColor="background2" w:themeShade="1A"/>
          <w:kern w:val="0"/>
        </w:rPr>
      </w:pPr>
    </w:p>
    <w:p w14:paraId="5E14A745">
      <w:pPr>
        <w:pStyle w:val="4"/>
        <w:bidi w:val="0"/>
        <w:ind w:left="720" w:leftChars="0" w:hanging="720" w:firstLineChars="0"/>
      </w:pPr>
      <w:r>
        <w:rPr>
          <w:rFonts w:hint="eastAsia"/>
        </w:rPr>
        <w:t>调试前的检查工作</w:t>
      </w:r>
    </w:p>
    <w:p w14:paraId="0BF60BE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1、检查塔机上的所有连接螺栓是否拧紧。</w:t>
      </w:r>
    </w:p>
    <w:p w14:paraId="4BEC2AC4">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2、检查支腿与基础节连接销轴是否安装到位并锁紧。</w:t>
      </w:r>
    </w:p>
    <w:p w14:paraId="36FA3E6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3、检查塔机与相邻塔机或建筑物的安全距离是否符合要求。</w:t>
      </w:r>
    </w:p>
    <w:p w14:paraId="67A7B23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4、检查的连接情况是否良好，是否有破损，与塔机接触的位置是否有保护措施。</w:t>
      </w:r>
    </w:p>
    <w:p w14:paraId="37B155F5">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5、检查各标准节的连接销轴是否安装到位并销紧。</w:t>
      </w:r>
    </w:p>
    <w:p w14:paraId="73F52DC1">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6、检查塔机的各扶梯、平台、栏杆安装是否牢固可靠。</w:t>
      </w:r>
    </w:p>
    <w:p w14:paraId="2C1E1A3A">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7、检查塔机行走小车与起重臂之间的间隙是否符合要求。</w:t>
      </w:r>
    </w:p>
    <w:p w14:paraId="492AEA90">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8、检查钢丝绳的穿绕及卷筒上的缠绕是否正确，检查钢丝绳头是否松</w:t>
      </w:r>
      <w:r>
        <w:rPr>
          <w:rFonts w:hint="eastAsia"/>
        </w:rPr>
        <w:t>动</w:t>
      </w:r>
      <w:r>
        <w:rPr>
          <w:rFonts w:hint="eastAsia" w:ascii="宋体" w:hAnsi="宋体" w:cs="宋体"/>
          <w:color w:val="1E1C11" w:themeColor="background2" w:themeShade="1A"/>
          <w:kern w:val="0"/>
        </w:rPr>
        <w:t>。</w:t>
      </w:r>
    </w:p>
    <w:p w14:paraId="2E16B35C">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9、检查塔机各润滑面和润滑点的润滑情况是否符合要求。</w:t>
      </w:r>
    </w:p>
    <w:p w14:paraId="3A1F708E">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10、检查塔机的相序是否正确。</w:t>
      </w:r>
    </w:p>
    <w:p w14:paraId="5F44AEE7">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11、检查平衡臂配重是否固定牢靠。</w:t>
      </w:r>
    </w:p>
    <w:p w14:paraId="14C24CAA">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12、检查各操作平台上是否有杂物，防止塔机运行时坠物伤人。</w:t>
      </w:r>
    </w:p>
    <w:p w14:paraId="54C73983">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13、对塔机的接地电阻进行测试，确认其小于4Ω。</w:t>
      </w:r>
    </w:p>
    <w:p w14:paraId="37F96C89">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14、对塔机进行垂直度检查,确认其垂直度在4/1000范围之内。</w:t>
      </w:r>
    </w:p>
    <w:p w14:paraId="1DC57666">
      <w:pPr>
        <w:autoSpaceDE w:val="0"/>
        <w:autoSpaceDN w:val="0"/>
        <w:adjustRightInd w:val="0"/>
        <w:ind w:firstLine="560"/>
        <w:rPr>
          <w:rFonts w:ascii="宋体" w:hAnsi="宋体" w:cs="宋体"/>
          <w:color w:val="1E1C11" w:themeColor="background2" w:themeShade="1A"/>
          <w:kern w:val="0"/>
        </w:rPr>
      </w:pPr>
      <w:r>
        <w:rPr>
          <w:rFonts w:hint="eastAsia" w:ascii="宋体" w:hAnsi="宋体" w:cs="宋体"/>
          <w:color w:val="1E1C11" w:themeColor="background2" w:themeShade="1A"/>
          <w:kern w:val="0"/>
        </w:rPr>
        <w:t>15、在塔机顶部，平衡臂尾部和起重臂端部安装风速仪。</w:t>
      </w:r>
    </w:p>
    <w:p w14:paraId="54AD5A72">
      <w:pPr>
        <w:pStyle w:val="4"/>
        <w:bidi w:val="0"/>
        <w:ind w:left="720" w:leftChars="0" w:hanging="720" w:firstLineChars="0"/>
      </w:pPr>
      <w:r>
        <w:rPr>
          <w:rFonts w:hint="eastAsia"/>
        </w:rPr>
        <w:t>调试与试运转</w:t>
      </w:r>
    </w:p>
    <w:p w14:paraId="7625A6C4">
      <w:pPr>
        <w:ind w:firstLine="0" w:firstLineChars="0"/>
      </w:pPr>
      <w:r>
        <w:t>试</w:t>
      </w:r>
      <w:r>
        <w:rPr>
          <w:rFonts w:hint="eastAsia" w:ascii="黑体" w:hAnsi="黑体" w:cs="黑体"/>
          <w:color w:val="000000"/>
        </w:rPr>
        <w:t>运转</w:t>
      </w:r>
      <w:r>
        <w:t>目的</w:t>
      </w:r>
    </w:p>
    <w:p w14:paraId="4A33DC08">
      <w:pPr>
        <w:ind w:firstLine="560"/>
      </w:pPr>
      <w:r>
        <w:t>（1）验证塔式起重机的承载能力，保证塔式起重机正常使用。</w:t>
      </w:r>
    </w:p>
    <w:p w14:paraId="4F36AFD8">
      <w:pPr>
        <w:ind w:firstLine="560"/>
      </w:pPr>
      <w:r>
        <w:t>（2）通过加载试验，在塔式起重机正式使用前，消除其结构的非弹性变形。</w:t>
      </w:r>
    </w:p>
    <w:p w14:paraId="01C76EF3">
      <w:pPr>
        <w:ind w:firstLine="560"/>
      </w:pPr>
      <w:r>
        <w:rPr>
          <w:rFonts w:hint="eastAsia"/>
        </w:rPr>
        <w:t>（3）</w:t>
      </w:r>
      <w:r>
        <w:t>试吊载荷</w:t>
      </w:r>
    </w:p>
    <w:p w14:paraId="7AD88ED0">
      <w:pPr>
        <w:adjustRightInd w:val="0"/>
        <w:snapToGrid w:val="0"/>
        <w:ind w:firstLine="560"/>
        <w:rPr>
          <w:highlight w:val="none"/>
        </w:rPr>
      </w:pPr>
      <w:r>
        <w:rPr>
          <w:highlight w:val="none"/>
        </w:rPr>
        <w:t>根据工程实际工程概况使用四倍率进行载荷试验，确定如下试吊载荷</w:t>
      </w:r>
    </w:p>
    <w:p w14:paraId="0EB9D91D">
      <w:pPr>
        <w:adjustRightInd w:val="0"/>
        <w:snapToGrid w:val="0"/>
        <w:ind w:firstLine="560"/>
        <w:rPr>
          <w:highlight w:val="none"/>
        </w:rPr>
      </w:pPr>
      <w:r>
        <w:rPr>
          <w:rFonts w:hint="eastAsia"/>
          <w:highlight w:val="none"/>
          <w:lang w:eastAsia="zh-CN"/>
        </w:rPr>
        <w:t>XGT6515D-10S</w:t>
      </w:r>
      <w:r>
        <w:rPr>
          <w:rFonts w:hint="eastAsia"/>
          <w:highlight w:val="none"/>
        </w:rPr>
        <w:t>塔机</w:t>
      </w:r>
      <w:r>
        <w:rPr>
          <w:highlight w:val="none"/>
        </w:rPr>
        <w:t>最大</w:t>
      </w:r>
      <w:r>
        <w:rPr>
          <w:i/>
          <w:iCs/>
          <w:highlight w:val="none"/>
        </w:rPr>
        <w:t>试验载荷：</w:t>
      </w:r>
      <w:r>
        <w:rPr>
          <w:rFonts w:hint="eastAsia"/>
          <w:i/>
          <w:iCs/>
          <w:highlight w:val="none"/>
          <w:lang w:val="en-US" w:eastAsia="zh-CN"/>
        </w:rPr>
        <w:t>10</w:t>
      </w:r>
      <w:r>
        <w:rPr>
          <w:i/>
          <w:iCs/>
          <w:highlight w:val="none"/>
        </w:rPr>
        <w:t>t （1.1倍载荷试验</w:t>
      </w:r>
      <w:r>
        <w:rPr>
          <w:highlight w:val="none"/>
        </w:rPr>
        <w:t>）</w:t>
      </w:r>
    </w:p>
    <w:p w14:paraId="11EDA5FB">
      <w:pPr>
        <w:adjustRightInd w:val="0"/>
        <w:snapToGrid w:val="0"/>
        <w:ind w:firstLine="560"/>
        <w:rPr>
          <w:highlight w:val="none"/>
        </w:rPr>
      </w:pPr>
      <w:r>
        <w:rPr>
          <w:highlight w:val="none"/>
        </w:rPr>
        <w:t>力矩调试试验载荷： (</w:t>
      </w:r>
      <w:r>
        <w:rPr>
          <w:rFonts w:hint="eastAsia"/>
          <w:highlight w:val="none"/>
        </w:rPr>
        <w:t>1</w:t>
      </w:r>
      <w:r>
        <w:rPr>
          <w:highlight w:val="none"/>
        </w:rPr>
        <w:t xml:space="preserve">) </w:t>
      </w:r>
      <w:r>
        <w:rPr>
          <w:rFonts w:hint="eastAsia"/>
          <w:highlight w:val="none"/>
          <w:lang w:val="en-US" w:eastAsia="zh-CN"/>
        </w:rPr>
        <w:t>11</w:t>
      </w:r>
      <w:r>
        <w:rPr>
          <w:highlight w:val="none"/>
        </w:rPr>
        <w:t>t(</w:t>
      </w:r>
      <w:r>
        <w:rPr>
          <w:rFonts w:hint="eastAsia"/>
          <w:highlight w:val="none"/>
          <w:lang w:val="en-US" w:eastAsia="zh-CN"/>
        </w:rPr>
        <w:t>10</w:t>
      </w:r>
      <w:r>
        <w:rPr>
          <w:highlight w:val="none"/>
        </w:rPr>
        <w:t xml:space="preserve">m)       (2)  </w:t>
      </w:r>
      <w:r>
        <w:rPr>
          <w:rFonts w:hint="eastAsia"/>
          <w:highlight w:val="none"/>
          <w:lang w:val="en-US" w:eastAsia="zh-CN"/>
        </w:rPr>
        <w:t>2.112</w:t>
      </w:r>
      <w:r>
        <w:rPr>
          <w:highlight w:val="none"/>
        </w:rPr>
        <w:t>t(</w:t>
      </w:r>
      <w:r>
        <w:rPr>
          <w:rFonts w:hint="eastAsia"/>
          <w:highlight w:val="none"/>
          <w:lang w:val="en-US" w:eastAsia="zh-CN"/>
        </w:rPr>
        <w:t>60m</w:t>
      </w:r>
      <w:r>
        <w:rPr>
          <w:highlight w:val="none"/>
        </w:rPr>
        <w:t xml:space="preserve">)     </w:t>
      </w:r>
    </w:p>
    <w:p w14:paraId="7D65FCD3">
      <w:pPr>
        <w:ind w:firstLine="562"/>
        <w:rPr>
          <w:b/>
          <w:bCs/>
          <w:highlight w:val="none"/>
        </w:rPr>
      </w:pPr>
      <w:r>
        <w:rPr>
          <w:b/>
          <w:bCs/>
          <w:highlight w:val="none"/>
        </w:rPr>
        <w:t>塔式起重机加载试验工序</w:t>
      </w:r>
    </w:p>
    <w:p w14:paraId="225F4FAB">
      <w:pPr>
        <w:ind w:firstLine="0" w:firstLineChars="0"/>
        <w:rPr>
          <w:b/>
          <w:bCs/>
        </w:rPr>
      </w:pPr>
      <w:r>
        <w:rPr>
          <w:b/>
          <w:bCs/>
        </w:rPr>
        <w:t>试验前检查</w:t>
      </w:r>
    </w:p>
    <w:p w14:paraId="1CC231EA">
      <w:pPr>
        <w:ind w:firstLine="560"/>
      </w:pPr>
      <w:r>
        <w:t>试吊前按人员分工进行全面检查：</w:t>
      </w:r>
    </w:p>
    <w:p w14:paraId="55614F15">
      <w:pPr>
        <w:numPr>
          <w:ilvl w:val="0"/>
          <w:numId w:val="7"/>
        </w:numPr>
        <w:ind w:firstLine="560"/>
      </w:pPr>
      <w:r>
        <w:t>对塔机基础和主体结构焊缝质量、油漆质量等外观质量进行目测检查；</w:t>
      </w:r>
    </w:p>
    <w:p w14:paraId="5B861ECC">
      <w:pPr>
        <w:numPr>
          <w:ilvl w:val="0"/>
          <w:numId w:val="7"/>
        </w:numPr>
        <w:ind w:firstLine="560"/>
      </w:pPr>
      <w:r>
        <w:t>对电气系统、操作室进行检查；</w:t>
      </w:r>
    </w:p>
    <w:p w14:paraId="105A9598">
      <w:pPr>
        <w:numPr>
          <w:ilvl w:val="0"/>
          <w:numId w:val="7"/>
        </w:numPr>
        <w:ind w:firstLine="560"/>
      </w:pPr>
      <w:r>
        <w:t>对起升、回转、变幅等机构进行检查；</w:t>
      </w:r>
    </w:p>
    <w:p w14:paraId="531888C5">
      <w:pPr>
        <w:numPr>
          <w:ilvl w:val="0"/>
          <w:numId w:val="7"/>
        </w:numPr>
        <w:ind w:firstLine="560"/>
      </w:pPr>
      <w:r>
        <w:t>对吊索、吊具、试吊物进行全面检查；</w:t>
      </w:r>
    </w:p>
    <w:p w14:paraId="2F1F281D">
      <w:pPr>
        <w:numPr>
          <w:ilvl w:val="0"/>
          <w:numId w:val="7"/>
        </w:numPr>
        <w:ind w:firstLine="560"/>
      </w:pPr>
      <w:r>
        <w:t>测量组顺着起重臂方向测量塔身垂直度，需东西向与南北向测量两次</w:t>
      </w:r>
      <w:r>
        <w:rPr>
          <w:rFonts w:hint="eastAsia"/>
        </w:rPr>
        <w:t>.</w:t>
      </w:r>
    </w:p>
    <w:p w14:paraId="6BC6FF19">
      <w:pPr>
        <w:pStyle w:val="15"/>
        <w:ind w:firstLine="0" w:firstLineChars="0"/>
        <w:rPr>
          <w:rFonts w:hint="default"/>
          <w:b/>
          <w:bCs/>
        </w:rPr>
      </w:pPr>
      <w:r>
        <w:rPr>
          <w:b/>
          <w:bCs/>
        </w:rPr>
        <w:t>绝缘试验</w:t>
      </w:r>
    </w:p>
    <w:p w14:paraId="6E59A9DE">
      <w:pPr>
        <w:ind w:firstLine="560"/>
      </w:pPr>
      <w:r>
        <w:rPr>
          <w:rFonts w:hint="eastAsia"/>
        </w:rPr>
        <w:t>利用接地电阻仪，对附近土壤和预埋接地体进行阻值测试，利用兆欧表对塔身的接地测试是否良好</w:t>
      </w:r>
    </w:p>
    <w:p w14:paraId="1CBC1BCD">
      <w:pPr>
        <w:ind w:firstLine="0" w:firstLineChars="0"/>
        <w:rPr>
          <w:b/>
          <w:bCs/>
        </w:rPr>
      </w:pPr>
      <w:r>
        <w:rPr>
          <w:b/>
          <w:bCs/>
        </w:rPr>
        <w:t>空载试验</w:t>
      </w:r>
    </w:p>
    <w:p w14:paraId="765003C4">
      <w:pPr>
        <w:ind w:firstLine="560"/>
      </w:pPr>
      <w:r>
        <w:t>塔机空载状态下，起升、回转、变幅等各动作的操作试验。检查：</w:t>
      </w:r>
    </w:p>
    <w:p w14:paraId="5D28F9B3">
      <w:pPr>
        <w:ind w:firstLine="560"/>
      </w:pPr>
      <w:r>
        <w:t>（1）操作系统、控制系统、联锁装置动作准确性和灵活性；</w:t>
      </w:r>
    </w:p>
    <w:p w14:paraId="1FD13D7A">
      <w:pPr>
        <w:ind w:firstLine="560"/>
      </w:pPr>
      <w:r>
        <w:t>（2）各行程限位器的动作准确性和可靠性，（本次试验测试高度限位器与幅度限位器）；</w:t>
      </w:r>
    </w:p>
    <w:p w14:paraId="1D6819EB">
      <w:pPr>
        <w:ind w:firstLine="560"/>
      </w:pPr>
      <w:r>
        <w:t>（3）各机构中无相对运动部位是否有漏油现象，有相对运动部位的渗漏情况，各机构运动的平稳性，是否有爬行、振颤、冲击、过热、异常噪声等现象。</w:t>
      </w:r>
    </w:p>
    <w:p w14:paraId="18CD1686">
      <w:pPr>
        <w:ind w:firstLine="0" w:firstLineChars="0"/>
        <w:rPr>
          <w:b/>
          <w:bCs/>
        </w:rPr>
      </w:pPr>
      <w:r>
        <w:rPr>
          <w:b/>
          <w:bCs/>
        </w:rPr>
        <w:t>额定荷载试验</w:t>
      </w:r>
    </w:p>
    <w:p w14:paraId="2ADDAE00">
      <w:pPr>
        <w:ind w:firstLine="560"/>
      </w:pPr>
      <w:r>
        <w:t>根据设计的额定载荷，按照GB/T5031规定的工况、试验方法和要求，进行起升、变幅、回转试验，每一工况的试验次数不得少于3次。还应当检查以下内容是否符合要求：</w:t>
      </w:r>
    </w:p>
    <w:p w14:paraId="6E56A122">
      <w:pPr>
        <w:ind w:firstLine="560"/>
      </w:pPr>
      <w:r>
        <w:t>（1）起升、回转、变幅的额定速度在允差范围内。</w:t>
      </w:r>
    </w:p>
    <w:p w14:paraId="47AF6188">
      <w:pPr>
        <w:ind w:firstLine="560"/>
        <w:rPr>
          <w:b/>
          <w:sz w:val="21"/>
        </w:rPr>
      </w:pPr>
      <w:r>
        <w:t>（2）起重量限制器、起重力矩限制器信号显示、报警精度在允许范围内。</w:t>
      </w:r>
    </w:p>
    <w:p w14:paraId="53AF0EC2">
      <w:pPr>
        <w:ind w:firstLine="422"/>
        <w:jc w:val="center"/>
        <w:rPr>
          <w:rFonts w:ascii="宋体" w:hAnsi="宋体" w:eastAsia="宋体" w:cs="宋体"/>
          <w:b/>
          <w:bCs/>
          <w:color w:val="171717"/>
          <w:sz w:val="21"/>
        </w:rPr>
      </w:pPr>
      <w:r>
        <w:rPr>
          <w:rFonts w:hint="eastAsia" w:ascii="宋体" w:hAnsi="宋体" w:eastAsia="宋体" w:cs="宋体"/>
          <w:b/>
          <w:bCs/>
          <w:color w:val="171717"/>
          <w:sz w:val="21"/>
          <w:lang w:val="en-US" w:eastAsia="zh-CN"/>
        </w:rPr>
        <w:t>表</w:t>
      </w:r>
      <w:r>
        <w:rPr>
          <w:rFonts w:hint="eastAsia" w:ascii="宋体" w:hAnsi="宋体" w:eastAsia="宋体" w:cs="宋体"/>
          <w:b/>
          <w:bCs/>
          <w:color w:val="171717"/>
          <w:sz w:val="21"/>
        </w:rPr>
        <w:t xml:space="preserve"> </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STYLEREF 3 \s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7.4.12</w:t>
      </w:r>
      <w:r>
        <w:rPr>
          <w:rFonts w:hint="eastAsia" w:ascii="宋体" w:hAnsi="宋体" w:eastAsia="宋体" w:cs="宋体"/>
          <w:b/>
          <w:bCs/>
          <w:color w:val="171717"/>
          <w:sz w:val="21"/>
        </w:rPr>
        <w:fldChar w:fldCharType="end"/>
      </w:r>
      <w:r>
        <w:rPr>
          <w:rFonts w:hint="eastAsia" w:ascii="宋体" w:hAnsi="宋体" w:eastAsia="宋体" w:cs="宋体"/>
          <w:b/>
          <w:bCs/>
          <w:color w:val="171717"/>
          <w:sz w:val="21"/>
          <w:lang w:eastAsia="zh-CN"/>
        </w:rPr>
        <w:t>-</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SEQ 图 \* ARABIC \s 3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1</w:t>
      </w:r>
      <w:r>
        <w:rPr>
          <w:rFonts w:hint="eastAsia" w:ascii="宋体" w:hAnsi="宋体" w:eastAsia="宋体" w:cs="宋体"/>
          <w:b/>
          <w:bCs/>
          <w:color w:val="171717"/>
          <w:sz w:val="21"/>
        </w:rPr>
        <w:fldChar w:fldCharType="end"/>
      </w:r>
      <w:r>
        <w:rPr>
          <w:rFonts w:hint="eastAsia" w:ascii="宋体" w:hAnsi="宋体" w:eastAsia="宋体" w:cs="宋体"/>
          <w:b/>
          <w:bCs/>
          <w:color w:val="171717"/>
          <w:sz w:val="21"/>
        </w:rPr>
        <w:t xml:space="preserve"> 额定载荷试验</w:t>
      </w:r>
    </w:p>
    <w:tbl>
      <w:tblPr>
        <w:tblStyle w:val="44"/>
        <w:tblW w:w="5000"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827"/>
        <w:gridCol w:w="1806"/>
        <w:gridCol w:w="1808"/>
        <w:gridCol w:w="1813"/>
        <w:gridCol w:w="1791"/>
      </w:tblGrid>
      <w:tr w14:paraId="65FD0B3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62" w:hRule="atLeast"/>
        </w:trPr>
        <w:tc>
          <w:tcPr>
            <w:tcW w:w="1010" w:type="pct"/>
            <w:vMerge w:val="restart"/>
            <w:vAlign w:val="center"/>
          </w:tcPr>
          <w:p w14:paraId="34939D8E">
            <w:pPr>
              <w:adjustRightInd w:val="0"/>
              <w:snapToGrid w:val="0"/>
              <w:spacing w:line="240" w:lineRule="auto"/>
              <w:ind w:firstLine="0" w:firstLineChars="0"/>
              <w:jc w:val="center"/>
              <w:rPr>
                <w:sz w:val="21"/>
              </w:rPr>
            </w:pPr>
            <w:r>
              <w:rPr>
                <w:sz w:val="21"/>
              </w:rPr>
              <w:t>工况</w:t>
            </w:r>
          </w:p>
        </w:tc>
        <w:tc>
          <w:tcPr>
            <w:tcW w:w="2999" w:type="pct"/>
            <w:gridSpan w:val="3"/>
            <w:vAlign w:val="center"/>
          </w:tcPr>
          <w:p w14:paraId="446959B8">
            <w:pPr>
              <w:adjustRightInd w:val="0"/>
              <w:snapToGrid w:val="0"/>
              <w:spacing w:line="240" w:lineRule="auto"/>
              <w:ind w:firstLine="0" w:firstLineChars="0"/>
              <w:jc w:val="center"/>
              <w:rPr>
                <w:sz w:val="21"/>
              </w:rPr>
            </w:pPr>
            <w:r>
              <w:rPr>
                <w:sz w:val="21"/>
              </w:rPr>
              <w:t>试验方法</w:t>
            </w:r>
          </w:p>
        </w:tc>
        <w:tc>
          <w:tcPr>
            <w:tcW w:w="990" w:type="pct"/>
            <w:vMerge w:val="restart"/>
            <w:vAlign w:val="center"/>
          </w:tcPr>
          <w:p w14:paraId="11A174F0">
            <w:pPr>
              <w:adjustRightInd w:val="0"/>
              <w:snapToGrid w:val="0"/>
              <w:spacing w:line="240" w:lineRule="auto"/>
              <w:ind w:firstLine="0" w:firstLineChars="0"/>
              <w:jc w:val="center"/>
              <w:rPr>
                <w:sz w:val="21"/>
              </w:rPr>
            </w:pPr>
            <w:r>
              <w:rPr>
                <w:sz w:val="21"/>
              </w:rPr>
              <w:t>试验目的</w:t>
            </w:r>
          </w:p>
        </w:tc>
      </w:tr>
      <w:tr w14:paraId="25D4B63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73" w:hRule="atLeast"/>
        </w:trPr>
        <w:tc>
          <w:tcPr>
            <w:tcW w:w="1010" w:type="pct"/>
            <w:vMerge w:val="continue"/>
            <w:vAlign w:val="center"/>
          </w:tcPr>
          <w:p w14:paraId="70D4367A">
            <w:pPr>
              <w:adjustRightInd w:val="0"/>
              <w:snapToGrid w:val="0"/>
              <w:spacing w:line="240" w:lineRule="auto"/>
              <w:ind w:firstLine="0" w:firstLineChars="0"/>
              <w:jc w:val="center"/>
              <w:rPr>
                <w:sz w:val="21"/>
              </w:rPr>
            </w:pPr>
          </w:p>
        </w:tc>
        <w:tc>
          <w:tcPr>
            <w:tcW w:w="998" w:type="pct"/>
            <w:vAlign w:val="center"/>
          </w:tcPr>
          <w:p w14:paraId="7F2E9649">
            <w:pPr>
              <w:adjustRightInd w:val="0"/>
              <w:snapToGrid w:val="0"/>
              <w:spacing w:line="240" w:lineRule="auto"/>
              <w:ind w:firstLine="0" w:firstLineChars="0"/>
              <w:jc w:val="center"/>
              <w:rPr>
                <w:sz w:val="21"/>
              </w:rPr>
            </w:pPr>
            <w:r>
              <w:rPr>
                <w:sz w:val="21"/>
              </w:rPr>
              <w:t>起升</w:t>
            </w:r>
          </w:p>
        </w:tc>
        <w:tc>
          <w:tcPr>
            <w:tcW w:w="999" w:type="pct"/>
            <w:vAlign w:val="center"/>
          </w:tcPr>
          <w:p w14:paraId="28A19AE0">
            <w:pPr>
              <w:adjustRightInd w:val="0"/>
              <w:snapToGrid w:val="0"/>
              <w:spacing w:line="240" w:lineRule="auto"/>
              <w:ind w:firstLine="0" w:firstLineChars="0"/>
              <w:jc w:val="center"/>
              <w:rPr>
                <w:sz w:val="21"/>
              </w:rPr>
            </w:pPr>
            <w:r>
              <w:rPr>
                <w:sz w:val="21"/>
              </w:rPr>
              <w:t>变幅</w:t>
            </w:r>
          </w:p>
        </w:tc>
        <w:tc>
          <w:tcPr>
            <w:tcW w:w="1002" w:type="pct"/>
            <w:vAlign w:val="center"/>
          </w:tcPr>
          <w:p w14:paraId="496A99C8">
            <w:pPr>
              <w:adjustRightInd w:val="0"/>
              <w:snapToGrid w:val="0"/>
              <w:spacing w:line="240" w:lineRule="auto"/>
              <w:ind w:firstLine="0" w:firstLineChars="0"/>
              <w:jc w:val="center"/>
              <w:rPr>
                <w:sz w:val="21"/>
              </w:rPr>
            </w:pPr>
            <w:r>
              <w:rPr>
                <w:sz w:val="21"/>
              </w:rPr>
              <w:t>回转</w:t>
            </w:r>
          </w:p>
        </w:tc>
        <w:tc>
          <w:tcPr>
            <w:tcW w:w="990" w:type="pct"/>
            <w:vMerge w:val="continue"/>
            <w:vAlign w:val="center"/>
          </w:tcPr>
          <w:p w14:paraId="0FC41285">
            <w:pPr>
              <w:adjustRightInd w:val="0"/>
              <w:snapToGrid w:val="0"/>
              <w:spacing w:line="240" w:lineRule="auto"/>
              <w:ind w:firstLine="0" w:firstLineChars="0"/>
              <w:jc w:val="center"/>
              <w:rPr>
                <w:sz w:val="21"/>
              </w:rPr>
            </w:pPr>
          </w:p>
        </w:tc>
      </w:tr>
      <w:tr w14:paraId="27F34D4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258" w:hRule="atLeast"/>
        </w:trPr>
        <w:tc>
          <w:tcPr>
            <w:tcW w:w="1010" w:type="pct"/>
            <w:vAlign w:val="center"/>
          </w:tcPr>
          <w:p w14:paraId="75AA917B">
            <w:pPr>
              <w:adjustRightInd w:val="0"/>
              <w:snapToGrid w:val="0"/>
              <w:spacing w:line="240" w:lineRule="auto"/>
              <w:ind w:firstLine="0" w:firstLineChars="0"/>
              <w:jc w:val="center"/>
              <w:rPr>
                <w:sz w:val="21"/>
              </w:rPr>
            </w:pPr>
            <w:r>
              <w:rPr>
                <w:sz w:val="21"/>
              </w:rPr>
              <w:t>最大幅度相应的额定起重量</w:t>
            </w:r>
          </w:p>
        </w:tc>
        <w:tc>
          <w:tcPr>
            <w:tcW w:w="998" w:type="pct"/>
            <w:vMerge w:val="restart"/>
            <w:vAlign w:val="center"/>
          </w:tcPr>
          <w:p w14:paraId="39BC6DBC">
            <w:pPr>
              <w:adjustRightInd w:val="0"/>
              <w:snapToGrid w:val="0"/>
              <w:spacing w:line="240" w:lineRule="auto"/>
              <w:ind w:firstLine="0" w:firstLineChars="0"/>
              <w:jc w:val="center"/>
              <w:rPr>
                <w:sz w:val="21"/>
              </w:rPr>
            </w:pPr>
            <w:r>
              <w:rPr>
                <w:sz w:val="21"/>
              </w:rPr>
              <w:t>在起升全程范围内以额定速度进行起升、下降，在每一起升、下降过程中进行不少于三次的正常制动</w:t>
            </w:r>
          </w:p>
        </w:tc>
        <w:tc>
          <w:tcPr>
            <w:tcW w:w="999" w:type="pct"/>
            <w:vAlign w:val="center"/>
          </w:tcPr>
          <w:p w14:paraId="1DDA41E4">
            <w:pPr>
              <w:adjustRightInd w:val="0"/>
              <w:snapToGrid w:val="0"/>
              <w:spacing w:line="240" w:lineRule="auto"/>
              <w:ind w:firstLine="0" w:firstLineChars="0"/>
              <w:jc w:val="center"/>
              <w:rPr>
                <w:sz w:val="21"/>
              </w:rPr>
            </w:pPr>
            <w:r>
              <w:rPr>
                <w:sz w:val="21"/>
              </w:rPr>
              <w:t>在最大幅度和最小幅度间，小车以额定速度进行两个方向变幅</w:t>
            </w:r>
          </w:p>
        </w:tc>
        <w:tc>
          <w:tcPr>
            <w:tcW w:w="1002" w:type="pct"/>
            <w:vMerge w:val="restart"/>
            <w:vAlign w:val="center"/>
          </w:tcPr>
          <w:p w14:paraId="28404C8D">
            <w:pPr>
              <w:adjustRightInd w:val="0"/>
              <w:snapToGrid w:val="0"/>
              <w:spacing w:line="240" w:lineRule="auto"/>
              <w:ind w:firstLine="0" w:firstLineChars="0"/>
              <w:jc w:val="center"/>
              <w:rPr>
                <w:sz w:val="21"/>
              </w:rPr>
            </w:pPr>
            <w:r>
              <w:rPr>
                <w:sz w:val="21"/>
              </w:rPr>
              <w:t>以额定速度进行左右回转。</w:t>
            </w:r>
          </w:p>
        </w:tc>
        <w:tc>
          <w:tcPr>
            <w:tcW w:w="990" w:type="pct"/>
            <w:vMerge w:val="restart"/>
            <w:vAlign w:val="center"/>
          </w:tcPr>
          <w:p w14:paraId="4CA8674F">
            <w:pPr>
              <w:adjustRightInd w:val="0"/>
              <w:snapToGrid w:val="0"/>
              <w:spacing w:line="240" w:lineRule="auto"/>
              <w:ind w:firstLine="0" w:firstLineChars="0"/>
              <w:jc w:val="center"/>
              <w:rPr>
                <w:sz w:val="21"/>
              </w:rPr>
            </w:pPr>
            <w:r>
              <w:rPr>
                <w:sz w:val="21"/>
              </w:rPr>
              <w:t>测量各机构的运动速度；机构及司机室噪声；力矩限制器、起重量限制器精度</w:t>
            </w:r>
          </w:p>
        </w:tc>
      </w:tr>
      <w:tr w14:paraId="4BAA84B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756" w:hRule="atLeast"/>
        </w:trPr>
        <w:tc>
          <w:tcPr>
            <w:tcW w:w="1010" w:type="pct"/>
            <w:vAlign w:val="center"/>
          </w:tcPr>
          <w:p w14:paraId="762B2AF5">
            <w:pPr>
              <w:adjustRightInd w:val="0"/>
              <w:snapToGrid w:val="0"/>
              <w:spacing w:line="240" w:lineRule="auto"/>
              <w:ind w:firstLine="0" w:firstLineChars="0"/>
              <w:jc w:val="center"/>
              <w:rPr>
                <w:sz w:val="21"/>
              </w:rPr>
            </w:pPr>
            <w:r>
              <w:rPr>
                <w:sz w:val="21"/>
              </w:rPr>
              <w:t>最大额定起重量相应的最大幅度</w:t>
            </w:r>
          </w:p>
        </w:tc>
        <w:tc>
          <w:tcPr>
            <w:tcW w:w="998" w:type="pct"/>
            <w:vMerge w:val="continue"/>
            <w:vAlign w:val="center"/>
          </w:tcPr>
          <w:p w14:paraId="15B5DB19">
            <w:pPr>
              <w:adjustRightInd w:val="0"/>
              <w:snapToGrid w:val="0"/>
              <w:spacing w:line="240" w:lineRule="auto"/>
              <w:ind w:firstLine="0" w:firstLineChars="0"/>
              <w:jc w:val="center"/>
              <w:rPr>
                <w:sz w:val="21"/>
              </w:rPr>
            </w:pPr>
          </w:p>
        </w:tc>
        <w:tc>
          <w:tcPr>
            <w:tcW w:w="999" w:type="pct"/>
            <w:vAlign w:val="center"/>
          </w:tcPr>
          <w:p w14:paraId="71D43CA7">
            <w:pPr>
              <w:adjustRightInd w:val="0"/>
              <w:snapToGrid w:val="0"/>
              <w:spacing w:line="240" w:lineRule="auto"/>
              <w:ind w:firstLine="0" w:firstLineChars="0"/>
              <w:jc w:val="center"/>
              <w:rPr>
                <w:sz w:val="21"/>
              </w:rPr>
            </w:pPr>
            <w:r>
              <w:rPr>
                <w:sz w:val="21"/>
              </w:rPr>
              <w:t>在最小幅度和对应该起重量允许的最大幅度间，小车以额定速度进行两个方向变幅</w:t>
            </w:r>
          </w:p>
        </w:tc>
        <w:tc>
          <w:tcPr>
            <w:tcW w:w="1002" w:type="pct"/>
            <w:vMerge w:val="continue"/>
            <w:vAlign w:val="center"/>
          </w:tcPr>
          <w:p w14:paraId="28FFBDDA">
            <w:pPr>
              <w:adjustRightInd w:val="0"/>
              <w:snapToGrid w:val="0"/>
              <w:spacing w:line="240" w:lineRule="auto"/>
              <w:ind w:firstLine="0" w:firstLineChars="0"/>
              <w:jc w:val="center"/>
              <w:rPr>
                <w:sz w:val="21"/>
              </w:rPr>
            </w:pPr>
          </w:p>
        </w:tc>
        <w:tc>
          <w:tcPr>
            <w:tcW w:w="990" w:type="pct"/>
            <w:vMerge w:val="continue"/>
            <w:vAlign w:val="center"/>
          </w:tcPr>
          <w:p w14:paraId="125E53F0">
            <w:pPr>
              <w:adjustRightInd w:val="0"/>
              <w:snapToGrid w:val="0"/>
              <w:spacing w:line="240" w:lineRule="auto"/>
              <w:ind w:firstLine="0" w:firstLineChars="0"/>
              <w:jc w:val="center"/>
              <w:rPr>
                <w:sz w:val="21"/>
              </w:rPr>
            </w:pPr>
          </w:p>
        </w:tc>
      </w:tr>
    </w:tbl>
    <w:p w14:paraId="423CEEDF">
      <w:pPr>
        <w:ind w:firstLine="560"/>
      </w:pPr>
      <w:r>
        <w:t>具体过程如下：</w:t>
      </w:r>
      <w:r>
        <w:br w:type="textWrapping"/>
      </w:r>
      <w:r>
        <w:rPr>
          <w:rFonts w:hint="eastAsia"/>
          <w:lang w:eastAsia="zh-CN"/>
        </w:rPr>
        <w:t>XGT6515D-10S</w:t>
      </w:r>
      <w:r>
        <w:rPr>
          <w:rFonts w:hint="eastAsia"/>
        </w:rPr>
        <w:t>塔机：</w:t>
      </w:r>
    </w:p>
    <w:p w14:paraId="70E7EC32">
      <w:pPr>
        <w:ind w:firstLine="480" w:firstLineChars="0"/>
      </w:pPr>
      <w:r>
        <w:t>1.起重力矩定码变幅调整（4倍率）</w:t>
      </w:r>
    </w:p>
    <w:p w14:paraId="4922BD3D">
      <w:pPr>
        <w:ind w:firstLine="480" w:firstLineChars="0"/>
      </w:pPr>
      <w:r>
        <w:t>吊重</w:t>
      </w:r>
      <w:r>
        <w:rPr>
          <w:rFonts w:hint="eastAsia"/>
          <w:lang w:val="en-US" w:eastAsia="zh-CN"/>
        </w:rPr>
        <w:t>10</w:t>
      </w:r>
      <w:r>
        <w:t>t，载重小车以慢速由</w:t>
      </w:r>
      <w:r>
        <w:rPr>
          <w:rFonts w:hint="eastAsia"/>
          <w:lang w:val="en-US" w:eastAsia="zh-CN"/>
        </w:rPr>
        <w:t>5</w:t>
      </w:r>
      <w:r>
        <w:t>m幅度开始向</w:t>
      </w:r>
      <w:r>
        <w:rPr>
          <w:rFonts w:hint="eastAsia"/>
          <w:lang w:val="en-US" w:eastAsia="zh-CN"/>
        </w:rPr>
        <w:t>外</w:t>
      </w:r>
      <w:r>
        <w:t>变幅，使小车在</w:t>
      </w:r>
      <w:r>
        <w:rPr>
          <w:rFonts w:hint="eastAsia"/>
          <w:highlight w:val="none"/>
          <w:lang w:val="en-US" w:eastAsia="zh-CN"/>
        </w:rPr>
        <w:t>13.28</w:t>
      </w:r>
      <w:r>
        <w:rPr>
          <w:highlight w:val="none"/>
        </w:rPr>
        <w:t>m-</w:t>
      </w:r>
      <w:r>
        <w:rPr>
          <w:rFonts w:hint="eastAsia"/>
          <w:highlight w:val="none"/>
          <w:lang w:val="en-US" w:eastAsia="zh-CN"/>
        </w:rPr>
        <w:t>14.94</w:t>
      </w:r>
      <w:r>
        <w:rPr>
          <w:highlight w:val="none"/>
        </w:rPr>
        <w:t>m</w:t>
      </w:r>
      <w:r>
        <w:t>处，</w:t>
      </w:r>
      <w:r>
        <w:rPr>
          <w:rFonts w:hint="eastAsia"/>
          <w:lang w:val="en-US" w:eastAsia="zh-CN"/>
        </w:rPr>
        <w:t>8</w:t>
      </w:r>
      <w:r>
        <w:t>0%起重力矩开关发挥作用，司机室内预报警灯亮。</w:t>
      </w:r>
    </w:p>
    <w:p w14:paraId="1F9AE057">
      <w:pPr>
        <w:ind w:firstLine="480" w:firstLineChars="0"/>
      </w:pPr>
      <w:r>
        <w:t>调整定码变幅螺杆，使小车</w:t>
      </w:r>
      <w:r>
        <w:rPr>
          <w:rFonts w:hint="eastAsia"/>
          <w:highlight w:val="none"/>
          <w:lang w:val="en-US" w:eastAsia="zh-CN"/>
        </w:rPr>
        <w:t>17.43</w:t>
      </w:r>
      <w:r>
        <w:rPr>
          <w:highlight w:val="none"/>
        </w:rPr>
        <w:t>m-</w:t>
      </w:r>
      <w:r>
        <w:rPr>
          <w:rFonts w:hint="eastAsia"/>
          <w:highlight w:val="none"/>
          <w:lang w:val="en-US" w:eastAsia="zh-CN"/>
        </w:rPr>
        <w:t>18.59</w:t>
      </w:r>
      <w:r>
        <w:rPr>
          <w:highlight w:val="none"/>
        </w:rPr>
        <w:t>m</w:t>
      </w:r>
      <w:r>
        <w:t>处，起升向上、变幅向外断电，同时发出超载警报。</w:t>
      </w:r>
    </w:p>
    <w:p w14:paraId="0F955C00">
      <w:pPr>
        <w:ind w:firstLine="480" w:firstLineChars="0"/>
      </w:pPr>
      <w:r>
        <w:t>2.起重力矩定幅变码调整（4倍率）</w:t>
      </w:r>
    </w:p>
    <w:p w14:paraId="2A74907A">
      <w:pPr>
        <w:ind w:firstLine="480" w:firstLineChars="0"/>
        <w:rPr>
          <w:highlight w:val="none"/>
        </w:rPr>
      </w:pPr>
      <w:r>
        <w:rPr>
          <w:highlight w:val="none"/>
        </w:rPr>
        <w:t>在</w:t>
      </w:r>
      <w:r>
        <w:rPr>
          <w:rFonts w:hint="eastAsia"/>
          <w:highlight w:val="none"/>
          <w:lang w:val="en-US" w:eastAsia="zh-CN"/>
        </w:rPr>
        <w:t>60m</w:t>
      </w:r>
      <w:r>
        <w:rPr>
          <w:highlight w:val="none"/>
        </w:rPr>
        <w:t>处吊重</w:t>
      </w:r>
      <w:r>
        <w:rPr>
          <w:rFonts w:hint="eastAsia"/>
          <w:highlight w:val="none"/>
          <w:lang w:val="en-US" w:eastAsia="zh-CN"/>
        </w:rPr>
        <w:t>1.92</w:t>
      </w:r>
      <w:r>
        <w:rPr>
          <w:highlight w:val="none"/>
        </w:rPr>
        <w:t>t，起升机构应能向上起升，之后再加载</w:t>
      </w:r>
      <w:r>
        <w:rPr>
          <w:rFonts w:hint="eastAsia"/>
          <w:highlight w:val="none"/>
          <w:lang w:val="en-US" w:eastAsia="zh-CN"/>
        </w:rPr>
        <w:t>96-230</w:t>
      </w:r>
      <w:r>
        <w:rPr>
          <w:highlight w:val="none"/>
        </w:rPr>
        <w:t>kg，调节定幅变码螺杆，使起升不能向上，同时发出超载警报。</w:t>
      </w:r>
    </w:p>
    <w:p w14:paraId="5E89AFBD">
      <w:pPr>
        <w:ind w:firstLine="480" w:firstLineChars="0"/>
        <w:rPr>
          <w:highlight w:val="none"/>
        </w:rPr>
      </w:pPr>
      <w:r>
        <w:rPr>
          <w:highlight w:val="none"/>
        </w:rPr>
        <w:t>3.上述动作重复三次，保持功能稳定。</w:t>
      </w:r>
    </w:p>
    <w:p w14:paraId="485A925B">
      <w:pPr>
        <w:ind w:firstLine="0" w:firstLineChars="0"/>
        <w:rPr>
          <w:b/>
          <w:bCs/>
        </w:rPr>
      </w:pPr>
      <w:r>
        <w:rPr>
          <w:b/>
          <w:bCs/>
        </w:rPr>
        <w:t>110 ％额定载荷动载试验</w:t>
      </w:r>
    </w:p>
    <w:p w14:paraId="4D8B47BA">
      <w:pPr>
        <w:ind w:firstLine="560"/>
        <w:rPr>
          <w:rFonts w:ascii="宋体" w:hAnsi="宋体" w:eastAsia="宋体" w:cs="宋体"/>
          <w:b/>
          <w:bCs/>
          <w:color w:val="171717"/>
          <w:sz w:val="21"/>
        </w:rPr>
      </w:pPr>
      <w:r>
        <w:t>110 ％额定载荷动载试验按表2进行。每一工况试验不少于3次。每一次的动作停稳后再进行下一次启动。</w:t>
      </w:r>
    </w:p>
    <w:p w14:paraId="6828515A">
      <w:pPr>
        <w:ind w:firstLine="422"/>
        <w:jc w:val="center"/>
        <w:rPr>
          <w:rFonts w:ascii="宋体" w:hAnsi="宋体" w:eastAsia="宋体" w:cs="宋体"/>
          <w:b/>
          <w:bCs/>
          <w:color w:val="171717"/>
          <w:sz w:val="21"/>
        </w:rPr>
      </w:pPr>
      <w:r>
        <w:rPr>
          <w:rFonts w:hint="eastAsia" w:ascii="宋体" w:hAnsi="宋体" w:eastAsia="宋体" w:cs="宋体"/>
          <w:b/>
          <w:bCs/>
          <w:color w:val="171717"/>
          <w:sz w:val="21"/>
          <w:lang w:val="en-US" w:eastAsia="zh-CN"/>
        </w:rPr>
        <w:t>表</w:t>
      </w:r>
      <w:r>
        <w:rPr>
          <w:rFonts w:hint="eastAsia" w:ascii="宋体" w:hAnsi="宋体" w:eastAsia="宋体" w:cs="宋体"/>
          <w:b/>
          <w:bCs/>
          <w:color w:val="171717"/>
          <w:sz w:val="21"/>
        </w:rPr>
        <w:t xml:space="preserve"> </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STYLEREF 3 \s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7.4.12</w:t>
      </w:r>
      <w:r>
        <w:rPr>
          <w:rFonts w:hint="eastAsia" w:ascii="宋体" w:hAnsi="宋体" w:eastAsia="宋体" w:cs="宋体"/>
          <w:b/>
          <w:bCs/>
          <w:color w:val="171717"/>
          <w:sz w:val="21"/>
        </w:rPr>
        <w:fldChar w:fldCharType="end"/>
      </w:r>
      <w:r>
        <w:rPr>
          <w:rFonts w:hint="eastAsia" w:ascii="宋体" w:hAnsi="宋体" w:eastAsia="宋体" w:cs="宋体"/>
          <w:b/>
          <w:bCs/>
          <w:color w:val="171717"/>
          <w:sz w:val="21"/>
          <w:lang w:eastAsia="zh-CN"/>
        </w:rPr>
        <w:t>-</w:t>
      </w:r>
      <w:r>
        <w:rPr>
          <w:rFonts w:hint="eastAsia" w:ascii="宋体" w:hAnsi="宋体" w:eastAsia="宋体" w:cs="宋体"/>
          <w:b/>
          <w:bCs/>
          <w:color w:val="171717"/>
          <w:sz w:val="21"/>
        </w:rPr>
        <w:fldChar w:fldCharType="begin"/>
      </w:r>
      <w:r>
        <w:rPr>
          <w:rFonts w:hint="eastAsia" w:ascii="宋体" w:hAnsi="宋体" w:eastAsia="宋体" w:cs="宋体"/>
          <w:b/>
          <w:bCs/>
          <w:color w:val="171717"/>
          <w:sz w:val="21"/>
        </w:rPr>
        <w:instrText xml:space="preserve"> SEQ 图 \* ARABIC \s 3 </w:instrText>
      </w:r>
      <w:r>
        <w:rPr>
          <w:rFonts w:hint="eastAsia" w:ascii="宋体" w:hAnsi="宋体" w:eastAsia="宋体" w:cs="宋体"/>
          <w:b/>
          <w:bCs/>
          <w:color w:val="171717"/>
          <w:sz w:val="21"/>
        </w:rPr>
        <w:fldChar w:fldCharType="separate"/>
      </w:r>
      <w:r>
        <w:rPr>
          <w:rFonts w:hint="eastAsia" w:ascii="宋体" w:hAnsi="宋体" w:eastAsia="宋体" w:cs="宋体"/>
          <w:b/>
          <w:bCs/>
          <w:color w:val="171717"/>
          <w:sz w:val="21"/>
        </w:rPr>
        <w:t>2</w:t>
      </w:r>
      <w:r>
        <w:rPr>
          <w:rFonts w:hint="eastAsia" w:ascii="宋体" w:hAnsi="宋体" w:eastAsia="宋体" w:cs="宋体"/>
          <w:b/>
          <w:bCs/>
          <w:color w:val="171717"/>
          <w:sz w:val="21"/>
        </w:rPr>
        <w:fldChar w:fldCharType="end"/>
      </w:r>
      <w:r>
        <w:rPr>
          <w:rFonts w:hint="eastAsia" w:ascii="宋体" w:hAnsi="宋体" w:eastAsia="宋体" w:cs="宋体"/>
          <w:b/>
          <w:bCs/>
          <w:color w:val="171717"/>
          <w:sz w:val="21"/>
        </w:rPr>
        <w:t xml:space="preserve">  </w:t>
      </w:r>
      <w:r>
        <w:rPr>
          <w:rFonts w:hint="eastAsia" w:ascii="宋体" w:hAnsi="宋体" w:eastAsia="宋体" w:cs="宋体"/>
          <w:b/>
          <w:bCs/>
          <w:color w:val="171717"/>
          <w:sz w:val="21"/>
          <w:lang w:val="en-US" w:eastAsia="zh-CN"/>
        </w:rPr>
        <w:t xml:space="preserve"> </w:t>
      </w:r>
      <w:r>
        <w:rPr>
          <w:rFonts w:hint="eastAsia" w:ascii="宋体" w:hAnsi="宋体" w:eastAsia="宋体" w:cs="宋体"/>
          <w:b/>
          <w:bCs/>
          <w:color w:val="171717"/>
          <w:sz w:val="21"/>
        </w:rPr>
        <w:t>110 ％额定载荷动载试验</w:t>
      </w:r>
    </w:p>
    <w:tbl>
      <w:tblPr>
        <w:tblStyle w:val="44"/>
        <w:tblW w:w="8650"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69"/>
        <w:gridCol w:w="1202"/>
        <w:gridCol w:w="2001"/>
        <w:gridCol w:w="1462"/>
        <w:gridCol w:w="1716"/>
      </w:tblGrid>
      <w:tr w14:paraId="1CCDAA7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69" w:type="dxa"/>
            <w:vMerge w:val="restart"/>
            <w:vAlign w:val="center"/>
          </w:tcPr>
          <w:p w14:paraId="455A49D7">
            <w:pPr>
              <w:adjustRightInd w:val="0"/>
              <w:snapToGrid w:val="0"/>
              <w:spacing w:line="240" w:lineRule="auto"/>
              <w:ind w:firstLine="0" w:firstLineChars="0"/>
              <w:jc w:val="center"/>
              <w:rPr>
                <w:sz w:val="21"/>
              </w:rPr>
            </w:pPr>
            <w:r>
              <w:rPr>
                <w:sz w:val="21"/>
              </w:rPr>
              <w:t>工况</w:t>
            </w:r>
          </w:p>
        </w:tc>
        <w:tc>
          <w:tcPr>
            <w:tcW w:w="4665" w:type="dxa"/>
            <w:gridSpan w:val="3"/>
            <w:vAlign w:val="center"/>
          </w:tcPr>
          <w:p w14:paraId="008358A3">
            <w:pPr>
              <w:adjustRightInd w:val="0"/>
              <w:snapToGrid w:val="0"/>
              <w:spacing w:line="240" w:lineRule="auto"/>
              <w:ind w:firstLine="0" w:firstLineChars="0"/>
              <w:jc w:val="center"/>
              <w:rPr>
                <w:sz w:val="21"/>
              </w:rPr>
            </w:pPr>
            <w:r>
              <w:rPr>
                <w:sz w:val="21"/>
              </w:rPr>
              <w:t>试验方法</w:t>
            </w:r>
          </w:p>
        </w:tc>
        <w:tc>
          <w:tcPr>
            <w:tcW w:w="1716" w:type="dxa"/>
            <w:vMerge w:val="restart"/>
            <w:vAlign w:val="center"/>
          </w:tcPr>
          <w:p w14:paraId="7E4C6322">
            <w:pPr>
              <w:adjustRightInd w:val="0"/>
              <w:snapToGrid w:val="0"/>
              <w:spacing w:line="240" w:lineRule="auto"/>
              <w:ind w:firstLine="0" w:firstLineChars="0"/>
              <w:jc w:val="center"/>
              <w:rPr>
                <w:sz w:val="21"/>
              </w:rPr>
            </w:pPr>
            <w:r>
              <w:rPr>
                <w:sz w:val="21"/>
              </w:rPr>
              <w:t>试验目的</w:t>
            </w:r>
          </w:p>
        </w:tc>
      </w:tr>
      <w:tr w14:paraId="44FD3F36">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477" w:hRule="atLeast"/>
          <w:jc w:val="center"/>
        </w:trPr>
        <w:tc>
          <w:tcPr>
            <w:tcW w:w="2269" w:type="dxa"/>
            <w:vMerge w:val="continue"/>
            <w:vAlign w:val="center"/>
          </w:tcPr>
          <w:p w14:paraId="323008D5">
            <w:pPr>
              <w:adjustRightInd w:val="0"/>
              <w:snapToGrid w:val="0"/>
              <w:spacing w:line="240" w:lineRule="auto"/>
              <w:ind w:firstLine="0" w:firstLineChars="0"/>
              <w:jc w:val="center"/>
              <w:rPr>
                <w:sz w:val="21"/>
              </w:rPr>
            </w:pPr>
          </w:p>
        </w:tc>
        <w:tc>
          <w:tcPr>
            <w:tcW w:w="1202" w:type="dxa"/>
            <w:vAlign w:val="center"/>
          </w:tcPr>
          <w:p w14:paraId="1668D59F">
            <w:pPr>
              <w:autoSpaceDE w:val="0"/>
              <w:autoSpaceDN w:val="0"/>
              <w:adjustRightInd w:val="0"/>
              <w:snapToGrid w:val="0"/>
              <w:ind w:firstLine="0" w:firstLineChars="0"/>
              <w:jc w:val="center"/>
              <w:rPr>
                <w:sz w:val="21"/>
              </w:rPr>
            </w:pPr>
            <w:r>
              <w:rPr>
                <w:sz w:val="21"/>
              </w:rPr>
              <w:t>起升</w:t>
            </w:r>
          </w:p>
        </w:tc>
        <w:tc>
          <w:tcPr>
            <w:tcW w:w="2001" w:type="dxa"/>
            <w:vAlign w:val="center"/>
          </w:tcPr>
          <w:p w14:paraId="3DA92A28">
            <w:pPr>
              <w:autoSpaceDE w:val="0"/>
              <w:autoSpaceDN w:val="0"/>
              <w:adjustRightInd w:val="0"/>
              <w:snapToGrid w:val="0"/>
              <w:ind w:firstLine="0" w:firstLineChars="0"/>
              <w:jc w:val="center"/>
              <w:rPr>
                <w:sz w:val="21"/>
              </w:rPr>
            </w:pPr>
            <w:r>
              <w:rPr>
                <w:sz w:val="21"/>
              </w:rPr>
              <w:t>小车变幅</w:t>
            </w:r>
          </w:p>
        </w:tc>
        <w:tc>
          <w:tcPr>
            <w:tcW w:w="1462" w:type="dxa"/>
            <w:vAlign w:val="center"/>
          </w:tcPr>
          <w:p w14:paraId="5AA8CDCA">
            <w:pPr>
              <w:autoSpaceDE w:val="0"/>
              <w:autoSpaceDN w:val="0"/>
              <w:adjustRightInd w:val="0"/>
              <w:snapToGrid w:val="0"/>
              <w:ind w:firstLine="0" w:firstLineChars="0"/>
              <w:jc w:val="center"/>
              <w:rPr>
                <w:sz w:val="21"/>
              </w:rPr>
            </w:pPr>
            <w:r>
              <w:rPr>
                <w:sz w:val="21"/>
              </w:rPr>
              <w:t>回转</w:t>
            </w:r>
          </w:p>
        </w:tc>
        <w:tc>
          <w:tcPr>
            <w:tcW w:w="1716" w:type="dxa"/>
            <w:vMerge w:val="continue"/>
            <w:vAlign w:val="center"/>
          </w:tcPr>
          <w:p w14:paraId="39B40ED6">
            <w:pPr>
              <w:adjustRightInd w:val="0"/>
              <w:snapToGrid w:val="0"/>
              <w:spacing w:line="240" w:lineRule="auto"/>
              <w:ind w:firstLine="0" w:firstLineChars="0"/>
              <w:jc w:val="center"/>
              <w:rPr>
                <w:sz w:val="21"/>
              </w:rPr>
            </w:pPr>
          </w:p>
        </w:tc>
      </w:tr>
      <w:tr w14:paraId="3263B98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2269" w:type="dxa"/>
            <w:vAlign w:val="center"/>
          </w:tcPr>
          <w:p w14:paraId="3433A23D">
            <w:pPr>
              <w:adjustRightInd w:val="0"/>
              <w:snapToGrid w:val="0"/>
              <w:spacing w:line="240" w:lineRule="auto"/>
              <w:ind w:firstLine="0" w:firstLineChars="0"/>
              <w:jc w:val="center"/>
              <w:rPr>
                <w:sz w:val="21"/>
              </w:rPr>
            </w:pPr>
            <w:r>
              <w:rPr>
                <w:sz w:val="21"/>
              </w:rPr>
              <w:t>最大幅度相应额定起重量的110%</w:t>
            </w:r>
          </w:p>
        </w:tc>
        <w:tc>
          <w:tcPr>
            <w:tcW w:w="1202" w:type="dxa"/>
            <w:vMerge w:val="restart"/>
            <w:vAlign w:val="center"/>
          </w:tcPr>
          <w:p w14:paraId="78E95C07">
            <w:pPr>
              <w:adjustRightInd w:val="0"/>
              <w:snapToGrid w:val="0"/>
              <w:spacing w:line="240" w:lineRule="auto"/>
              <w:ind w:firstLine="0" w:firstLineChars="0"/>
              <w:jc w:val="center"/>
              <w:rPr>
                <w:sz w:val="21"/>
              </w:rPr>
            </w:pPr>
            <w:r>
              <w:rPr>
                <w:sz w:val="21"/>
              </w:rPr>
              <w:t>在起升全程范围内以额定速度进行起升、下降</w:t>
            </w:r>
          </w:p>
        </w:tc>
        <w:tc>
          <w:tcPr>
            <w:tcW w:w="2001" w:type="dxa"/>
            <w:vAlign w:val="center"/>
          </w:tcPr>
          <w:p w14:paraId="0B2FE935">
            <w:pPr>
              <w:adjustRightInd w:val="0"/>
              <w:snapToGrid w:val="0"/>
              <w:spacing w:line="240" w:lineRule="auto"/>
              <w:ind w:firstLine="0" w:firstLineChars="0"/>
              <w:jc w:val="center"/>
              <w:rPr>
                <w:sz w:val="21"/>
              </w:rPr>
            </w:pPr>
            <w:r>
              <w:rPr>
                <w:sz w:val="21"/>
              </w:rPr>
              <w:t>在最大幅度和最小幅度间，小车以额定速度进行两个方向变幅</w:t>
            </w:r>
          </w:p>
        </w:tc>
        <w:tc>
          <w:tcPr>
            <w:tcW w:w="1462" w:type="dxa"/>
            <w:vMerge w:val="restart"/>
            <w:vAlign w:val="center"/>
          </w:tcPr>
          <w:p w14:paraId="35E8574A">
            <w:pPr>
              <w:adjustRightInd w:val="0"/>
              <w:snapToGrid w:val="0"/>
              <w:spacing w:line="240" w:lineRule="auto"/>
              <w:ind w:firstLine="0" w:firstLineChars="0"/>
              <w:jc w:val="center"/>
              <w:rPr>
                <w:sz w:val="21"/>
              </w:rPr>
            </w:pPr>
            <w:r>
              <w:rPr>
                <w:sz w:val="21"/>
              </w:rPr>
              <w:t>以额定速度进行左右回转。对不能全回转的塔机，应超过最大回转角</w:t>
            </w:r>
          </w:p>
        </w:tc>
        <w:tc>
          <w:tcPr>
            <w:tcW w:w="1716" w:type="dxa"/>
            <w:vMerge w:val="restart"/>
            <w:vAlign w:val="center"/>
          </w:tcPr>
          <w:p w14:paraId="385281B4">
            <w:pPr>
              <w:adjustRightInd w:val="0"/>
              <w:snapToGrid w:val="0"/>
              <w:spacing w:line="240" w:lineRule="auto"/>
              <w:ind w:firstLine="0" w:firstLineChars="0"/>
              <w:jc w:val="center"/>
              <w:rPr>
                <w:sz w:val="21"/>
              </w:rPr>
            </w:pPr>
            <w:r>
              <w:rPr>
                <w:sz w:val="21"/>
              </w:rPr>
              <w:t>根据设计要求进行组合动作试验，并目测检查各机构运转的灵活性和制动器的可靠性。卸载后检查机构及结构各部件有无松动和破坏等异常现象</w:t>
            </w:r>
          </w:p>
        </w:tc>
      </w:tr>
      <w:tr w14:paraId="56339AD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945" w:hRule="atLeast"/>
          <w:jc w:val="center"/>
        </w:trPr>
        <w:tc>
          <w:tcPr>
            <w:tcW w:w="2269" w:type="dxa"/>
            <w:vAlign w:val="center"/>
          </w:tcPr>
          <w:p w14:paraId="2273048A">
            <w:pPr>
              <w:adjustRightInd w:val="0"/>
              <w:snapToGrid w:val="0"/>
              <w:spacing w:line="240" w:lineRule="auto"/>
              <w:ind w:firstLine="0" w:firstLineChars="0"/>
              <w:jc w:val="center"/>
              <w:rPr>
                <w:sz w:val="21"/>
              </w:rPr>
            </w:pPr>
            <w:r>
              <w:rPr>
                <w:sz w:val="21"/>
              </w:rPr>
              <w:t>起吊最大额定起重量的110%，在该吊重相应的最大幅度时</w:t>
            </w:r>
          </w:p>
        </w:tc>
        <w:tc>
          <w:tcPr>
            <w:tcW w:w="1202" w:type="dxa"/>
            <w:vMerge w:val="continue"/>
            <w:vAlign w:val="center"/>
          </w:tcPr>
          <w:p w14:paraId="15DDFEFE">
            <w:pPr>
              <w:adjustRightInd w:val="0"/>
              <w:snapToGrid w:val="0"/>
              <w:spacing w:line="240" w:lineRule="auto"/>
              <w:ind w:firstLine="0" w:firstLineChars="0"/>
              <w:jc w:val="center"/>
              <w:rPr>
                <w:sz w:val="21"/>
              </w:rPr>
            </w:pPr>
          </w:p>
        </w:tc>
        <w:tc>
          <w:tcPr>
            <w:tcW w:w="2001" w:type="dxa"/>
            <w:vMerge w:val="restart"/>
            <w:vAlign w:val="center"/>
          </w:tcPr>
          <w:p w14:paraId="4C77A577">
            <w:pPr>
              <w:adjustRightInd w:val="0"/>
              <w:snapToGrid w:val="0"/>
              <w:spacing w:line="240" w:lineRule="auto"/>
              <w:ind w:firstLine="0" w:firstLineChars="0"/>
              <w:jc w:val="center"/>
              <w:rPr>
                <w:sz w:val="21"/>
              </w:rPr>
            </w:pPr>
            <w:r>
              <w:rPr>
                <w:sz w:val="21"/>
              </w:rPr>
              <w:t>在最小幅度和对应该起重量允许的最大幅度间，小车以额定速度进行两个方向变幅</w:t>
            </w:r>
          </w:p>
        </w:tc>
        <w:tc>
          <w:tcPr>
            <w:tcW w:w="1462" w:type="dxa"/>
            <w:vMerge w:val="continue"/>
            <w:vAlign w:val="center"/>
          </w:tcPr>
          <w:p w14:paraId="5287FC25">
            <w:pPr>
              <w:adjustRightInd w:val="0"/>
              <w:snapToGrid w:val="0"/>
              <w:spacing w:line="240" w:lineRule="auto"/>
              <w:ind w:firstLine="0" w:firstLineChars="0"/>
              <w:jc w:val="center"/>
              <w:rPr>
                <w:sz w:val="21"/>
              </w:rPr>
            </w:pPr>
          </w:p>
        </w:tc>
        <w:tc>
          <w:tcPr>
            <w:tcW w:w="1716" w:type="dxa"/>
            <w:vMerge w:val="continue"/>
            <w:vAlign w:val="center"/>
          </w:tcPr>
          <w:p w14:paraId="30334BEF">
            <w:pPr>
              <w:adjustRightInd w:val="0"/>
              <w:snapToGrid w:val="0"/>
              <w:spacing w:line="240" w:lineRule="auto"/>
              <w:ind w:firstLine="0" w:firstLineChars="0"/>
              <w:jc w:val="center"/>
              <w:rPr>
                <w:sz w:val="21"/>
              </w:rPr>
            </w:pPr>
          </w:p>
        </w:tc>
      </w:tr>
      <w:tr w14:paraId="412D0C3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0" w:type="dxa"/>
            <w:bottom w:w="0" w:type="dxa"/>
            <w:right w:w="0" w:type="dxa"/>
          </w:tblCellMar>
        </w:tblPrEx>
        <w:trPr>
          <w:trHeight w:val="1074" w:hRule="atLeast"/>
          <w:jc w:val="center"/>
        </w:trPr>
        <w:tc>
          <w:tcPr>
            <w:tcW w:w="2269" w:type="dxa"/>
            <w:vAlign w:val="center"/>
          </w:tcPr>
          <w:p w14:paraId="7D55AB64">
            <w:pPr>
              <w:adjustRightInd w:val="0"/>
              <w:snapToGrid w:val="0"/>
              <w:spacing w:line="240" w:lineRule="auto"/>
              <w:ind w:firstLine="0" w:firstLineChars="0"/>
              <w:jc w:val="center"/>
              <w:rPr>
                <w:sz w:val="21"/>
              </w:rPr>
            </w:pPr>
            <w:r>
              <w:rPr>
                <w:sz w:val="21"/>
              </w:rPr>
              <w:t>在上两个幅度的中间幅度处，相应额定起重量的110%</w:t>
            </w:r>
          </w:p>
        </w:tc>
        <w:tc>
          <w:tcPr>
            <w:tcW w:w="1202" w:type="dxa"/>
            <w:vMerge w:val="continue"/>
            <w:vAlign w:val="center"/>
          </w:tcPr>
          <w:p w14:paraId="778B1C12">
            <w:pPr>
              <w:adjustRightInd w:val="0"/>
              <w:snapToGrid w:val="0"/>
              <w:spacing w:line="240" w:lineRule="auto"/>
              <w:ind w:firstLine="0" w:firstLineChars="0"/>
              <w:jc w:val="center"/>
              <w:rPr>
                <w:sz w:val="21"/>
              </w:rPr>
            </w:pPr>
          </w:p>
        </w:tc>
        <w:tc>
          <w:tcPr>
            <w:tcW w:w="2001" w:type="dxa"/>
            <w:vMerge w:val="continue"/>
            <w:vAlign w:val="center"/>
          </w:tcPr>
          <w:p w14:paraId="7A8CBACB">
            <w:pPr>
              <w:adjustRightInd w:val="0"/>
              <w:snapToGrid w:val="0"/>
              <w:spacing w:line="240" w:lineRule="auto"/>
              <w:ind w:firstLine="0" w:firstLineChars="0"/>
              <w:jc w:val="center"/>
              <w:rPr>
                <w:sz w:val="21"/>
              </w:rPr>
            </w:pPr>
          </w:p>
        </w:tc>
        <w:tc>
          <w:tcPr>
            <w:tcW w:w="1462" w:type="dxa"/>
            <w:vMerge w:val="continue"/>
            <w:vAlign w:val="center"/>
          </w:tcPr>
          <w:p w14:paraId="21C680B0">
            <w:pPr>
              <w:adjustRightInd w:val="0"/>
              <w:snapToGrid w:val="0"/>
              <w:spacing w:line="240" w:lineRule="auto"/>
              <w:ind w:firstLine="0" w:firstLineChars="0"/>
              <w:jc w:val="center"/>
              <w:rPr>
                <w:sz w:val="21"/>
              </w:rPr>
            </w:pPr>
          </w:p>
        </w:tc>
        <w:tc>
          <w:tcPr>
            <w:tcW w:w="1716" w:type="dxa"/>
            <w:vMerge w:val="continue"/>
            <w:vAlign w:val="center"/>
          </w:tcPr>
          <w:p w14:paraId="6C784833">
            <w:pPr>
              <w:adjustRightInd w:val="0"/>
              <w:snapToGrid w:val="0"/>
              <w:spacing w:line="240" w:lineRule="auto"/>
              <w:ind w:firstLine="0" w:firstLineChars="0"/>
              <w:jc w:val="center"/>
              <w:rPr>
                <w:sz w:val="21"/>
              </w:rPr>
            </w:pPr>
          </w:p>
        </w:tc>
      </w:tr>
    </w:tbl>
    <w:p w14:paraId="6D06DFCB">
      <w:pPr>
        <w:ind w:firstLine="560"/>
      </w:pPr>
      <w:r>
        <w:t>具体过程如下：</w:t>
      </w:r>
    </w:p>
    <w:p w14:paraId="70AFFED2">
      <w:pPr>
        <w:ind w:firstLine="0" w:firstLineChars="0"/>
      </w:pPr>
      <w:r>
        <w:rPr>
          <w:rFonts w:hint="eastAsia"/>
          <w:lang w:eastAsia="zh-CN"/>
        </w:rPr>
        <w:t>XGT6515D-10S</w:t>
      </w:r>
      <w:r>
        <w:rPr>
          <w:rFonts w:hint="eastAsia"/>
        </w:rPr>
        <w:t>塔机：</w:t>
      </w:r>
    </w:p>
    <w:p w14:paraId="6929D59C">
      <w:pPr>
        <w:ind w:firstLine="560"/>
      </w:pPr>
      <w:r>
        <w:t>工况1：最大幅度相应额定起重量的110%（4倍率）</w:t>
      </w:r>
    </w:p>
    <w:p w14:paraId="10D5BBB2">
      <w:pPr>
        <w:ind w:firstLine="560"/>
      </w:pPr>
      <w:r>
        <w:t>起重量为G</w:t>
      </w:r>
      <w:r>
        <w:rPr>
          <w:rFonts w:hint="eastAsia"/>
        </w:rPr>
        <w:t>=</w:t>
      </w:r>
      <w:r>
        <w:rPr>
          <w:rFonts w:hint="eastAsia"/>
          <w:lang w:val="en-US" w:eastAsia="zh-CN"/>
        </w:rPr>
        <w:t>2.112t</w:t>
      </w:r>
      <w:r>
        <w:t>；</w:t>
      </w:r>
    </w:p>
    <w:p w14:paraId="778A703C">
      <w:pPr>
        <w:ind w:firstLine="560"/>
      </w:pPr>
      <w:r>
        <w:t>将100%重量限制、100%力矩限制继电器临时短接屏蔽，缓慢起钩，离地20cm,检查各构件，确保无误后从</w:t>
      </w:r>
      <w:r>
        <w:rPr>
          <w:rFonts w:hint="eastAsia"/>
          <w:lang w:val="en-US" w:eastAsia="zh-CN"/>
        </w:rPr>
        <w:t>60m</w:t>
      </w:r>
      <w:r>
        <w:t>幅度起向内至</w:t>
      </w:r>
      <w:r>
        <w:rPr>
          <w:rFonts w:hint="eastAsia"/>
        </w:rPr>
        <w:t>3</w:t>
      </w:r>
      <w:r>
        <w:t>m幅度进行来回起落钩、变幅、回转动作；卸载后检查各机构及结构有无松动和破坏等异常现象，测量组测量臂根铰点最大位移量并监测能否恢复原先位置；</w:t>
      </w:r>
    </w:p>
    <w:p w14:paraId="04DA51CE">
      <w:pPr>
        <w:ind w:firstLine="560"/>
      </w:pPr>
      <w:r>
        <w:t>试验完毕恢复起重量限制器与力矩限制器。</w:t>
      </w:r>
    </w:p>
    <w:p w14:paraId="7F4F51E7">
      <w:pPr>
        <w:ind w:firstLine="560"/>
      </w:pPr>
      <w:r>
        <w:t>工况2：起吊最大额定起重量的110%，在该吊重相应的最大幅度时（4倍率）</w:t>
      </w:r>
    </w:p>
    <w:p w14:paraId="4C706686">
      <w:pPr>
        <w:ind w:firstLine="560"/>
      </w:pPr>
      <w:r>
        <w:t>起重量为G=</w:t>
      </w:r>
      <w:r>
        <w:rPr>
          <w:rFonts w:hint="eastAsia"/>
          <w:lang w:val="en-US" w:eastAsia="zh-CN"/>
        </w:rPr>
        <w:t>11</w:t>
      </w:r>
      <w:r>
        <w:t>t</w:t>
      </w:r>
    </w:p>
    <w:p w14:paraId="1AB0BAE5">
      <w:pPr>
        <w:ind w:firstLine="560"/>
      </w:pPr>
      <w:r>
        <w:t>将100%重量限制、100%力矩限制继电器临时短接屏蔽，缓慢起钩，离地</w:t>
      </w:r>
      <w:r>
        <w:rPr>
          <w:rFonts w:hint="eastAsia"/>
        </w:rPr>
        <w:t>15</w:t>
      </w:r>
      <w:r>
        <w:t>cm,检查各构件，确保无误后在从</w:t>
      </w:r>
      <w:r>
        <w:rPr>
          <w:rFonts w:hint="eastAsia"/>
          <w:lang w:val="en-US" w:eastAsia="zh-CN"/>
        </w:rPr>
        <w:t>1</w:t>
      </w:r>
      <w:r>
        <w:rPr>
          <w:rFonts w:hint="eastAsia"/>
        </w:rPr>
        <w:t>0</w:t>
      </w:r>
      <w:r>
        <w:t>m幅度起向内至</w:t>
      </w:r>
      <w:r>
        <w:rPr>
          <w:rFonts w:hint="eastAsia"/>
        </w:rPr>
        <w:t>3</w:t>
      </w:r>
      <w:r>
        <w:t>m幅度内进行来回起落钩、变幅、回转动作；卸载后检查各机构及结构有无松动和破坏等异常现象，测量组测量臂根铰点最大位移量并监测能否恢复原先位置；</w:t>
      </w:r>
    </w:p>
    <w:p w14:paraId="69369853">
      <w:pPr>
        <w:ind w:firstLine="560"/>
      </w:pPr>
      <w:r>
        <w:t>试验完毕恢复起重量限制器与力矩限制器。</w:t>
      </w:r>
    </w:p>
    <w:p w14:paraId="6F92045C">
      <w:pPr>
        <w:ind w:firstLine="0" w:firstLineChars="0"/>
        <w:rPr>
          <w:b/>
          <w:bCs/>
        </w:rPr>
      </w:pPr>
      <w:r>
        <w:rPr>
          <w:b/>
          <w:bCs/>
        </w:rPr>
        <w:t>125%额定载荷静载试验</w:t>
      </w:r>
    </w:p>
    <w:p w14:paraId="14F59B81">
      <w:pPr>
        <w:ind w:firstLine="560"/>
      </w:pPr>
      <w:r>
        <w:t>125%额定载荷静载试验按照下表进行，试验时臂架分别位于与塔身成0°和45°两个方位</w:t>
      </w:r>
    </w:p>
    <w:tbl>
      <w:tblPr>
        <w:tblStyle w:val="44"/>
        <w:tblW w:w="939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96"/>
        <w:gridCol w:w="2751"/>
        <w:gridCol w:w="3252"/>
      </w:tblGrid>
      <w:tr w14:paraId="53191D01">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3396" w:type="dxa"/>
            <w:noWrap/>
            <w:vAlign w:val="center"/>
          </w:tcPr>
          <w:p w14:paraId="29F48E62">
            <w:pPr>
              <w:ind w:firstLine="0" w:firstLineChars="0"/>
              <w:jc w:val="center"/>
              <w:rPr>
                <w:sz w:val="24"/>
                <w:szCs w:val="24"/>
              </w:rPr>
            </w:pPr>
            <w:r>
              <w:rPr>
                <w:sz w:val="24"/>
                <w:szCs w:val="24"/>
              </w:rPr>
              <w:t>工况</w:t>
            </w:r>
          </w:p>
        </w:tc>
        <w:tc>
          <w:tcPr>
            <w:tcW w:w="2751" w:type="dxa"/>
            <w:noWrap/>
            <w:vAlign w:val="center"/>
          </w:tcPr>
          <w:p w14:paraId="09896342">
            <w:pPr>
              <w:ind w:firstLine="0" w:firstLineChars="0"/>
              <w:jc w:val="center"/>
              <w:rPr>
                <w:sz w:val="24"/>
                <w:szCs w:val="24"/>
              </w:rPr>
            </w:pPr>
            <w:r>
              <w:rPr>
                <w:sz w:val="24"/>
                <w:szCs w:val="24"/>
              </w:rPr>
              <w:t>试验方法</w:t>
            </w:r>
          </w:p>
        </w:tc>
        <w:tc>
          <w:tcPr>
            <w:tcW w:w="3252" w:type="dxa"/>
            <w:noWrap/>
            <w:vAlign w:val="center"/>
          </w:tcPr>
          <w:p w14:paraId="26E84662">
            <w:pPr>
              <w:ind w:firstLine="0" w:firstLineChars="0"/>
              <w:jc w:val="center"/>
              <w:rPr>
                <w:sz w:val="24"/>
                <w:szCs w:val="24"/>
              </w:rPr>
            </w:pPr>
            <w:r>
              <w:rPr>
                <w:sz w:val="24"/>
                <w:szCs w:val="24"/>
              </w:rPr>
              <w:t>试验目的</w:t>
            </w:r>
          </w:p>
        </w:tc>
      </w:tr>
      <w:tr w14:paraId="544C5C6E">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3396" w:type="dxa"/>
            <w:noWrap/>
            <w:vAlign w:val="center"/>
          </w:tcPr>
          <w:p w14:paraId="57C4ADC1">
            <w:pPr>
              <w:ind w:firstLine="0" w:firstLineChars="0"/>
              <w:jc w:val="center"/>
              <w:rPr>
                <w:sz w:val="24"/>
                <w:szCs w:val="24"/>
              </w:rPr>
            </w:pPr>
            <w:r>
              <w:rPr>
                <w:sz w:val="24"/>
                <w:szCs w:val="24"/>
              </w:rPr>
              <w:t>吊重</w:t>
            </w:r>
            <w:r>
              <w:rPr>
                <w:rFonts w:hint="eastAsia"/>
                <w:sz w:val="24"/>
                <w:szCs w:val="24"/>
                <w:lang w:val="en-US" w:eastAsia="zh-CN"/>
              </w:rPr>
              <w:t>1.92</w:t>
            </w:r>
            <w:r>
              <w:rPr>
                <w:sz w:val="24"/>
                <w:szCs w:val="24"/>
              </w:rPr>
              <w:t>t×125%=</w:t>
            </w:r>
            <w:r>
              <w:rPr>
                <w:rFonts w:hint="eastAsia"/>
                <w:sz w:val="24"/>
                <w:szCs w:val="24"/>
                <w:lang w:val="en-US" w:eastAsia="zh-CN"/>
              </w:rPr>
              <w:t>2.4</w:t>
            </w:r>
            <w:r>
              <w:rPr>
                <w:sz w:val="24"/>
                <w:szCs w:val="24"/>
              </w:rPr>
              <w:t>t，工作幅度</w:t>
            </w:r>
            <w:r>
              <w:rPr>
                <w:rFonts w:hint="eastAsia"/>
                <w:sz w:val="24"/>
                <w:szCs w:val="24"/>
                <w:lang w:val="en-US" w:eastAsia="zh-CN"/>
              </w:rPr>
              <w:t>60m</w:t>
            </w:r>
          </w:p>
        </w:tc>
        <w:tc>
          <w:tcPr>
            <w:tcW w:w="2751" w:type="dxa"/>
            <w:vMerge w:val="restart"/>
            <w:noWrap/>
            <w:vAlign w:val="center"/>
          </w:tcPr>
          <w:p w14:paraId="68213DC1">
            <w:pPr>
              <w:ind w:firstLine="0" w:firstLineChars="0"/>
              <w:jc w:val="center"/>
              <w:rPr>
                <w:sz w:val="24"/>
                <w:szCs w:val="24"/>
              </w:rPr>
            </w:pPr>
            <w:r>
              <w:rPr>
                <w:sz w:val="24"/>
                <w:szCs w:val="24"/>
              </w:rPr>
              <w:t>起升额定载荷，离地100mm～200mm，停稳后，逐次加载至125%，测量载荷离地高度，停留10min后同一位置测量并进行比较。</w:t>
            </w:r>
          </w:p>
        </w:tc>
        <w:tc>
          <w:tcPr>
            <w:tcW w:w="3252" w:type="dxa"/>
            <w:vMerge w:val="restart"/>
            <w:noWrap/>
            <w:vAlign w:val="center"/>
          </w:tcPr>
          <w:p w14:paraId="617822C3">
            <w:pPr>
              <w:ind w:firstLine="0" w:firstLineChars="0"/>
              <w:jc w:val="center"/>
              <w:rPr>
                <w:sz w:val="24"/>
                <w:szCs w:val="24"/>
              </w:rPr>
            </w:pPr>
            <w:r>
              <w:rPr>
                <w:sz w:val="24"/>
                <w:szCs w:val="24"/>
              </w:rPr>
              <w:t>检查制动器可靠性，并在卸载后目测检查塔机是否出现可见裂纹、永久变形、油漆剥落、连接松动及其他可能对塔机性能和安全有影响的隐患。</w:t>
            </w:r>
          </w:p>
        </w:tc>
      </w:tr>
      <w:tr w14:paraId="5ED437D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157" w:hRule="atLeast"/>
          <w:jc w:val="center"/>
        </w:trPr>
        <w:tc>
          <w:tcPr>
            <w:tcW w:w="3396" w:type="dxa"/>
            <w:noWrap/>
            <w:vAlign w:val="center"/>
          </w:tcPr>
          <w:p w14:paraId="57B8F5B7">
            <w:pPr>
              <w:ind w:firstLine="0" w:firstLineChars="0"/>
              <w:jc w:val="center"/>
              <w:rPr>
                <w:sz w:val="24"/>
                <w:szCs w:val="24"/>
              </w:rPr>
            </w:pPr>
            <w:r>
              <w:rPr>
                <w:sz w:val="24"/>
                <w:szCs w:val="24"/>
              </w:rPr>
              <w:t>吊重</w:t>
            </w:r>
            <w:r>
              <w:rPr>
                <w:rFonts w:hint="eastAsia"/>
                <w:sz w:val="24"/>
                <w:szCs w:val="24"/>
                <w:lang w:val="en-US" w:eastAsia="zh-CN"/>
              </w:rPr>
              <w:t>10</w:t>
            </w:r>
            <w:r>
              <w:rPr>
                <w:sz w:val="24"/>
                <w:szCs w:val="24"/>
              </w:rPr>
              <w:t>t×125%=</w:t>
            </w:r>
            <w:r>
              <w:rPr>
                <w:rFonts w:hint="eastAsia"/>
                <w:sz w:val="24"/>
                <w:szCs w:val="24"/>
              </w:rPr>
              <w:t>1</w:t>
            </w:r>
            <w:r>
              <w:rPr>
                <w:rFonts w:hint="eastAsia"/>
                <w:sz w:val="24"/>
                <w:szCs w:val="24"/>
                <w:lang w:val="en-US" w:eastAsia="zh-CN"/>
              </w:rPr>
              <w:t>2.5</w:t>
            </w:r>
            <w:r>
              <w:rPr>
                <w:sz w:val="24"/>
                <w:szCs w:val="24"/>
              </w:rPr>
              <w:t>t，工作幅度</w:t>
            </w:r>
            <w:r>
              <w:rPr>
                <w:rFonts w:hint="eastAsia"/>
                <w:sz w:val="24"/>
                <w:szCs w:val="24"/>
              </w:rPr>
              <w:t>1</w:t>
            </w:r>
            <w:r>
              <w:rPr>
                <w:rFonts w:hint="eastAsia"/>
                <w:sz w:val="24"/>
                <w:szCs w:val="24"/>
                <w:lang w:val="en-US" w:eastAsia="zh-CN"/>
              </w:rPr>
              <w:t>0</w:t>
            </w:r>
            <w:r>
              <w:rPr>
                <w:sz w:val="24"/>
                <w:szCs w:val="24"/>
              </w:rPr>
              <w:t>m</w:t>
            </w:r>
          </w:p>
        </w:tc>
        <w:tc>
          <w:tcPr>
            <w:tcW w:w="2751" w:type="dxa"/>
            <w:vMerge w:val="continue"/>
            <w:noWrap/>
            <w:vAlign w:val="center"/>
          </w:tcPr>
          <w:p w14:paraId="00D0B7FE">
            <w:pPr>
              <w:ind w:firstLine="0" w:firstLineChars="0"/>
              <w:jc w:val="center"/>
              <w:rPr>
                <w:sz w:val="24"/>
                <w:szCs w:val="24"/>
              </w:rPr>
            </w:pPr>
          </w:p>
        </w:tc>
        <w:tc>
          <w:tcPr>
            <w:tcW w:w="3252" w:type="dxa"/>
            <w:vMerge w:val="continue"/>
            <w:noWrap/>
            <w:vAlign w:val="center"/>
          </w:tcPr>
          <w:p w14:paraId="1BD554F9">
            <w:pPr>
              <w:ind w:firstLine="0" w:firstLineChars="0"/>
              <w:jc w:val="center"/>
              <w:rPr>
                <w:sz w:val="24"/>
                <w:szCs w:val="24"/>
              </w:rPr>
            </w:pPr>
          </w:p>
        </w:tc>
      </w:tr>
    </w:tbl>
    <w:p w14:paraId="19867001">
      <w:pPr>
        <w:pStyle w:val="3"/>
        <w:bidi w:val="0"/>
        <w:ind w:left="575" w:leftChars="0" w:hanging="575" w:firstLineChars="0"/>
      </w:pPr>
      <w:r>
        <w:rPr>
          <w:rFonts w:hint="eastAsia"/>
        </w:rPr>
        <w:t xml:space="preserve"> </w:t>
      </w:r>
      <w:bookmarkStart w:id="337" w:name="_Toc3943"/>
      <w:bookmarkStart w:id="338" w:name="_Toc13493"/>
      <w:r>
        <w:rPr>
          <w:rFonts w:hint="eastAsia"/>
        </w:rPr>
        <w:t>顶升加节</w:t>
      </w:r>
      <w:bookmarkEnd w:id="337"/>
      <w:bookmarkEnd w:id="338"/>
    </w:p>
    <w:p w14:paraId="2E0E83CC">
      <w:pPr>
        <w:ind w:firstLine="560"/>
      </w:pPr>
      <w:r>
        <w:rPr>
          <w:rFonts w:hint="eastAsia"/>
        </w:rPr>
        <w:t>顶升前准备：</w:t>
      </w:r>
    </w:p>
    <w:p w14:paraId="1BFBCB37">
      <w:pPr>
        <w:autoSpaceDE w:val="0"/>
        <w:autoSpaceDN w:val="0"/>
        <w:adjustRightInd w:val="0"/>
        <w:ind w:firstLine="560"/>
        <w:rPr>
          <w:rFonts w:ascii="宋体" w:hAnsi="宋体" w:cs="宋体"/>
          <w:bCs/>
          <w:kern w:val="0"/>
        </w:rPr>
      </w:pPr>
      <w:r>
        <w:rPr>
          <w:rFonts w:hint="eastAsia" w:ascii="宋体" w:hAnsi="宋体" w:cs="宋体"/>
          <w:bCs/>
          <w:kern w:val="0"/>
        </w:rPr>
        <w:t>液压泵站要求给其油箱加油，同时清理好各个塔身节，做好顶升前各项准备工作，准备连接标准节的销轴。</w:t>
      </w:r>
    </w:p>
    <w:p w14:paraId="71312584">
      <w:pPr>
        <w:pStyle w:val="4"/>
        <w:bidi w:val="0"/>
        <w:ind w:left="720" w:leftChars="0" w:hanging="720" w:firstLineChars="0"/>
      </w:pPr>
      <w:r>
        <w:rPr>
          <w:rFonts w:hint="eastAsia"/>
        </w:rPr>
        <w:t>顶升配平</w:t>
      </w:r>
    </w:p>
    <w:p w14:paraId="1125675B">
      <w:pPr>
        <w:autoSpaceDE w:val="0"/>
        <w:autoSpaceDN w:val="0"/>
        <w:adjustRightInd w:val="0"/>
        <w:ind w:firstLine="560"/>
        <w:rPr>
          <w:rFonts w:ascii="宋体" w:hAnsi="宋体" w:cs="宋体"/>
          <w:bCs/>
          <w:kern w:val="0"/>
        </w:rPr>
      </w:pPr>
      <w:r>
        <w:rPr>
          <w:rFonts w:hint="eastAsia" w:ascii="宋体" w:hAnsi="宋体" w:cs="宋体"/>
          <w:bCs/>
          <w:kern w:val="0"/>
        </w:rPr>
        <w:t xml:space="preserve">（1）将标准节悬挂在引进梁上。 </w:t>
      </w:r>
    </w:p>
    <w:p w14:paraId="5E563441">
      <w:pPr>
        <w:autoSpaceDE w:val="0"/>
        <w:autoSpaceDN w:val="0"/>
        <w:adjustRightInd w:val="0"/>
        <w:ind w:firstLine="560"/>
        <w:rPr>
          <w:rFonts w:ascii="宋体" w:hAnsi="宋体" w:cs="宋体"/>
          <w:bCs/>
          <w:kern w:val="0"/>
        </w:rPr>
      </w:pPr>
      <w:r>
        <w:rPr>
          <w:rFonts w:hint="eastAsia" w:ascii="宋体" w:hAnsi="宋体" w:cs="宋体"/>
          <w:bCs/>
          <w:kern w:val="0"/>
        </w:rPr>
        <w:t>配平位置如图：</w:t>
      </w:r>
    </w:p>
    <w:p w14:paraId="6C6287AF">
      <w:pPr>
        <w:autoSpaceDE w:val="0"/>
        <w:autoSpaceDN w:val="0"/>
        <w:adjustRightInd w:val="0"/>
        <w:spacing w:line="240" w:lineRule="auto"/>
        <w:ind w:firstLine="0" w:firstLineChars="0"/>
        <w:jc w:val="center"/>
      </w:pPr>
      <w:r>
        <w:drawing>
          <wp:inline distT="0" distB="0" distL="114300" distR="114300">
            <wp:extent cx="5429250" cy="1543050"/>
            <wp:effectExtent l="0" t="0" r="0" b="0"/>
            <wp:docPr id="1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9"/>
                    <pic:cNvPicPr>
                      <a:picLocks noChangeAspect="1"/>
                    </pic:cNvPicPr>
                  </pic:nvPicPr>
                  <pic:blipFill>
                    <a:blip r:embed="rId77"/>
                    <a:stretch>
                      <a:fillRect/>
                    </a:stretch>
                  </pic:blipFill>
                  <pic:spPr>
                    <a:xfrm>
                      <a:off x="0" y="0"/>
                      <a:ext cx="5429250" cy="1543050"/>
                    </a:xfrm>
                    <a:prstGeom prst="rect">
                      <a:avLst/>
                    </a:prstGeom>
                    <a:noFill/>
                    <a:ln>
                      <a:noFill/>
                    </a:ln>
                  </pic:spPr>
                </pic:pic>
              </a:graphicData>
            </a:graphic>
          </wp:inline>
        </w:drawing>
      </w:r>
      <w:r>
        <w:drawing>
          <wp:inline distT="0" distB="0" distL="114300" distR="114300">
            <wp:extent cx="5723255" cy="2155190"/>
            <wp:effectExtent l="0" t="0" r="10795" b="1651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0"/>
                    <a:stretch>
                      <a:fillRect/>
                    </a:stretch>
                  </pic:blipFill>
                  <pic:spPr>
                    <a:xfrm>
                      <a:off x="0" y="0"/>
                      <a:ext cx="5723255" cy="2155190"/>
                    </a:xfrm>
                    <a:prstGeom prst="rect">
                      <a:avLst/>
                    </a:prstGeom>
                    <a:noFill/>
                    <a:ln>
                      <a:noFill/>
                    </a:ln>
                  </pic:spPr>
                </pic:pic>
              </a:graphicData>
            </a:graphic>
          </wp:inline>
        </w:drawing>
      </w:r>
    </w:p>
    <w:p w14:paraId="13751831">
      <w:pPr>
        <w:bidi w:val="0"/>
        <w:jc w:val="center"/>
      </w:pPr>
      <w:r>
        <w:t xml:space="preserve">图 </w:t>
      </w:r>
      <w:r>
        <w:fldChar w:fldCharType="begin"/>
      </w:r>
      <w:r>
        <w:instrText xml:space="preserve"> STYLEREF 3 \s </w:instrText>
      </w:r>
      <w:r>
        <w:fldChar w:fldCharType="separate"/>
      </w:r>
      <w:r>
        <w:t>7.5.1</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eastAsia"/>
        </w:rPr>
        <w:t xml:space="preserve"> </w:t>
      </w:r>
      <w:r>
        <w:rPr>
          <w:rFonts w:hint="eastAsia"/>
          <w:lang w:eastAsia="zh-CN"/>
        </w:rPr>
        <w:t>XGT6515D-10S</w:t>
      </w:r>
      <w:r>
        <w:rPr>
          <w:rFonts w:hint="eastAsia"/>
        </w:rPr>
        <w:t>塔机顶升配平图</w:t>
      </w:r>
    </w:p>
    <w:p w14:paraId="470FD875">
      <w:pPr>
        <w:autoSpaceDE w:val="0"/>
        <w:autoSpaceDN w:val="0"/>
        <w:adjustRightInd w:val="0"/>
        <w:ind w:firstLine="560"/>
        <w:rPr>
          <w:rFonts w:ascii="宋体" w:hAnsi="宋体" w:cs="宋体"/>
          <w:bCs/>
          <w:kern w:val="0"/>
        </w:rPr>
      </w:pPr>
      <w:r>
        <w:rPr>
          <w:rFonts w:hint="eastAsia" w:ascii="宋体" w:hAnsi="宋体" w:cs="宋体"/>
          <w:bCs/>
          <w:kern w:val="0"/>
        </w:rPr>
        <w:t>为了保证顶升安全，塔机在顶升之前必须进行配平，配平的主要方法为：在一定幅度上悬吊一重物，通过小车的位置移动最终实现塔机的配平。配平时通过检验下支座支腿与塔身主弦杆是否在一条垂直线上，并观察爬升架导轮与塔身主弦杆间隙是否基本相同来检查塔机是否平衡。略微调整载重小车的配平位置，直至平衡。记录实际配平位置，以后顶升或降节时使用。</w:t>
      </w:r>
    </w:p>
    <w:p w14:paraId="6FF53451">
      <w:pPr>
        <w:autoSpaceDE w:val="0"/>
        <w:autoSpaceDN w:val="0"/>
        <w:adjustRightInd w:val="0"/>
        <w:ind w:firstLine="560"/>
        <w:rPr>
          <w:rFonts w:ascii="宋体" w:hAnsi="宋体" w:cs="宋体"/>
          <w:bCs/>
          <w:kern w:val="0"/>
        </w:rPr>
      </w:pPr>
      <w:r>
        <w:rPr>
          <w:rFonts w:hint="eastAsia" w:ascii="宋体" w:hAnsi="宋体" w:cs="宋体"/>
          <w:bCs/>
          <w:kern w:val="0"/>
        </w:rPr>
        <w:t>注意：上表中的数据为理论配平尺寸，实际配平时以观察下支座支腿与塔身主弦杆在一条垂直线上，并观察爬升架 8 个导轮与塔身主弦杆间隙基本相同为准，否则可能造成配平错误，导致顶升倾覆安全事故。</w:t>
      </w:r>
    </w:p>
    <w:p w14:paraId="72A28E52">
      <w:pPr>
        <w:pStyle w:val="4"/>
        <w:bidi w:val="0"/>
        <w:ind w:left="720" w:leftChars="0" w:hanging="720" w:firstLineChars="0"/>
      </w:pPr>
      <w:r>
        <w:rPr>
          <w:rFonts w:hint="eastAsia"/>
        </w:rPr>
        <w:t>顶升操作程序</w:t>
      </w:r>
    </w:p>
    <w:p w14:paraId="6BDE2477">
      <w:pPr>
        <w:autoSpaceDE w:val="0"/>
        <w:autoSpaceDN w:val="0"/>
        <w:adjustRightInd w:val="0"/>
        <w:ind w:firstLine="560"/>
        <w:rPr>
          <w:rFonts w:ascii="宋体" w:hAnsi="宋体" w:cs="宋体"/>
          <w:bCs/>
          <w:kern w:val="0"/>
        </w:rPr>
      </w:pPr>
      <w:r>
        <w:rPr>
          <w:rFonts w:hint="eastAsia" w:ascii="宋体" w:hAnsi="宋体" w:cs="宋体"/>
          <w:bCs/>
          <w:kern w:val="0"/>
        </w:rPr>
        <w:t>1）顶升作业顺序</w:t>
      </w:r>
    </w:p>
    <w:p w14:paraId="27E81D39">
      <w:pPr>
        <w:autoSpaceDE w:val="0"/>
        <w:autoSpaceDN w:val="0"/>
        <w:adjustRightInd w:val="0"/>
        <w:ind w:firstLine="560"/>
        <w:rPr>
          <w:rFonts w:ascii="宋体" w:hAnsi="宋体" w:cs="宋体"/>
          <w:bCs/>
          <w:kern w:val="0"/>
        </w:rPr>
      </w:pPr>
      <w:r>
        <w:rPr>
          <w:rFonts w:hint="eastAsia" w:ascii="宋体" w:hAnsi="宋体" w:cs="宋体"/>
          <w:bCs/>
          <w:kern w:val="0"/>
        </w:rPr>
        <w:t xml:space="preserve">顶升作业顺序包括了一连串将重复数次的操作：在地面将四个引进轮安装固定在待吊标节下部横腹杆的四个角上（引进轮的安装位置参考下图），然后吊起标节并安放在引进平台上；再吊一节标准节，将载重小车开至顶升平衡位置。 </w:t>
      </w:r>
    </w:p>
    <w:p w14:paraId="0953B64D">
      <w:pPr>
        <w:widowControl/>
        <w:spacing w:line="240" w:lineRule="auto"/>
        <w:ind w:firstLine="0" w:firstLineChars="0"/>
        <w:jc w:val="center"/>
      </w:pPr>
      <w:r>
        <w:drawing>
          <wp:inline distT="0" distB="0" distL="114300" distR="114300">
            <wp:extent cx="5266690" cy="1518920"/>
            <wp:effectExtent l="0" t="0" r="10160" b="5080"/>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pic:cNvPicPr>
                  </pic:nvPicPr>
                  <pic:blipFill>
                    <a:blip r:embed="rId79"/>
                    <a:stretch>
                      <a:fillRect/>
                    </a:stretch>
                  </pic:blipFill>
                  <pic:spPr>
                    <a:xfrm>
                      <a:off x="0" y="0"/>
                      <a:ext cx="5266690" cy="1518920"/>
                    </a:xfrm>
                    <a:prstGeom prst="rect">
                      <a:avLst/>
                    </a:prstGeom>
                    <a:noFill/>
                    <a:ln>
                      <a:noFill/>
                    </a:ln>
                  </pic:spPr>
                </pic:pic>
              </a:graphicData>
            </a:graphic>
          </wp:inline>
        </w:drawing>
      </w:r>
    </w:p>
    <w:p w14:paraId="345EF855">
      <w:pPr>
        <w:widowControl/>
        <w:ind w:firstLine="0" w:firstLineChars="0"/>
        <w:jc w:val="center"/>
      </w:pPr>
      <w:r>
        <w:rPr>
          <w:rFonts w:hint="eastAsia" w:ascii="宋体" w:hAnsi="宋体" w:cs="宋体"/>
          <w:b/>
          <w:bCs/>
          <w:color w:val="000000"/>
          <w:kern w:val="0"/>
          <w:sz w:val="21"/>
          <w:lang w:bidi="ar"/>
        </w:rPr>
        <w:t xml:space="preserve">图 </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STYLEREF 3 \s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7.5.2</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eastAsia="zh-CN" w:bidi="ar"/>
        </w:rPr>
        <w:t>-</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SEQ 图 \* ARABIC \s 3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1</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val="en-US" w:eastAsia="zh-CN" w:bidi="ar"/>
        </w:rPr>
        <w:t xml:space="preserve"> </w:t>
      </w:r>
      <w:r>
        <w:rPr>
          <w:rFonts w:hint="eastAsia" w:ascii="宋体" w:hAnsi="宋体" w:cs="宋体"/>
          <w:b/>
          <w:bCs/>
          <w:color w:val="000000"/>
          <w:kern w:val="0"/>
          <w:sz w:val="21"/>
          <w:lang w:bidi="ar"/>
        </w:rPr>
        <w:t xml:space="preserve"> 塔机配平调整</w:t>
      </w:r>
      <w:r>
        <w:rPr>
          <w:rFonts w:hint="eastAsia" w:ascii="宋体" w:hAnsi="宋体" w:cs="宋体"/>
          <w:b/>
          <w:bCs/>
          <w:sz w:val="21"/>
        </w:rPr>
        <w:t>示意图</w:t>
      </w:r>
    </w:p>
    <w:p w14:paraId="63B632E2">
      <w:pPr>
        <w:widowControl/>
        <w:ind w:firstLine="560"/>
        <w:jc w:val="left"/>
      </w:pPr>
      <w:r>
        <w:rPr>
          <w:rFonts w:hint="eastAsia" w:ascii="宋体" w:hAnsi="宋体" w:cs="宋体"/>
          <w:color w:val="000000"/>
          <w:kern w:val="0"/>
          <w:szCs w:val="24"/>
          <w:lang w:bidi="ar"/>
        </w:rPr>
        <w:t xml:space="preserve">使用回转装置上的回转制动器，将塔机上部装置处于制动状态，卸下塔身顶部与特殊节连接的 </w:t>
      </w:r>
      <w:r>
        <w:rPr>
          <w:rFonts w:ascii="Calibri" w:hAnsi="Calibri" w:cs="Calibri"/>
          <w:color w:val="000000"/>
          <w:kern w:val="0"/>
          <w:szCs w:val="24"/>
          <w:lang w:bidi="ar"/>
        </w:rPr>
        <w:t xml:space="preserve">8 </w:t>
      </w:r>
      <w:r>
        <w:rPr>
          <w:rFonts w:hint="eastAsia" w:ascii="宋体" w:hAnsi="宋体" w:cs="宋体"/>
          <w:color w:val="000000"/>
          <w:kern w:val="0"/>
          <w:szCs w:val="24"/>
          <w:lang w:bidi="ar"/>
        </w:rPr>
        <w:t>个</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 xml:space="preserve">。 </w:t>
      </w:r>
    </w:p>
    <w:p w14:paraId="2496506A">
      <w:pPr>
        <w:widowControl/>
        <w:ind w:firstLine="560"/>
        <w:jc w:val="left"/>
      </w:pPr>
      <w:r>
        <w:rPr>
          <w:rFonts w:hint="eastAsia" w:ascii="宋体" w:hAnsi="宋体" w:cs="宋体"/>
          <w:color w:val="000000"/>
          <w:kern w:val="0"/>
          <w:szCs w:val="24"/>
          <w:lang w:bidi="ar"/>
        </w:rPr>
        <w:t xml:space="preserve">开动液压顶升系统，使油缸活塞杆伸出，将顶升横梁两端的销轴落入距顶升横梁最近的塔身节踏步的圆弧槽内，插入防脱销（要设专人负责观察顶升横梁两端销轴都必须落入踏步圆弧槽内），确认无误后继续顶升， 将爬升架及以上部分顶起 </w:t>
      </w:r>
      <w:r>
        <w:rPr>
          <w:rFonts w:ascii="Calibri" w:hAnsi="Calibri" w:cs="Calibri"/>
          <w:color w:val="000000"/>
          <w:kern w:val="0"/>
          <w:szCs w:val="24"/>
          <w:lang w:bidi="ar"/>
        </w:rPr>
        <w:t>10</w:t>
      </w:r>
      <w:r>
        <w:rPr>
          <w:rFonts w:hint="eastAsia" w:ascii="宋体" w:hAnsi="宋体" w:cs="宋体"/>
          <w:color w:val="000000"/>
          <w:kern w:val="0"/>
          <w:szCs w:val="24"/>
          <w:lang w:bidi="ar"/>
        </w:rPr>
        <w:t>～</w:t>
      </w:r>
      <w:r>
        <w:rPr>
          <w:rFonts w:ascii="Calibri" w:hAnsi="Calibri" w:cs="Calibri"/>
          <w:color w:val="000000"/>
          <w:kern w:val="0"/>
          <w:szCs w:val="24"/>
          <w:lang w:bidi="ar"/>
        </w:rPr>
        <w:t xml:space="preserve">50mm </w:t>
      </w:r>
      <w:r>
        <w:rPr>
          <w:rFonts w:hint="eastAsia" w:ascii="宋体" w:hAnsi="宋体" w:cs="宋体"/>
          <w:color w:val="000000"/>
          <w:kern w:val="0"/>
          <w:szCs w:val="24"/>
          <w:lang w:bidi="ar"/>
        </w:rPr>
        <w:t>时停止，检查顶升横梁等爬升架传力部件是否有异响、变形，油缸活塞杆是否有自动回缩等异常现象，确认正常后，继续顶升。</w:t>
      </w:r>
    </w:p>
    <w:p w14:paraId="13C17A48">
      <w:pPr>
        <w:widowControl/>
        <w:ind w:firstLine="560"/>
        <w:jc w:val="left"/>
      </w:pPr>
      <w:r>
        <w:rPr>
          <w:rFonts w:hint="eastAsia" w:ascii="宋体" w:hAnsi="宋体" w:cs="宋体"/>
          <w:color w:val="000000"/>
          <w:kern w:val="0"/>
          <w:szCs w:val="24"/>
          <w:lang w:bidi="ar"/>
        </w:rPr>
        <w:t xml:space="preserve">顶升略超过半个塔身节高度并使爬升架上的活动爬爪滑过一对踏步并自动复位后， 停止顶升，并回缩油缸；确认两个活动爬爪全部准确地压在踏步顶端的平面上并承受住爬升架及其以上部分的重量，且无局部变形、异响等异常情况。 </w:t>
      </w:r>
    </w:p>
    <w:p w14:paraId="2921C105">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"C:\\Users\\Administrator\\AppData\\Roaming\\Tencent\\Users\\406205469\\QQ\\WinTemp\\RichOle\\8D`_M@(Y3E9WE7][NEH4CXS.png" \* MERGEFORMATINET </w:instrText>
      </w:r>
      <w:r>
        <w:rPr>
          <w:rFonts w:ascii="宋体" w:hAnsi="宋体" w:cs="宋体"/>
          <w:kern w:val="0"/>
          <w:szCs w:val="24"/>
          <w:lang w:bidi="ar"/>
        </w:rPr>
        <w:fldChar w:fldCharType="separate"/>
      </w:r>
      <w:r>
        <w:rPr>
          <w:rFonts w:ascii="宋体" w:hAnsi="宋体" w:cs="宋体"/>
          <w:kern w:val="0"/>
          <w:szCs w:val="24"/>
          <w:lang w:bidi="ar"/>
        </w:rPr>
        <w:pict>
          <v:shape id="_x0000_i1025" o:spt="75" alt="error" type="#_x0000_t75" style="height:216.25pt;width:216.25pt;" filled="f" o:preferrelative="t" stroked="f" coordsize="21600,21600">
            <v:path/>
            <v:fill on="f" focussize="0,0"/>
            <v:stroke on="f"/>
            <v:imagedata r:id="rId161" o:title="error"/>
            <o:lock v:ext="edit" aspectratio="t"/>
            <w10:wrap type="none"/>
            <w10:anchorlock/>
          </v:shape>
        </w:pict>
      </w:r>
      <w:r>
        <w:rPr>
          <w:rFonts w:ascii="宋体" w:hAnsi="宋体" w:cs="宋体"/>
          <w:kern w:val="0"/>
          <w:szCs w:val="24"/>
          <w:lang w:bidi="ar"/>
        </w:rPr>
        <w:fldChar w:fldCharType="end"/>
      </w:r>
    </w:p>
    <w:p w14:paraId="6309FC62">
      <w:pPr>
        <w:widowControl/>
        <w:ind w:firstLine="0" w:firstLineChars="0"/>
        <w:jc w:val="center"/>
      </w:pPr>
      <w:r>
        <w:rPr>
          <w:rFonts w:hint="eastAsia" w:ascii="宋体" w:hAnsi="宋体" w:cs="宋体"/>
          <w:b/>
          <w:bCs/>
          <w:color w:val="000000"/>
          <w:kern w:val="0"/>
          <w:sz w:val="21"/>
          <w:lang w:bidi="ar"/>
        </w:rPr>
        <w:t xml:space="preserve">图 </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STYLEREF 3 \s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7.5.2</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eastAsia="zh-CN" w:bidi="ar"/>
        </w:rPr>
        <w:t>-</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SEQ 图 \* ARABIC \s 3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2</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val="en-US" w:eastAsia="zh-CN" w:bidi="ar"/>
        </w:rPr>
        <w:t xml:space="preserve"> </w:t>
      </w:r>
      <w:r>
        <w:rPr>
          <w:rFonts w:hint="eastAsia" w:ascii="宋体" w:hAnsi="宋体" w:cs="宋体"/>
          <w:b/>
          <w:bCs/>
          <w:color w:val="000000"/>
          <w:kern w:val="0"/>
          <w:sz w:val="21"/>
          <w:lang w:bidi="ar"/>
        </w:rPr>
        <w:t xml:space="preserve"> 塔机顶升示</w:t>
      </w:r>
      <w:r>
        <w:rPr>
          <w:rFonts w:hint="eastAsia" w:ascii="宋体" w:hAnsi="宋体" w:cs="宋体"/>
          <w:b/>
          <w:bCs/>
          <w:sz w:val="21"/>
        </w:rPr>
        <w:t>意图一</w:t>
      </w:r>
    </w:p>
    <w:p w14:paraId="3B3CA81C">
      <w:pPr>
        <w:ind w:firstLine="560"/>
        <w:rPr>
          <w:lang w:bidi="ar"/>
        </w:rPr>
      </w:pPr>
      <w:r>
        <w:rPr>
          <w:rFonts w:hint="eastAsia"/>
          <w:lang w:bidi="ar"/>
        </w:rPr>
        <w:t xml:space="preserve">将顶升横梁防脱销收回，将油缸活塞全部缩回，提起顶升横梁，重新使顶升横梁顶在向上一对踏步的圆弧槽内，防脱销插入，再次伸出油缸，将塔机上部结构再顶起略超过半个塔身节高度，此时塔身上方恰好又能装入一个塔身节的空间，将爬升架引进平台上的标准节拉进至塔身正上方，稍微缩回油缸，将新引进的标准节落在塔身顶部并对正，拆下引进轮。用 </w:t>
      </w:r>
      <w:r>
        <w:rPr>
          <w:rFonts w:ascii="Calibri" w:hAnsi="Calibri" w:cs="Calibri"/>
          <w:lang w:bidi="ar"/>
        </w:rPr>
        <w:t xml:space="preserve">8 </w:t>
      </w:r>
      <w:r>
        <w:rPr>
          <w:rFonts w:hint="eastAsia"/>
          <w:lang w:bidi="ar"/>
        </w:rPr>
        <w:t>件</w:t>
      </w:r>
      <w:r>
        <w:rPr>
          <w:rFonts w:hint="eastAsia"/>
          <w:lang w:eastAsia="zh-CN" w:bidi="ar"/>
        </w:rPr>
        <w:t>销轴</w:t>
      </w:r>
      <w:r>
        <w:rPr>
          <w:rFonts w:hint="eastAsia"/>
          <w:lang w:bidi="ar"/>
        </w:rPr>
        <w:t xml:space="preserve">将上、下标准节连接牢靠（预紧力矩 </w:t>
      </w:r>
      <w:r>
        <w:rPr>
          <w:rFonts w:hint="eastAsia" w:ascii="Calibri" w:hAnsi="Calibri" w:cs="Calibri"/>
          <w:lang w:eastAsia="zh-CN" w:bidi="ar"/>
        </w:rPr>
        <w:t>1400N·m</w:t>
      </w:r>
      <w:r>
        <w:rPr>
          <w:rFonts w:hint="eastAsia"/>
          <w:lang w:bidi="ar"/>
        </w:rPr>
        <w:t>）。</w:t>
      </w:r>
    </w:p>
    <w:p w14:paraId="1F08AC60">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"C:\\Users\\Administrator\\AppData\\Roaming\\Tencent\\Users\\406205469\\QQ\\WinTemp\\RichOle\\5@(3)~DFIMTW)19QNNGU)FX.png" \* MERGEFORMATINET </w:instrText>
      </w:r>
      <w:r>
        <w:rPr>
          <w:rFonts w:ascii="宋体" w:hAnsi="宋体" w:cs="宋体"/>
          <w:kern w:val="0"/>
          <w:szCs w:val="24"/>
          <w:lang w:bidi="ar"/>
        </w:rPr>
        <w:fldChar w:fldCharType="separate"/>
      </w:r>
      <w:r>
        <w:rPr>
          <w:rFonts w:ascii="宋体" w:hAnsi="宋体" w:cs="宋体"/>
          <w:kern w:val="0"/>
          <w:szCs w:val="24"/>
          <w:lang w:bidi="ar"/>
        </w:rPr>
        <w:pict>
          <v:shape id="_x0000_i1026" o:spt="75" alt="error" type="#_x0000_t75" style="height:216.25pt;width:216.25pt;" filled="f" o:preferrelative="t" stroked="f" coordsize="21600,21600">
            <v:path/>
            <v:fill on="f" focussize="0,0"/>
            <v:stroke on="f"/>
            <v:imagedata r:id="rId161" o:title="error"/>
            <o:lock v:ext="edit" aspectratio="t"/>
            <w10:wrap type="none"/>
            <w10:anchorlock/>
          </v:shape>
        </w:pict>
      </w:r>
      <w:r>
        <w:rPr>
          <w:rFonts w:ascii="宋体" w:hAnsi="宋体" w:cs="宋体"/>
          <w:kern w:val="0"/>
          <w:szCs w:val="24"/>
          <w:lang w:bidi="ar"/>
        </w:rPr>
        <w:fldChar w:fldCharType="end"/>
      </w:r>
    </w:p>
    <w:p w14:paraId="1EB79AF0">
      <w:pPr>
        <w:widowControl/>
        <w:ind w:firstLine="0" w:firstLineChars="0"/>
        <w:jc w:val="center"/>
      </w:pPr>
      <w:r>
        <w:rPr>
          <w:rFonts w:hint="eastAsia" w:ascii="宋体" w:hAnsi="宋体" w:cs="宋体"/>
          <w:b/>
          <w:bCs/>
          <w:color w:val="000000"/>
          <w:kern w:val="0"/>
          <w:sz w:val="21"/>
          <w:lang w:bidi="ar"/>
        </w:rPr>
        <w:t xml:space="preserve">图 </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STYLEREF 3 \s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7.5.2</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eastAsia="zh-CN" w:bidi="ar"/>
        </w:rPr>
        <w:t>-</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SEQ 图 \* ARABIC \s 3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3</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val="en-US" w:eastAsia="zh-CN" w:bidi="ar"/>
        </w:rPr>
        <w:t xml:space="preserve"> </w:t>
      </w:r>
      <w:r>
        <w:rPr>
          <w:rFonts w:hint="eastAsia" w:ascii="宋体" w:hAnsi="宋体" w:cs="宋体"/>
          <w:b/>
          <w:bCs/>
          <w:color w:val="000000"/>
          <w:kern w:val="0"/>
          <w:sz w:val="21"/>
          <w:lang w:bidi="ar"/>
        </w:rPr>
        <w:t xml:space="preserve"> 塔机顶升示</w:t>
      </w:r>
      <w:r>
        <w:rPr>
          <w:rFonts w:hint="eastAsia" w:ascii="宋体" w:hAnsi="宋体" w:cs="宋体"/>
          <w:b/>
          <w:bCs/>
          <w:sz w:val="21"/>
        </w:rPr>
        <w:t>意图二</w:t>
      </w:r>
    </w:p>
    <w:p w14:paraId="7DDBF6FB">
      <w:pPr>
        <w:widowControl/>
        <w:ind w:firstLine="560"/>
        <w:jc w:val="left"/>
      </w:pPr>
      <w:r>
        <w:rPr>
          <w:rFonts w:hint="eastAsia" w:ascii="宋体" w:hAnsi="宋体" w:cs="宋体"/>
          <w:color w:val="000000"/>
          <w:kern w:val="0"/>
          <w:szCs w:val="24"/>
          <w:lang w:bidi="ar"/>
        </w:rPr>
        <w:t>销轴及防脱销收回后，继续缩回油缸，将特殊节落在新的塔身顶部上，并对正，用</w:t>
      </w:r>
      <w:r>
        <w:rPr>
          <w:rFonts w:ascii="Calibri" w:hAnsi="Calibri" w:cs="Calibri"/>
          <w:color w:val="000000"/>
          <w:kern w:val="0"/>
          <w:szCs w:val="24"/>
          <w:lang w:bidi="ar"/>
        </w:rPr>
        <w:t>8</w:t>
      </w:r>
      <w:r>
        <w:rPr>
          <w:rFonts w:hint="eastAsia" w:ascii="宋体" w:hAnsi="宋体" w:cs="宋体"/>
          <w:color w:val="000000"/>
          <w:kern w:val="0"/>
          <w:szCs w:val="24"/>
          <w:lang w:bidi="ar"/>
        </w:rPr>
        <w:t>件</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将下支座与塔身连接牢靠（每根</w:t>
      </w:r>
      <w:r>
        <w:rPr>
          <w:rFonts w:hint="eastAsia" w:ascii="宋体" w:hAnsi="宋体" w:cs="宋体"/>
          <w:color w:val="000000"/>
          <w:kern w:val="0"/>
          <w:szCs w:val="24"/>
          <w:lang w:eastAsia="zh-CN" w:bidi="ar"/>
        </w:rPr>
        <w:t>销轴</w:t>
      </w:r>
      <w:r>
        <w:rPr>
          <w:rFonts w:hint="eastAsia" w:ascii="宋体" w:hAnsi="宋体" w:cs="宋体"/>
          <w:color w:val="000000"/>
          <w:kern w:val="0"/>
          <w:szCs w:val="24"/>
          <w:lang w:bidi="ar"/>
        </w:rPr>
        <w:t xml:space="preserve">必须有两个螺母），即完成一节标准节的加节工作。 </w:t>
      </w:r>
    </w:p>
    <w:p w14:paraId="56BE2D77">
      <w:pPr>
        <w:widowControl/>
        <w:ind w:firstLine="560"/>
        <w:jc w:val="left"/>
        <w:rPr>
          <w:rFonts w:ascii="宋体" w:hAnsi="宋体" w:cs="宋体"/>
        </w:rPr>
      </w:pPr>
      <w:r>
        <w:rPr>
          <w:rFonts w:hint="eastAsia" w:ascii="宋体" w:hAnsi="宋体" w:cs="宋体"/>
        </w:rPr>
        <w:t>（7）</w:t>
      </w:r>
      <w:r>
        <w:rPr>
          <w:rFonts w:hint="eastAsia" w:ascii="宋体" w:hAnsi="宋体" w:cs="宋体"/>
          <w:color w:val="000000"/>
          <w:kern w:val="0"/>
          <w:szCs w:val="24"/>
          <w:lang w:bidi="ar"/>
        </w:rPr>
        <w:t>顶升作业注意事项</w:t>
      </w:r>
    </w:p>
    <w:p w14:paraId="70B12084">
      <w:pPr>
        <w:ind w:firstLine="560"/>
      </w:pPr>
      <w:r>
        <w:rPr>
          <w:rFonts w:hint="eastAsia"/>
          <w:lang w:bidi="ar"/>
        </w:rPr>
        <w:t>塔机最高处风速大于</w:t>
      </w:r>
      <w:r>
        <w:rPr>
          <w:rFonts w:ascii="Calibri" w:hAnsi="Calibri" w:cs="Calibri"/>
          <w:lang w:bidi="ar"/>
        </w:rPr>
        <w:t>12m/s</w:t>
      </w:r>
      <w:r>
        <w:rPr>
          <w:rFonts w:hint="eastAsia"/>
          <w:lang w:bidi="ar"/>
        </w:rPr>
        <w:t xml:space="preserve">时，不得进行顶升作业。 </w:t>
      </w:r>
    </w:p>
    <w:p w14:paraId="6D7BB4A5">
      <w:pPr>
        <w:ind w:firstLine="560"/>
      </w:pPr>
      <w:r>
        <w:rPr>
          <w:rFonts w:hint="eastAsia"/>
          <w:lang w:bidi="ar"/>
        </w:rPr>
        <w:t xml:space="preserve">塔机的爬升机构，其爬升作业时应确保爬升架上支承在塔身上的受力部位与塔身顶升支承部位应可靠定位和结合。并应及时查看顶升支承部位焊缝情况，若有异常情况应排除后才能继续进行爬升作业。 </w:t>
      </w:r>
    </w:p>
    <w:p w14:paraId="73147EB2">
      <w:pPr>
        <w:ind w:firstLine="560"/>
      </w:pPr>
      <w:r>
        <w:rPr>
          <w:rFonts w:hint="eastAsia"/>
          <w:lang w:bidi="ar"/>
        </w:rPr>
        <w:t xml:space="preserve">顶升过程中必须保证起重臂与引入标准节方向一致，并利用回转机构制动器将起重臂制动住，载重小车必须停靠在顶升配平位置。 </w:t>
      </w:r>
    </w:p>
    <w:p w14:paraId="288B7E7A">
      <w:pPr>
        <w:ind w:firstLine="560"/>
      </w:pPr>
      <w:r>
        <w:rPr>
          <w:rFonts w:hint="eastAsia"/>
          <w:lang w:bidi="ar"/>
        </w:rPr>
        <w:t>若要连续加高几节标准节，则每加完一节后，用塔机自身起吊下一节标准节前，塔身</w:t>
      </w:r>
      <w:r>
        <w:rPr>
          <w:rFonts w:ascii="Calibri" w:hAnsi="Calibri" w:cs="Calibri"/>
          <w:lang w:bidi="ar"/>
        </w:rPr>
        <w:t>4</w:t>
      </w:r>
      <w:r>
        <w:rPr>
          <w:rFonts w:hint="eastAsia"/>
          <w:lang w:bidi="ar"/>
        </w:rPr>
        <w:t>个主弦杆和特殊节必须有</w:t>
      </w:r>
      <w:r>
        <w:rPr>
          <w:rFonts w:hint="eastAsia" w:ascii="Calibri" w:hAnsi="Calibri" w:cs="Calibri"/>
          <w:lang w:val="en-US" w:eastAsia="zh-CN" w:bidi="ar"/>
        </w:rPr>
        <w:t>销轴</w:t>
      </w:r>
      <w:r>
        <w:rPr>
          <w:rFonts w:hint="eastAsia"/>
          <w:lang w:bidi="ar"/>
        </w:rPr>
        <w:t xml:space="preserve">连接。 </w:t>
      </w:r>
    </w:p>
    <w:p w14:paraId="763924CE">
      <w:pPr>
        <w:ind w:firstLine="560"/>
      </w:pPr>
      <w:r>
        <w:rPr>
          <w:rFonts w:hint="eastAsia"/>
          <w:lang w:bidi="ar"/>
        </w:rPr>
        <w:t xml:space="preserve">所加标准节上的踏步，必须与已有塔身节对正。 </w:t>
      </w:r>
    </w:p>
    <w:p w14:paraId="7B0AC544">
      <w:pPr>
        <w:ind w:firstLine="560"/>
      </w:pPr>
      <w:r>
        <w:rPr>
          <w:rFonts w:hint="eastAsia"/>
          <w:lang w:bidi="ar"/>
        </w:rPr>
        <w:t>在特殊节与塔身没有用</w:t>
      </w:r>
      <w:r>
        <w:rPr>
          <w:rFonts w:hint="eastAsia"/>
          <w:lang w:val="en-US" w:eastAsia="zh-CN" w:bidi="ar"/>
        </w:rPr>
        <w:t>销轴</w:t>
      </w:r>
      <w:r>
        <w:rPr>
          <w:rFonts w:hint="eastAsia"/>
          <w:lang w:bidi="ar"/>
        </w:rPr>
        <w:t xml:space="preserve">连接好之前，严禁起重臂回转、载重小车变幅和吊装作业。 </w:t>
      </w:r>
    </w:p>
    <w:p w14:paraId="62F99D9F">
      <w:pPr>
        <w:ind w:firstLine="560"/>
      </w:pPr>
      <w:r>
        <w:rPr>
          <w:rFonts w:hint="eastAsia"/>
          <w:lang w:bidi="ar"/>
        </w:rPr>
        <w:t>在顶升过程中，若液压顶升系统出现异常，应立即停止顶升，收回油缸，将下支座落在塔身顶部，并用</w:t>
      </w:r>
      <w:r>
        <w:rPr>
          <w:rFonts w:hint="eastAsia"/>
          <w:lang w:eastAsia="zh-CN" w:bidi="ar"/>
        </w:rPr>
        <w:t>销轴</w:t>
      </w:r>
      <w:r>
        <w:rPr>
          <w:rFonts w:hint="eastAsia"/>
          <w:lang w:bidi="ar"/>
        </w:rPr>
        <w:t xml:space="preserve">将特殊节与塔身连接牢靠后，再排除液压系统的故障。 </w:t>
      </w:r>
    </w:p>
    <w:p w14:paraId="6B277980">
      <w:pPr>
        <w:ind w:firstLine="560"/>
      </w:pPr>
      <w:r>
        <w:rPr>
          <w:rFonts w:hint="eastAsia"/>
          <w:lang w:bidi="ar"/>
        </w:rPr>
        <w:t>塔机加节达到所需工作高度（但不超过独立高度）后，应旋转起重臂至不同的角度，检查塔身各接头处、基础支脚处螺栓的拧紧问题（哪一根主弦杆位于平衡臂正下方时就把这根主弦杆从下到上的所有螺母拧紧，上述连接处均为双螺母防松）。</w:t>
      </w:r>
    </w:p>
    <w:p w14:paraId="2EDF538B">
      <w:pPr>
        <w:ind w:firstLine="560"/>
      </w:pPr>
      <w:r>
        <w:rPr>
          <w:rFonts w:hint="eastAsia"/>
        </w:rPr>
        <w:t>（8）</w:t>
      </w:r>
      <w:r>
        <w:rPr>
          <w:rFonts w:hint="eastAsia"/>
          <w:lang w:bidi="ar"/>
        </w:rPr>
        <w:t>防脱销装置的使用方法</w:t>
      </w:r>
    </w:p>
    <w:p w14:paraId="2EFC25E5">
      <w:pPr>
        <w:ind w:firstLine="560"/>
      </w:pPr>
      <w:r>
        <w:rPr>
          <w:rFonts w:hint="eastAsia"/>
          <w:lang w:bidi="ar"/>
        </w:rPr>
        <w:t xml:space="preserve">防脱装置由两部分组成，一是顶升横梁上的插销，二是标准节踏步的防脱插销孔，其使用方法如下： </w:t>
      </w:r>
    </w:p>
    <w:p w14:paraId="4877712D">
      <w:pPr>
        <w:ind w:firstLine="560"/>
      </w:pPr>
      <w:r>
        <w:rPr>
          <w:rFonts w:ascii="Calibri" w:hAnsi="Calibri" w:cs="Calibri"/>
          <w:lang w:bidi="ar"/>
        </w:rPr>
        <w:t>1</w:t>
      </w:r>
      <w:r>
        <w:rPr>
          <w:rFonts w:hint="eastAsia"/>
          <w:lang w:bidi="ar"/>
        </w:rPr>
        <w:t xml:space="preserve">）塔机开始顶升加节或降塔减节时，顶升横梁的销轴搁置在标准节的圆弧槽内，须将顶升横梁的防脱销插入标准节的防脱销孔内，且固定在前槽内。 </w:t>
      </w:r>
    </w:p>
    <w:p w14:paraId="7975C944">
      <w:pPr>
        <w:ind w:firstLine="560"/>
      </w:pPr>
      <w:r>
        <w:rPr>
          <w:rFonts w:ascii="Calibri" w:hAnsi="Calibri" w:cs="Calibri"/>
          <w:lang w:bidi="ar"/>
        </w:rPr>
        <w:t>2</w:t>
      </w:r>
      <w:r>
        <w:rPr>
          <w:rFonts w:hint="eastAsia"/>
          <w:lang w:bidi="ar"/>
        </w:rPr>
        <w:t>）在完成一个顶升步骤、顶升横梁要脱离标准节踏步时，须先将防脱销轴退出标准节防脱销孔，固定在后槽内。</w:t>
      </w:r>
    </w:p>
    <w:p w14:paraId="6468CBF4">
      <w:pPr>
        <w:ind w:firstLine="560"/>
      </w:pPr>
      <w:r>
        <w:rPr>
          <w:rFonts w:hint="eastAsia"/>
        </w:rPr>
        <w:t>注意：</w:t>
      </w:r>
      <w:r>
        <w:rPr>
          <w:rFonts w:hint="eastAsia"/>
          <w:lang w:bidi="ar"/>
        </w:rPr>
        <w:t xml:space="preserve">防脱销轴未退出标准节防脱销孔，启动顶升装置强行使顶升横梁脱离标准节踏步会损坏防脱销轴。 </w:t>
      </w:r>
    </w:p>
    <w:p w14:paraId="1D1FCC5A">
      <w:pPr>
        <w:widowControl/>
        <w:spacing w:line="240" w:lineRule="auto"/>
        <w:ind w:firstLine="0" w:firstLineChars="0"/>
        <w:jc w:val="center"/>
      </w:pPr>
      <w:r>
        <w:rPr>
          <w:rFonts w:ascii="宋体" w:hAnsi="宋体" w:cs="宋体"/>
          <w:kern w:val="0"/>
          <w:szCs w:val="24"/>
          <w:lang w:bidi="ar"/>
        </w:rPr>
        <w:fldChar w:fldCharType="begin"/>
      </w:r>
      <w:r>
        <w:rPr>
          <w:rFonts w:ascii="宋体" w:hAnsi="宋体" w:cs="宋体"/>
          <w:kern w:val="0"/>
          <w:szCs w:val="24"/>
          <w:lang w:bidi="ar"/>
        </w:rPr>
        <w:instrText xml:space="preserve">INCLUDEPICTURE \d "C:\\Users\\Administrator\\AppData\\Roaming\\Tencent\\Users\\406205469\\QQ\\WinTemp\\RichOle\\2[0FSEPH}@I2T60`BY1ILG2.png" \* MERGEFORMATINET </w:instrText>
      </w:r>
      <w:r>
        <w:rPr>
          <w:rFonts w:ascii="宋体" w:hAnsi="宋体" w:cs="宋体"/>
          <w:kern w:val="0"/>
          <w:szCs w:val="24"/>
          <w:lang w:bidi="ar"/>
        </w:rPr>
        <w:fldChar w:fldCharType="separate"/>
      </w:r>
      <w:r>
        <w:rPr>
          <w:rFonts w:ascii="宋体" w:hAnsi="宋体" w:cs="宋体"/>
          <w:kern w:val="0"/>
          <w:szCs w:val="24"/>
          <w:lang w:bidi="ar"/>
        </w:rPr>
        <w:drawing>
          <wp:inline distT="0" distB="0" distL="114300" distR="114300">
            <wp:extent cx="2858770" cy="2228850"/>
            <wp:effectExtent l="0" t="0" r="17780" b="0"/>
            <wp:docPr id="183"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 descr="IMG_256"/>
                    <pic:cNvPicPr>
                      <a:picLocks noChangeAspect="1"/>
                    </pic:cNvPicPr>
                  </pic:nvPicPr>
                  <pic:blipFill>
                    <a:blip r:embed="rId82"/>
                    <a:stretch>
                      <a:fillRect/>
                    </a:stretch>
                  </pic:blipFill>
                  <pic:spPr>
                    <a:xfrm>
                      <a:off x="0" y="0"/>
                      <a:ext cx="2858770" cy="2228850"/>
                    </a:xfrm>
                    <a:prstGeom prst="rect">
                      <a:avLst/>
                    </a:prstGeom>
                    <a:noFill/>
                    <a:ln>
                      <a:noFill/>
                    </a:ln>
                  </pic:spPr>
                </pic:pic>
              </a:graphicData>
            </a:graphic>
          </wp:inline>
        </w:drawing>
      </w:r>
      <w:r>
        <w:rPr>
          <w:rFonts w:ascii="宋体" w:hAnsi="宋体" w:cs="宋体"/>
          <w:kern w:val="0"/>
          <w:szCs w:val="24"/>
          <w:lang w:bidi="ar"/>
        </w:rPr>
        <w:fldChar w:fldCharType="end"/>
      </w:r>
    </w:p>
    <w:p w14:paraId="44CC9AC7">
      <w:pPr>
        <w:widowControl/>
        <w:ind w:firstLine="0" w:firstLineChars="0"/>
        <w:jc w:val="center"/>
        <w:rPr>
          <w:rFonts w:ascii="宋体" w:hAnsi="宋体" w:cs="宋体"/>
          <w:b/>
          <w:bCs/>
          <w:sz w:val="21"/>
        </w:rPr>
      </w:pPr>
      <w:r>
        <w:rPr>
          <w:rFonts w:hint="eastAsia" w:ascii="宋体" w:hAnsi="宋体" w:cs="宋体"/>
          <w:b/>
          <w:bCs/>
          <w:color w:val="000000"/>
          <w:kern w:val="0"/>
          <w:sz w:val="21"/>
          <w:lang w:bidi="ar"/>
        </w:rPr>
        <w:t xml:space="preserve">图 </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STYLEREF 3 \s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7.5.2</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eastAsia="zh-CN" w:bidi="ar"/>
        </w:rPr>
        <w:t>-</w:t>
      </w:r>
      <w:r>
        <w:rPr>
          <w:rFonts w:hint="eastAsia" w:ascii="宋体" w:hAnsi="宋体" w:cs="宋体"/>
          <w:b/>
          <w:bCs/>
          <w:color w:val="000000"/>
          <w:kern w:val="0"/>
          <w:sz w:val="21"/>
          <w:lang w:bidi="ar"/>
        </w:rPr>
        <w:fldChar w:fldCharType="begin"/>
      </w:r>
      <w:r>
        <w:rPr>
          <w:rFonts w:hint="eastAsia" w:ascii="宋体" w:hAnsi="宋体" w:cs="宋体"/>
          <w:b/>
          <w:bCs/>
          <w:color w:val="000000"/>
          <w:kern w:val="0"/>
          <w:sz w:val="21"/>
          <w:lang w:bidi="ar"/>
        </w:rPr>
        <w:instrText xml:space="preserve"> SEQ 图 \* ARABIC \s 3 </w:instrText>
      </w:r>
      <w:r>
        <w:rPr>
          <w:rFonts w:hint="eastAsia" w:ascii="宋体" w:hAnsi="宋体" w:cs="宋体"/>
          <w:b/>
          <w:bCs/>
          <w:color w:val="000000"/>
          <w:kern w:val="0"/>
          <w:sz w:val="21"/>
          <w:lang w:bidi="ar"/>
        </w:rPr>
        <w:fldChar w:fldCharType="separate"/>
      </w:r>
      <w:r>
        <w:rPr>
          <w:rFonts w:hint="eastAsia" w:ascii="宋体" w:hAnsi="宋体" w:cs="宋体"/>
          <w:b/>
          <w:bCs/>
          <w:color w:val="000000"/>
          <w:kern w:val="0"/>
          <w:sz w:val="21"/>
          <w:lang w:bidi="ar"/>
        </w:rPr>
        <w:t>4</w:t>
      </w:r>
      <w:r>
        <w:rPr>
          <w:rFonts w:hint="eastAsia" w:ascii="宋体" w:hAnsi="宋体" w:cs="宋体"/>
          <w:b/>
          <w:bCs/>
          <w:color w:val="000000"/>
          <w:kern w:val="0"/>
          <w:sz w:val="21"/>
          <w:lang w:bidi="ar"/>
        </w:rPr>
        <w:fldChar w:fldCharType="end"/>
      </w:r>
      <w:r>
        <w:rPr>
          <w:rFonts w:hint="eastAsia" w:ascii="宋体" w:hAnsi="宋体" w:cs="宋体"/>
          <w:b/>
          <w:bCs/>
          <w:color w:val="000000"/>
          <w:kern w:val="0"/>
          <w:sz w:val="21"/>
          <w:lang w:val="en-US" w:eastAsia="zh-CN" w:bidi="ar"/>
        </w:rPr>
        <w:t xml:space="preserve"> </w:t>
      </w:r>
      <w:r>
        <w:rPr>
          <w:rFonts w:hint="eastAsia" w:ascii="宋体" w:hAnsi="宋体" w:cs="宋体"/>
          <w:b/>
          <w:bCs/>
          <w:color w:val="000000"/>
          <w:kern w:val="0"/>
          <w:sz w:val="21"/>
          <w:lang w:bidi="ar"/>
        </w:rPr>
        <w:t xml:space="preserve"> 塔机顶升防脱示</w:t>
      </w:r>
      <w:r>
        <w:rPr>
          <w:rFonts w:hint="eastAsia" w:ascii="宋体" w:hAnsi="宋体" w:cs="宋体"/>
          <w:b/>
          <w:bCs/>
          <w:sz w:val="21"/>
        </w:rPr>
        <w:t>意图</w:t>
      </w:r>
    </w:p>
    <w:p w14:paraId="0C38BBE3">
      <w:pPr>
        <w:pStyle w:val="4"/>
        <w:bidi w:val="0"/>
        <w:ind w:left="720" w:leftChars="0" w:hanging="720" w:firstLineChars="0"/>
      </w:pPr>
      <w:r>
        <w:rPr>
          <w:rFonts w:hint="eastAsia"/>
        </w:rPr>
        <w:t>顶升后的收尾工作</w:t>
      </w:r>
    </w:p>
    <w:p w14:paraId="7F668F09">
      <w:pPr>
        <w:ind w:firstLine="560"/>
      </w:pPr>
      <w:r>
        <w:rPr>
          <w:rFonts w:hint="eastAsia"/>
        </w:rPr>
        <w:t>1）顶升结束后利用套架制动块将顶升套架支承在塔身上，收回压缩升油缸。</w:t>
      </w:r>
    </w:p>
    <w:p w14:paraId="4D88D5B6">
      <w:pPr>
        <w:ind w:firstLine="560"/>
      </w:pPr>
      <w:r>
        <w:rPr>
          <w:rFonts w:hint="eastAsia"/>
        </w:rPr>
        <w:t>2）顶升工作全面完成后可以半顶升套架下降到标准节底部或拆除顶升套架，以降低整个塔机的重心和减小迎风面积，沿海及其他风压较大的地区必须将顶升套架下降至塔机底部或拆除顶升套架。</w:t>
      </w:r>
    </w:p>
    <w:p w14:paraId="76403907">
      <w:pPr>
        <w:ind w:firstLine="560"/>
      </w:pPr>
      <w:r>
        <w:rPr>
          <w:rFonts w:hint="eastAsia"/>
        </w:rPr>
        <w:t xml:space="preserve"> 3）顶升完毕后可将引进梁缩回下支座内或者拆除引进梁。以免吊钩在最小幅度工作时碰到。</w:t>
      </w:r>
    </w:p>
    <w:p w14:paraId="232803D1">
      <w:pPr>
        <w:pStyle w:val="2"/>
        <w:bidi w:val="0"/>
        <w:ind w:left="432" w:leftChars="0" w:hanging="432" w:firstLineChars="0"/>
      </w:pPr>
      <w:bookmarkStart w:id="339" w:name="_Toc1101"/>
      <w:r>
        <w:rPr>
          <w:rFonts w:hint="eastAsia"/>
          <w:lang w:eastAsia="zh-CN"/>
        </w:rPr>
        <w:t>XGT6015A-8S</w:t>
      </w:r>
      <w:r>
        <w:rPr>
          <w:rFonts w:hint="eastAsia"/>
        </w:rPr>
        <w:t>塔机拆除施工方案</w:t>
      </w:r>
      <w:bookmarkEnd w:id="281"/>
      <w:bookmarkEnd w:id="282"/>
      <w:bookmarkEnd w:id="283"/>
      <w:bookmarkEnd w:id="284"/>
      <w:bookmarkEnd w:id="285"/>
      <w:bookmarkEnd w:id="286"/>
      <w:bookmarkEnd w:id="287"/>
      <w:bookmarkEnd w:id="288"/>
      <w:bookmarkEnd w:id="289"/>
      <w:bookmarkEnd w:id="339"/>
      <w:bookmarkStart w:id="340" w:name="_Toc1111"/>
      <w:bookmarkStart w:id="341" w:name="_Toc10966"/>
      <w:bookmarkStart w:id="342" w:name="_Toc4778"/>
    </w:p>
    <w:bookmarkEnd w:id="340"/>
    <w:bookmarkEnd w:id="341"/>
    <w:bookmarkEnd w:id="342"/>
    <w:p w14:paraId="0DA7CC90">
      <w:pPr>
        <w:pStyle w:val="3"/>
        <w:bidi w:val="0"/>
        <w:ind w:left="575" w:leftChars="0" w:hanging="575" w:firstLineChars="0"/>
      </w:pPr>
      <w:bookmarkStart w:id="343" w:name="_Toc21949"/>
      <w:bookmarkStart w:id="344" w:name="_Toc32282"/>
      <w:bookmarkStart w:id="345" w:name="_Toc15278"/>
      <w:bookmarkStart w:id="346" w:name="_Toc16065"/>
      <w:bookmarkStart w:id="347" w:name="_Toc8180"/>
      <w:bookmarkStart w:id="348" w:name="_Toc14795"/>
      <w:bookmarkStart w:id="349" w:name="_Toc13282"/>
      <w:bookmarkStart w:id="350" w:name="_Toc10898"/>
      <w:r>
        <w:rPr>
          <w:rFonts w:hint="eastAsia"/>
        </w:rPr>
        <w:t>拆塔前的准备工作</w:t>
      </w:r>
      <w:bookmarkEnd w:id="343"/>
    </w:p>
    <w:p w14:paraId="232ADAE5">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1、对施工现场进行清理，场地拉设安全警戒线。</w:t>
      </w:r>
    </w:p>
    <w:p w14:paraId="312A62DF">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2、由塔机安拆人员对塔机进行检查，检查内容如下：</w:t>
      </w:r>
    </w:p>
    <w:p w14:paraId="5007E52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（1）钢结构件有无严重锈蚀变形开裂与脱焊；</w:t>
      </w:r>
    </w:p>
    <w:p w14:paraId="0A8225B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（2）钢丝绳是否牢固可靠，是否合乎要求，绳扎头是否可靠；</w:t>
      </w:r>
    </w:p>
    <w:p w14:paraId="64B9ACB0">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（3）各部电路及电气元件是否正常；</w:t>
      </w:r>
    </w:p>
    <w:p w14:paraId="2201264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（4）爬升机构导向轮是否转动灵活，与塔机间隙是否合乎要求；</w:t>
      </w:r>
    </w:p>
    <w:p w14:paraId="0ABD7234">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（5）顶升液压装置是否正常；</w:t>
      </w:r>
    </w:p>
    <w:p w14:paraId="77E048B1">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（6）塔机拆除前应认真进行检修、保养，对变形件及时修复。</w:t>
      </w:r>
    </w:p>
    <w:p w14:paraId="27FAD069">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3、按要求做好人员的组织工作。</w:t>
      </w:r>
    </w:p>
    <w:p w14:paraId="6257F646">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4、按要求做好常用工具、索具及材料的配备与检查验收。</w:t>
      </w:r>
    </w:p>
    <w:p w14:paraId="7B1E17E2">
      <w:pPr>
        <w:keepNext w:val="0"/>
        <w:keepLines w:val="0"/>
        <w:pageBreakBefore w:val="0"/>
        <w:widowControl w:val="0"/>
        <w:shd w:val="clear"/>
        <w:kinsoku/>
        <w:wordWrap/>
        <w:overflowPunct/>
        <w:topLinePunct w:val="0"/>
        <w:autoSpaceDE/>
        <w:autoSpaceDN/>
        <w:bidi w:val="0"/>
        <w:adjustRightInd/>
        <w:snapToGrid/>
        <w:spacing w:line="500" w:lineRule="exact"/>
        <w:textAlignment w:val="auto"/>
        <w:rPr>
          <w:rFonts w:hint="eastAsia" w:ascii="宋体" w:hAnsi="宋体" w:eastAsia="仿宋" w:cs="宋体"/>
          <w:color w:val="000000"/>
          <w:kern w:val="0"/>
          <w:sz w:val="28"/>
          <w:szCs w:val="24"/>
          <w:lang w:val="en-US" w:eastAsia="zh-CN" w:bidi="ar-SA"/>
        </w:rPr>
      </w:pPr>
      <w:r>
        <w:rPr>
          <w:rFonts w:hint="eastAsia" w:ascii="宋体" w:hAnsi="宋体" w:eastAsia="仿宋" w:cs="宋体"/>
          <w:color w:val="000000"/>
          <w:kern w:val="0"/>
          <w:sz w:val="28"/>
          <w:szCs w:val="24"/>
          <w:lang w:val="en-US" w:eastAsia="zh-CN" w:bidi="ar-SA"/>
        </w:rPr>
        <w:t>5、由项目部和安拆单位共同对全体作业人员进行安全技术交底。</w:t>
      </w:r>
    </w:p>
    <w:p w14:paraId="1313CC23">
      <w:pPr>
        <w:pStyle w:val="3"/>
        <w:bidi w:val="0"/>
        <w:ind w:left="575" w:leftChars="0" w:hanging="575" w:firstLineChars="0"/>
      </w:pPr>
      <w:bookmarkStart w:id="351" w:name="_Toc20146"/>
      <w:r>
        <w:rPr>
          <w:rFonts w:hint="eastAsia"/>
        </w:rPr>
        <w:t>拆塔注意事项</w:t>
      </w:r>
      <w:bookmarkEnd w:id="344"/>
      <w:bookmarkEnd w:id="345"/>
      <w:bookmarkEnd w:id="346"/>
      <w:bookmarkEnd w:id="347"/>
      <w:bookmarkEnd w:id="348"/>
      <w:bookmarkEnd w:id="349"/>
      <w:bookmarkEnd w:id="350"/>
      <w:bookmarkEnd w:id="351"/>
    </w:p>
    <w:p w14:paraId="798B184D">
      <w:pPr>
        <w:ind w:firstLine="560"/>
        <w:jc w:val="left"/>
      </w:pPr>
      <w:bookmarkStart w:id="352" w:name="_Toc13481"/>
      <w:bookmarkStart w:id="353" w:name="_Toc13438"/>
      <w:r>
        <w:rPr>
          <w:rFonts w:hint="eastAsia"/>
        </w:rPr>
        <w:t>1.塔机拆塔之前，由于顶升机构长时间停止使用，应对各机构特别是对顶升机构进行保养和试运转。</w:t>
      </w:r>
    </w:p>
    <w:p w14:paraId="68304E03">
      <w:pPr>
        <w:ind w:firstLine="560"/>
        <w:jc w:val="left"/>
      </w:pPr>
      <w:r>
        <w:rPr>
          <w:rFonts w:hint="eastAsia"/>
        </w:rPr>
        <w:t>2.在试运转过程中，应该有目的对限位器回转机构的制动器等进行可靠性检查。</w:t>
      </w:r>
    </w:p>
    <w:p w14:paraId="202DB5AA">
      <w:pPr>
        <w:ind w:firstLine="560"/>
        <w:jc w:val="left"/>
      </w:pPr>
      <w:r>
        <w:rPr>
          <w:rFonts w:hint="eastAsia"/>
        </w:rPr>
        <w:t>3.塔机标准节拆除，下支座没有用销轴与塔身连接好前，严禁使用回转机构、牵引机构和起升机构。</w:t>
      </w:r>
    </w:p>
    <w:p w14:paraId="149EF5CE">
      <w:pPr>
        <w:ind w:firstLine="560"/>
        <w:jc w:val="left"/>
      </w:pPr>
      <w:r>
        <w:rPr>
          <w:rFonts w:hint="eastAsia"/>
        </w:rPr>
        <w:t>4.塔机拆卸对顶升机构来说是重载连续作业，应对顶升机构的主要受力件经常检查。</w:t>
      </w:r>
    </w:p>
    <w:p w14:paraId="31489868">
      <w:pPr>
        <w:ind w:firstLine="560"/>
        <w:jc w:val="left"/>
      </w:pPr>
      <w:r>
        <w:rPr>
          <w:rFonts w:hint="eastAsia"/>
        </w:rPr>
        <w:t>5.顶升机构工作时，所有的操作人员应集中精力观察各相对运动件的相对位置是否正常，是否有阻碍爬升架运动的物件。</w:t>
      </w:r>
    </w:p>
    <w:p w14:paraId="490BACF1">
      <w:pPr>
        <w:ind w:firstLine="560"/>
        <w:jc w:val="left"/>
      </w:pPr>
      <w:r>
        <w:rPr>
          <w:rFonts w:hint="eastAsia"/>
        </w:rPr>
        <w:t>6.拆塔时塔机最高处风速应低于 14m/s，由于拆塔时，建筑物已完工，工作场地受限制，应注意工作程序和吊装堆放位置，不可马虎大意。</w:t>
      </w:r>
    </w:p>
    <w:p w14:paraId="5FF66740">
      <w:pPr>
        <w:ind w:firstLine="560"/>
        <w:rPr>
          <w:color w:val="000000"/>
        </w:rPr>
      </w:pPr>
      <w:r>
        <w:rPr>
          <w:rFonts w:hint="eastAsia"/>
          <w:color w:val="000000"/>
        </w:rPr>
        <w:br w:type="page"/>
      </w:r>
    </w:p>
    <w:p w14:paraId="0AE3E9F4">
      <w:pPr>
        <w:pStyle w:val="3"/>
        <w:bidi w:val="0"/>
        <w:ind w:left="575" w:leftChars="0" w:hanging="575" w:firstLineChars="0"/>
      </w:pPr>
      <w:bookmarkStart w:id="354" w:name="_Toc25334"/>
      <w:r>
        <w:rPr>
          <w:rFonts w:hint="eastAsia"/>
        </w:rPr>
        <w:t>拆除总工序</w:t>
      </w:r>
      <w:bookmarkEnd w:id="352"/>
      <w:bookmarkEnd w:id="353"/>
      <w:bookmarkEnd w:id="354"/>
    </w:p>
    <w:p w14:paraId="6492F81A">
      <w:pPr>
        <w:ind w:firstLine="560"/>
        <w:jc w:val="left"/>
      </w:pPr>
      <w:bookmarkStart w:id="355" w:name="_Toc27391"/>
      <w:bookmarkStart w:id="356" w:name="_Toc3998"/>
      <w:r>
        <w:rPr>
          <w:rFonts w:hint="eastAsia"/>
        </w:rPr>
        <w:t>塔机拆卸是一项技术性很强的工作，尤其是塔身节、平衡重、平衡臂、起重臂等部件的拆卸，因此在塔机拆除过程中，应该严格按照拆除方案的拆除流程拆除，严禁违反操作程序，上塔机操作人员应该持证上岗。</w:t>
      </w:r>
    </w:p>
    <w:p w14:paraId="7544DBB4">
      <w:pPr>
        <w:ind w:firstLine="560"/>
        <w:jc w:val="left"/>
      </w:pPr>
      <w:r>
        <w:rPr>
          <w:rFonts w:hint="eastAsia"/>
        </w:rPr>
        <w:t>塔机拆除与塔机安装流程步骤相反，塔机拆除工艺流程：</w:t>
      </w:r>
    </w:p>
    <w:p w14:paraId="6DAD758F">
      <w:pPr>
        <w:ind w:firstLine="560"/>
        <w:jc w:val="left"/>
      </w:pPr>
      <w:r>
        <w:rPr>
          <w:rFonts w:hint="eastAsia"/>
          <w:lang w:eastAsia="zh-CN"/>
        </w:rPr>
        <w:t>XGT6015A-8S</w:t>
      </w:r>
      <w:r>
        <w:rPr>
          <w:rFonts w:hint="eastAsia"/>
        </w:rPr>
        <w:t>塔机拆除流程：</w:t>
      </w:r>
    </w:p>
    <w:p w14:paraId="3283E1D1">
      <w:pPr>
        <w:ind w:firstLine="560"/>
        <w:jc w:val="left"/>
      </w:pPr>
      <w:r>
        <w:rPr>
          <w:rFonts w:hint="eastAsia"/>
        </w:rPr>
        <w:t>降低标准节→拆除平衡臂配重（留</w:t>
      </w:r>
      <w:r>
        <w:rPr>
          <w:rFonts w:hint="eastAsia"/>
          <w:lang w:val="en-US" w:eastAsia="zh-CN"/>
        </w:rPr>
        <w:t>1</w:t>
      </w:r>
      <w:r>
        <w:rPr>
          <w:rFonts w:hint="eastAsia"/>
        </w:rPr>
        <w:t>块 3.2t 配重）→起重臂拆卸→拆卸剩余配重→平衡臂拆除→拆卸起重臂根节→拆卸回转总成→拆卸特殊节→拆卸爬升架及塔身节</w:t>
      </w:r>
    </w:p>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290"/>
    <w:bookmarkEnd w:id="291"/>
    <w:bookmarkEnd w:id="292"/>
    <w:bookmarkEnd w:id="293"/>
    <w:bookmarkEnd w:id="294"/>
    <w:bookmarkEnd w:id="295"/>
    <w:bookmarkEnd w:id="355"/>
    <w:bookmarkEnd w:id="356"/>
    <w:p w14:paraId="087AD3F0">
      <w:pPr>
        <w:pStyle w:val="3"/>
        <w:bidi w:val="0"/>
        <w:ind w:left="575" w:leftChars="0" w:hanging="575" w:firstLineChars="0"/>
      </w:pPr>
      <w:bookmarkStart w:id="357" w:name="_Toc13014"/>
      <w:bookmarkStart w:id="358" w:name="_Toc5111"/>
      <w:bookmarkStart w:id="359" w:name="_Toc14280"/>
      <w:bookmarkStart w:id="360" w:name="_Toc11852"/>
      <w:bookmarkStart w:id="361" w:name="_Toc13892"/>
      <w:bookmarkStart w:id="362" w:name="_Toc25248"/>
      <w:bookmarkStart w:id="363" w:name="_Toc10757"/>
      <w:bookmarkStart w:id="364" w:name="_Toc13863"/>
      <w:bookmarkStart w:id="365" w:name="_Toc8801"/>
      <w:bookmarkStart w:id="366" w:name="_Toc18850"/>
      <w:bookmarkStart w:id="367" w:name="_Toc24350"/>
      <w:bookmarkStart w:id="368" w:name="_Toc13467"/>
      <w:bookmarkStart w:id="369" w:name="_Toc29964"/>
      <w:bookmarkStart w:id="370" w:name="_Toc31806"/>
      <w:bookmarkStart w:id="371" w:name="_Toc25126"/>
      <w:bookmarkStart w:id="372" w:name="_Toc87114080"/>
      <w:r>
        <w:rPr>
          <w:rFonts w:hint="eastAsia"/>
        </w:rPr>
        <w:t>拆塔</w:t>
      </w:r>
      <w:bookmarkEnd w:id="357"/>
      <w:bookmarkEnd w:id="358"/>
    </w:p>
    <w:p w14:paraId="6B215CD3">
      <w:pPr>
        <w:ind w:firstLine="560"/>
        <w:jc w:val="left"/>
      </w:pPr>
      <w:r>
        <w:rPr>
          <w:rFonts w:hint="eastAsia"/>
        </w:rPr>
        <w:t>将塔机降低至安装高度后（降塔时遇到附着先拆除附着在继续降塔），利用</w:t>
      </w:r>
      <w:r>
        <w:rPr>
          <w:rFonts w:hint="eastAsia"/>
          <w:lang w:eastAsia="zh-CN"/>
        </w:rPr>
        <w:t>25T</w:t>
      </w:r>
      <w:r>
        <w:rPr>
          <w:rFonts w:hint="eastAsia"/>
        </w:rPr>
        <w:t>汽车吊将塔机按步骤拆除。</w:t>
      </w:r>
    </w:p>
    <w:p w14:paraId="79F30528">
      <w:pPr>
        <w:pStyle w:val="4"/>
        <w:bidi w:val="0"/>
        <w:ind w:left="720" w:leftChars="0" w:hanging="720" w:firstLineChars="0"/>
      </w:pPr>
      <w:r>
        <w:rPr>
          <w:rFonts w:hint="eastAsia"/>
        </w:rPr>
        <w:t>降塔</w:t>
      </w:r>
    </w:p>
    <w:p w14:paraId="7B19CF21">
      <w:pPr>
        <w:pStyle w:val="15"/>
        <w:ind w:firstLine="560"/>
        <w:rPr>
          <w:rFonts w:hint="default"/>
        </w:rPr>
      </w:pPr>
      <w:r>
        <w:t xml:space="preserve">（1）将起重臂回转到引进方向（爬升架中有开口的一侧），使回转制动器处于制动状态，载重小车停在配平位置（与立塔顶升加节时载重小车的配平位置一致）。 </w:t>
      </w:r>
    </w:p>
    <w:p w14:paraId="282C3214">
      <w:pPr>
        <w:pStyle w:val="15"/>
        <w:ind w:firstLine="560"/>
        <w:rPr>
          <w:rFonts w:hint="default"/>
        </w:rPr>
      </w:pPr>
      <w:r>
        <w:t>（2）拆掉最上面塔身标准节与特殊节的连接螺栓，稍稍向上顶升，将引进轮按规定方向放至到标准节下方，并保证安全可靠；然后拆掉最上面的塔身标准节与下一节标准节的连接螺栓。</w:t>
      </w:r>
    </w:p>
    <w:p w14:paraId="428A044E">
      <w:pPr>
        <w:pStyle w:val="15"/>
        <w:ind w:firstLine="560"/>
        <w:rPr>
          <w:rFonts w:hint="default"/>
        </w:rPr>
      </w:pPr>
      <w:r>
        <w:t xml:space="preserve">（3）伸长顶升油缸，将顶升横梁顶在从上往下数第三个踏步的圆弧槽内，插好防脱销，将上部结构稍稍顶起，把特殊节与爬升架连接耳板销孔对正，打入销轴，并装好开口销。 </w:t>
      </w:r>
    </w:p>
    <w:p w14:paraId="43D3F269">
      <w:pPr>
        <w:pStyle w:val="15"/>
        <w:ind w:firstLine="560"/>
        <w:rPr>
          <w:rFonts w:hint="default"/>
        </w:rPr>
      </w:pPr>
      <w:r>
        <w:t xml:space="preserve">（4）拆掉最上面塔身标准节与特殊节的连接螺栓，稍稍向上顶升，并保证安全可靠；然后拆掉最上面的塔身标准节与下一节标准节的连接螺栓，并在四角安装上引进轮； </w:t>
      </w:r>
    </w:p>
    <w:p w14:paraId="35078A53">
      <w:pPr>
        <w:pStyle w:val="15"/>
        <w:ind w:firstLine="560"/>
        <w:rPr>
          <w:rFonts w:hint="default"/>
        </w:rPr>
      </w:pPr>
      <w:r>
        <w:t xml:space="preserve">（5）继续顶升至最上面标准节与下方标准节离开，把标准节推出引进横梁并支稳（推出时且不可用力过猛，以免标准节冲出引进梁而倾翻，造成事故）。 </w:t>
      </w:r>
    </w:p>
    <w:p w14:paraId="7D52665E">
      <w:pPr>
        <w:pStyle w:val="15"/>
        <w:ind w:firstLine="560"/>
        <w:rPr>
          <w:rFonts w:hint="default"/>
        </w:rPr>
      </w:pPr>
      <w:r>
        <w:t xml:space="preserve">（6）扳开活动爬爪，回缩油缸，让活动爬爪躲过距它最近的一对踏步后，复位放平，继续下降至活动爬爪支承在下一对踏步上并支承住上部结构后，退出防脱销，再回缩油缸至顶升横梁从踏步上移开。 </w:t>
      </w:r>
    </w:p>
    <w:p w14:paraId="5D2E2AA5">
      <w:pPr>
        <w:pStyle w:val="15"/>
        <w:ind w:firstLine="560"/>
        <w:rPr>
          <w:rFonts w:hint="default"/>
        </w:rPr>
      </w:pPr>
      <w:r>
        <w:t>（7）伸出油缸，将顶升横梁顶在下一对踏步上，插好防脱销，稍微顶升至爬爪翻转时能躲过原来支承的踏步后停止，拨开爬爪，回缩油缸，至下一标准节与特殊节相接触时为止，若连接套螺栓孔错位，可用随机爬升架调节工具调节到位（严禁用载重小车调位或打回转调整）。</w:t>
      </w:r>
    </w:p>
    <w:p w14:paraId="4F26D794">
      <w:pPr>
        <w:pStyle w:val="15"/>
        <w:ind w:firstLine="560"/>
        <w:rPr>
          <w:rFonts w:hint="default"/>
        </w:rPr>
      </w:pPr>
      <w:r>
        <w:t>（8）将特殊节与塔身标准节之间用</w:t>
      </w:r>
      <w:r>
        <w:rPr>
          <w:rFonts w:hint="eastAsia"/>
          <w:lang w:eastAsia="zh-CN"/>
        </w:rPr>
        <w:t>销轴</w:t>
      </w:r>
      <w:r>
        <w:t xml:space="preserve">紧固牢，用小车吊钩将标准节吊至地面。 </w:t>
      </w:r>
    </w:p>
    <w:p w14:paraId="2029283A">
      <w:pPr>
        <w:pStyle w:val="15"/>
        <w:ind w:firstLine="560"/>
        <w:rPr>
          <w:rFonts w:hint="default"/>
        </w:rPr>
      </w:pPr>
      <w:r>
        <w:t xml:space="preserve">（9）重复上述动作，将塔身标准节依次拆下。 </w:t>
      </w:r>
    </w:p>
    <w:p w14:paraId="65F8FC47">
      <w:pPr>
        <w:pStyle w:val="15"/>
        <w:ind w:firstLine="560"/>
        <w:rPr>
          <w:rFonts w:hint="default"/>
        </w:rPr>
      </w:pPr>
      <w:r>
        <w:t xml:space="preserve">注意：爬升架下落过程中，需用人工翻转挂靴，同时派专人看管顶升横梁和导轮，观察爬升架下降时有无被障碍物卡住的现象，以便爬升架能顺利下降，否则将造成受力不均，容易造成顶升故障。 </w:t>
      </w:r>
    </w:p>
    <w:p w14:paraId="1BF32D60">
      <w:pPr>
        <w:pStyle w:val="4"/>
        <w:bidi w:val="0"/>
        <w:ind w:left="720" w:leftChars="0" w:hanging="720" w:firstLineChars="0"/>
      </w:pPr>
      <w:r>
        <w:rPr>
          <w:rFonts w:hint="eastAsia"/>
        </w:rPr>
        <w:t>拆除平衡重</w:t>
      </w:r>
    </w:p>
    <w:p w14:paraId="5B207FD5">
      <w:pPr>
        <w:ind w:firstLine="560"/>
        <w:jc w:val="left"/>
      </w:pPr>
      <w:r>
        <w:rPr>
          <w:rFonts w:hint="eastAsia"/>
        </w:rPr>
        <w:t>将载重小车固定在起重臂根部，借助</w:t>
      </w:r>
      <w:r>
        <w:rPr>
          <w:rFonts w:hint="eastAsia"/>
          <w:lang w:eastAsia="zh-CN"/>
        </w:rPr>
        <w:t>25T</w:t>
      </w:r>
      <w:r>
        <w:rPr>
          <w:rFonts w:hint="eastAsia"/>
        </w:rPr>
        <w:t>汽车吊拆卸配重，拆配重顺序与装配重顺序相反。</w:t>
      </w:r>
    </w:p>
    <w:p w14:paraId="08D504EB">
      <w:pPr>
        <w:pStyle w:val="4"/>
        <w:bidi w:val="0"/>
        <w:ind w:left="720" w:leftChars="0" w:hanging="720" w:firstLineChars="0"/>
      </w:pPr>
      <w:r>
        <w:rPr>
          <w:rFonts w:hint="eastAsia"/>
        </w:rPr>
        <w:t>起重臂拆除</w:t>
      </w:r>
    </w:p>
    <w:p w14:paraId="6F2A6C7B">
      <w:pPr>
        <w:ind w:firstLine="560"/>
        <w:jc w:val="left"/>
      </w:pPr>
      <w:r>
        <w:rPr>
          <w:rFonts w:hint="eastAsia"/>
        </w:rPr>
        <w:t>放下吊钩至地面，拆除起重钢丝绳与起重臂前端上的防扭装置，开动起升机构回收全部钢丝绳。然后将钢丝绳绑在安装起重臂的位置，吊起起重臂，使起重臂靠近塔顶拉杆，拆去起重臂拉杆与塔顶板的连接销轴，放下拉杆至起重臂上固定，拆去钢丝绳，拆掉起重臂与塔头的连接销轴，放下起重臂搁置在垫有枕木的支座上。</w:t>
      </w:r>
    </w:p>
    <w:p w14:paraId="4990A4F7">
      <w:pPr>
        <w:pStyle w:val="4"/>
        <w:bidi w:val="0"/>
        <w:ind w:left="720" w:leftChars="0" w:hanging="720" w:firstLineChars="0"/>
      </w:pPr>
      <w:r>
        <w:rPr>
          <w:rFonts w:hint="eastAsia"/>
        </w:rPr>
        <w:t>平衡臂拆除</w:t>
      </w:r>
    </w:p>
    <w:p w14:paraId="4D15825A">
      <w:pPr>
        <w:ind w:firstLine="560"/>
        <w:jc w:val="left"/>
      </w:pPr>
      <w:r>
        <w:rPr>
          <w:rFonts w:hint="eastAsia"/>
        </w:rPr>
        <w:t>将配重全部吊下，然后通过平衡臂上的四个安装吊耳吊起平衡臂，使平衡臂拉杆处于放松状态，拆下拉杆连接销轴，然后拆掉平衡臂与</w:t>
      </w:r>
      <w:r>
        <w:rPr>
          <w:rFonts w:hint="eastAsia"/>
          <w:lang w:val="en-US" w:eastAsia="zh-CN"/>
        </w:rPr>
        <w:t>起重臂臂根</w:t>
      </w:r>
      <w:r>
        <w:rPr>
          <w:rFonts w:hint="eastAsia"/>
        </w:rPr>
        <w:t>的连接销轴，将平衡臂平稳放至地面上。</w:t>
      </w:r>
    </w:p>
    <w:p w14:paraId="4D36A2BE">
      <w:pPr>
        <w:pStyle w:val="4"/>
        <w:bidi w:val="0"/>
        <w:ind w:left="720" w:leftChars="0" w:hanging="720" w:firstLineChars="0"/>
      </w:pPr>
      <w:r>
        <w:rPr>
          <w:rFonts w:hint="eastAsia"/>
        </w:rPr>
        <w:t>拆卸起重臂根节</w:t>
      </w:r>
    </w:p>
    <w:p w14:paraId="440E2A04">
      <w:pPr>
        <w:ind w:firstLine="560"/>
        <w:jc w:val="left"/>
      </w:pPr>
      <w:r>
        <w:rPr>
          <w:rFonts w:hint="eastAsia"/>
        </w:rPr>
        <w:t>拆起重臂根节前，先检查与相邻的组件之间是否还有电缆连接，拆掉起重臂根节与回转之间的销轴然后吊放至地面。</w:t>
      </w:r>
    </w:p>
    <w:p w14:paraId="6E6EB0DE">
      <w:pPr>
        <w:pStyle w:val="4"/>
        <w:bidi w:val="0"/>
        <w:ind w:left="720" w:leftChars="0" w:hanging="720" w:firstLineChars="0"/>
      </w:pPr>
      <w:r>
        <w:rPr>
          <w:rFonts w:hint="eastAsia"/>
        </w:rPr>
        <w:t>拆掉回转塔身总成</w:t>
      </w:r>
    </w:p>
    <w:p w14:paraId="2784378D">
      <w:pPr>
        <w:ind w:firstLine="560"/>
        <w:jc w:val="left"/>
      </w:pPr>
      <w:r>
        <w:rPr>
          <w:rFonts w:hint="eastAsia"/>
        </w:rPr>
        <w:t>拆卸回转塔身与上支座的连接销轴，然后吊起卸下。</w:t>
      </w:r>
    </w:p>
    <w:p w14:paraId="1653DC4A">
      <w:pPr>
        <w:pStyle w:val="4"/>
        <w:bidi w:val="0"/>
        <w:ind w:left="720" w:leftChars="0" w:hanging="720" w:firstLineChars="0"/>
      </w:pPr>
      <w:r>
        <w:rPr>
          <w:rFonts w:hint="eastAsia"/>
        </w:rPr>
        <w:t>拆掉回转总成</w:t>
      </w:r>
    </w:p>
    <w:p w14:paraId="2A36C1F9">
      <w:pPr>
        <w:ind w:firstLine="560"/>
        <w:jc w:val="left"/>
      </w:pPr>
      <w:r>
        <w:rPr>
          <w:rFonts w:hint="eastAsia"/>
        </w:rPr>
        <w:t>拆掉下支座与塔身的连接销轴，伸长顶升油缸，将顶升横梁顶在踏步的圆弧槽内并稍稍顶紧，拆掉下支座与爬升架的连接销轴，回缩顶升油缸，将爬升架的爬爪支承在塔身上，用吊索将回转总成吊起卸下。</w:t>
      </w:r>
    </w:p>
    <w:p w14:paraId="11BC450D">
      <w:pPr>
        <w:pStyle w:val="4"/>
        <w:bidi w:val="0"/>
        <w:ind w:left="720" w:leftChars="0" w:hanging="720" w:firstLineChars="0"/>
      </w:pPr>
      <w:r>
        <w:rPr>
          <w:rFonts w:hint="eastAsia"/>
        </w:rPr>
        <w:t>拆掉特殊节</w:t>
      </w:r>
    </w:p>
    <w:p w14:paraId="7EB1C428">
      <w:pPr>
        <w:ind w:firstLine="560"/>
      </w:pPr>
      <w:r>
        <w:rPr>
          <w:rFonts w:hint="eastAsia"/>
        </w:rPr>
        <w:t>按照降塔的步骤，伸长顶升油缸，将顶升横梁轴销落入踏步的圆弧槽内，拆掉特殊节座与爬升架的连接销轴，回缩顶升油缸，将爬升架的爬爪支承在塔身上，拆卸前，检查与相邻的组件之间是否还有电缆连接，然后用起重机吊起特殊节，拆下特殊节与塔身的连接螺栓，将特殊节用吊索平稳放至地面上。</w:t>
      </w:r>
    </w:p>
    <w:p w14:paraId="04BF3AD4">
      <w:pPr>
        <w:pStyle w:val="4"/>
        <w:bidi w:val="0"/>
        <w:ind w:left="720" w:leftChars="0" w:hanging="720" w:firstLineChars="0"/>
      </w:pPr>
      <w:r>
        <w:rPr>
          <w:rFonts w:hint="eastAsia"/>
        </w:rPr>
        <w:t>拆掉爬升架和塔身标准节</w:t>
      </w:r>
    </w:p>
    <w:p w14:paraId="37409A14">
      <w:pPr>
        <w:ind w:firstLine="560"/>
        <w:jc w:val="left"/>
      </w:pPr>
      <w:r>
        <w:rPr>
          <w:rFonts w:hint="eastAsia"/>
        </w:rPr>
        <w:t>吊起爬升架，缓缓沿标准节主弦杆吊出，放至地面然后拆除塔身节。</w:t>
      </w:r>
    </w:p>
    <w:p w14:paraId="4463BA8C">
      <w:pPr>
        <w:ind w:firstLine="562"/>
        <w:jc w:val="left"/>
        <w:rPr>
          <w:b/>
          <w:bCs/>
        </w:rPr>
      </w:pPr>
      <w:r>
        <w:rPr>
          <w:rFonts w:hint="eastAsia"/>
          <w:b/>
          <w:bCs/>
        </w:rPr>
        <w:t>注：塔机拆除后，由工程技术人员和专业维修人员检查受力结构件的金属疲劳，焊缝裂纹，结构变形等情况，检查塔机各零部件是否有损坏或碰伤。检查完毕后对缺陷隐患进行修复，在进行防锈刷漆处。</w:t>
      </w:r>
    </w:p>
    <w:p w14:paraId="0DAFA309">
      <w:pPr>
        <w:pStyle w:val="2"/>
        <w:bidi w:val="0"/>
        <w:ind w:left="432" w:leftChars="0" w:hanging="432" w:firstLineChars="0"/>
      </w:pPr>
      <w:bookmarkStart w:id="373" w:name="_Toc13821"/>
      <w:r>
        <w:rPr>
          <w:rFonts w:hint="eastAsia"/>
          <w:lang w:val="en-US" w:eastAsia="zh-CN"/>
        </w:rPr>
        <w:t>T7020-12</w:t>
      </w:r>
      <w:r>
        <w:rPr>
          <w:rFonts w:hint="eastAsia"/>
        </w:rPr>
        <w:t>塔机拆除施工</w:t>
      </w:r>
      <w:r>
        <w:rPr>
          <w:rFonts w:hint="eastAsia"/>
          <w:lang w:val="en-US" w:eastAsia="zh-CN"/>
        </w:rPr>
        <w:t>方案</w:t>
      </w:r>
      <w:bookmarkEnd w:id="373"/>
    </w:p>
    <w:p w14:paraId="27AA6D45">
      <w:pPr>
        <w:pStyle w:val="3"/>
        <w:bidi w:val="0"/>
        <w:ind w:left="575" w:leftChars="0" w:hanging="575" w:firstLineChars="0"/>
      </w:pPr>
      <w:bookmarkStart w:id="374" w:name="_Toc30077"/>
      <w:r>
        <w:rPr>
          <w:rFonts w:hint="eastAsia"/>
        </w:rPr>
        <w:t>拆塔前的准备工作</w:t>
      </w:r>
      <w:bookmarkEnd w:id="374"/>
    </w:p>
    <w:p w14:paraId="5B58C45D">
      <w:pPr>
        <w:numPr>
          <w:ilvl w:val="0"/>
          <w:numId w:val="8"/>
        </w:numPr>
        <w:ind w:left="0" w:leftChars="0" w:firstLine="0" w:firstLineChars="0"/>
        <w:rPr>
          <w:rFonts w:hint="eastAsia"/>
          <w:lang w:val="en-US" w:eastAsia="zh-CN"/>
        </w:rPr>
      </w:pPr>
      <w:r>
        <w:rPr>
          <w:rFonts w:hint="eastAsia"/>
          <w:lang w:val="en-US" w:eastAsia="zh-CN"/>
        </w:rPr>
        <w:t>拆卸塔机需要借助汽车吊，汽车吊的起重性能要与现场位置和所吊部件相适应，请根据现场位置和吊装部件重量确定汽车吊的大小;</w:t>
      </w:r>
    </w:p>
    <w:p w14:paraId="4274CA17">
      <w:pPr>
        <w:numPr>
          <w:ilvl w:val="0"/>
          <w:numId w:val="8"/>
        </w:numPr>
        <w:ind w:left="0" w:leftChars="0" w:firstLine="0" w:firstLineChars="0"/>
        <w:rPr>
          <w:rFonts w:hint="eastAsia"/>
          <w:lang w:val="en-US" w:eastAsia="zh-CN"/>
        </w:rPr>
      </w:pPr>
      <w:r>
        <w:rPr>
          <w:rFonts w:hint="eastAsia"/>
          <w:lang w:val="en-US" w:eastAsia="zh-CN"/>
        </w:rPr>
        <w:t>应特别注意当拆卸平衡重、起重臂和平衡臂等部件时必须遵守拆卸程序,以防止拆开某一部件时塔机的其余部分有失去平衡的危险:</w:t>
      </w:r>
    </w:p>
    <w:p w14:paraId="6A0896FA">
      <w:pPr>
        <w:numPr>
          <w:ilvl w:val="0"/>
          <w:numId w:val="8"/>
        </w:numPr>
        <w:ind w:left="0" w:leftChars="0" w:firstLine="0" w:firstLineChars="0"/>
        <w:rPr>
          <w:rFonts w:hint="eastAsia"/>
          <w:lang w:val="en-US" w:eastAsia="zh-CN"/>
        </w:rPr>
      </w:pPr>
      <w:r>
        <w:rPr>
          <w:rFonts w:hint="eastAsia"/>
          <w:lang w:val="en-US" w:eastAsia="zh-CN"/>
        </w:rPr>
        <w:t>保证没有障碍物妨碍操作;</w:t>
      </w:r>
    </w:p>
    <w:p w14:paraId="17D5121B">
      <w:pPr>
        <w:numPr>
          <w:ilvl w:val="0"/>
          <w:numId w:val="8"/>
        </w:numPr>
        <w:ind w:left="0" w:leftChars="0" w:firstLine="0" w:firstLineChars="0"/>
        <w:rPr>
          <w:rFonts w:hint="eastAsia"/>
          <w:lang w:val="en-US" w:eastAsia="zh-CN"/>
        </w:rPr>
      </w:pPr>
      <w:r>
        <w:rPr>
          <w:rFonts w:hint="eastAsia"/>
          <w:lang w:val="en-US" w:eastAsia="zh-CN"/>
        </w:rPr>
        <w:t>检查顶升油缸，液压泵，控制阀工作是否正常;</w:t>
      </w:r>
    </w:p>
    <w:p w14:paraId="7D6CBD68">
      <w:pPr>
        <w:numPr>
          <w:ilvl w:val="0"/>
          <w:numId w:val="8"/>
        </w:numPr>
        <w:ind w:left="0" w:leftChars="0" w:firstLine="0" w:firstLineChars="0"/>
        <w:rPr>
          <w:rFonts w:hint="eastAsia"/>
          <w:lang w:val="en-US" w:eastAsia="zh-CN"/>
        </w:rPr>
      </w:pPr>
      <w:r>
        <w:rPr>
          <w:rFonts w:hint="eastAsia"/>
          <w:lang w:val="en-US" w:eastAsia="zh-CN"/>
        </w:rPr>
        <w:t>将套架升至塔身顶部，并将四个角与下支座套架梁连接好;</w:t>
      </w:r>
    </w:p>
    <w:p w14:paraId="1A92DAA8">
      <w:pPr>
        <w:pStyle w:val="3"/>
        <w:bidi w:val="0"/>
        <w:ind w:left="575" w:leftChars="0" w:hanging="575" w:firstLineChars="0"/>
      </w:pPr>
      <w:bookmarkStart w:id="375" w:name="_Toc14385"/>
      <w:r>
        <w:rPr>
          <w:rFonts w:hint="eastAsia"/>
        </w:rPr>
        <w:t>拆塔注意事项</w:t>
      </w:r>
      <w:bookmarkEnd w:id="375"/>
    </w:p>
    <w:p w14:paraId="42A6B26C">
      <w:pPr>
        <w:numPr>
          <w:ilvl w:val="0"/>
          <w:numId w:val="9"/>
        </w:numPr>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拆卸作业前必须仔细阅读本说明书，并按本说明书中拆卸顺序进行;</w:t>
      </w:r>
    </w:p>
    <w:p w14:paraId="35663746">
      <w:pPr>
        <w:numPr>
          <w:ilvl w:val="0"/>
          <w:numId w:val="9"/>
        </w:numPr>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拆卸必须由专业且富有经验的</w:t>
      </w:r>
      <w:r>
        <w:rPr>
          <w:rFonts w:hint="eastAsia" w:cs="Times New Roman"/>
          <w:lang w:val="en-US" w:eastAsia="zh-CN"/>
        </w:rPr>
        <w:t>拆除</w:t>
      </w:r>
      <w:r>
        <w:rPr>
          <w:rFonts w:hint="eastAsia" w:ascii="Times New Roman" w:hAnsi="Times New Roman" w:cs="Times New Roman"/>
          <w:lang w:val="en-US" w:eastAsia="zh-CN"/>
        </w:rPr>
        <w:t>人员进行，拆卸时必须要有固定的地面指挥人员，</w:t>
      </w:r>
      <w:r>
        <w:rPr>
          <w:rFonts w:hint="eastAsia" w:cs="Times New Roman"/>
          <w:lang w:val="en-US" w:eastAsia="zh-CN"/>
        </w:rPr>
        <w:t>拆除</w:t>
      </w:r>
      <w:r>
        <w:rPr>
          <w:rFonts w:hint="eastAsia" w:ascii="Times New Roman" w:hAnsi="Times New Roman" w:cs="Times New Roman"/>
          <w:lang w:val="en-US" w:eastAsia="zh-CN"/>
        </w:rPr>
        <w:t>人员必须认真负责，注意各种作业的安全规程;</w:t>
      </w:r>
    </w:p>
    <w:p w14:paraId="18BA9D79">
      <w:pPr>
        <w:numPr>
          <w:ilvl w:val="0"/>
          <w:numId w:val="9"/>
        </w:numPr>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在风速超过 10m/s 的情况下塔机不得进行拆卸作业;</w:t>
      </w:r>
    </w:p>
    <w:p w14:paraId="41A8A4A8">
      <w:pPr>
        <w:numPr>
          <w:ilvl w:val="0"/>
          <w:numId w:val="9"/>
        </w:numPr>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平衡臂和起重臂的拆卸应连续作业，不允许停顿时间过长，更不允许隔天进行，以避免出现事故;</w:t>
      </w:r>
    </w:p>
    <w:p w14:paraId="6BAEC715">
      <w:pPr>
        <w:numPr>
          <w:ilvl w:val="0"/>
          <w:numId w:val="9"/>
        </w:numPr>
        <w:ind w:left="0" w:leftChars="0" w:firstLine="0" w:firstLineChars="0"/>
        <w:rPr>
          <w:rFonts w:hint="eastAsia" w:ascii="Times New Roman" w:hAnsi="Times New Roman" w:cs="Times New Roman"/>
          <w:lang w:val="en-US" w:eastAsia="zh-CN"/>
        </w:rPr>
      </w:pPr>
      <w:r>
        <w:rPr>
          <w:rFonts w:hint="eastAsia" w:ascii="Times New Roman" w:hAnsi="Times New Roman" w:cs="Times New Roman"/>
          <w:lang w:val="en-US" w:eastAsia="zh-CN"/>
        </w:rPr>
        <w:t>使用辅助吊拆卸塔机时必须注意安全:</w:t>
      </w:r>
    </w:p>
    <w:p w14:paraId="1597C59E">
      <w:pPr>
        <w:keepNext w:val="0"/>
        <w:keepLines w:val="0"/>
        <w:pageBreakBefore w:val="0"/>
        <w:widowControl w:val="0"/>
        <w:numPr>
          <w:ilvl w:val="0"/>
          <w:numId w:val="10"/>
        </w:numPr>
        <w:kinsoku/>
        <w:wordWrap/>
        <w:overflowPunct/>
        <w:topLinePunct w:val="0"/>
        <w:autoSpaceDE/>
        <w:autoSpaceDN/>
        <w:bidi w:val="0"/>
        <w:adjustRightInd/>
        <w:snapToGrid/>
        <w:ind w:left="985" w:leftChars="200" w:hanging="425" w:firstLineChars="0"/>
        <w:textAlignment w:val="auto"/>
        <w:rPr>
          <w:rFonts w:hint="eastAsia"/>
          <w:lang w:val="en-US" w:eastAsia="zh-CN"/>
        </w:rPr>
      </w:pPr>
      <w:r>
        <w:rPr>
          <w:rFonts w:hint="eastAsia"/>
          <w:lang w:val="en-US" w:eastAsia="zh-CN"/>
        </w:rPr>
        <w:t>将辅助吊支好;</w:t>
      </w:r>
    </w:p>
    <w:p w14:paraId="33A31BD7">
      <w:pPr>
        <w:keepNext w:val="0"/>
        <w:keepLines w:val="0"/>
        <w:pageBreakBefore w:val="0"/>
        <w:widowControl w:val="0"/>
        <w:numPr>
          <w:ilvl w:val="0"/>
          <w:numId w:val="10"/>
        </w:numPr>
        <w:kinsoku/>
        <w:wordWrap/>
        <w:overflowPunct/>
        <w:topLinePunct w:val="0"/>
        <w:autoSpaceDE/>
        <w:autoSpaceDN/>
        <w:bidi w:val="0"/>
        <w:adjustRightInd/>
        <w:snapToGrid/>
        <w:ind w:left="985" w:leftChars="200" w:hanging="425" w:firstLineChars="0"/>
        <w:textAlignment w:val="auto"/>
        <w:rPr>
          <w:rFonts w:hint="eastAsia"/>
          <w:lang w:val="en-US" w:eastAsia="zh-CN"/>
        </w:rPr>
      </w:pPr>
      <w:r>
        <w:rPr>
          <w:rFonts w:hint="eastAsia"/>
          <w:lang w:val="en-US" w:eastAsia="zh-CN"/>
        </w:rPr>
        <w:t>严禁超载;</w:t>
      </w:r>
    </w:p>
    <w:p w14:paraId="38AA178C">
      <w:pPr>
        <w:keepNext w:val="0"/>
        <w:keepLines w:val="0"/>
        <w:pageBreakBefore w:val="0"/>
        <w:widowControl w:val="0"/>
        <w:numPr>
          <w:ilvl w:val="0"/>
          <w:numId w:val="10"/>
        </w:numPr>
        <w:kinsoku/>
        <w:wordWrap/>
        <w:overflowPunct/>
        <w:topLinePunct w:val="0"/>
        <w:autoSpaceDE/>
        <w:autoSpaceDN/>
        <w:bidi w:val="0"/>
        <w:adjustRightInd/>
        <w:snapToGrid/>
        <w:ind w:left="985" w:leftChars="200" w:hanging="425" w:firstLineChars="0"/>
        <w:textAlignment w:val="auto"/>
        <w:rPr>
          <w:rFonts w:hint="eastAsia"/>
          <w:lang w:val="en-US" w:eastAsia="zh-CN"/>
        </w:rPr>
      </w:pPr>
      <w:r>
        <w:rPr>
          <w:rFonts w:hint="eastAsia"/>
          <w:lang w:val="en-US" w:eastAsia="zh-CN"/>
        </w:rPr>
        <w:t>吊具良好，并根据起吊部件重量选择合适的幅度，注意吊点位置。</w:t>
      </w:r>
    </w:p>
    <w:p w14:paraId="2E811422">
      <w:pPr>
        <w:pStyle w:val="3"/>
        <w:bidi w:val="0"/>
        <w:ind w:left="575" w:leftChars="0" w:hanging="575" w:firstLineChars="0"/>
      </w:pPr>
      <w:bookmarkStart w:id="376" w:name="_Toc22183"/>
      <w:r>
        <w:rPr>
          <w:rFonts w:hint="eastAsia"/>
        </w:rPr>
        <w:t>拆除总工序</w:t>
      </w:r>
      <w:bookmarkEnd w:id="376"/>
    </w:p>
    <w:p w14:paraId="30D1F6C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200"/>
        <w:textAlignment w:val="auto"/>
      </w:pPr>
      <w:r>
        <w:drawing>
          <wp:inline distT="0" distB="0" distL="114300" distR="114300">
            <wp:extent cx="5202555" cy="3575685"/>
            <wp:effectExtent l="0" t="0" r="17145" b="5715"/>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162"/>
                    <a:stretch>
                      <a:fillRect/>
                    </a:stretch>
                  </pic:blipFill>
                  <pic:spPr>
                    <a:xfrm>
                      <a:off x="0" y="0"/>
                      <a:ext cx="5202555" cy="3575685"/>
                    </a:xfrm>
                    <a:prstGeom prst="rect">
                      <a:avLst/>
                    </a:prstGeom>
                    <a:noFill/>
                    <a:ln>
                      <a:noFill/>
                    </a:ln>
                  </pic:spPr>
                </pic:pic>
              </a:graphicData>
            </a:graphic>
          </wp:inline>
        </w:drawing>
      </w:r>
    </w:p>
    <w:p w14:paraId="6A38ED03">
      <w:pPr>
        <w:pStyle w:val="3"/>
        <w:bidi w:val="0"/>
        <w:ind w:left="575" w:leftChars="0" w:hanging="575" w:firstLineChars="0"/>
      </w:pPr>
      <w:bookmarkStart w:id="377" w:name="_Toc18688"/>
      <w:r>
        <w:rPr>
          <w:rFonts w:hint="eastAsia"/>
        </w:rPr>
        <w:t>拆</w:t>
      </w:r>
      <w:r>
        <w:rPr>
          <w:rFonts w:hint="eastAsia"/>
          <w:lang w:val="en-US" w:eastAsia="zh-CN"/>
        </w:rPr>
        <w:t>塔</w:t>
      </w:r>
      <w:bookmarkEnd w:id="377"/>
    </w:p>
    <w:p w14:paraId="0043FC97">
      <w:pPr>
        <w:pStyle w:val="4"/>
        <w:bidi w:val="0"/>
        <w:ind w:left="720" w:leftChars="0" w:hanging="720" w:firstLineChars="0"/>
      </w:pPr>
      <w:r>
        <w:rPr>
          <w:rFonts w:hint="eastAsia"/>
        </w:rPr>
        <w:t>降塔</w:t>
      </w:r>
    </w:p>
    <w:p w14:paraId="62478BDF">
      <w:pPr>
        <w:numPr>
          <w:ilvl w:val="0"/>
          <w:numId w:val="11"/>
        </w:numPr>
        <w:ind w:firstLine="560"/>
        <w:jc w:val="left"/>
        <w:rPr>
          <w:rFonts w:hint="eastAsia" w:ascii="Times New Roman" w:hAnsi="Times New Roman" w:cs="Times New Roman"/>
          <w:lang w:val="en-US" w:eastAsia="zh-CN"/>
        </w:rPr>
      </w:pPr>
      <w:r>
        <w:rPr>
          <w:rFonts w:hint="eastAsia" w:ascii="Times New Roman" w:hAnsi="Times New Roman" w:cs="Times New Roman"/>
          <w:lang w:val="en-US" w:eastAsia="zh-CN"/>
        </w:rPr>
        <w:t xml:space="preserve">按塔机顶升操作方法降低塔机高度；如有附着装置，则塔机降到附着装置附近时，拆除附着装置后再继续降低塔机（注意：降塔和升塔一样必须先配平，且禁止塔机进行任何回转、起升和变幅动作）； </w:t>
      </w:r>
    </w:p>
    <w:p w14:paraId="0F6B0D34">
      <w:pPr>
        <w:pStyle w:val="16"/>
        <w:keepNext/>
        <w:keepLines w:val="0"/>
        <w:pageBreakBefore w:val="0"/>
        <w:widowControl w:val="0"/>
        <w:shd w:val="clear"/>
        <w:kinsoku/>
        <w:wordWrap/>
        <w:overflowPunct/>
        <w:topLinePunct w:val="0"/>
        <w:autoSpaceDE/>
        <w:autoSpaceDN/>
        <w:bidi w:val="0"/>
        <w:adjustRightInd/>
        <w:snapToGrid/>
        <w:spacing w:line="240" w:lineRule="atLeast"/>
        <w:jc w:val="center"/>
        <w:textAlignment w:val="auto"/>
        <w:rPr>
          <w:rFonts w:hint="eastAsia"/>
          <w:lang w:val="en-US" w:eastAsia="zh-CN"/>
        </w:rPr>
      </w:pPr>
      <w:r>
        <w:t xml:space="preserve">表 </w:t>
      </w:r>
      <w:r>
        <w:fldChar w:fldCharType="begin"/>
      </w:r>
      <w:r>
        <w:instrText xml:space="preserve"> STYLEREF 3 \s </w:instrText>
      </w:r>
      <w:r>
        <w:fldChar w:fldCharType="separate"/>
      </w:r>
      <w:r>
        <w:t>8.4.1</w:t>
      </w:r>
      <w:r>
        <w:fldChar w:fldCharType="end"/>
      </w:r>
      <w:r>
        <w:rPr>
          <w:rFonts w:hint="eastAsia"/>
          <w:lang w:eastAsia="zh-CN"/>
        </w:rPr>
        <w:t>-</w:t>
      </w:r>
      <w:r>
        <w:fldChar w:fldCharType="begin"/>
      </w:r>
      <w:r>
        <w:instrText xml:space="preserve"> SEQ 表 \* ARABIC \s 3 </w:instrText>
      </w:r>
      <w:r>
        <w:fldChar w:fldCharType="separate"/>
      </w:r>
      <w:r>
        <w:t>1</w:t>
      </w:r>
      <w:r>
        <w:fldChar w:fldCharType="end"/>
      </w:r>
      <w:r>
        <w:rPr>
          <w:rFonts w:hint="eastAsia"/>
          <w:lang w:val="en-US" w:eastAsia="zh-CN"/>
        </w:rPr>
        <w:t xml:space="preserve"> 不同臂长理论降塔配平位置表</w:t>
      </w:r>
    </w:p>
    <w:p w14:paraId="031A695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lang w:val="en-US" w:eastAsia="zh-CN"/>
        </w:rPr>
      </w:pPr>
      <w:r>
        <w:drawing>
          <wp:inline distT="0" distB="0" distL="114300" distR="114300">
            <wp:extent cx="4161155" cy="2291080"/>
            <wp:effectExtent l="0" t="0" r="10795" b="13970"/>
            <wp:docPr id="1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
                    <pic:cNvPicPr>
                      <a:picLocks noChangeAspect="1"/>
                    </pic:cNvPicPr>
                  </pic:nvPicPr>
                  <pic:blipFill>
                    <a:blip r:embed="rId126"/>
                    <a:stretch>
                      <a:fillRect/>
                    </a:stretch>
                  </pic:blipFill>
                  <pic:spPr>
                    <a:xfrm>
                      <a:off x="0" y="0"/>
                      <a:ext cx="4161155" cy="2291080"/>
                    </a:xfrm>
                    <a:prstGeom prst="rect">
                      <a:avLst/>
                    </a:prstGeom>
                    <a:noFill/>
                    <a:ln>
                      <a:noFill/>
                    </a:ln>
                  </pic:spPr>
                </pic:pic>
              </a:graphicData>
            </a:graphic>
          </wp:inline>
        </w:drawing>
      </w:r>
    </w:p>
    <w:p w14:paraId="72138DBA">
      <w:pPr>
        <w:ind w:firstLine="560"/>
        <w:jc w:val="left"/>
        <w:rPr>
          <w:rFonts w:hint="eastAsia" w:ascii="Times New Roman" w:hAnsi="Times New Roman" w:cs="Times New Roman"/>
        </w:rPr>
      </w:pPr>
      <w:r>
        <w:rPr>
          <w:rFonts w:hint="eastAsia" w:ascii="Times New Roman" w:hAnsi="Times New Roman" w:cs="Times New Roman"/>
          <w:lang w:val="en-US" w:eastAsia="zh-CN"/>
        </w:rPr>
        <w:t xml:space="preserve">2、降塔中在使用吊钩吊动标准节时必须用销轴将剩余塔身和回转下支座连接可靠； </w:t>
      </w:r>
    </w:p>
    <w:p w14:paraId="51B2EFE0">
      <w:pPr>
        <w:ind w:firstLine="560"/>
        <w:jc w:val="left"/>
        <w:rPr>
          <w:rFonts w:hint="eastAsia" w:ascii="Times New Roman" w:hAnsi="Times New Roman" w:cs="Times New Roman"/>
          <w:lang w:val="en-US" w:eastAsia="zh-CN"/>
        </w:rPr>
      </w:pPr>
      <w:r>
        <w:rPr>
          <w:rFonts w:hint="eastAsia" w:ascii="Times New Roman" w:hAnsi="Times New Roman" w:cs="Times New Roman"/>
          <w:lang w:val="en-US" w:eastAsia="zh-CN"/>
        </w:rPr>
        <w:t xml:space="preserve">3、降塔后将塔身、套架分别和回转下支座用销轴连接好； </w:t>
      </w:r>
    </w:p>
    <w:p w14:paraId="21F4E53A">
      <w:pPr>
        <w:pStyle w:val="4"/>
        <w:bidi w:val="0"/>
        <w:ind w:left="720" w:leftChars="0" w:hanging="720" w:firstLineChars="0"/>
        <w:rPr>
          <w:rFonts w:hint="default"/>
          <w:lang w:val="en-US"/>
        </w:rPr>
      </w:pPr>
      <w:r>
        <w:rPr>
          <w:rFonts w:hint="eastAsia"/>
          <w:lang w:val="en-US" w:eastAsia="zh-CN"/>
        </w:rPr>
        <w:t>回收起升钢丝绳</w:t>
      </w:r>
    </w:p>
    <w:p w14:paraId="2024520B">
      <w:pPr>
        <w:ind w:firstLine="560"/>
        <w:rPr>
          <w:rFonts w:hint="eastAsia" w:ascii="Times New Roman" w:hAnsi="Times New Roman" w:cs="Times New Roman"/>
          <w:lang w:val="en-US" w:eastAsia="zh-CN"/>
        </w:rPr>
      </w:pPr>
      <w:r>
        <w:rPr>
          <w:rFonts w:hint="eastAsia" w:ascii="Times New Roman" w:hAnsi="Times New Roman" w:cs="Times New Roman"/>
          <w:lang w:val="en-US" w:eastAsia="zh-CN"/>
        </w:rPr>
        <w:t xml:space="preserve">1、先完全放下吊钩至地面，然后拆除起升钢丝绳与起重臂臂尖防扭装置的连接，启动起升机构，回收起升钢丝绳；拆除臂尖钢丝绳连接时可一并在臂尖处系上一根足够长度的牵引绳，以方便起重臂拆卸时掌控起重臂方向。 </w:t>
      </w:r>
    </w:p>
    <w:p w14:paraId="5663D751">
      <w:pPr>
        <w:ind w:firstLine="560"/>
        <w:rPr>
          <w:rFonts w:hint="eastAsia" w:ascii="Times New Roman" w:hAnsi="Times New Roman" w:cs="Times New Roman"/>
          <w:lang w:val="en-US" w:eastAsia="zh-CN"/>
        </w:rPr>
      </w:pPr>
      <w:r>
        <w:rPr>
          <w:rFonts w:hint="eastAsia" w:ascii="Times New Roman" w:hAnsi="Times New Roman" w:cs="Times New Roman"/>
          <w:lang w:val="en-US" w:eastAsia="zh-CN"/>
        </w:rPr>
        <w:t xml:space="preserve">2、将起重小车固定在起重臂根部，拆除起重臂与回转塔身连接的电缆线； </w:t>
      </w:r>
    </w:p>
    <w:p w14:paraId="796293FC">
      <w:pPr>
        <w:pStyle w:val="4"/>
        <w:bidi w:val="0"/>
        <w:ind w:left="720" w:leftChars="0" w:hanging="720" w:firstLineChars="0"/>
        <w:rPr>
          <w:rFonts w:hint="eastAsia"/>
          <w:lang w:val="en-US" w:eastAsia="zh-CN"/>
        </w:rPr>
      </w:pPr>
      <w:r>
        <w:rPr>
          <w:rFonts w:hint="eastAsia"/>
          <w:lang w:val="en-US" w:eastAsia="zh-CN"/>
        </w:rPr>
        <w:t>按顺序拆除塔吊上部结构</w:t>
      </w:r>
    </w:p>
    <w:p w14:paraId="038BA701">
      <w:pPr>
        <w:ind w:firstLine="560"/>
        <w:rPr>
          <w:rFonts w:hint="eastAsia" w:ascii="Times New Roman" w:hAnsi="Times New Roman" w:cs="Times New Roman"/>
          <w:lang w:val="en-US" w:eastAsia="zh-CN"/>
        </w:rPr>
      </w:pPr>
      <w:r>
        <w:rPr>
          <w:rFonts w:hint="eastAsia" w:ascii="Times New Roman" w:hAnsi="Times New Roman" w:cs="Times New Roman"/>
          <w:lang w:val="en-US" w:eastAsia="zh-CN"/>
        </w:rPr>
        <w:t>1、起重臂、平衡臂和平衡重的拆卸，见下图：</w:t>
      </w:r>
    </w:p>
    <w:p w14:paraId="7CF00D29">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pPr>
      <w:r>
        <w:drawing>
          <wp:inline distT="0" distB="0" distL="114300" distR="114300">
            <wp:extent cx="5715635" cy="1325880"/>
            <wp:effectExtent l="0" t="0" r="18415" b="7620"/>
            <wp:docPr id="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
                    <pic:cNvPicPr>
                      <a:picLocks noChangeAspect="1"/>
                    </pic:cNvPicPr>
                  </pic:nvPicPr>
                  <pic:blipFill>
                    <a:blip r:embed="rId163"/>
                    <a:stretch>
                      <a:fillRect/>
                    </a:stretch>
                  </pic:blipFill>
                  <pic:spPr>
                    <a:xfrm>
                      <a:off x="0" y="0"/>
                      <a:ext cx="5715635" cy="1325880"/>
                    </a:xfrm>
                    <a:prstGeom prst="rect">
                      <a:avLst/>
                    </a:prstGeom>
                    <a:noFill/>
                    <a:ln>
                      <a:noFill/>
                    </a:ln>
                  </pic:spPr>
                </pic:pic>
              </a:graphicData>
            </a:graphic>
          </wp:inline>
        </w:drawing>
      </w:r>
    </w:p>
    <w:p w14:paraId="46B30672">
      <w:pPr>
        <w:ind w:firstLine="560"/>
        <w:rPr>
          <w:rFonts w:hint="eastAsia" w:ascii="Times New Roman" w:hAnsi="Times New Roman" w:cs="Times New Roman"/>
        </w:rPr>
      </w:pPr>
      <w:r>
        <w:rPr>
          <w:rFonts w:hint="eastAsia" w:ascii="Times New Roman" w:hAnsi="Times New Roman" w:cs="Times New Roman"/>
          <w:lang w:val="en-US" w:eastAsia="zh-CN"/>
        </w:rPr>
        <w:t>说明：（</w:t>
      </w:r>
      <w:r>
        <w:rPr>
          <w:rFonts w:hint="default" w:ascii="Times New Roman" w:hAnsi="Times New Roman" w:cs="Times New Roman"/>
          <w:lang w:val="en-US" w:eastAsia="zh-CN"/>
        </w:rPr>
        <w:t>1</w:t>
      </w:r>
      <w:r>
        <w:rPr>
          <w:rFonts w:hint="eastAsia" w:ascii="Times New Roman" w:hAnsi="Times New Roman" w:cs="Times New Roman"/>
          <w:lang w:val="en-US" w:eastAsia="zh-CN"/>
        </w:rPr>
        <w:t xml:space="preserve">）：从平衡臂靠近回转开始拆除平衡重，直至剩下尾部远离回转方向的两块平衡重； </w:t>
      </w:r>
    </w:p>
    <w:p w14:paraId="108D08EF">
      <w:pPr>
        <w:ind w:firstLine="560"/>
        <w:rPr>
          <w:rFonts w:hint="eastAsia" w:ascii="Times New Roman" w:hAnsi="Times New Roman" w:cs="Times New Roman"/>
        </w:rPr>
      </w:pPr>
      <w:r>
        <w:rPr>
          <w:rFonts w:hint="eastAsia" w:ascii="Times New Roman" w:hAnsi="Times New Roman" w:cs="Times New Roman"/>
          <w:lang w:val="en-US" w:eastAsia="zh-CN"/>
        </w:rPr>
        <w:t>（</w:t>
      </w:r>
      <w:r>
        <w:rPr>
          <w:rFonts w:hint="default" w:ascii="Times New Roman" w:hAnsi="Times New Roman" w:cs="Times New Roman"/>
          <w:lang w:val="en-US" w:eastAsia="zh-CN"/>
        </w:rPr>
        <w:t>7</w:t>
      </w:r>
      <w:r>
        <w:rPr>
          <w:rFonts w:hint="eastAsia" w:ascii="Times New Roman" w:hAnsi="Times New Roman" w:cs="Times New Roman"/>
          <w:lang w:val="en-US" w:eastAsia="zh-CN"/>
        </w:rPr>
        <w:t xml:space="preserve">）：拆除剩余两块尾部远离回转的平衡重。 </w:t>
      </w:r>
    </w:p>
    <w:p w14:paraId="28646BF1">
      <w:pPr>
        <w:pStyle w:val="4"/>
        <w:bidi w:val="0"/>
        <w:ind w:left="720" w:leftChars="0" w:hanging="720" w:firstLineChars="0"/>
      </w:pPr>
      <w:r>
        <w:rPr>
          <w:rFonts w:hint="eastAsia"/>
        </w:rPr>
        <w:t>拆掉回转塔身总成</w:t>
      </w:r>
    </w:p>
    <w:p w14:paraId="3D1E1986">
      <w:pPr>
        <w:ind w:firstLine="560"/>
        <w:jc w:val="left"/>
      </w:pPr>
      <w:r>
        <w:rPr>
          <w:rFonts w:hint="eastAsia"/>
        </w:rPr>
        <w:t>拆卸回转塔身与上支座的连接销轴，然后吊起卸下。</w:t>
      </w:r>
    </w:p>
    <w:p w14:paraId="4FEBD6A4">
      <w:pPr>
        <w:pStyle w:val="4"/>
        <w:bidi w:val="0"/>
        <w:ind w:left="720" w:leftChars="0" w:hanging="720" w:firstLineChars="0"/>
      </w:pPr>
      <w:r>
        <w:rPr>
          <w:rFonts w:hint="eastAsia"/>
        </w:rPr>
        <w:t>拆掉回转总成</w:t>
      </w:r>
    </w:p>
    <w:p w14:paraId="6E3F71D9">
      <w:pPr>
        <w:ind w:firstLine="560"/>
        <w:jc w:val="left"/>
        <w:rPr>
          <w:rFonts w:hint="eastAsia"/>
        </w:rPr>
      </w:pPr>
      <w:r>
        <w:rPr>
          <w:rFonts w:hint="eastAsia"/>
          <w:lang w:val="en-US" w:eastAsia="zh-CN"/>
        </w:rPr>
        <w:t xml:space="preserve">装好吊装回转总成的吊装钢丝绳； </w:t>
      </w:r>
    </w:p>
    <w:p w14:paraId="2E5C6EA9">
      <w:pPr>
        <w:ind w:firstLine="560"/>
        <w:jc w:val="left"/>
        <w:rPr>
          <w:rFonts w:hint="eastAsia"/>
        </w:rPr>
      </w:pPr>
      <w:r>
        <w:rPr>
          <w:rFonts w:hint="eastAsia"/>
          <w:lang w:val="en-US" w:eastAsia="zh-CN"/>
        </w:rPr>
        <w:t xml:space="preserve">稍稍伸长顶升油缸，将顶升横梁顶在塔身节的顶升踏步内并稍稍顶紧， </w:t>
      </w:r>
    </w:p>
    <w:p w14:paraId="307B3735">
      <w:pPr>
        <w:ind w:firstLine="560"/>
        <w:jc w:val="left"/>
        <w:rPr>
          <w:rFonts w:hint="eastAsia"/>
        </w:rPr>
      </w:pPr>
      <w:r>
        <w:rPr>
          <w:rFonts w:hint="eastAsia"/>
          <w:lang w:val="en-US" w:eastAsia="zh-CN"/>
        </w:rPr>
        <w:t xml:space="preserve">拆掉下支座与套架的连接销轴； </w:t>
      </w:r>
    </w:p>
    <w:p w14:paraId="791507CF">
      <w:pPr>
        <w:ind w:firstLine="560"/>
        <w:jc w:val="left"/>
        <w:rPr>
          <w:rFonts w:hint="eastAsia"/>
        </w:rPr>
      </w:pPr>
      <w:r>
        <w:rPr>
          <w:rFonts w:hint="eastAsia"/>
          <w:lang w:val="en-US" w:eastAsia="zh-CN"/>
        </w:rPr>
        <w:t xml:space="preserve">回缩顶升油缸，将套架活动爬爪支承在塔身踏步内； </w:t>
      </w:r>
    </w:p>
    <w:p w14:paraId="26EF39FF">
      <w:pPr>
        <w:ind w:firstLine="560"/>
        <w:jc w:val="left"/>
        <w:rPr>
          <w:rFonts w:hint="eastAsia"/>
        </w:rPr>
      </w:pPr>
      <w:r>
        <w:rPr>
          <w:rFonts w:hint="eastAsia"/>
          <w:lang w:val="en-US" w:eastAsia="zh-CN"/>
        </w:rPr>
        <w:t xml:space="preserve">拆掉下支座套架梁与塔身的连接销轴； </w:t>
      </w:r>
    </w:p>
    <w:p w14:paraId="7289DB2E">
      <w:pPr>
        <w:ind w:firstLine="560"/>
        <w:jc w:val="left"/>
        <w:rPr>
          <w:rFonts w:hint="eastAsia"/>
        </w:rPr>
      </w:pPr>
      <w:r>
        <w:rPr>
          <w:rFonts w:hint="eastAsia"/>
          <w:lang w:val="en-US" w:eastAsia="zh-CN"/>
        </w:rPr>
        <w:t xml:space="preserve">将回转总成拆卸到地面。 </w:t>
      </w:r>
    </w:p>
    <w:p w14:paraId="48C1153C">
      <w:pPr>
        <w:pStyle w:val="4"/>
        <w:bidi w:val="0"/>
        <w:ind w:left="720" w:leftChars="0" w:hanging="720" w:firstLineChars="0"/>
        <w:rPr>
          <w:rFonts w:hint="eastAsia"/>
        </w:rPr>
      </w:pPr>
      <w:r>
        <w:rPr>
          <w:rFonts w:hint="eastAsia"/>
          <w:lang w:val="en-US" w:eastAsia="zh-CN"/>
        </w:rPr>
        <w:t>拆下套架和剩余塔身</w:t>
      </w:r>
    </w:p>
    <w:p w14:paraId="69966968">
      <w:pPr>
        <w:ind w:firstLine="560"/>
        <w:jc w:val="left"/>
        <w:rPr>
          <w:rFonts w:hint="default"/>
          <w:lang w:val="en-US" w:eastAsia="zh-CN"/>
        </w:rPr>
      </w:pPr>
      <w:r>
        <w:rPr>
          <w:rFonts w:hint="eastAsia"/>
          <w:lang w:val="en-US" w:eastAsia="zh-CN"/>
        </w:rPr>
        <w:t>吊起套架，缓缓地沿着标准节主弦杆向上吊出，然后放至地面，然后拆除剩余过渡。</w:t>
      </w:r>
    </w:p>
    <w:p w14:paraId="7941D06C">
      <w:pPr>
        <w:keepNext w:val="0"/>
        <w:keepLines w:val="0"/>
        <w:widowControl/>
        <w:suppressLineNumbers w:val="0"/>
        <w:jc w:val="left"/>
      </w:pPr>
      <w:r>
        <w:rPr>
          <w:rFonts w:hint="eastAsia" w:ascii="宋体" w:hAnsi="宋体" w:eastAsia="宋体" w:cs="宋体"/>
          <w:b/>
          <w:bCs/>
          <w:color w:val="000000"/>
          <w:kern w:val="0"/>
          <w:sz w:val="28"/>
          <w:szCs w:val="28"/>
          <w:lang w:val="en-US" w:eastAsia="zh-CN" w:bidi="ar"/>
        </w:rPr>
        <w:t>注意：拆卸任何部件前，请仔细检查与其它组件之间是否还有电缆连接</w:t>
      </w:r>
    </w:p>
    <w:p w14:paraId="2BA62743">
      <w:pPr>
        <w:ind w:firstLine="562"/>
        <w:jc w:val="left"/>
        <w:rPr>
          <w:rFonts w:hint="eastAsia" w:ascii="Times New Roman" w:hAnsi="Times New Roman" w:cs="Times New Roman"/>
          <w:lang w:val="en-US" w:eastAsia="zh-CN"/>
        </w:rPr>
      </w:pPr>
      <w:r>
        <w:rPr>
          <w:rFonts w:hint="eastAsia"/>
          <w:b/>
          <w:bCs/>
        </w:rPr>
        <w:t>注：塔机拆除后，由工程技术人员和专业维修人员检查受力结构件的金属疲劳，焊缝裂纹，结构变形等情况，检查塔机各零部件是否有损坏或碰伤。检查完毕后对缺陷隐患进行修复，在进行防锈刷漆处。</w:t>
      </w:r>
    </w:p>
    <w:p w14:paraId="7FD35DF4">
      <w:pPr>
        <w:pStyle w:val="2"/>
        <w:bidi w:val="0"/>
        <w:ind w:left="432" w:leftChars="0" w:hanging="432" w:firstLineChars="0"/>
      </w:pPr>
      <w:bookmarkStart w:id="378" w:name="_Toc13980"/>
      <w:bookmarkStart w:id="379" w:name="_Toc17523"/>
      <w:r>
        <w:rPr>
          <w:rFonts w:hint="eastAsia"/>
          <w:lang w:eastAsia="zh-CN"/>
        </w:rPr>
        <w:t>XGT6515D-10S</w:t>
      </w:r>
      <w:r>
        <w:rPr>
          <w:rFonts w:hint="eastAsia"/>
        </w:rPr>
        <w:t>塔机拆除施工方案</w:t>
      </w:r>
      <w:bookmarkEnd w:id="378"/>
    </w:p>
    <w:p w14:paraId="51272850">
      <w:pPr>
        <w:pStyle w:val="3"/>
        <w:bidi w:val="0"/>
        <w:ind w:left="575" w:leftChars="0" w:hanging="575" w:firstLineChars="0"/>
      </w:pPr>
      <w:bookmarkStart w:id="380" w:name="_Toc13164"/>
      <w:r>
        <w:rPr>
          <w:rFonts w:hint="eastAsia"/>
        </w:rPr>
        <w:t>拆塔前的准备工作</w:t>
      </w:r>
      <w:bookmarkEnd w:id="380"/>
    </w:p>
    <w:p w14:paraId="66427886">
      <w:pPr>
        <w:pStyle w:val="177"/>
        <w:ind w:firstLine="560"/>
        <w:rPr>
          <w:rFonts w:ascii="Times New Roman" w:hAnsi="Times New Roman" w:cs="Times New Roman"/>
          <w:szCs w:val="21"/>
        </w:rPr>
      </w:pPr>
      <w:r>
        <w:rPr>
          <w:rFonts w:hint="eastAsia" w:ascii="Times New Roman" w:hAnsi="Times New Roman" w:cs="Times New Roman"/>
          <w:szCs w:val="21"/>
        </w:rPr>
        <w:t>1、对施工现场进行清理，场地拉设安全警戒线。</w:t>
      </w:r>
    </w:p>
    <w:p w14:paraId="1F16A95D">
      <w:pPr>
        <w:pStyle w:val="177"/>
        <w:ind w:firstLine="560"/>
        <w:rPr>
          <w:rFonts w:ascii="Times New Roman" w:hAnsi="Times New Roman" w:cs="Times New Roman"/>
          <w:szCs w:val="21"/>
        </w:rPr>
      </w:pPr>
      <w:r>
        <w:rPr>
          <w:rFonts w:hint="eastAsia" w:ascii="Times New Roman" w:hAnsi="Times New Roman" w:cs="Times New Roman"/>
          <w:szCs w:val="21"/>
        </w:rPr>
        <w:t>2、由塔机安拆人员对塔机进行检查，检查内容如下：</w:t>
      </w:r>
    </w:p>
    <w:p w14:paraId="436C11DA">
      <w:pPr>
        <w:pStyle w:val="177"/>
        <w:ind w:firstLine="560"/>
        <w:rPr>
          <w:rFonts w:ascii="Times New Roman" w:hAnsi="Times New Roman" w:cs="Times New Roman"/>
          <w:szCs w:val="21"/>
        </w:rPr>
      </w:pPr>
      <w:r>
        <w:rPr>
          <w:rFonts w:hint="eastAsia" w:ascii="Times New Roman" w:hAnsi="Times New Roman" w:cs="Times New Roman"/>
          <w:szCs w:val="21"/>
        </w:rPr>
        <w:t>（1）钢结构件有无严重锈蚀变形开裂与脱焊；</w:t>
      </w:r>
    </w:p>
    <w:p w14:paraId="23F5B376">
      <w:pPr>
        <w:pStyle w:val="177"/>
        <w:ind w:firstLine="560"/>
        <w:rPr>
          <w:rFonts w:ascii="Times New Roman" w:hAnsi="Times New Roman" w:cs="Times New Roman"/>
          <w:szCs w:val="21"/>
        </w:rPr>
      </w:pPr>
      <w:r>
        <w:rPr>
          <w:rFonts w:hint="eastAsia" w:ascii="Times New Roman" w:hAnsi="Times New Roman" w:cs="Times New Roman"/>
          <w:szCs w:val="21"/>
        </w:rPr>
        <w:t>（2）钢丝绳是否牢固可靠，是否合乎要求，绳扎头是否可靠；</w:t>
      </w:r>
    </w:p>
    <w:p w14:paraId="23F2727C">
      <w:pPr>
        <w:pStyle w:val="177"/>
        <w:ind w:firstLine="560"/>
        <w:rPr>
          <w:rFonts w:ascii="Times New Roman" w:hAnsi="Times New Roman" w:cs="Times New Roman"/>
          <w:szCs w:val="21"/>
        </w:rPr>
      </w:pPr>
      <w:r>
        <w:rPr>
          <w:rFonts w:hint="eastAsia" w:ascii="Times New Roman" w:hAnsi="Times New Roman" w:cs="Times New Roman"/>
          <w:szCs w:val="21"/>
        </w:rPr>
        <w:t>（3）各部电路及电气元件是否正常；</w:t>
      </w:r>
    </w:p>
    <w:p w14:paraId="271ED6DD">
      <w:pPr>
        <w:pStyle w:val="177"/>
        <w:ind w:firstLine="560"/>
        <w:rPr>
          <w:rFonts w:ascii="Times New Roman" w:hAnsi="Times New Roman" w:cs="Times New Roman"/>
          <w:szCs w:val="21"/>
        </w:rPr>
      </w:pPr>
      <w:r>
        <w:rPr>
          <w:rFonts w:hint="eastAsia" w:ascii="Times New Roman" w:hAnsi="Times New Roman" w:cs="Times New Roman"/>
          <w:szCs w:val="21"/>
        </w:rPr>
        <w:t>（4）爬升机构导向轮是否转动灵活，与塔机间隙是否合乎要求；</w:t>
      </w:r>
    </w:p>
    <w:p w14:paraId="6525B1A0">
      <w:pPr>
        <w:pStyle w:val="177"/>
        <w:ind w:firstLine="560"/>
        <w:rPr>
          <w:rFonts w:ascii="Times New Roman" w:hAnsi="Times New Roman" w:cs="Times New Roman"/>
          <w:szCs w:val="21"/>
        </w:rPr>
      </w:pPr>
      <w:r>
        <w:rPr>
          <w:rFonts w:hint="eastAsia" w:ascii="Times New Roman" w:hAnsi="Times New Roman" w:cs="Times New Roman"/>
          <w:szCs w:val="21"/>
        </w:rPr>
        <w:t>（5）顶升液压装置是否正常；</w:t>
      </w:r>
    </w:p>
    <w:p w14:paraId="721C430E">
      <w:pPr>
        <w:pStyle w:val="177"/>
        <w:ind w:firstLine="560"/>
        <w:rPr>
          <w:rFonts w:ascii="Times New Roman" w:hAnsi="Times New Roman" w:cs="Times New Roman"/>
          <w:szCs w:val="21"/>
        </w:rPr>
      </w:pPr>
      <w:r>
        <w:rPr>
          <w:rFonts w:hint="eastAsia" w:ascii="Times New Roman" w:hAnsi="Times New Roman" w:cs="Times New Roman"/>
          <w:szCs w:val="21"/>
        </w:rPr>
        <w:t>（6）塔机拆除前应认真进行检修、保养，对变形件及时修复。</w:t>
      </w:r>
    </w:p>
    <w:p w14:paraId="41455A8F">
      <w:pPr>
        <w:pStyle w:val="177"/>
        <w:ind w:firstLine="560"/>
        <w:rPr>
          <w:rFonts w:ascii="Times New Roman" w:hAnsi="Times New Roman" w:cs="Times New Roman"/>
          <w:szCs w:val="21"/>
        </w:rPr>
      </w:pPr>
      <w:r>
        <w:rPr>
          <w:rFonts w:hint="eastAsia" w:ascii="Times New Roman" w:hAnsi="Times New Roman" w:cs="Times New Roman"/>
          <w:szCs w:val="21"/>
        </w:rPr>
        <w:t>3、按要求做好人员的组织工作。</w:t>
      </w:r>
    </w:p>
    <w:p w14:paraId="1CAFFE23">
      <w:pPr>
        <w:pStyle w:val="177"/>
        <w:ind w:firstLine="560"/>
        <w:rPr>
          <w:rFonts w:ascii="Times New Roman" w:hAnsi="Times New Roman" w:cs="Times New Roman"/>
          <w:szCs w:val="21"/>
        </w:rPr>
      </w:pPr>
      <w:r>
        <w:rPr>
          <w:rFonts w:hint="eastAsia" w:ascii="Times New Roman" w:hAnsi="Times New Roman" w:cs="Times New Roman"/>
          <w:szCs w:val="21"/>
        </w:rPr>
        <w:t>4、按要求做好常用工具、索具及材料的配备与检查验收。</w:t>
      </w:r>
    </w:p>
    <w:p w14:paraId="26B5448E">
      <w:pPr>
        <w:pStyle w:val="177"/>
        <w:ind w:firstLine="560"/>
        <w:rPr>
          <w:rFonts w:ascii="Times New Roman" w:hAnsi="Times New Roman" w:cs="Times New Roman"/>
          <w:szCs w:val="21"/>
        </w:rPr>
      </w:pPr>
      <w:r>
        <w:rPr>
          <w:rFonts w:hint="eastAsia" w:ascii="Times New Roman" w:hAnsi="Times New Roman" w:cs="Times New Roman"/>
          <w:szCs w:val="21"/>
        </w:rPr>
        <w:t>5、由项目部和安拆单位共同对全体作业人员进行安全技术交底。</w:t>
      </w:r>
    </w:p>
    <w:p w14:paraId="367FCC1B">
      <w:pPr>
        <w:pStyle w:val="3"/>
        <w:bidi w:val="0"/>
        <w:ind w:left="575" w:leftChars="0" w:hanging="575" w:firstLineChars="0"/>
      </w:pPr>
      <w:bookmarkStart w:id="381" w:name="_Toc23743"/>
      <w:r>
        <w:rPr>
          <w:rFonts w:hint="eastAsia"/>
        </w:rPr>
        <w:t>拆塔注意事项</w:t>
      </w:r>
      <w:bookmarkEnd w:id="381"/>
    </w:p>
    <w:p w14:paraId="263060E4">
      <w:pPr>
        <w:ind w:firstLine="560"/>
        <w:jc w:val="left"/>
      </w:pPr>
      <w:r>
        <w:rPr>
          <w:rFonts w:hint="eastAsia"/>
        </w:rPr>
        <w:t>1.塔机拆塔之前，由于顶升机构长时间停止使用，应对各机构特别是对顶升机构进行保养和试运转。</w:t>
      </w:r>
    </w:p>
    <w:p w14:paraId="41DC2F0F">
      <w:pPr>
        <w:ind w:firstLine="560"/>
        <w:jc w:val="left"/>
      </w:pPr>
      <w:r>
        <w:rPr>
          <w:rFonts w:hint="eastAsia"/>
        </w:rPr>
        <w:t>2.在试运转过程中，应该有目的对限位器回转机构的制动器等进行可靠性检查。</w:t>
      </w:r>
    </w:p>
    <w:p w14:paraId="72CEF9FA">
      <w:pPr>
        <w:ind w:firstLine="560"/>
        <w:jc w:val="left"/>
      </w:pPr>
      <w:r>
        <w:rPr>
          <w:rFonts w:hint="eastAsia"/>
        </w:rPr>
        <w:t>3.塔机标准节拆除，下支座没有用销轴与塔身连接好前，严禁使用回转机构、牵引机构和起升机构。</w:t>
      </w:r>
    </w:p>
    <w:p w14:paraId="72733062">
      <w:pPr>
        <w:ind w:firstLine="560"/>
        <w:jc w:val="left"/>
      </w:pPr>
      <w:r>
        <w:rPr>
          <w:rFonts w:hint="eastAsia"/>
        </w:rPr>
        <w:t>4.塔机拆卸对顶升机构来说是重载连续作业，应对顶升机构的主要受力件经常检查。</w:t>
      </w:r>
    </w:p>
    <w:p w14:paraId="12FD9E27">
      <w:pPr>
        <w:ind w:firstLine="560"/>
        <w:jc w:val="left"/>
      </w:pPr>
      <w:r>
        <w:rPr>
          <w:rFonts w:hint="eastAsia"/>
        </w:rPr>
        <w:t>5.顶升机构工作时，所有的操作人员应集中精力观察各相对运动件的相对位置是否正常，是否有阻碍爬升架运动的物件。</w:t>
      </w:r>
    </w:p>
    <w:p w14:paraId="45AA439F">
      <w:pPr>
        <w:ind w:firstLine="560"/>
        <w:jc w:val="left"/>
      </w:pPr>
      <w:r>
        <w:rPr>
          <w:rFonts w:hint="eastAsia"/>
        </w:rPr>
        <w:t>6.拆塔时塔机最高处风速应低于 14m/s，由于拆塔时，建筑物已完工，工作场地受限制，应注意工作程序和吊装堆放位置，不可马虎大意。</w:t>
      </w:r>
    </w:p>
    <w:p w14:paraId="3141C529">
      <w:pPr>
        <w:ind w:firstLine="560"/>
        <w:rPr>
          <w:color w:val="000000"/>
        </w:rPr>
      </w:pPr>
      <w:r>
        <w:rPr>
          <w:rFonts w:hint="eastAsia"/>
          <w:color w:val="000000"/>
        </w:rPr>
        <w:br w:type="page"/>
      </w:r>
    </w:p>
    <w:p w14:paraId="51D817B8">
      <w:pPr>
        <w:pStyle w:val="3"/>
        <w:bidi w:val="0"/>
        <w:ind w:left="575" w:leftChars="0" w:hanging="575" w:firstLineChars="0"/>
      </w:pPr>
      <w:bookmarkStart w:id="382" w:name="_Toc29870"/>
      <w:r>
        <w:rPr>
          <w:rFonts w:hint="eastAsia"/>
        </w:rPr>
        <w:t>拆除总工序</w:t>
      </w:r>
      <w:bookmarkEnd w:id="382"/>
    </w:p>
    <w:p w14:paraId="55FBA649">
      <w:pPr>
        <w:ind w:firstLine="560"/>
        <w:jc w:val="left"/>
      </w:pPr>
      <w:r>
        <w:rPr>
          <w:rFonts w:hint="eastAsia"/>
        </w:rPr>
        <w:t>塔机拆卸是一项技术性很强的工作，尤其是塔身节、平衡重、平衡臂、起重臂等部件的拆卸，因此在塔机拆除过程中，应该严格按照拆除方案的拆除流程拆除，严禁违反操作程序，上塔机操作人员应该持证上岗。</w:t>
      </w:r>
    </w:p>
    <w:p w14:paraId="1BE785C8">
      <w:pPr>
        <w:ind w:firstLine="560"/>
        <w:jc w:val="left"/>
      </w:pPr>
      <w:r>
        <w:rPr>
          <w:rFonts w:hint="eastAsia"/>
        </w:rPr>
        <w:t>塔机拆除与塔机安装流程步骤相反，塔机拆除工艺流程：</w:t>
      </w:r>
    </w:p>
    <w:p w14:paraId="1A5A40C0">
      <w:pPr>
        <w:ind w:firstLine="560"/>
        <w:jc w:val="left"/>
      </w:pPr>
      <w:r>
        <w:rPr>
          <w:rFonts w:hint="eastAsia"/>
          <w:lang w:eastAsia="zh-CN"/>
        </w:rPr>
        <w:t>XGT6515D-10S</w:t>
      </w:r>
      <w:r>
        <w:rPr>
          <w:rFonts w:hint="eastAsia"/>
        </w:rPr>
        <w:t>塔机拆除流程：</w:t>
      </w:r>
    </w:p>
    <w:p w14:paraId="42F307B1">
      <w:pPr>
        <w:ind w:firstLine="560"/>
        <w:jc w:val="left"/>
      </w:pPr>
      <w:r>
        <w:rPr>
          <w:rFonts w:hint="eastAsia"/>
        </w:rPr>
        <w:t>降低标准节→拆除平衡臂配重（留</w:t>
      </w:r>
      <w:r>
        <w:rPr>
          <w:rFonts w:hint="eastAsia"/>
          <w:lang w:val="en-US" w:eastAsia="zh-CN"/>
        </w:rPr>
        <w:t>1</w:t>
      </w:r>
      <w:r>
        <w:rPr>
          <w:rFonts w:hint="eastAsia"/>
        </w:rPr>
        <w:t>块 3.2t 配重）→起重臂拆卸→拆卸剩余配重→平衡臂拆除→拆卸起重臂根节→拆卸回转总成→拆卸特殊节→拆卸爬升架及塔身节</w:t>
      </w:r>
    </w:p>
    <w:p w14:paraId="2E811EA8">
      <w:pPr>
        <w:pStyle w:val="3"/>
        <w:bidi w:val="0"/>
        <w:ind w:left="575" w:leftChars="0" w:hanging="575" w:firstLineChars="0"/>
      </w:pPr>
      <w:bookmarkStart w:id="383" w:name="_Toc22429"/>
      <w:r>
        <w:rPr>
          <w:rFonts w:hint="eastAsia"/>
        </w:rPr>
        <w:t>拆塔</w:t>
      </w:r>
      <w:bookmarkEnd w:id="383"/>
    </w:p>
    <w:p w14:paraId="454C87E5">
      <w:pPr>
        <w:ind w:firstLine="560"/>
        <w:jc w:val="left"/>
      </w:pPr>
      <w:r>
        <w:rPr>
          <w:rFonts w:hint="eastAsia"/>
        </w:rPr>
        <w:t>将塔机降低至安装高度后（降塔时遇到附着先拆除附着在继续降塔），利用</w:t>
      </w:r>
      <w:r>
        <w:rPr>
          <w:rFonts w:hint="eastAsia"/>
          <w:lang w:eastAsia="zh-CN"/>
        </w:rPr>
        <w:t>35T</w:t>
      </w:r>
      <w:r>
        <w:rPr>
          <w:rFonts w:hint="eastAsia"/>
        </w:rPr>
        <w:t>汽车吊将塔机按步骤拆除。</w:t>
      </w:r>
    </w:p>
    <w:p w14:paraId="0EC0E765">
      <w:pPr>
        <w:pStyle w:val="4"/>
        <w:bidi w:val="0"/>
        <w:ind w:left="720" w:leftChars="0" w:hanging="720" w:firstLineChars="0"/>
      </w:pPr>
      <w:r>
        <w:rPr>
          <w:rFonts w:hint="eastAsia"/>
        </w:rPr>
        <w:t>降塔</w:t>
      </w:r>
    </w:p>
    <w:p w14:paraId="415BD9D4">
      <w:pPr>
        <w:pStyle w:val="15"/>
        <w:ind w:firstLine="560"/>
        <w:rPr>
          <w:rFonts w:hint="default"/>
        </w:rPr>
      </w:pPr>
      <w:r>
        <w:t xml:space="preserve">（1）将起重臂回转到引进方向（爬升架中有开口的一侧），使回转制动器处于制动状态，载重小车停在配平位置（与立塔顶升加节时载重小车的配平位置一致）。 </w:t>
      </w:r>
    </w:p>
    <w:p w14:paraId="4E43ED48">
      <w:pPr>
        <w:pStyle w:val="15"/>
        <w:ind w:firstLine="560"/>
        <w:rPr>
          <w:rFonts w:hint="default"/>
        </w:rPr>
      </w:pPr>
      <w:r>
        <w:t>（2）拆掉最上面塔身标准节与特殊节的连接螺栓，稍稍向上顶升，将引进轮按规定方向放至到标准节下方，并保证安全可靠；然后拆掉最上面的塔身标准节与下一节标准节的连接螺栓。</w:t>
      </w:r>
    </w:p>
    <w:p w14:paraId="110D0B38">
      <w:pPr>
        <w:pStyle w:val="15"/>
        <w:ind w:firstLine="560"/>
        <w:rPr>
          <w:rFonts w:hint="default"/>
        </w:rPr>
      </w:pPr>
      <w:r>
        <w:t xml:space="preserve">（3）伸长顶升油缸，将顶升横梁顶在从上往下数第三个踏步的圆弧槽内，插好防脱销，将上部结构稍稍顶起，把特殊节与爬升架连接耳板销孔对正，打入销轴，并装好开口销。 </w:t>
      </w:r>
    </w:p>
    <w:p w14:paraId="0A01C1BA">
      <w:pPr>
        <w:pStyle w:val="15"/>
        <w:ind w:firstLine="560"/>
        <w:rPr>
          <w:rFonts w:hint="default"/>
        </w:rPr>
      </w:pPr>
      <w:r>
        <w:t xml:space="preserve">（4）拆掉最上面塔身标准节与特殊节的连接螺栓，稍稍向上顶升，并保证安全可靠；然后拆掉最上面的塔身标准节与下一节标准节的连接螺栓，并在四角安装上引进轮； </w:t>
      </w:r>
    </w:p>
    <w:p w14:paraId="655E6317">
      <w:pPr>
        <w:pStyle w:val="15"/>
        <w:ind w:firstLine="560"/>
        <w:rPr>
          <w:rFonts w:hint="default"/>
        </w:rPr>
      </w:pPr>
      <w:r>
        <w:t xml:space="preserve">（5）继续顶升至最上面标准节与下方标准节离开，把标准节推出引进横梁并支稳（推出时且不可用力过猛，以免标准节冲出引进梁而倾翻，造成事故）。 </w:t>
      </w:r>
    </w:p>
    <w:p w14:paraId="1D4A933C">
      <w:pPr>
        <w:pStyle w:val="15"/>
        <w:ind w:firstLine="560"/>
        <w:rPr>
          <w:rFonts w:hint="default"/>
        </w:rPr>
      </w:pPr>
      <w:r>
        <w:t xml:space="preserve">（6）扳开活动爬爪，回缩油缸，让活动爬爪躲过距它最近的一对踏步后，复位放平，继续下降至活动爬爪支承在下一对踏步上并支承住上部结构后，退出防脱销，再回缩油缸至顶升横梁从踏步上移开。 </w:t>
      </w:r>
    </w:p>
    <w:p w14:paraId="5F9DB0B8">
      <w:pPr>
        <w:pStyle w:val="15"/>
        <w:ind w:firstLine="560"/>
        <w:rPr>
          <w:rFonts w:hint="default"/>
        </w:rPr>
      </w:pPr>
      <w:r>
        <w:t>（7）伸出油缸，将顶升横梁顶在下一对踏步上，插好防脱销，稍微顶升至爬爪翻转时能躲过原来支承的踏步后停止，拨开爬爪，回缩油缸，至下一标准节与特殊节相接触时为止，若连接套螺栓孔错位，可用随机爬升架调节工具调节到位（严禁用载重小车调位或打回转调整）。</w:t>
      </w:r>
    </w:p>
    <w:p w14:paraId="48D09DB9">
      <w:pPr>
        <w:pStyle w:val="15"/>
        <w:ind w:firstLine="560"/>
        <w:rPr>
          <w:rFonts w:hint="default"/>
        </w:rPr>
      </w:pPr>
      <w:r>
        <w:t>（8）将特殊节与塔身标准节之间用</w:t>
      </w:r>
      <w:r>
        <w:rPr>
          <w:rFonts w:hint="eastAsia"/>
          <w:lang w:eastAsia="zh-CN"/>
        </w:rPr>
        <w:t>销轴</w:t>
      </w:r>
      <w:r>
        <w:t xml:space="preserve">紧固牢，用小车吊钩将标准节吊至地面。 </w:t>
      </w:r>
    </w:p>
    <w:p w14:paraId="121D7BEB">
      <w:pPr>
        <w:pStyle w:val="15"/>
        <w:ind w:firstLine="560"/>
        <w:rPr>
          <w:rFonts w:hint="default"/>
        </w:rPr>
      </w:pPr>
      <w:r>
        <w:t xml:space="preserve">（9）重复上述动作，将塔身标准节依次拆下。 </w:t>
      </w:r>
    </w:p>
    <w:p w14:paraId="4D40AC5E">
      <w:pPr>
        <w:pStyle w:val="15"/>
        <w:ind w:firstLine="560"/>
        <w:rPr>
          <w:rFonts w:hint="default"/>
        </w:rPr>
      </w:pPr>
      <w:r>
        <w:t xml:space="preserve">注意：爬升架下落过程中，需用人工翻转挂靴，同时派专人看管顶升横梁和导轮，观察爬升架下降时有无被障碍物卡住的现象，以便爬升架能顺利下降，否则将造成受力不均，容易造成顶升故障。 </w:t>
      </w:r>
    </w:p>
    <w:p w14:paraId="325FFD0B">
      <w:pPr>
        <w:pStyle w:val="4"/>
        <w:bidi w:val="0"/>
        <w:ind w:left="720" w:leftChars="0" w:hanging="720" w:firstLineChars="0"/>
      </w:pPr>
      <w:r>
        <w:rPr>
          <w:rFonts w:hint="eastAsia"/>
        </w:rPr>
        <w:t>拆除平衡重</w:t>
      </w:r>
    </w:p>
    <w:p w14:paraId="5D4D7378">
      <w:pPr>
        <w:ind w:firstLine="560"/>
        <w:jc w:val="left"/>
      </w:pPr>
      <w:r>
        <w:rPr>
          <w:rFonts w:hint="eastAsia"/>
        </w:rPr>
        <w:t>将载重小车固定在起重臂根部，借助</w:t>
      </w:r>
      <w:r>
        <w:rPr>
          <w:rFonts w:hint="eastAsia"/>
          <w:lang w:val="en-US" w:eastAsia="zh-CN"/>
        </w:rPr>
        <w:t>25t</w:t>
      </w:r>
      <w:r>
        <w:rPr>
          <w:rFonts w:hint="eastAsia"/>
        </w:rPr>
        <w:t>汽车吊拆卸配重，拆配重顺序与装配重顺序相反。</w:t>
      </w:r>
    </w:p>
    <w:p w14:paraId="19337318">
      <w:pPr>
        <w:pStyle w:val="4"/>
        <w:bidi w:val="0"/>
        <w:ind w:left="720" w:leftChars="0" w:hanging="720" w:firstLineChars="0"/>
      </w:pPr>
      <w:r>
        <w:rPr>
          <w:rFonts w:hint="eastAsia"/>
        </w:rPr>
        <w:t>起重臂拆除</w:t>
      </w:r>
    </w:p>
    <w:p w14:paraId="12693E7F">
      <w:pPr>
        <w:ind w:firstLine="560"/>
        <w:jc w:val="left"/>
      </w:pPr>
      <w:r>
        <w:rPr>
          <w:rFonts w:hint="eastAsia"/>
        </w:rPr>
        <w:t>放下吊钩至地面，拆除起重钢丝绳与起重臂前端上的防扭装置，开动起升机构回收全部钢丝绳。然后将钢丝绳绑在安装起重臂的位置，吊起起重臂，使起重臂靠近塔顶拉杆，拆去起重臂拉杆与塔顶板的连接销轴，放下拉杆至起重臂上固定，拆去钢丝绳，拆掉起重臂与塔头的连接销轴，放下起重臂搁置在垫有枕木的支座上。</w:t>
      </w:r>
    </w:p>
    <w:p w14:paraId="44F0971A">
      <w:pPr>
        <w:pStyle w:val="4"/>
        <w:bidi w:val="0"/>
        <w:ind w:left="720" w:leftChars="0" w:hanging="720" w:firstLineChars="0"/>
      </w:pPr>
      <w:r>
        <w:rPr>
          <w:rFonts w:hint="eastAsia"/>
        </w:rPr>
        <w:t>平衡臂拆除</w:t>
      </w:r>
    </w:p>
    <w:p w14:paraId="5837EEFB">
      <w:pPr>
        <w:ind w:firstLine="560"/>
        <w:jc w:val="left"/>
      </w:pPr>
      <w:r>
        <w:rPr>
          <w:rFonts w:hint="eastAsia"/>
        </w:rPr>
        <w:t>将配重全部吊下，然后通过平衡臂上的四个安装吊耳吊起平衡臂，使平衡臂拉杆处于放松状态，拆下拉杆连接销轴，然后拆掉平衡臂与</w:t>
      </w:r>
      <w:r>
        <w:rPr>
          <w:rFonts w:hint="eastAsia"/>
          <w:lang w:val="en-US" w:eastAsia="zh-CN"/>
        </w:rPr>
        <w:t>起重臂臂根</w:t>
      </w:r>
      <w:r>
        <w:rPr>
          <w:rFonts w:hint="eastAsia"/>
        </w:rPr>
        <w:t>的连接销轴，将平衡臂平稳放至地面上。</w:t>
      </w:r>
    </w:p>
    <w:p w14:paraId="76BE368E">
      <w:pPr>
        <w:pStyle w:val="4"/>
        <w:bidi w:val="0"/>
        <w:ind w:left="720" w:leftChars="0" w:hanging="720" w:firstLineChars="0"/>
      </w:pPr>
      <w:r>
        <w:rPr>
          <w:rFonts w:hint="eastAsia"/>
        </w:rPr>
        <w:t>拆卸起重臂根节</w:t>
      </w:r>
    </w:p>
    <w:p w14:paraId="4DCF6A0E">
      <w:pPr>
        <w:ind w:firstLine="560"/>
        <w:jc w:val="left"/>
      </w:pPr>
      <w:r>
        <w:rPr>
          <w:rFonts w:hint="eastAsia"/>
        </w:rPr>
        <w:t>拆起重臂根节前，先检查与相邻的组件之间是否还有电缆连接，拆掉起重臂根节与回转之间的销轴然后吊放至地面。</w:t>
      </w:r>
    </w:p>
    <w:p w14:paraId="787BFF6C">
      <w:pPr>
        <w:pStyle w:val="4"/>
        <w:bidi w:val="0"/>
        <w:ind w:left="720" w:leftChars="0" w:hanging="720" w:firstLineChars="0"/>
      </w:pPr>
      <w:r>
        <w:rPr>
          <w:rFonts w:hint="eastAsia"/>
        </w:rPr>
        <w:t>拆掉回转塔身总成</w:t>
      </w:r>
    </w:p>
    <w:p w14:paraId="4839962F">
      <w:pPr>
        <w:ind w:firstLine="560"/>
        <w:jc w:val="left"/>
      </w:pPr>
      <w:r>
        <w:rPr>
          <w:rFonts w:hint="eastAsia"/>
        </w:rPr>
        <w:t>拆卸回转塔身与上支座的连接销轴，然后吊起卸下。</w:t>
      </w:r>
    </w:p>
    <w:p w14:paraId="42699ECE">
      <w:pPr>
        <w:pStyle w:val="4"/>
        <w:bidi w:val="0"/>
        <w:ind w:left="720" w:leftChars="0" w:hanging="720" w:firstLineChars="0"/>
      </w:pPr>
      <w:r>
        <w:rPr>
          <w:rFonts w:hint="eastAsia"/>
        </w:rPr>
        <w:t>拆掉回转总成</w:t>
      </w:r>
    </w:p>
    <w:p w14:paraId="38796B07">
      <w:pPr>
        <w:ind w:firstLine="560"/>
        <w:jc w:val="left"/>
      </w:pPr>
      <w:r>
        <w:rPr>
          <w:rFonts w:hint="eastAsia"/>
        </w:rPr>
        <w:t>拆掉下支座与塔身的连接销轴，伸长顶升油缸，将顶升横梁顶在踏步的圆弧槽内并稍稍顶紧，拆掉下支座与爬升架的连接销轴，回缩顶升油缸，将爬升架的爬爪支承在塔身上，用吊索将回转总成吊起卸下。</w:t>
      </w:r>
    </w:p>
    <w:p w14:paraId="23F15597">
      <w:pPr>
        <w:pStyle w:val="4"/>
        <w:bidi w:val="0"/>
        <w:ind w:left="720" w:leftChars="0" w:hanging="720" w:firstLineChars="0"/>
      </w:pPr>
      <w:r>
        <w:rPr>
          <w:rFonts w:hint="eastAsia"/>
        </w:rPr>
        <w:t>拆掉特殊节</w:t>
      </w:r>
    </w:p>
    <w:p w14:paraId="1B29876F">
      <w:pPr>
        <w:ind w:firstLine="560"/>
      </w:pPr>
      <w:r>
        <w:rPr>
          <w:rFonts w:hint="eastAsia"/>
        </w:rPr>
        <w:t>按照降塔的步骤，伸长顶升油缸，将顶升横梁轴销落入踏步的圆弧槽内，拆掉特殊节座与爬升架的连接销轴，回缩顶升油缸，将爬升架的爬爪支承在塔身上，拆卸前，检查与相邻的组件之间是否还有电缆连接，然后用起重机吊起特殊节，拆下特殊节与塔身的连接螺栓，将特殊节用吊索平稳放至地面上。</w:t>
      </w:r>
    </w:p>
    <w:p w14:paraId="20D4C276">
      <w:pPr>
        <w:pStyle w:val="4"/>
        <w:bidi w:val="0"/>
        <w:ind w:left="720" w:leftChars="0" w:hanging="720" w:firstLineChars="0"/>
      </w:pPr>
      <w:r>
        <w:rPr>
          <w:rFonts w:hint="eastAsia"/>
        </w:rPr>
        <w:t>拆掉爬升架和塔身标准节</w:t>
      </w:r>
    </w:p>
    <w:p w14:paraId="0A6D6539">
      <w:pPr>
        <w:ind w:firstLine="560"/>
        <w:jc w:val="left"/>
      </w:pPr>
      <w:r>
        <w:rPr>
          <w:rFonts w:hint="eastAsia"/>
        </w:rPr>
        <w:t>吊起爬升架，缓缓沿标准节主弦杆吊出，放至地面然后拆除塔身节。</w:t>
      </w:r>
    </w:p>
    <w:p w14:paraId="4AB6634A">
      <w:pPr>
        <w:ind w:firstLine="562"/>
        <w:jc w:val="left"/>
        <w:rPr>
          <w:b/>
          <w:bCs/>
        </w:rPr>
      </w:pPr>
      <w:r>
        <w:rPr>
          <w:rFonts w:hint="eastAsia"/>
          <w:b/>
          <w:bCs/>
        </w:rPr>
        <w:t>注：塔机拆除后，由工程技术人员和专业维修人员检查受力结构件的金属疲劳，焊缝裂纹，结构变形等情况，检查塔机各零部件是否有损坏或碰伤。检查完毕后对缺陷隐患进行修复，在进行防锈刷漆处。</w:t>
      </w:r>
    </w:p>
    <w:p w14:paraId="40F85910">
      <w:pPr>
        <w:pStyle w:val="2"/>
        <w:bidi w:val="0"/>
        <w:ind w:left="432" w:leftChars="0" w:hanging="432" w:firstLineChars="0"/>
      </w:pPr>
      <w:r>
        <w:rPr>
          <w:rFonts w:hint="eastAsia"/>
        </w:rPr>
        <w:t>危险源辨识与分析</w:t>
      </w:r>
      <w:bookmarkEnd w:id="359"/>
      <w:bookmarkEnd w:id="360"/>
      <w:bookmarkEnd w:id="361"/>
      <w:bookmarkEnd w:id="362"/>
      <w:bookmarkEnd w:id="363"/>
      <w:bookmarkEnd w:id="364"/>
      <w:bookmarkEnd w:id="379"/>
    </w:p>
    <w:p w14:paraId="127D8A3D">
      <w:pPr>
        <w:ind w:firstLine="560"/>
        <w:rPr>
          <w:color w:val="000000"/>
        </w:rPr>
      </w:pPr>
      <w:r>
        <w:rPr>
          <w:rFonts w:hint="eastAsia"/>
          <w:color w:val="000000"/>
        </w:rPr>
        <w:t>项目部在开工前由项目负责人组织施工技术、设备物资、消防和安全管理等方面的人员，对塔式起重机安拆进行全面分析、研究，对可能存在的危险源进行辨识、分析、评估，从人、机、料、法、环等因素综合分析，确定潜在的事故类型、时机和危害，并制定针对性的监控对策。</w:t>
      </w:r>
    </w:p>
    <w:p w14:paraId="752D0E50">
      <w:pPr>
        <w:pStyle w:val="3"/>
        <w:bidi w:val="0"/>
        <w:ind w:left="575" w:leftChars="0" w:hanging="575" w:firstLineChars="0"/>
      </w:pPr>
      <w:bookmarkStart w:id="384" w:name="_Toc7186"/>
      <w:bookmarkStart w:id="385" w:name="_Toc15693"/>
      <w:bookmarkStart w:id="386" w:name="_Toc26511"/>
      <w:bookmarkStart w:id="387" w:name="_Toc5705"/>
      <w:bookmarkStart w:id="388" w:name="_Toc28112"/>
      <w:bookmarkStart w:id="389" w:name="_Toc16398"/>
      <w:r>
        <w:rPr>
          <w:rFonts w:hint="eastAsia"/>
        </w:rPr>
        <w:t>危险因素辨识</w:t>
      </w:r>
      <w:bookmarkEnd w:id="384"/>
      <w:bookmarkEnd w:id="385"/>
      <w:bookmarkEnd w:id="386"/>
      <w:bookmarkEnd w:id="387"/>
      <w:bookmarkEnd w:id="388"/>
      <w:bookmarkEnd w:id="389"/>
    </w:p>
    <w:p w14:paraId="4FD155FB">
      <w:pPr>
        <w:pStyle w:val="16"/>
        <w:bidi w:val="0"/>
      </w:pPr>
      <w:r>
        <w:t xml:space="preserve">表 </w:t>
      </w:r>
      <w:r>
        <w:fldChar w:fldCharType="begin"/>
      </w:r>
      <w:r>
        <w:instrText xml:space="preserve"> STYLEREF 2 \s </w:instrText>
      </w:r>
      <w:r>
        <w:fldChar w:fldCharType="separate"/>
      </w:r>
      <w:r>
        <w:t>11.1</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安全危险源普查清单</w:t>
      </w:r>
    </w:p>
    <w:tbl>
      <w:tblPr>
        <w:tblStyle w:val="44"/>
        <w:tblW w:w="4943"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8"/>
        <w:gridCol w:w="1112"/>
        <w:gridCol w:w="3523"/>
        <w:gridCol w:w="3933"/>
      </w:tblGrid>
      <w:tr w14:paraId="03F58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6" w:type="pct"/>
            <w:vMerge w:val="restart"/>
            <w:vAlign w:val="center"/>
          </w:tcPr>
          <w:p w14:paraId="5DF90ED3">
            <w:pPr>
              <w:pStyle w:val="148"/>
              <w:rPr>
                <w:rFonts w:ascii="仿宋" w:hAnsi="仿宋"/>
                <w:color w:val="000000"/>
                <w:kern w:val="2"/>
                <w:sz w:val="24"/>
                <w:szCs w:val="24"/>
              </w:rPr>
            </w:pPr>
            <w:r>
              <w:rPr>
                <w:rFonts w:hint="eastAsia" w:ascii="仿宋" w:hAnsi="仿宋"/>
                <w:color w:val="000000"/>
                <w:kern w:val="2"/>
                <w:sz w:val="24"/>
                <w:szCs w:val="24"/>
              </w:rPr>
              <w:t>序号</w:t>
            </w:r>
          </w:p>
        </w:tc>
        <w:tc>
          <w:tcPr>
            <w:tcW w:w="609" w:type="pct"/>
            <w:vMerge w:val="restart"/>
            <w:vAlign w:val="center"/>
          </w:tcPr>
          <w:p w14:paraId="36BAAB7D">
            <w:pPr>
              <w:pStyle w:val="148"/>
              <w:rPr>
                <w:rFonts w:ascii="仿宋" w:hAnsi="仿宋"/>
                <w:color w:val="000000"/>
                <w:kern w:val="2"/>
                <w:sz w:val="24"/>
                <w:szCs w:val="24"/>
              </w:rPr>
            </w:pPr>
            <w:r>
              <w:rPr>
                <w:rFonts w:hint="eastAsia" w:ascii="仿宋" w:hAnsi="仿宋"/>
                <w:color w:val="000000"/>
                <w:kern w:val="2"/>
                <w:sz w:val="24"/>
                <w:szCs w:val="24"/>
              </w:rPr>
              <w:t>危险源</w:t>
            </w:r>
          </w:p>
        </w:tc>
        <w:tc>
          <w:tcPr>
            <w:tcW w:w="4085" w:type="pct"/>
            <w:gridSpan w:val="2"/>
            <w:vAlign w:val="center"/>
          </w:tcPr>
          <w:p w14:paraId="3251B766">
            <w:pPr>
              <w:pStyle w:val="148"/>
              <w:rPr>
                <w:rFonts w:ascii="仿宋" w:hAnsi="仿宋"/>
                <w:color w:val="000000"/>
                <w:kern w:val="2"/>
                <w:sz w:val="24"/>
                <w:szCs w:val="24"/>
              </w:rPr>
            </w:pPr>
            <w:r>
              <w:rPr>
                <w:rFonts w:hint="eastAsia" w:ascii="仿宋" w:hAnsi="仿宋"/>
                <w:color w:val="000000"/>
                <w:kern w:val="2"/>
                <w:sz w:val="24"/>
                <w:szCs w:val="24"/>
              </w:rPr>
              <w:t>判断依据</w:t>
            </w:r>
          </w:p>
        </w:tc>
      </w:tr>
      <w:tr w14:paraId="2B75F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6" w:type="pct"/>
            <w:vMerge w:val="continue"/>
            <w:vAlign w:val="center"/>
          </w:tcPr>
          <w:p w14:paraId="7D5BB287">
            <w:pPr>
              <w:pStyle w:val="148"/>
              <w:rPr>
                <w:rFonts w:ascii="仿宋" w:hAnsi="仿宋"/>
                <w:color w:val="000000"/>
                <w:kern w:val="2"/>
                <w:sz w:val="24"/>
                <w:szCs w:val="24"/>
              </w:rPr>
            </w:pPr>
          </w:p>
        </w:tc>
        <w:tc>
          <w:tcPr>
            <w:tcW w:w="609" w:type="pct"/>
            <w:vMerge w:val="continue"/>
            <w:vAlign w:val="center"/>
          </w:tcPr>
          <w:p w14:paraId="41DCE95E">
            <w:pPr>
              <w:pStyle w:val="148"/>
              <w:rPr>
                <w:rFonts w:ascii="仿宋" w:hAnsi="仿宋"/>
                <w:color w:val="000000"/>
                <w:kern w:val="2"/>
                <w:sz w:val="24"/>
                <w:szCs w:val="24"/>
              </w:rPr>
            </w:pPr>
          </w:p>
        </w:tc>
        <w:tc>
          <w:tcPr>
            <w:tcW w:w="1930" w:type="pct"/>
            <w:vAlign w:val="center"/>
          </w:tcPr>
          <w:p w14:paraId="52F18C98">
            <w:pPr>
              <w:pStyle w:val="148"/>
              <w:rPr>
                <w:rFonts w:ascii="仿宋" w:hAnsi="仿宋"/>
                <w:color w:val="000000"/>
                <w:kern w:val="2"/>
                <w:sz w:val="24"/>
                <w:szCs w:val="24"/>
              </w:rPr>
            </w:pPr>
            <w:r>
              <w:rPr>
                <w:rFonts w:hint="eastAsia" w:ascii="仿宋" w:hAnsi="仿宋"/>
                <w:color w:val="000000"/>
                <w:kern w:val="2"/>
                <w:sz w:val="24"/>
                <w:szCs w:val="24"/>
              </w:rPr>
              <w:t>物的不安全状态</w:t>
            </w:r>
          </w:p>
        </w:tc>
        <w:tc>
          <w:tcPr>
            <w:tcW w:w="2155" w:type="pct"/>
            <w:vAlign w:val="center"/>
          </w:tcPr>
          <w:p w14:paraId="17AB8E12">
            <w:pPr>
              <w:pStyle w:val="148"/>
              <w:rPr>
                <w:rFonts w:ascii="仿宋" w:hAnsi="仿宋"/>
                <w:color w:val="000000"/>
                <w:kern w:val="2"/>
                <w:sz w:val="24"/>
                <w:szCs w:val="24"/>
              </w:rPr>
            </w:pPr>
            <w:r>
              <w:rPr>
                <w:rFonts w:hint="eastAsia" w:ascii="仿宋" w:hAnsi="仿宋"/>
                <w:color w:val="000000"/>
                <w:kern w:val="2"/>
                <w:sz w:val="24"/>
                <w:szCs w:val="24"/>
              </w:rPr>
              <w:t>人的不安全行为</w:t>
            </w:r>
          </w:p>
        </w:tc>
      </w:tr>
      <w:tr w14:paraId="73D51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686EB5D4">
            <w:pPr>
              <w:pStyle w:val="148"/>
              <w:rPr>
                <w:rFonts w:ascii="仿宋" w:hAnsi="仿宋"/>
                <w:color w:val="000000"/>
                <w:kern w:val="2"/>
                <w:sz w:val="24"/>
                <w:szCs w:val="24"/>
              </w:rPr>
            </w:pPr>
            <w:r>
              <w:rPr>
                <w:rFonts w:ascii="仿宋" w:hAnsi="仿宋"/>
                <w:color w:val="000000"/>
                <w:kern w:val="2"/>
                <w:sz w:val="24"/>
                <w:szCs w:val="24"/>
              </w:rPr>
              <w:t>1</w:t>
            </w:r>
          </w:p>
        </w:tc>
        <w:tc>
          <w:tcPr>
            <w:tcW w:w="609" w:type="pct"/>
            <w:vAlign w:val="center"/>
          </w:tcPr>
          <w:p w14:paraId="7A4282EB">
            <w:pPr>
              <w:pStyle w:val="148"/>
              <w:rPr>
                <w:rFonts w:ascii="仿宋" w:hAnsi="仿宋"/>
                <w:color w:val="000000"/>
                <w:kern w:val="2"/>
                <w:sz w:val="24"/>
                <w:szCs w:val="24"/>
              </w:rPr>
            </w:pPr>
            <w:r>
              <w:rPr>
                <w:rFonts w:hint="eastAsia" w:ascii="仿宋" w:hAnsi="仿宋"/>
                <w:color w:val="000000"/>
                <w:kern w:val="2"/>
                <w:sz w:val="24"/>
                <w:szCs w:val="24"/>
              </w:rPr>
              <w:t>起重伤害</w:t>
            </w:r>
          </w:p>
        </w:tc>
        <w:tc>
          <w:tcPr>
            <w:tcW w:w="1930" w:type="pct"/>
            <w:vAlign w:val="center"/>
          </w:tcPr>
          <w:p w14:paraId="64A569B4">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、起重设备缺陷；</w:t>
            </w:r>
          </w:p>
          <w:p w14:paraId="38D513CE">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、吊具（吊索、扣件等）有缺陷；</w:t>
            </w:r>
          </w:p>
          <w:p w14:paraId="61659183">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、起重设备故障或超负荷；</w:t>
            </w:r>
          </w:p>
          <w:p w14:paraId="108C39F7">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、起重设备安全装置失灵；</w:t>
            </w:r>
          </w:p>
          <w:p w14:paraId="6E98775E">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、设备操作人员无操作资格证；</w:t>
            </w:r>
          </w:p>
          <w:p w14:paraId="6A284BA7">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、指挥通讯设备故障；</w:t>
            </w:r>
          </w:p>
          <w:p w14:paraId="26EB4546">
            <w:pPr>
              <w:pStyle w:val="148"/>
              <w:jc w:val="left"/>
              <w:rPr>
                <w:rFonts w:ascii="仿宋" w:hAnsi="仿宋"/>
                <w:color w:val="000000"/>
                <w:kern w:val="2"/>
                <w:sz w:val="24"/>
                <w:szCs w:val="24"/>
              </w:rPr>
            </w:pPr>
            <w:r>
              <w:rPr>
                <w:rFonts w:ascii="仿宋" w:hAnsi="仿宋"/>
                <w:color w:val="000000"/>
                <w:kern w:val="2"/>
                <w:sz w:val="24"/>
                <w:szCs w:val="24"/>
              </w:rPr>
              <w:t>7</w:t>
            </w:r>
            <w:r>
              <w:rPr>
                <w:rFonts w:hint="eastAsia" w:ascii="仿宋" w:hAnsi="仿宋"/>
                <w:color w:val="000000"/>
                <w:kern w:val="2"/>
                <w:sz w:val="24"/>
                <w:szCs w:val="24"/>
              </w:rPr>
              <w:t>、吊机超载限制器缺失或失效。</w:t>
            </w:r>
          </w:p>
        </w:tc>
        <w:tc>
          <w:tcPr>
            <w:tcW w:w="2155" w:type="pct"/>
            <w:vAlign w:val="center"/>
          </w:tcPr>
          <w:p w14:paraId="2ACD4EB8">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、操作人员违章操作；</w:t>
            </w:r>
          </w:p>
          <w:p w14:paraId="2151BCD7">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、指挥信号不清；</w:t>
            </w:r>
          </w:p>
          <w:p w14:paraId="57C64F55">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、相关人员在起吊物下作业、停留；</w:t>
            </w:r>
          </w:p>
          <w:p w14:paraId="6DDE57CD">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、设备检查不到位；</w:t>
            </w:r>
          </w:p>
          <w:p w14:paraId="05DB5135">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、起吊物体捆绑不当；</w:t>
            </w:r>
          </w:p>
          <w:p w14:paraId="49C709F0">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、相关人员冒险进入起重机械工作区域等危险场所。</w:t>
            </w:r>
          </w:p>
        </w:tc>
      </w:tr>
      <w:tr w14:paraId="27599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50228312">
            <w:pPr>
              <w:pStyle w:val="148"/>
              <w:rPr>
                <w:rFonts w:ascii="仿宋" w:hAnsi="仿宋"/>
                <w:color w:val="000000"/>
                <w:kern w:val="2"/>
                <w:sz w:val="24"/>
                <w:szCs w:val="24"/>
              </w:rPr>
            </w:pPr>
            <w:r>
              <w:rPr>
                <w:rFonts w:ascii="仿宋" w:hAnsi="仿宋"/>
                <w:color w:val="000000"/>
                <w:kern w:val="2"/>
                <w:sz w:val="24"/>
                <w:szCs w:val="24"/>
              </w:rPr>
              <w:t>2</w:t>
            </w:r>
          </w:p>
        </w:tc>
        <w:tc>
          <w:tcPr>
            <w:tcW w:w="609" w:type="pct"/>
            <w:vAlign w:val="center"/>
          </w:tcPr>
          <w:p w14:paraId="570B173D">
            <w:pPr>
              <w:pStyle w:val="148"/>
              <w:rPr>
                <w:rFonts w:ascii="仿宋" w:hAnsi="仿宋"/>
                <w:color w:val="000000"/>
                <w:kern w:val="2"/>
                <w:sz w:val="24"/>
                <w:szCs w:val="24"/>
              </w:rPr>
            </w:pPr>
            <w:r>
              <w:rPr>
                <w:rFonts w:hint="eastAsia" w:ascii="仿宋" w:hAnsi="仿宋"/>
                <w:color w:val="000000"/>
                <w:kern w:val="2"/>
                <w:sz w:val="24"/>
                <w:szCs w:val="24"/>
              </w:rPr>
              <w:t>物体打击</w:t>
            </w:r>
          </w:p>
        </w:tc>
        <w:tc>
          <w:tcPr>
            <w:tcW w:w="1930" w:type="pct"/>
            <w:vAlign w:val="center"/>
          </w:tcPr>
          <w:p w14:paraId="5F8766DC">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、处于高处的工具或材料摆设位置不当或固定不当（易掉落）；</w:t>
            </w:r>
          </w:p>
          <w:p w14:paraId="6881EEBF">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、施工场地环境不良（如照明不佳、场地狭窄、场地湿滑）；</w:t>
            </w:r>
          </w:p>
          <w:p w14:paraId="5BB0F3A5">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、上下交叉作业。</w:t>
            </w:r>
          </w:p>
        </w:tc>
        <w:tc>
          <w:tcPr>
            <w:tcW w:w="2155" w:type="pct"/>
            <w:vAlign w:val="center"/>
          </w:tcPr>
          <w:p w14:paraId="2E7FEE1D">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、未佩戴安全帽；</w:t>
            </w:r>
          </w:p>
          <w:p w14:paraId="7CDE9AF5">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、冒险进入危险场所；</w:t>
            </w:r>
          </w:p>
          <w:p w14:paraId="02EBB3B3">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、有分散注意力行为；</w:t>
            </w:r>
          </w:p>
        </w:tc>
      </w:tr>
      <w:tr w14:paraId="21C72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32D8510E">
            <w:pPr>
              <w:pStyle w:val="148"/>
              <w:rPr>
                <w:rFonts w:ascii="仿宋" w:hAnsi="仿宋"/>
                <w:color w:val="000000"/>
                <w:kern w:val="2"/>
                <w:sz w:val="24"/>
                <w:szCs w:val="24"/>
              </w:rPr>
            </w:pPr>
            <w:r>
              <w:rPr>
                <w:rFonts w:ascii="仿宋" w:hAnsi="仿宋"/>
                <w:color w:val="000000"/>
                <w:kern w:val="2"/>
                <w:sz w:val="24"/>
                <w:szCs w:val="24"/>
              </w:rPr>
              <w:t>3</w:t>
            </w:r>
          </w:p>
        </w:tc>
        <w:tc>
          <w:tcPr>
            <w:tcW w:w="609" w:type="pct"/>
            <w:vAlign w:val="center"/>
          </w:tcPr>
          <w:p w14:paraId="2FAA4EEB">
            <w:pPr>
              <w:pStyle w:val="148"/>
              <w:rPr>
                <w:rFonts w:ascii="仿宋" w:hAnsi="仿宋"/>
                <w:color w:val="000000"/>
                <w:kern w:val="2"/>
                <w:sz w:val="24"/>
                <w:szCs w:val="24"/>
              </w:rPr>
            </w:pPr>
            <w:r>
              <w:rPr>
                <w:rFonts w:hint="eastAsia" w:ascii="仿宋" w:hAnsi="仿宋"/>
                <w:color w:val="000000"/>
                <w:kern w:val="2"/>
                <w:sz w:val="24"/>
                <w:szCs w:val="24"/>
              </w:rPr>
              <w:t>高处坠落</w:t>
            </w:r>
          </w:p>
        </w:tc>
        <w:tc>
          <w:tcPr>
            <w:tcW w:w="1930" w:type="pct"/>
            <w:vAlign w:val="center"/>
          </w:tcPr>
          <w:p w14:paraId="33A25621">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、个人防护用品用具缺少或有缺陷；</w:t>
            </w:r>
          </w:p>
          <w:p w14:paraId="75CEF1C6">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、环境因素导致的高空坠落；</w:t>
            </w:r>
          </w:p>
          <w:p w14:paraId="1F1E2534">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、安全带或保险绳断开使作业人员坠落。</w:t>
            </w:r>
          </w:p>
        </w:tc>
        <w:tc>
          <w:tcPr>
            <w:tcW w:w="2155" w:type="pct"/>
            <w:vAlign w:val="center"/>
          </w:tcPr>
          <w:p w14:paraId="6286017F">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、违章操作、违章指挥；</w:t>
            </w:r>
          </w:p>
          <w:p w14:paraId="49F45B86">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、在必须使用个人防护用品用具的作业或场合中，忽视其使用；</w:t>
            </w:r>
          </w:p>
          <w:p w14:paraId="3E67FD38">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、身体不适时，进行高处作业等；</w:t>
            </w:r>
          </w:p>
          <w:p w14:paraId="366A2982">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、冒险登高作业。</w:t>
            </w:r>
          </w:p>
        </w:tc>
      </w:tr>
      <w:tr w14:paraId="4F5C9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6FB2D662">
            <w:pPr>
              <w:pStyle w:val="148"/>
              <w:rPr>
                <w:rFonts w:ascii="仿宋" w:hAnsi="仿宋"/>
                <w:color w:val="000000"/>
                <w:kern w:val="2"/>
                <w:sz w:val="24"/>
                <w:szCs w:val="24"/>
              </w:rPr>
            </w:pPr>
            <w:r>
              <w:rPr>
                <w:rFonts w:ascii="仿宋" w:hAnsi="仿宋"/>
                <w:color w:val="000000"/>
                <w:kern w:val="2"/>
                <w:sz w:val="24"/>
                <w:szCs w:val="24"/>
              </w:rPr>
              <w:t>4</w:t>
            </w:r>
          </w:p>
        </w:tc>
        <w:tc>
          <w:tcPr>
            <w:tcW w:w="609" w:type="pct"/>
            <w:vAlign w:val="center"/>
          </w:tcPr>
          <w:p w14:paraId="3AD76DCE">
            <w:pPr>
              <w:pStyle w:val="148"/>
              <w:rPr>
                <w:rFonts w:ascii="仿宋" w:hAnsi="仿宋"/>
                <w:color w:val="000000"/>
                <w:kern w:val="2"/>
                <w:sz w:val="24"/>
                <w:szCs w:val="24"/>
              </w:rPr>
            </w:pPr>
            <w:r>
              <w:rPr>
                <w:rFonts w:hint="eastAsia" w:ascii="仿宋" w:hAnsi="仿宋"/>
                <w:color w:val="000000"/>
                <w:kern w:val="2"/>
                <w:sz w:val="24"/>
                <w:szCs w:val="24"/>
              </w:rPr>
              <w:t>机械伤害</w:t>
            </w:r>
          </w:p>
        </w:tc>
        <w:tc>
          <w:tcPr>
            <w:tcW w:w="1930" w:type="pct"/>
            <w:vAlign w:val="center"/>
          </w:tcPr>
          <w:p w14:paraId="759C4994">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、防护、保险、信号等装置缺乏或有缺陷；</w:t>
            </w:r>
          </w:p>
          <w:p w14:paraId="07BFB97E">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、履带吊等设备、设施、工具、附件有缺陷；</w:t>
            </w:r>
          </w:p>
          <w:p w14:paraId="613BBAAA">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、个人防护用品用具缺少或有缺陷；</w:t>
            </w:r>
          </w:p>
          <w:p w14:paraId="4B74E5D2">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、施工场地环境不良（如照明不良）。</w:t>
            </w:r>
          </w:p>
        </w:tc>
        <w:tc>
          <w:tcPr>
            <w:tcW w:w="2155" w:type="pct"/>
            <w:vAlign w:val="center"/>
          </w:tcPr>
          <w:p w14:paraId="5EA18FDD">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、在必须使用个人防护用品用具的作业或场合中，忽视其使用；</w:t>
            </w:r>
          </w:p>
          <w:p w14:paraId="771904AC">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、有分散注意力行为；</w:t>
            </w:r>
          </w:p>
          <w:p w14:paraId="15D53033">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、未按操作规程使用吊机；</w:t>
            </w:r>
          </w:p>
          <w:p w14:paraId="2EA6D5CB">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、造成安全装置失效；</w:t>
            </w:r>
          </w:p>
          <w:p w14:paraId="5164883D">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、使用不安全设备；</w:t>
            </w:r>
          </w:p>
          <w:p w14:paraId="18CB6E8B">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、操作错误，忽视安全，忽视警告。</w:t>
            </w:r>
          </w:p>
        </w:tc>
      </w:tr>
      <w:tr w14:paraId="58A20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2D30CA69">
            <w:pPr>
              <w:pStyle w:val="148"/>
              <w:rPr>
                <w:rFonts w:ascii="仿宋" w:hAnsi="仿宋"/>
                <w:color w:val="000000"/>
                <w:kern w:val="2"/>
                <w:sz w:val="24"/>
                <w:szCs w:val="24"/>
              </w:rPr>
            </w:pPr>
            <w:r>
              <w:rPr>
                <w:rFonts w:ascii="仿宋" w:hAnsi="仿宋"/>
                <w:color w:val="000000"/>
                <w:kern w:val="2"/>
                <w:sz w:val="24"/>
                <w:szCs w:val="24"/>
              </w:rPr>
              <w:t>5</w:t>
            </w:r>
          </w:p>
        </w:tc>
        <w:tc>
          <w:tcPr>
            <w:tcW w:w="609" w:type="pct"/>
            <w:vAlign w:val="center"/>
          </w:tcPr>
          <w:p w14:paraId="43D1F0B7">
            <w:pPr>
              <w:pStyle w:val="148"/>
              <w:rPr>
                <w:rFonts w:ascii="仿宋" w:hAnsi="仿宋"/>
                <w:color w:val="000000"/>
                <w:kern w:val="2"/>
                <w:sz w:val="24"/>
                <w:szCs w:val="24"/>
              </w:rPr>
            </w:pPr>
            <w:r>
              <w:rPr>
                <w:rFonts w:hint="eastAsia" w:ascii="仿宋" w:hAnsi="仿宋"/>
                <w:color w:val="000000"/>
                <w:kern w:val="2"/>
                <w:sz w:val="24"/>
                <w:szCs w:val="24"/>
              </w:rPr>
              <w:t>触电</w:t>
            </w:r>
          </w:p>
        </w:tc>
        <w:tc>
          <w:tcPr>
            <w:tcW w:w="1930" w:type="pct"/>
            <w:vAlign w:val="center"/>
          </w:tcPr>
          <w:p w14:paraId="680C7CC3">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、电线老化、破损；</w:t>
            </w:r>
          </w:p>
          <w:p w14:paraId="421B2E57">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、电焊机等设备漏电、设备接地保护损坏；</w:t>
            </w:r>
          </w:p>
          <w:p w14:paraId="27CD8FDB">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、施工场地环境不良（如照明不佳、场地狭窄、雨雪天气等）；</w:t>
            </w:r>
          </w:p>
          <w:p w14:paraId="14148CA5">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、电线浸泡水中；</w:t>
            </w:r>
          </w:p>
          <w:p w14:paraId="73643F60">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、未实行“一机、一箱、一闸、一漏保”措施；</w:t>
            </w:r>
          </w:p>
          <w:p w14:paraId="67E030DF">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、未设置防雷措施；</w:t>
            </w:r>
          </w:p>
          <w:p w14:paraId="1EBFC38A">
            <w:pPr>
              <w:pStyle w:val="148"/>
              <w:jc w:val="left"/>
              <w:rPr>
                <w:rFonts w:ascii="仿宋" w:hAnsi="仿宋"/>
                <w:color w:val="000000"/>
                <w:kern w:val="2"/>
                <w:sz w:val="24"/>
                <w:szCs w:val="24"/>
              </w:rPr>
            </w:pPr>
            <w:r>
              <w:rPr>
                <w:rFonts w:ascii="仿宋" w:hAnsi="仿宋"/>
                <w:color w:val="000000"/>
                <w:kern w:val="2"/>
                <w:sz w:val="24"/>
                <w:szCs w:val="24"/>
              </w:rPr>
              <w:t>7</w:t>
            </w:r>
            <w:r>
              <w:rPr>
                <w:rFonts w:hint="eastAsia" w:ascii="仿宋" w:hAnsi="仿宋"/>
                <w:color w:val="000000"/>
                <w:kern w:val="2"/>
                <w:sz w:val="24"/>
                <w:szCs w:val="24"/>
              </w:rPr>
              <w:t>、危险机电区域未设置警示标志</w:t>
            </w:r>
          </w:p>
        </w:tc>
        <w:tc>
          <w:tcPr>
            <w:tcW w:w="2155" w:type="pct"/>
            <w:vAlign w:val="center"/>
          </w:tcPr>
          <w:p w14:paraId="3DBD4785">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、无证人员操作电路设备；</w:t>
            </w:r>
          </w:p>
          <w:p w14:paraId="216D909C">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、不当行为造成安全装置（如漏电保安器失效）；</w:t>
            </w:r>
          </w:p>
          <w:p w14:paraId="03517B9B">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、使用不安全设备（如测电笔）；</w:t>
            </w:r>
          </w:p>
          <w:p w14:paraId="67FF8EFF">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、非专业电工冒险进入危险场所（如配电房）等；</w:t>
            </w:r>
          </w:p>
          <w:p w14:paraId="521DB47D">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、雷电恶劣天气作业。</w:t>
            </w:r>
          </w:p>
        </w:tc>
      </w:tr>
      <w:tr w14:paraId="2F43A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5AEC2683">
            <w:pPr>
              <w:pStyle w:val="148"/>
              <w:rPr>
                <w:rFonts w:ascii="仿宋" w:hAnsi="仿宋"/>
                <w:color w:val="000000"/>
                <w:kern w:val="2"/>
                <w:sz w:val="24"/>
                <w:szCs w:val="24"/>
              </w:rPr>
            </w:pPr>
            <w:r>
              <w:rPr>
                <w:rFonts w:ascii="仿宋" w:hAnsi="仿宋"/>
                <w:color w:val="000000"/>
                <w:kern w:val="2"/>
                <w:sz w:val="24"/>
                <w:szCs w:val="24"/>
              </w:rPr>
              <w:t>6</w:t>
            </w:r>
          </w:p>
        </w:tc>
        <w:tc>
          <w:tcPr>
            <w:tcW w:w="609" w:type="pct"/>
            <w:vAlign w:val="center"/>
          </w:tcPr>
          <w:p w14:paraId="308E5E56">
            <w:pPr>
              <w:pStyle w:val="148"/>
              <w:rPr>
                <w:rFonts w:ascii="仿宋" w:hAnsi="仿宋"/>
                <w:color w:val="000000"/>
                <w:kern w:val="2"/>
                <w:sz w:val="24"/>
                <w:szCs w:val="24"/>
              </w:rPr>
            </w:pPr>
            <w:r>
              <w:rPr>
                <w:rFonts w:hint="eastAsia" w:ascii="仿宋" w:hAnsi="仿宋"/>
                <w:color w:val="000000"/>
                <w:kern w:val="2"/>
                <w:sz w:val="24"/>
                <w:szCs w:val="24"/>
              </w:rPr>
              <w:t>火灾爆炸</w:t>
            </w:r>
          </w:p>
        </w:tc>
        <w:tc>
          <w:tcPr>
            <w:tcW w:w="1930" w:type="pct"/>
            <w:vAlign w:val="center"/>
          </w:tcPr>
          <w:p w14:paraId="60C5CE8D">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、氧气、乙炔气管破损漏气；</w:t>
            </w:r>
          </w:p>
          <w:p w14:paraId="1F91D1BD">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、乙炔瓶未安装防回火装置或其失效。</w:t>
            </w:r>
          </w:p>
        </w:tc>
        <w:tc>
          <w:tcPr>
            <w:tcW w:w="2155" w:type="pct"/>
            <w:vAlign w:val="center"/>
          </w:tcPr>
          <w:p w14:paraId="38280352">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、使用氧气、乙炔气时，将气瓶放倒使用；</w:t>
            </w:r>
          </w:p>
          <w:p w14:paraId="72143B73">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、气瓶在阳光下曝晒使用；</w:t>
            </w:r>
          </w:p>
          <w:p w14:paraId="0D39A2BE">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、违规滚拖氧气、乙炔瓶；</w:t>
            </w:r>
          </w:p>
          <w:p w14:paraId="7724FF27">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、用明火解冻气瓶；</w:t>
            </w:r>
          </w:p>
          <w:p w14:paraId="615D7AD8">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、在氧气乙炔瓶附近吸烟或明火作业；</w:t>
            </w:r>
          </w:p>
          <w:p w14:paraId="5A3E9E16">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、氧气乙炔瓶工作间距不满足安全距离。</w:t>
            </w:r>
          </w:p>
        </w:tc>
      </w:tr>
      <w:tr w14:paraId="426EC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5199AB09">
            <w:pPr>
              <w:pStyle w:val="148"/>
              <w:rPr>
                <w:rFonts w:ascii="仿宋" w:hAnsi="仿宋"/>
                <w:color w:val="000000"/>
                <w:kern w:val="2"/>
                <w:sz w:val="24"/>
                <w:szCs w:val="24"/>
              </w:rPr>
            </w:pPr>
            <w:r>
              <w:rPr>
                <w:rFonts w:ascii="仿宋" w:hAnsi="仿宋"/>
                <w:color w:val="000000"/>
                <w:kern w:val="2"/>
                <w:sz w:val="24"/>
                <w:szCs w:val="24"/>
              </w:rPr>
              <w:t>7</w:t>
            </w:r>
          </w:p>
        </w:tc>
        <w:tc>
          <w:tcPr>
            <w:tcW w:w="609" w:type="pct"/>
            <w:vAlign w:val="center"/>
          </w:tcPr>
          <w:p w14:paraId="0F435CAD">
            <w:pPr>
              <w:pStyle w:val="148"/>
              <w:rPr>
                <w:rFonts w:ascii="仿宋" w:hAnsi="仿宋"/>
                <w:color w:val="000000"/>
                <w:kern w:val="2"/>
                <w:sz w:val="24"/>
                <w:szCs w:val="24"/>
              </w:rPr>
            </w:pPr>
            <w:r>
              <w:rPr>
                <w:rFonts w:hint="eastAsia" w:ascii="仿宋" w:hAnsi="仿宋"/>
                <w:color w:val="000000"/>
                <w:kern w:val="2"/>
                <w:sz w:val="24"/>
                <w:szCs w:val="24"/>
              </w:rPr>
              <w:t>车辆伤害</w:t>
            </w:r>
          </w:p>
        </w:tc>
        <w:tc>
          <w:tcPr>
            <w:tcW w:w="1930" w:type="pct"/>
            <w:vAlign w:val="center"/>
          </w:tcPr>
          <w:p w14:paraId="26471B9C">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、施工场地内构筑物、设备侵入道路，妨碍视线；</w:t>
            </w:r>
          </w:p>
          <w:p w14:paraId="10FB0372">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、运输、装卸车辆未进行检修和保养；</w:t>
            </w:r>
          </w:p>
          <w:p w14:paraId="08BFE2BE">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、施工场内道路未设置明显的限速标志；</w:t>
            </w:r>
          </w:p>
          <w:p w14:paraId="446A3A96">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、施工场地环境不良（如照明不佳、场地狭窄、雨雪天气等）；</w:t>
            </w:r>
          </w:p>
        </w:tc>
        <w:tc>
          <w:tcPr>
            <w:tcW w:w="2155" w:type="pct"/>
            <w:vAlign w:val="center"/>
          </w:tcPr>
          <w:p w14:paraId="3A5662BC">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、车辆驾驶人员未经过专业技术、安全操作考试、无相关证件；</w:t>
            </w:r>
          </w:p>
          <w:p w14:paraId="1F16A2C3">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、运输、装卸作业人员作业时未按规定穿戴劳动保护用品。</w:t>
            </w:r>
          </w:p>
        </w:tc>
      </w:tr>
      <w:tr w14:paraId="1AF64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 w:type="pct"/>
            <w:vAlign w:val="center"/>
          </w:tcPr>
          <w:p w14:paraId="2F8F9987">
            <w:pPr>
              <w:pStyle w:val="148"/>
              <w:rPr>
                <w:rFonts w:ascii="仿宋" w:hAnsi="仿宋"/>
                <w:color w:val="000000"/>
                <w:kern w:val="2"/>
                <w:sz w:val="24"/>
                <w:szCs w:val="24"/>
              </w:rPr>
            </w:pPr>
            <w:r>
              <w:rPr>
                <w:rFonts w:ascii="仿宋" w:hAnsi="仿宋"/>
                <w:color w:val="000000"/>
                <w:kern w:val="2"/>
                <w:sz w:val="24"/>
                <w:szCs w:val="24"/>
              </w:rPr>
              <w:t>8</w:t>
            </w:r>
          </w:p>
        </w:tc>
        <w:tc>
          <w:tcPr>
            <w:tcW w:w="609" w:type="pct"/>
            <w:vAlign w:val="center"/>
          </w:tcPr>
          <w:p w14:paraId="3301AB62">
            <w:pPr>
              <w:pStyle w:val="148"/>
              <w:rPr>
                <w:rFonts w:ascii="仿宋" w:hAnsi="仿宋"/>
                <w:color w:val="000000"/>
                <w:kern w:val="2"/>
                <w:sz w:val="24"/>
                <w:szCs w:val="24"/>
              </w:rPr>
            </w:pPr>
            <w:r>
              <w:rPr>
                <w:rFonts w:hint="eastAsia" w:ascii="仿宋" w:hAnsi="仿宋"/>
                <w:color w:val="000000"/>
                <w:kern w:val="2"/>
                <w:sz w:val="24"/>
                <w:szCs w:val="24"/>
              </w:rPr>
              <w:t>塔机倒塌</w:t>
            </w:r>
          </w:p>
        </w:tc>
        <w:tc>
          <w:tcPr>
            <w:tcW w:w="1930" w:type="pct"/>
            <w:vAlign w:val="center"/>
          </w:tcPr>
          <w:p w14:paraId="6218922F">
            <w:pPr>
              <w:pStyle w:val="148"/>
              <w:jc w:val="left"/>
              <w:rPr>
                <w:rFonts w:ascii="仿宋" w:hAnsi="仿宋"/>
                <w:color w:val="000000"/>
                <w:kern w:val="2"/>
                <w:sz w:val="24"/>
                <w:szCs w:val="24"/>
              </w:rPr>
            </w:pPr>
            <w:r>
              <w:rPr>
                <w:rFonts w:ascii="仿宋" w:hAnsi="仿宋" w:cs="宋体"/>
                <w:kern w:val="2"/>
                <w:sz w:val="24"/>
                <w:szCs w:val="24"/>
              </w:rPr>
              <w:t>1</w:t>
            </w:r>
            <w:r>
              <w:rPr>
                <w:rFonts w:ascii="仿宋" w:hAnsi="仿宋"/>
                <w:color w:val="000000"/>
                <w:kern w:val="2"/>
                <w:sz w:val="24"/>
                <w:szCs w:val="24"/>
              </w:rPr>
              <w:t>.</w:t>
            </w:r>
            <w:r>
              <w:rPr>
                <w:rFonts w:hint="eastAsia" w:ascii="仿宋" w:hAnsi="仿宋"/>
                <w:color w:val="000000"/>
                <w:kern w:val="2"/>
                <w:sz w:val="24"/>
                <w:szCs w:val="24"/>
              </w:rPr>
              <w:t>“三无”机械设备；</w:t>
            </w:r>
          </w:p>
          <w:p w14:paraId="63AD0F21">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机械设备带病运转；</w:t>
            </w:r>
          </w:p>
          <w:p w14:paraId="012A6113">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照明光线不良；</w:t>
            </w:r>
          </w:p>
          <w:p w14:paraId="51DAC196">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施工场地地面潮湿或积水；</w:t>
            </w:r>
          </w:p>
          <w:p w14:paraId="50416D5C">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作业平台临边未设置安全防护设施或设置不合理；</w:t>
            </w:r>
          </w:p>
          <w:p w14:paraId="790D4DDE">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起重设备的钢丝绳和索具无出厂合格证和材质证明；</w:t>
            </w:r>
          </w:p>
          <w:p w14:paraId="0E7129A0">
            <w:pPr>
              <w:pStyle w:val="148"/>
              <w:jc w:val="left"/>
              <w:rPr>
                <w:rFonts w:ascii="仿宋" w:hAnsi="仿宋"/>
                <w:color w:val="000000"/>
                <w:kern w:val="2"/>
                <w:sz w:val="24"/>
                <w:szCs w:val="24"/>
              </w:rPr>
            </w:pPr>
            <w:r>
              <w:rPr>
                <w:rFonts w:ascii="仿宋" w:hAnsi="仿宋"/>
                <w:color w:val="000000"/>
                <w:kern w:val="2"/>
                <w:sz w:val="24"/>
                <w:szCs w:val="24"/>
              </w:rPr>
              <w:t>7.</w:t>
            </w:r>
            <w:r>
              <w:rPr>
                <w:rFonts w:hint="eastAsia" w:ascii="仿宋" w:hAnsi="仿宋"/>
                <w:color w:val="000000"/>
                <w:kern w:val="2"/>
                <w:sz w:val="24"/>
                <w:szCs w:val="24"/>
              </w:rPr>
              <w:t>起重设备的钢丝绳锈蚀或磨损严重；</w:t>
            </w:r>
          </w:p>
          <w:p w14:paraId="265688DD">
            <w:pPr>
              <w:pStyle w:val="148"/>
              <w:jc w:val="left"/>
              <w:rPr>
                <w:rFonts w:ascii="仿宋" w:hAnsi="仿宋"/>
                <w:color w:val="000000"/>
                <w:kern w:val="2"/>
                <w:sz w:val="24"/>
                <w:szCs w:val="24"/>
              </w:rPr>
            </w:pPr>
            <w:r>
              <w:rPr>
                <w:rFonts w:ascii="仿宋" w:hAnsi="仿宋"/>
                <w:color w:val="000000"/>
                <w:kern w:val="2"/>
                <w:sz w:val="24"/>
                <w:szCs w:val="24"/>
              </w:rPr>
              <w:t>8.</w:t>
            </w:r>
            <w:r>
              <w:rPr>
                <w:rFonts w:hint="eastAsia" w:ascii="仿宋" w:hAnsi="仿宋"/>
                <w:color w:val="000000"/>
                <w:kern w:val="2"/>
                <w:sz w:val="24"/>
                <w:szCs w:val="24"/>
              </w:rPr>
              <w:t>起重设备的吊钩、吊环有裂纹、破口或磨损严重；</w:t>
            </w:r>
          </w:p>
          <w:p w14:paraId="60CD406E">
            <w:pPr>
              <w:pStyle w:val="148"/>
              <w:jc w:val="left"/>
              <w:rPr>
                <w:rFonts w:ascii="仿宋" w:hAnsi="仿宋"/>
                <w:color w:val="000000"/>
                <w:kern w:val="2"/>
                <w:sz w:val="24"/>
                <w:szCs w:val="24"/>
              </w:rPr>
            </w:pPr>
            <w:r>
              <w:rPr>
                <w:rFonts w:ascii="仿宋" w:hAnsi="仿宋"/>
                <w:color w:val="000000"/>
                <w:kern w:val="2"/>
                <w:sz w:val="24"/>
                <w:szCs w:val="24"/>
              </w:rPr>
              <w:t>9.</w:t>
            </w:r>
            <w:r>
              <w:rPr>
                <w:rFonts w:hint="eastAsia" w:ascii="仿宋" w:hAnsi="仿宋"/>
                <w:color w:val="000000"/>
                <w:kern w:val="2"/>
                <w:sz w:val="24"/>
                <w:szCs w:val="24"/>
              </w:rPr>
              <w:t>起重设备制动器的制动鼓和制动带磨损严重；</w:t>
            </w:r>
          </w:p>
          <w:p w14:paraId="3D2D9401">
            <w:pPr>
              <w:pStyle w:val="148"/>
              <w:jc w:val="left"/>
              <w:rPr>
                <w:rFonts w:ascii="仿宋" w:hAnsi="仿宋"/>
                <w:color w:val="000000"/>
                <w:kern w:val="2"/>
                <w:sz w:val="24"/>
                <w:szCs w:val="24"/>
              </w:rPr>
            </w:pPr>
            <w:r>
              <w:rPr>
                <w:rFonts w:ascii="仿宋" w:hAnsi="仿宋"/>
                <w:color w:val="000000"/>
                <w:kern w:val="2"/>
                <w:sz w:val="24"/>
                <w:szCs w:val="24"/>
              </w:rPr>
              <w:t>10.</w:t>
            </w:r>
            <w:r>
              <w:rPr>
                <w:rFonts w:hint="eastAsia" w:ascii="仿宋" w:hAnsi="仿宋"/>
                <w:color w:val="000000"/>
                <w:kern w:val="2"/>
                <w:sz w:val="24"/>
                <w:szCs w:val="24"/>
              </w:rPr>
              <w:t>大临设施本身的强度、刚度、稳定性不够，安装存在缺陷；</w:t>
            </w:r>
          </w:p>
          <w:p w14:paraId="1893AE40">
            <w:pPr>
              <w:pStyle w:val="148"/>
              <w:jc w:val="left"/>
              <w:rPr>
                <w:rFonts w:ascii="仿宋" w:hAnsi="仿宋"/>
                <w:color w:val="000000"/>
                <w:kern w:val="2"/>
                <w:sz w:val="24"/>
                <w:szCs w:val="24"/>
              </w:rPr>
            </w:pPr>
            <w:r>
              <w:rPr>
                <w:rFonts w:ascii="仿宋" w:hAnsi="仿宋"/>
                <w:color w:val="000000"/>
                <w:kern w:val="2"/>
                <w:sz w:val="24"/>
                <w:szCs w:val="24"/>
              </w:rPr>
              <w:t>11.</w:t>
            </w:r>
            <w:r>
              <w:rPr>
                <w:rFonts w:hint="eastAsia" w:ascii="仿宋" w:hAnsi="仿宋"/>
                <w:color w:val="000000"/>
                <w:kern w:val="2"/>
                <w:sz w:val="24"/>
                <w:szCs w:val="24"/>
              </w:rPr>
              <w:t>设备起重能力不足；</w:t>
            </w:r>
          </w:p>
          <w:p w14:paraId="74909674">
            <w:pPr>
              <w:pStyle w:val="148"/>
              <w:jc w:val="left"/>
              <w:rPr>
                <w:rFonts w:ascii="仿宋" w:hAnsi="仿宋"/>
                <w:color w:val="000000"/>
                <w:kern w:val="2"/>
                <w:sz w:val="24"/>
                <w:szCs w:val="24"/>
              </w:rPr>
            </w:pPr>
            <w:r>
              <w:rPr>
                <w:rFonts w:ascii="仿宋" w:hAnsi="仿宋"/>
                <w:color w:val="000000"/>
                <w:kern w:val="2"/>
                <w:sz w:val="24"/>
                <w:szCs w:val="24"/>
              </w:rPr>
              <w:t>12.</w:t>
            </w:r>
            <w:r>
              <w:rPr>
                <w:rFonts w:hint="eastAsia" w:ascii="仿宋" w:hAnsi="仿宋"/>
                <w:color w:val="000000"/>
                <w:kern w:val="2"/>
                <w:sz w:val="24"/>
                <w:szCs w:val="24"/>
              </w:rPr>
              <w:t>起重设备安全保护装置和指</w:t>
            </w:r>
          </w:p>
          <w:p w14:paraId="69E8CBBC">
            <w:pPr>
              <w:pStyle w:val="148"/>
              <w:jc w:val="left"/>
              <w:rPr>
                <w:rFonts w:ascii="仿宋" w:hAnsi="仿宋"/>
                <w:color w:val="000000"/>
                <w:kern w:val="2"/>
                <w:sz w:val="24"/>
                <w:szCs w:val="24"/>
              </w:rPr>
            </w:pPr>
            <w:r>
              <w:rPr>
                <w:rFonts w:hint="eastAsia" w:ascii="仿宋" w:hAnsi="仿宋"/>
                <w:color w:val="000000"/>
                <w:kern w:val="2"/>
                <w:sz w:val="24"/>
                <w:szCs w:val="24"/>
              </w:rPr>
              <w:t>示仪表有缺陷；</w:t>
            </w:r>
          </w:p>
          <w:p w14:paraId="22DCE535">
            <w:pPr>
              <w:pStyle w:val="148"/>
              <w:jc w:val="left"/>
              <w:rPr>
                <w:rFonts w:ascii="仿宋" w:hAnsi="仿宋"/>
                <w:color w:val="000000"/>
                <w:kern w:val="2"/>
                <w:sz w:val="24"/>
                <w:szCs w:val="24"/>
              </w:rPr>
            </w:pPr>
            <w:r>
              <w:rPr>
                <w:rFonts w:ascii="仿宋" w:hAnsi="仿宋"/>
                <w:color w:val="000000"/>
                <w:kern w:val="2"/>
                <w:sz w:val="24"/>
                <w:szCs w:val="24"/>
              </w:rPr>
              <w:t>13.</w:t>
            </w:r>
            <w:r>
              <w:rPr>
                <w:rFonts w:hint="eastAsia" w:ascii="仿宋" w:hAnsi="仿宋"/>
                <w:color w:val="000000"/>
                <w:kern w:val="2"/>
                <w:sz w:val="24"/>
                <w:szCs w:val="24"/>
              </w:rPr>
              <w:t>起重设备基础不牢固、起重作业前未进行试吊；</w:t>
            </w:r>
          </w:p>
          <w:p w14:paraId="0F51EA0A">
            <w:pPr>
              <w:pStyle w:val="148"/>
              <w:jc w:val="left"/>
              <w:rPr>
                <w:rFonts w:ascii="仿宋" w:hAnsi="仿宋"/>
                <w:color w:val="000000"/>
                <w:kern w:val="2"/>
                <w:sz w:val="24"/>
                <w:szCs w:val="24"/>
              </w:rPr>
            </w:pPr>
            <w:r>
              <w:rPr>
                <w:rFonts w:ascii="仿宋" w:hAnsi="仿宋"/>
                <w:color w:val="000000"/>
                <w:kern w:val="2"/>
                <w:sz w:val="24"/>
                <w:szCs w:val="24"/>
              </w:rPr>
              <w:t>14.</w:t>
            </w:r>
            <w:r>
              <w:rPr>
                <w:rFonts w:hint="eastAsia" w:ascii="仿宋" w:hAnsi="仿宋"/>
                <w:color w:val="000000"/>
                <w:kern w:val="2"/>
                <w:sz w:val="24"/>
                <w:szCs w:val="24"/>
              </w:rPr>
              <w:t>在吊装作业半径内未设置警戒带、告知牌；</w:t>
            </w:r>
          </w:p>
          <w:p w14:paraId="548C358F">
            <w:pPr>
              <w:pStyle w:val="148"/>
              <w:jc w:val="left"/>
              <w:rPr>
                <w:rFonts w:ascii="仿宋" w:hAnsi="仿宋"/>
                <w:color w:val="000000"/>
                <w:kern w:val="2"/>
                <w:sz w:val="24"/>
                <w:szCs w:val="24"/>
              </w:rPr>
            </w:pPr>
            <w:r>
              <w:rPr>
                <w:rFonts w:ascii="仿宋" w:hAnsi="仿宋"/>
                <w:color w:val="000000"/>
                <w:kern w:val="2"/>
                <w:sz w:val="24"/>
                <w:szCs w:val="24"/>
              </w:rPr>
              <w:t>15.</w:t>
            </w:r>
            <w:r>
              <w:rPr>
                <w:rFonts w:hint="eastAsia" w:ascii="仿宋" w:hAnsi="仿宋"/>
                <w:color w:val="000000"/>
                <w:kern w:val="2"/>
                <w:sz w:val="24"/>
                <w:szCs w:val="24"/>
              </w:rPr>
              <w:t>作业区域未设置安全警示标志和安全防护设施；</w:t>
            </w:r>
          </w:p>
          <w:p w14:paraId="21EF8412">
            <w:pPr>
              <w:pStyle w:val="148"/>
              <w:jc w:val="left"/>
              <w:rPr>
                <w:rFonts w:ascii="仿宋" w:hAnsi="仿宋"/>
                <w:color w:val="000000"/>
                <w:kern w:val="2"/>
                <w:sz w:val="24"/>
                <w:szCs w:val="24"/>
              </w:rPr>
            </w:pPr>
            <w:r>
              <w:rPr>
                <w:rFonts w:ascii="仿宋" w:hAnsi="仿宋"/>
                <w:color w:val="000000"/>
                <w:kern w:val="2"/>
                <w:sz w:val="24"/>
                <w:szCs w:val="24"/>
              </w:rPr>
              <w:t>16.</w:t>
            </w:r>
            <w:r>
              <w:rPr>
                <w:rFonts w:hint="eastAsia" w:ascii="仿宋" w:hAnsi="仿宋"/>
                <w:color w:val="000000"/>
                <w:kern w:val="2"/>
                <w:sz w:val="24"/>
                <w:szCs w:val="24"/>
              </w:rPr>
              <w:t>设备运行轨道不平顺；</w:t>
            </w:r>
          </w:p>
          <w:p w14:paraId="7CAA6733">
            <w:pPr>
              <w:pStyle w:val="148"/>
              <w:jc w:val="left"/>
              <w:rPr>
                <w:rFonts w:ascii="仿宋" w:hAnsi="仿宋"/>
                <w:color w:val="000000"/>
                <w:kern w:val="2"/>
                <w:sz w:val="24"/>
                <w:szCs w:val="24"/>
              </w:rPr>
            </w:pPr>
            <w:r>
              <w:rPr>
                <w:rFonts w:ascii="仿宋" w:hAnsi="仿宋"/>
                <w:color w:val="000000"/>
                <w:kern w:val="2"/>
                <w:sz w:val="24"/>
                <w:szCs w:val="24"/>
              </w:rPr>
              <w:t>17.</w:t>
            </w:r>
            <w:r>
              <w:rPr>
                <w:rFonts w:hint="eastAsia" w:ascii="仿宋" w:hAnsi="仿宋"/>
                <w:color w:val="000000"/>
                <w:kern w:val="2"/>
                <w:sz w:val="24"/>
                <w:szCs w:val="24"/>
              </w:rPr>
              <w:t>机械设备无专业资质。</w:t>
            </w:r>
          </w:p>
          <w:p w14:paraId="3046065D">
            <w:pPr>
              <w:pStyle w:val="148"/>
              <w:jc w:val="left"/>
              <w:rPr>
                <w:rFonts w:ascii="仿宋" w:hAnsi="仿宋"/>
                <w:color w:val="000000"/>
                <w:kern w:val="2"/>
                <w:sz w:val="24"/>
                <w:szCs w:val="24"/>
              </w:rPr>
            </w:pPr>
          </w:p>
        </w:tc>
        <w:tc>
          <w:tcPr>
            <w:tcW w:w="2155" w:type="pct"/>
            <w:vAlign w:val="center"/>
          </w:tcPr>
          <w:p w14:paraId="096EFAED">
            <w:pPr>
              <w:pStyle w:val="148"/>
              <w:jc w:val="left"/>
              <w:rPr>
                <w:rFonts w:ascii="仿宋" w:hAnsi="仿宋"/>
                <w:color w:val="000000"/>
                <w:kern w:val="2"/>
                <w:sz w:val="24"/>
                <w:szCs w:val="24"/>
              </w:rPr>
            </w:pPr>
            <w:r>
              <w:rPr>
                <w:rFonts w:ascii="仿宋" w:hAnsi="仿宋"/>
                <w:color w:val="000000"/>
                <w:kern w:val="2"/>
                <w:sz w:val="24"/>
                <w:szCs w:val="24"/>
              </w:rPr>
              <w:t>1.</w:t>
            </w:r>
            <w:r>
              <w:rPr>
                <w:rFonts w:hint="eastAsia" w:ascii="仿宋" w:hAnsi="仿宋"/>
                <w:color w:val="000000"/>
                <w:kern w:val="2"/>
                <w:sz w:val="24"/>
                <w:szCs w:val="24"/>
              </w:rPr>
              <w:t>酒后作业；</w:t>
            </w:r>
          </w:p>
          <w:p w14:paraId="019D011C">
            <w:pPr>
              <w:pStyle w:val="148"/>
              <w:jc w:val="left"/>
              <w:rPr>
                <w:rFonts w:ascii="仿宋" w:hAnsi="仿宋"/>
                <w:color w:val="000000"/>
                <w:kern w:val="2"/>
                <w:sz w:val="24"/>
                <w:szCs w:val="24"/>
              </w:rPr>
            </w:pPr>
            <w:r>
              <w:rPr>
                <w:rFonts w:ascii="仿宋" w:hAnsi="仿宋"/>
                <w:color w:val="000000"/>
                <w:kern w:val="2"/>
                <w:sz w:val="24"/>
                <w:szCs w:val="24"/>
              </w:rPr>
              <w:t>2.</w:t>
            </w:r>
            <w:r>
              <w:rPr>
                <w:rFonts w:hint="eastAsia" w:ascii="仿宋" w:hAnsi="仿宋"/>
                <w:color w:val="000000"/>
                <w:kern w:val="2"/>
                <w:sz w:val="24"/>
                <w:szCs w:val="24"/>
              </w:rPr>
              <w:t>未持证上岗；</w:t>
            </w:r>
          </w:p>
          <w:p w14:paraId="7F404CAF">
            <w:pPr>
              <w:pStyle w:val="148"/>
              <w:jc w:val="left"/>
              <w:rPr>
                <w:rFonts w:ascii="仿宋" w:hAnsi="仿宋"/>
                <w:color w:val="000000"/>
                <w:kern w:val="2"/>
                <w:sz w:val="24"/>
                <w:szCs w:val="24"/>
              </w:rPr>
            </w:pPr>
            <w:r>
              <w:rPr>
                <w:rFonts w:ascii="仿宋" w:hAnsi="仿宋"/>
                <w:color w:val="000000"/>
                <w:kern w:val="2"/>
                <w:sz w:val="24"/>
                <w:szCs w:val="24"/>
              </w:rPr>
              <w:t>3.</w:t>
            </w:r>
            <w:r>
              <w:rPr>
                <w:rFonts w:hint="eastAsia" w:ascii="仿宋" w:hAnsi="仿宋"/>
                <w:color w:val="000000"/>
                <w:kern w:val="2"/>
                <w:sz w:val="24"/>
                <w:szCs w:val="24"/>
              </w:rPr>
              <w:t>作业人员经验能力不足，违章操作；</w:t>
            </w:r>
          </w:p>
          <w:p w14:paraId="60CADAA5">
            <w:pPr>
              <w:pStyle w:val="148"/>
              <w:jc w:val="left"/>
              <w:rPr>
                <w:rFonts w:ascii="仿宋" w:hAnsi="仿宋"/>
                <w:color w:val="000000"/>
                <w:kern w:val="2"/>
                <w:sz w:val="24"/>
                <w:szCs w:val="24"/>
              </w:rPr>
            </w:pPr>
            <w:r>
              <w:rPr>
                <w:rFonts w:ascii="仿宋" w:hAnsi="仿宋"/>
                <w:color w:val="000000"/>
                <w:kern w:val="2"/>
                <w:sz w:val="24"/>
                <w:szCs w:val="24"/>
              </w:rPr>
              <w:t>4.</w:t>
            </w:r>
            <w:r>
              <w:rPr>
                <w:rFonts w:hint="eastAsia" w:ascii="仿宋" w:hAnsi="仿宋"/>
                <w:color w:val="000000"/>
                <w:kern w:val="2"/>
                <w:sz w:val="24"/>
                <w:szCs w:val="24"/>
              </w:rPr>
              <w:t>作业时，注意力不集中，操作错误；</w:t>
            </w:r>
          </w:p>
          <w:p w14:paraId="6132E819">
            <w:pPr>
              <w:pStyle w:val="148"/>
              <w:jc w:val="left"/>
              <w:rPr>
                <w:rFonts w:ascii="仿宋" w:hAnsi="仿宋"/>
                <w:color w:val="000000"/>
                <w:kern w:val="2"/>
                <w:sz w:val="24"/>
                <w:szCs w:val="24"/>
              </w:rPr>
            </w:pPr>
            <w:r>
              <w:rPr>
                <w:rFonts w:ascii="仿宋" w:hAnsi="仿宋"/>
                <w:color w:val="000000"/>
                <w:kern w:val="2"/>
                <w:sz w:val="24"/>
                <w:szCs w:val="24"/>
              </w:rPr>
              <w:t>5.</w:t>
            </w:r>
            <w:r>
              <w:rPr>
                <w:rFonts w:hint="eastAsia" w:ascii="仿宋" w:hAnsi="仿宋"/>
                <w:color w:val="000000"/>
                <w:kern w:val="2"/>
                <w:sz w:val="24"/>
                <w:szCs w:val="24"/>
              </w:rPr>
              <w:t>未穿戴或未正确穿戴安全防护用品用具；</w:t>
            </w:r>
          </w:p>
          <w:p w14:paraId="78FEE018">
            <w:pPr>
              <w:pStyle w:val="148"/>
              <w:jc w:val="left"/>
              <w:rPr>
                <w:rFonts w:ascii="仿宋" w:hAnsi="仿宋"/>
                <w:color w:val="000000"/>
                <w:kern w:val="2"/>
                <w:sz w:val="24"/>
                <w:szCs w:val="24"/>
              </w:rPr>
            </w:pPr>
            <w:r>
              <w:rPr>
                <w:rFonts w:ascii="仿宋" w:hAnsi="仿宋"/>
                <w:color w:val="000000"/>
                <w:kern w:val="2"/>
                <w:sz w:val="24"/>
                <w:szCs w:val="24"/>
              </w:rPr>
              <w:t>6.</w:t>
            </w:r>
            <w:r>
              <w:rPr>
                <w:rFonts w:hint="eastAsia" w:ascii="仿宋" w:hAnsi="仿宋"/>
                <w:color w:val="000000"/>
                <w:kern w:val="2"/>
                <w:sz w:val="24"/>
                <w:szCs w:val="24"/>
              </w:rPr>
              <w:t>忽视警告标志、警告信号；</w:t>
            </w:r>
          </w:p>
          <w:p w14:paraId="64E7F0D4">
            <w:pPr>
              <w:pStyle w:val="148"/>
              <w:jc w:val="left"/>
              <w:rPr>
                <w:rFonts w:ascii="仿宋" w:hAnsi="仿宋"/>
                <w:color w:val="000000"/>
                <w:kern w:val="2"/>
                <w:sz w:val="24"/>
                <w:szCs w:val="24"/>
              </w:rPr>
            </w:pPr>
            <w:r>
              <w:rPr>
                <w:rFonts w:ascii="仿宋" w:hAnsi="仿宋"/>
                <w:color w:val="000000"/>
                <w:kern w:val="2"/>
                <w:sz w:val="24"/>
                <w:szCs w:val="24"/>
              </w:rPr>
              <w:t>7.</w:t>
            </w:r>
            <w:r>
              <w:rPr>
                <w:rFonts w:hint="eastAsia" w:ascii="仿宋" w:hAnsi="仿宋"/>
                <w:color w:val="000000"/>
                <w:kern w:val="2"/>
                <w:sz w:val="24"/>
                <w:szCs w:val="24"/>
              </w:rPr>
              <w:t>在危险区域行走、停留；</w:t>
            </w:r>
          </w:p>
          <w:p w14:paraId="310ED573">
            <w:pPr>
              <w:pStyle w:val="148"/>
              <w:jc w:val="left"/>
              <w:rPr>
                <w:rFonts w:ascii="仿宋" w:hAnsi="仿宋"/>
                <w:color w:val="000000"/>
                <w:kern w:val="2"/>
                <w:sz w:val="24"/>
                <w:szCs w:val="24"/>
              </w:rPr>
            </w:pPr>
            <w:r>
              <w:rPr>
                <w:rFonts w:ascii="仿宋" w:hAnsi="仿宋"/>
                <w:color w:val="000000"/>
                <w:kern w:val="2"/>
                <w:sz w:val="24"/>
                <w:szCs w:val="24"/>
              </w:rPr>
              <w:t>8.</w:t>
            </w:r>
            <w:r>
              <w:rPr>
                <w:rFonts w:hint="eastAsia" w:ascii="仿宋" w:hAnsi="仿宋"/>
                <w:color w:val="000000"/>
                <w:kern w:val="2"/>
                <w:sz w:val="24"/>
                <w:szCs w:val="24"/>
              </w:rPr>
              <w:t>违规检修电路；；</w:t>
            </w:r>
          </w:p>
          <w:p w14:paraId="211F6DDA">
            <w:pPr>
              <w:pStyle w:val="148"/>
              <w:jc w:val="left"/>
              <w:rPr>
                <w:rFonts w:ascii="仿宋" w:hAnsi="仿宋"/>
                <w:color w:val="000000"/>
                <w:kern w:val="2"/>
                <w:sz w:val="24"/>
                <w:szCs w:val="24"/>
              </w:rPr>
            </w:pPr>
            <w:r>
              <w:rPr>
                <w:rFonts w:ascii="仿宋" w:hAnsi="仿宋"/>
                <w:color w:val="000000"/>
                <w:kern w:val="2"/>
                <w:sz w:val="24"/>
                <w:szCs w:val="24"/>
              </w:rPr>
              <w:t>9.</w:t>
            </w:r>
            <w:r>
              <w:rPr>
                <w:rFonts w:hint="eastAsia" w:ascii="仿宋" w:hAnsi="仿宋"/>
                <w:color w:val="000000"/>
                <w:kern w:val="2"/>
                <w:sz w:val="24"/>
                <w:szCs w:val="24"/>
              </w:rPr>
              <w:t>在起吊物下作业、停留，起重作业时，超载、斜拉重物；</w:t>
            </w:r>
          </w:p>
          <w:p w14:paraId="4DC60C33">
            <w:pPr>
              <w:pStyle w:val="148"/>
              <w:jc w:val="left"/>
              <w:rPr>
                <w:rFonts w:ascii="仿宋" w:hAnsi="仿宋"/>
                <w:color w:val="000000"/>
                <w:kern w:val="2"/>
                <w:sz w:val="24"/>
                <w:szCs w:val="24"/>
              </w:rPr>
            </w:pPr>
            <w:r>
              <w:rPr>
                <w:rFonts w:ascii="仿宋" w:hAnsi="仿宋"/>
                <w:color w:val="000000"/>
                <w:kern w:val="2"/>
                <w:sz w:val="24"/>
                <w:szCs w:val="24"/>
              </w:rPr>
              <w:t>10.</w:t>
            </w:r>
            <w:r>
              <w:rPr>
                <w:rFonts w:hint="eastAsia" w:ascii="仿宋" w:hAnsi="仿宋"/>
                <w:color w:val="000000"/>
                <w:kern w:val="2"/>
                <w:sz w:val="24"/>
                <w:szCs w:val="24"/>
              </w:rPr>
              <w:t>作业人员违规上下抛接工具；</w:t>
            </w:r>
          </w:p>
          <w:p w14:paraId="41CEEFB9">
            <w:pPr>
              <w:pStyle w:val="148"/>
              <w:jc w:val="left"/>
              <w:rPr>
                <w:rFonts w:ascii="仿宋" w:hAnsi="仿宋"/>
                <w:color w:val="000000"/>
                <w:kern w:val="2"/>
                <w:sz w:val="24"/>
                <w:szCs w:val="24"/>
              </w:rPr>
            </w:pPr>
            <w:r>
              <w:rPr>
                <w:rFonts w:ascii="仿宋" w:hAnsi="仿宋"/>
                <w:color w:val="000000"/>
                <w:kern w:val="2"/>
                <w:sz w:val="24"/>
                <w:szCs w:val="24"/>
              </w:rPr>
              <w:t>11.</w:t>
            </w:r>
            <w:r>
              <w:rPr>
                <w:rFonts w:hint="eastAsia" w:ascii="仿宋" w:hAnsi="仿宋"/>
                <w:color w:val="000000"/>
                <w:kern w:val="2"/>
                <w:sz w:val="24"/>
                <w:szCs w:val="24"/>
              </w:rPr>
              <w:t>作业人员未将工具及零配件放于工具袋或安全位置；</w:t>
            </w:r>
          </w:p>
          <w:p w14:paraId="3ACF54F7">
            <w:pPr>
              <w:pStyle w:val="148"/>
              <w:jc w:val="left"/>
              <w:rPr>
                <w:rFonts w:ascii="仿宋" w:hAnsi="仿宋"/>
                <w:color w:val="000000"/>
                <w:kern w:val="2"/>
                <w:sz w:val="24"/>
                <w:szCs w:val="24"/>
              </w:rPr>
            </w:pPr>
            <w:r>
              <w:rPr>
                <w:rFonts w:ascii="仿宋" w:hAnsi="仿宋"/>
                <w:color w:val="000000"/>
                <w:kern w:val="2"/>
                <w:sz w:val="24"/>
                <w:szCs w:val="24"/>
              </w:rPr>
              <w:t>12.</w:t>
            </w:r>
            <w:r>
              <w:rPr>
                <w:rFonts w:hint="eastAsia" w:ascii="仿宋" w:hAnsi="仿宋"/>
                <w:color w:val="000000"/>
                <w:kern w:val="2"/>
                <w:sz w:val="24"/>
                <w:szCs w:val="24"/>
              </w:rPr>
              <w:t>对机械设备、材料、作业人员和安全防护设施等的检查不及时；</w:t>
            </w:r>
          </w:p>
          <w:p w14:paraId="3EFB4985">
            <w:pPr>
              <w:pStyle w:val="148"/>
              <w:jc w:val="left"/>
              <w:rPr>
                <w:rFonts w:ascii="仿宋" w:hAnsi="仿宋"/>
                <w:color w:val="000000"/>
                <w:kern w:val="2"/>
                <w:sz w:val="24"/>
                <w:szCs w:val="24"/>
              </w:rPr>
            </w:pPr>
            <w:r>
              <w:rPr>
                <w:rFonts w:ascii="仿宋" w:hAnsi="仿宋"/>
                <w:color w:val="000000"/>
                <w:kern w:val="2"/>
                <w:sz w:val="24"/>
                <w:szCs w:val="24"/>
              </w:rPr>
              <w:t>13.</w:t>
            </w:r>
            <w:r>
              <w:rPr>
                <w:rFonts w:hint="eastAsia" w:ascii="仿宋" w:hAnsi="仿宋"/>
                <w:color w:val="000000"/>
                <w:kern w:val="2"/>
                <w:sz w:val="24"/>
                <w:szCs w:val="24"/>
              </w:rPr>
              <w:t>方案未制定或制定不合理；</w:t>
            </w:r>
          </w:p>
          <w:p w14:paraId="49403939">
            <w:pPr>
              <w:pStyle w:val="148"/>
              <w:jc w:val="left"/>
              <w:rPr>
                <w:rFonts w:ascii="仿宋" w:hAnsi="仿宋"/>
                <w:color w:val="000000"/>
                <w:kern w:val="2"/>
                <w:sz w:val="24"/>
                <w:szCs w:val="24"/>
              </w:rPr>
            </w:pPr>
            <w:r>
              <w:rPr>
                <w:rFonts w:ascii="仿宋" w:hAnsi="仿宋"/>
                <w:color w:val="000000"/>
                <w:kern w:val="2"/>
                <w:sz w:val="24"/>
                <w:szCs w:val="24"/>
              </w:rPr>
              <w:t>14.</w:t>
            </w:r>
            <w:r>
              <w:rPr>
                <w:rFonts w:hint="eastAsia" w:ascii="仿宋" w:hAnsi="仿宋"/>
                <w:color w:val="000000"/>
                <w:kern w:val="2"/>
                <w:sz w:val="24"/>
                <w:szCs w:val="24"/>
              </w:rPr>
              <w:t>指挥失误、错误；</w:t>
            </w:r>
          </w:p>
          <w:p w14:paraId="3FE02B9B">
            <w:pPr>
              <w:pStyle w:val="148"/>
              <w:jc w:val="left"/>
              <w:rPr>
                <w:rFonts w:ascii="仿宋" w:hAnsi="仿宋"/>
                <w:color w:val="000000"/>
                <w:kern w:val="2"/>
                <w:sz w:val="24"/>
                <w:szCs w:val="24"/>
              </w:rPr>
            </w:pPr>
            <w:r>
              <w:rPr>
                <w:rFonts w:ascii="仿宋" w:hAnsi="仿宋"/>
                <w:color w:val="000000"/>
                <w:kern w:val="2"/>
                <w:sz w:val="24"/>
                <w:szCs w:val="24"/>
              </w:rPr>
              <w:t>15.</w:t>
            </w:r>
            <w:r>
              <w:rPr>
                <w:rFonts w:hint="eastAsia" w:ascii="仿宋" w:hAnsi="仿宋"/>
                <w:color w:val="000000"/>
                <w:kern w:val="2"/>
                <w:sz w:val="24"/>
                <w:szCs w:val="24"/>
              </w:rPr>
              <w:t>未设专人进行现场监管或监管不到位；</w:t>
            </w:r>
          </w:p>
          <w:p w14:paraId="15F5A25E">
            <w:pPr>
              <w:pStyle w:val="148"/>
              <w:jc w:val="left"/>
              <w:rPr>
                <w:rFonts w:ascii="仿宋" w:hAnsi="仿宋"/>
                <w:color w:val="000000"/>
                <w:kern w:val="2"/>
                <w:sz w:val="24"/>
                <w:szCs w:val="24"/>
              </w:rPr>
            </w:pPr>
            <w:r>
              <w:rPr>
                <w:rFonts w:ascii="仿宋" w:hAnsi="仿宋"/>
                <w:color w:val="000000"/>
                <w:kern w:val="2"/>
                <w:sz w:val="24"/>
                <w:szCs w:val="24"/>
              </w:rPr>
              <w:t>16.</w:t>
            </w:r>
            <w:r>
              <w:rPr>
                <w:rFonts w:hint="eastAsia" w:ascii="仿宋" w:hAnsi="仿宋"/>
                <w:color w:val="000000"/>
                <w:kern w:val="2"/>
                <w:sz w:val="24"/>
                <w:szCs w:val="24"/>
              </w:rPr>
              <w:t>安全技术交底不到位；</w:t>
            </w:r>
          </w:p>
          <w:p w14:paraId="0B62A773">
            <w:pPr>
              <w:pStyle w:val="148"/>
              <w:jc w:val="left"/>
              <w:rPr>
                <w:rFonts w:ascii="仿宋" w:hAnsi="仿宋"/>
                <w:color w:val="000000"/>
                <w:kern w:val="2"/>
                <w:sz w:val="24"/>
                <w:szCs w:val="24"/>
              </w:rPr>
            </w:pPr>
            <w:r>
              <w:rPr>
                <w:rFonts w:ascii="仿宋" w:hAnsi="仿宋"/>
                <w:color w:val="000000"/>
                <w:kern w:val="2"/>
                <w:sz w:val="24"/>
                <w:szCs w:val="24"/>
              </w:rPr>
              <w:t>17.</w:t>
            </w:r>
            <w:r>
              <w:rPr>
                <w:rFonts w:hint="eastAsia" w:ascii="仿宋" w:hAnsi="仿宋"/>
                <w:color w:val="000000"/>
                <w:kern w:val="2"/>
                <w:sz w:val="24"/>
                <w:szCs w:val="24"/>
              </w:rPr>
              <w:t>强令施工人员冒险作业；</w:t>
            </w:r>
          </w:p>
          <w:p w14:paraId="62BE9C33">
            <w:pPr>
              <w:pStyle w:val="148"/>
              <w:jc w:val="left"/>
              <w:rPr>
                <w:rFonts w:ascii="仿宋" w:hAnsi="仿宋"/>
                <w:color w:val="000000"/>
                <w:kern w:val="2"/>
                <w:sz w:val="24"/>
                <w:szCs w:val="24"/>
              </w:rPr>
            </w:pPr>
            <w:r>
              <w:rPr>
                <w:rFonts w:ascii="仿宋" w:hAnsi="仿宋"/>
                <w:color w:val="000000"/>
                <w:kern w:val="2"/>
                <w:sz w:val="24"/>
                <w:szCs w:val="24"/>
              </w:rPr>
              <w:t>18.</w:t>
            </w:r>
            <w:r>
              <w:rPr>
                <w:rFonts w:hint="eastAsia" w:ascii="仿宋" w:hAnsi="仿宋"/>
                <w:color w:val="000000"/>
                <w:kern w:val="2"/>
                <w:sz w:val="24"/>
                <w:szCs w:val="24"/>
              </w:rPr>
              <w:t>未按施工方案要求施工；</w:t>
            </w:r>
          </w:p>
          <w:p w14:paraId="457B3DEC">
            <w:pPr>
              <w:pStyle w:val="148"/>
              <w:jc w:val="left"/>
              <w:rPr>
                <w:rFonts w:ascii="仿宋" w:hAnsi="仿宋"/>
                <w:color w:val="000000"/>
                <w:kern w:val="2"/>
                <w:sz w:val="24"/>
                <w:szCs w:val="24"/>
              </w:rPr>
            </w:pPr>
            <w:r>
              <w:rPr>
                <w:rFonts w:ascii="仿宋" w:hAnsi="仿宋"/>
                <w:color w:val="000000"/>
                <w:kern w:val="2"/>
                <w:sz w:val="24"/>
                <w:szCs w:val="24"/>
              </w:rPr>
              <w:t>19.</w:t>
            </w:r>
            <w:r>
              <w:rPr>
                <w:rFonts w:hint="eastAsia" w:ascii="仿宋" w:hAnsi="仿宋"/>
                <w:color w:val="000000"/>
                <w:kern w:val="2"/>
                <w:sz w:val="24"/>
                <w:szCs w:val="24"/>
              </w:rPr>
              <w:t>未制定事故应急预案；</w:t>
            </w:r>
          </w:p>
          <w:p w14:paraId="24036811">
            <w:pPr>
              <w:pStyle w:val="148"/>
              <w:jc w:val="left"/>
              <w:rPr>
                <w:rFonts w:ascii="仿宋" w:hAnsi="仿宋"/>
                <w:color w:val="000000"/>
                <w:kern w:val="2"/>
                <w:sz w:val="24"/>
                <w:szCs w:val="24"/>
              </w:rPr>
            </w:pPr>
            <w:r>
              <w:rPr>
                <w:rFonts w:ascii="仿宋" w:hAnsi="仿宋"/>
                <w:color w:val="000000"/>
                <w:kern w:val="2"/>
                <w:sz w:val="24"/>
                <w:szCs w:val="24"/>
              </w:rPr>
              <w:t>20.</w:t>
            </w:r>
            <w:r>
              <w:rPr>
                <w:rFonts w:hint="eastAsia" w:ascii="仿宋" w:hAnsi="仿宋"/>
                <w:color w:val="000000"/>
                <w:kern w:val="2"/>
                <w:sz w:val="24"/>
                <w:szCs w:val="24"/>
              </w:rPr>
              <w:t>高处作业不系安全带；</w:t>
            </w:r>
          </w:p>
          <w:p w14:paraId="31BC2C25">
            <w:pPr>
              <w:pStyle w:val="148"/>
              <w:jc w:val="left"/>
              <w:rPr>
                <w:rFonts w:ascii="仿宋" w:hAnsi="仿宋"/>
                <w:color w:val="000000"/>
                <w:kern w:val="2"/>
                <w:sz w:val="24"/>
                <w:szCs w:val="24"/>
              </w:rPr>
            </w:pPr>
            <w:r>
              <w:rPr>
                <w:rFonts w:ascii="仿宋" w:hAnsi="仿宋"/>
                <w:color w:val="000000"/>
                <w:kern w:val="2"/>
                <w:sz w:val="24"/>
                <w:szCs w:val="24"/>
              </w:rPr>
              <w:t>21.</w:t>
            </w:r>
            <w:r>
              <w:rPr>
                <w:rFonts w:hint="eastAsia" w:ascii="仿宋" w:hAnsi="仿宋"/>
                <w:color w:val="000000"/>
                <w:kern w:val="2"/>
                <w:sz w:val="24"/>
                <w:szCs w:val="24"/>
              </w:rPr>
              <w:t>吊物绑扎不牢靠。</w:t>
            </w:r>
          </w:p>
        </w:tc>
      </w:tr>
    </w:tbl>
    <w:p w14:paraId="74A94ABF">
      <w:pPr>
        <w:pStyle w:val="3"/>
        <w:bidi w:val="0"/>
        <w:ind w:left="575" w:leftChars="0" w:hanging="575" w:firstLineChars="0"/>
      </w:pPr>
      <w:bookmarkStart w:id="390" w:name="_Toc43"/>
      <w:bookmarkStart w:id="391" w:name="_Toc13299"/>
      <w:bookmarkStart w:id="392" w:name="_Toc24401"/>
      <w:bookmarkStart w:id="393" w:name="_Toc22286"/>
      <w:bookmarkStart w:id="394" w:name="_Toc319"/>
      <w:bookmarkStart w:id="395" w:name="_Toc27456"/>
      <w:r>
        <w:rPr>
          <w:rFonts w:hint="eastAsia"/>
        </w:rPr>
        <w:t>危险因素分析</w:t>
      </w:r>
      <w:bookmarkEnd w:id="390"/>
      <w:bookmarkEnd w:id="391"/>
      <w:bookmarkEnd w:id="392"/>
      <w:bookmarkEnd w:id="393"/>
      <w:bookmarkEnd w:id="394"/>
      <w:bookmarkEnd w:id="395"/>
    </w:p>
    <w:p w14:paraId="1DA56C9D">
      <w:pPr>
        <w:ind w:firstLine="560"/>
        <w:rPr>
          <w:color w:val="000000"/>
        </w:rPr>
      </w:pPr>
      <w:r>
        <w:rPr>
          <w:rFonts w:hint="eastAsia"/>
          <w:color w:val="000000"/>
        </w:rPr>
        <w:t>根据风险因素辨识结果，对</w:t>
      </w:r>
      <w:r>
        <w:rPr>
          <w:rFonts w:hint="eastAsia"/>
          <w:color w:val="000000"/>
          <w:lang w:eastAsia="zh-CN"/>
        </w:rPr>
        <w:t>四</w:t>
      </w:r>
      <w:r>
        <w:rPr>
          <w:rFonts w:hint="eastAsia"/>
          <w:color w:val="000000"/>
        </w:rPr>
        <w:t>台塔式起重机施工过程中潜在的事故为主线，从人、机、料、法、环等五个方面系统分析引发潜在事故的末端因素，结合现场实际进行要因确认，确定各潜在事故的致险因子，从而逐一对施工过程可能出现的潜在事故超前预防，有利管控。</w:t>
      </w:r>
    </w:p>
    <w:p w14:paraId="6E4473D0">
      <w:pPr>
        <w:ind w:firstLine="560"/>
        <w:rPr>
          <w:color w:val="000000"/>
        </w:rPr>
      </w:pPr>
      <w:r>
        <w:rPr>
          <w:rFonts w:hint="eastAsia"/>
          <w:color w:val="000000"/>
        </w:rPr>
        <w:t>通过对</w:t>
      </w:r>
      <w:r>
        <w:rPr>
          <w:rFonts w:hint="eastAsia"/>
          <w:color w:val="000000"/>
          <w:lang w:val="en-US" w:eastAsia="zh-CN"/>
        </w:rPr>
        <w:t>四</w:t>
      </w:r>
      <w:r>
        <w:rPr>
          <w:rFonts w:hint="eastAsia"/>
          <w:color w:val="000000"/>
        </w:rPr>
        <w:t>台塔式起重机施工作业的分解整理，横向对应潜在事故风险，并针对该风险，结合类似工程实践，从影响致险因子五要素（人、机、料、法、环）各方面入手，综合分析潜在事故风险的受伤害人员类型及伤害程度。</w:t>
      </w:r>
    </w:p>
    <w:p w14:paraId="531BD5EB">
      <w:pPr>
        <w:pStyle w:val="3"/>
        <w:bidi w:val="0"/>
        <w:ind w:left="575" w:leftChars="0" w:hanging="575" w:firstLineChars="0"/>
      </w:pPr>
      <w:bookmarkStart w:id="396" w:name="_Toc6597"/>
      <w:bookmarkStart w:id="397" w:name="_Toc8314"/>
      <w:bookmarkStart w:id="398" w:name="_Toc8308"/>
      <w:bookmarkStart w:id="399" w:name="_Toc14735"/>
      <w:bookmarkStart w:id="400" w:name="_Toc10252"/>
      <w:bookmarkStart w:id="401" w:name="_Toc29323"/>
      <w:r>
        <w:rPr>
          <w:rFonts w:hint="eastAsia"/>
        </w:rPr>
        <w:t>风险因素评估</w:t>
      </w:r>
      <w:bookmarkEnd w:id="396"/>
      <w:bookmarkEnd w:id="397"/>
      <w:bookmarkEnd w:id="398"/>
      <w:bookmarkEnd w:id="399"/>
      <w:bookmarkEnd w:id="400"/>
      <w:bookmarkEnd w:id="401"/>
    </w:p>
    <w:p w14:paraId="6DEA6CD0">
      <w:pPr>
        <w:ind w:firstLine="560"/>
        <w:rPr>
          <w:color w:val="000000"/>
          <w:szCs w:val="28"/>
        </w:rPr>
      </w:pPr>
      <w:r>
        <w:rPr>
          <w:rFonts w:hint="eastAsia"/>
          <w:color w:val="000000"/>
          <w:szCs w:val="28"/>
        </w:rPr>
        <w:t>LEC评价法(格雷厄姆(BenjaminGraham，1894-1976)评价法)是对具有潜在危险性作业环境中的危险源进行半定量的安全评价方法，用于评价操作人员在具有潜在危险性环境中作业时的危险性、危害性。</w:t>
      </w:r>
    </w:p>
    <w:p w14:paraId="555D5C99">
      <w:pPr>
        <w:ind w:firstLine="560"/>
        <w:rPr>
          <w:color w:val="000000"/>
          <w:szCs w:val="28"/>
        </w:rPr>
      </w:pPr>
      <w:r>
        <w:rPr>
          <w:rFonts w:hint="eastAsia"/>
          <w:color w:val="000000"/>
          <w:szCs w:val="28"/>
        </w:rPr>
        <w:t>该方法用于风险有关的三种因素指标值的乘积来评价操作人员伤亡风险大小。这三种因素分别是：L（事故发生的可能性）、E（人员暴露于危险环境中的频繁程度）和C（一旦发生事故可能造成的后果）。给三种因素的不同等级分别确定不同的分值，再以三个分值的乘积D来评价作业条件危险性的大小，即：D=L×E×C。</w:t>
      </w:r>
    </w:p>
    <w:p w14:paraId="48E5D58A">
      <w:pPr>
        <w:pStyle w:val="16"/>
      </w:pPr>
      <w:r>
        <w:t xml:space="preserve">表 </w:t>
      </w:r>
      <w:r>
        <w:fldChar w:fldCharType="begin"/>
      </w:r>
      <w:r>
        <w:instrText xml:space="preserve"> STYLEREF 2 \s </w:instrText>
      </w:r>
      <w:r>
        <w:fldChar w:fldCharType="separate"/>
      </w:r>
      <w:r>
        <w:t>11.3</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事故发生的可能性（L）</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9"/>
        <w:gridCol w:w="4682"/>
      </w:tblGrid>
      <w:tr w14:paraId="4BD6E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620CD7CC">
            <w:pPr>
              <w:pStyle w:val="148"/>
              <w:outlineLvl w:val="3"/>
              <w:rPr>
                <w:color w:val="000000"/>
                <w:kern w:val="2"/>
                <w:sz w:val="21"/>
              </w:rPr>
            </w:pPr>
            <w:r>
              <w:rPr>
                <w:rFonts w:hint="eastAsia"/>
                <w:color w:val="000000"/>
                <w:kern w:val="2"/>
                <w:sz w:val="21"/>
              </w:rPr>
              <w:t>分数值</w:t>
            </w:r>
          </w:p>
        </w:tc>
        <w:tc>
          <w:tcPr>
            <w:tcW w:w="2536" w:type="pct"/>
            <w:vAlign w:val="center"/>
          </w:tcPr>
          <w:p w14:paraId="21BF8826">
            <w:pPr>
              <w:pStyle w:val="148"/>
              <w:outlineLvl w:val="3"/>
              <w:rPr>
                <w:color w:val="000000"/>
                <w:kern w:val="2"/>
                <w:sz w:val="21"/>
              </w:rPr>
            </w:pPr>
            <w:r>
              <w:rPr>
                <w:rFonts w:hint="eastAsia"/>
                <w:color w:val="000000"/>
                <w:kern w:val="2"/>
                <w:sz w:val="21"/>
              </w:rPr>
              <w:t>事故发生的可能性</w:t>
            </w:r>
          </w:p>
        </w:tc>
      </w:tr>
      <w:tr w14:paraId="46EAB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0E8A86EC">
            <w:pPr>
              <w:pStyle w:val="148"/>
              <w:outlineLvl w:val="3"/>
              <w:rPr>
                <w:color w:val="000000"/>
                <w:kern w:val="2"/>
                <w:sz w:val="21"/>
              </w:rPr>
            </w:pPr>
            <w:r>
              <w:rPr>
                <w:rFonts w:hint="eastAsia"/>
                <w:color w:val="000000"/>
                <w:kern w:val="2"/>
                <w:sz w:val="21"/>
              </w:rPr>
              <w:t>10</w:t>
            </w:r>
          </w:p>
        </w:tc>
        <w:tc>
          <w:tcPr>
            <w:tcW w:w="2536" w:type="pct"/>
            <w:vAlign w:val="center"/>
          </w:tcPr>
          <w:p w14:paraId="7366B996">
            <w:pPr>
              <w:pStyle w:val="148"/>
              <w:outlineLvl w:val="3"/>
              <w:rPr>
                <w:color w:val="000000"/>
                <w:kern w:val="2"/>
                <w:sz w:val="21"/>
              </w:rPr>
            </w:pPr>
            <w:r>
              <w:rPr>
                <w:rFonts w:hint="eastAsia"/>
                <w:color w:val="000000"/>
                <w:kern w:val="2"/>
                <w:sz w:val="21"/>
              </w:rPr>
              <w:t>完全可以预料</w:t>
            </w:r>
          </w:p>
        </w:tc>
      </w:tr>
      <w:tr w14:paraId="3D0C7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3554868C">
            <w:pPr>
              <w:pStyle w:val="148"/>
              <w:outlineLvl w:val="3"/>
              <w:rPr>
                <w:color w:val="000000"/>
                <w:kern w:val="2"/>
                <w:sz w:val="21"/>
              </w:rPr>
            </w:pPr>
            <w:r>
              <w:rPr>
                <w:rFonts w:hint="eastAsia"/>
                <w:color w:val="000000"/>
                <w:kern w:val="2"/>
                <w:sz w:val="21"/>
              </w:rPr>
              <w:t>6</w:t>
            </w:r>
          </w:p>
        </w:tc>
        <w:tc>
          <w:tcPr>
            <w:tcW w:w="2536" w:type="pct"/>
            <w:vAlign w:val="center"/>
          </w:tcPr>
          <w:p w14:paraId="06BA8852">
            <w:pPr>
              <w:pStyle w:val="148"/>
              <w:outlineLvl w:val="3"/>
              <w:rPr>
                <w:color w:val="000000"/>
                <w:kern w:val="2"/>
                <w:sz w:val="21"/>
              </w:rPr>
            </w:pPr>
            <w:r>
              <w:rPr>
                <w:rFonts w:hint="eastAsia"/>
                <w:color w:val="000000"/>
                <w:kern w:val="2"/>
                <w:sz w:val="21"/>
              </w:rPr>
              <w:t>相当可能</w:t>
            </w:r>
          </w:p>
        </w:tc>
      </w:tr>
      <w:tr w14:paraId="122E2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21F15838">
            <w:pPr>
              <w:pStyle w:val="148"/>
              <w:outlineLvl w:val="3"/>
              <w:rPr>
                <w:color w:val="000000"/>
                <w:kern w:val="2"/>
                <w:sz w:val="21"/>
              </w:rPr>
            </w:pPr>
            <w:r>
              <w:rPr>
                <w:rFonts w:hint="eastAsia"/>
                <w:color w:val="000000"/>
                <w:kern w:val="2"/>
                <w:sz w:val="21"/>
              </w:rPr>
              <w:t>3</w:t>
            </w:r>
          </w:p>
        </w:tc>
        <w:tc>
          <w:tcPr>
            <w:tcW w:w="2536" w:type="pct"/>
            <w:vAlign w:val="center"/>
          </w:tcPr>
          <w:p w14:paraId="42D2204E">
            <w:pPr>
              <w:pStyle w:val="148"/>
              <w:outlineLvl w:val="3"/>
              <w:rPr>
                <w:color w:val="000000"/>
                <w:kern w:val="2"/>
                <w:sz w:val="21"/>
              </w:rPr>
            </w:pPr>
            <w:r>
              <w:rPr>
                <w:rFonts w:hint="eastAsia"/>
                <w:color w:val="000000"/>
                <w:kern w:val="2"/>
                <w:sz w:val="21"/>
              </w:rPr>
              <w:t>可能，但不经常</w:t>
            </w:r>
          </w:p>
        </w:tc>
      </w:tr>
      <w:tr w14:paraId="77A9C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0EA202B5">
            <w:pPr>
              <w:pStyle w:val="148"/>
              <w:outlineLvl w:val="3"/>
              <w:rPr>
                <w:color w:val="000000"/>
                <w:kern w:val="2"/>
                <w:sz w:val="21"/>
              </w:rPr>
            </w:pPr>
            <w:r>
              <w:rPr>
                <w:rFonts w:hint="eastAsia"/>
                <w:color w:val="000000"/>
                <w:kern w:val="2"/>
                <w:sz w:val="21"/>
              </w:rPr>
              <w:t>1</w:t>
            </w:r>
          </w:p>
        </w:tc>
        <w:tc>
          <w:tcPr>
            <w:tcW w:w="2536" w:type="pct"/>
            <w:vAlign w:val="center"/>
          </w:tcPr>
          <w:p w14:paraId="784E874F">
            <w:pPr>
              <w:pStyle w:val="148"/>
              <w:outlineLvl w:val="3"/>
              <w:rPr>
                <w:color w:val="000000"/>
                <w:kern w:val="2"/>
                <w:sz w:val="21"/>
              </w:rPr>
            </w:pPr>
            <w:r>
              <w:rPr>
                <w:rFonts w:hint="eastAsia"/>
                <w:color w:val="000000"/>
                <w:kern w:val="2"/>
                <w:sz w:val="21"/>
              </w:rPr>
              <w:t>可能相信小，完全意外</w:t>
            </w:r>
          </w:p>
        </w:tc>
      </w:tr>
      <w:tr w14:paraId="22CF2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481051E9">
            <w:pPr>
              <w:pStyle w:val="148"/>
              <w:outlineLvl w:val="3"/>
              <w:rPr>
                <w:color w:val="000000"/>
                <w:kern w:val="2"/>
                <w:sz w:val="21"/>
              </w:rPr>
            </w:pPr>
            <w:r>
              <w:rPr>
                <w:rFonts w:hint="eastAsia"/>
                <w:color w:val="000000"/>
                <w:kern w:val="2"/>
                <w:sz w:val="21"/>
              </w:rPr>
              <w:t>0.5</w:t>
            </w:r>
          </w:p>
        </w:tc>
        <w:tc>
          <w:tcPr>
            <w:tcW w:w="2536" w:type="pct"/>
            <w:vAlign w:val="center"/>
          </w:tcPr>
          <w:p w14:paraId="352335AE">
            <w:pPr>
              <w:pStyle w:val="148"/>
              <w:outlineLvl w:val="3"/>
              <w:rPr>
                <w:color w:val="000000"/>
                <w:kern w:val="2"/>
                <w:sz w:val="21"/>
              </w:rPr>
            </w:pPr>
            <w:r>
              <w:rPr>
                <w:rFonts w:hint="eastAsia"/>
                <w:color w:val="000000"/>
                <w:kern w:val="2"/>
                <w:sz w:val="21"/>
              </w:rPr>
              <w:t>很不可能，可以设想</w:t>
            </w:r>
          </w:p>
        </w:tc>
      </w:tr>
      <w:tr w14:paraId="2BA7B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00EA1D1D">
            <w:pPr>
              <w:pStyle w:val="148"/>
              <w:outlineLvl w:val="3"/>
              <w:rPr>
                <w:color w:val="000000"/>
                <w:kern w:val="2"/>
                <w:sz w:val="21"/>
              </w:rPr>
            </w:pPr>
            <w:r>
              <w:rPr>
                <w:rFonts w:hint="eastAsia"/>
                <w:color w:val="000000"/>
                <w:kern w:val="2"/>
                <w:sz w:val="21"/>
              </w:rPr>
              <w:t>0.2</w:t>
            </w:r>
          </w:p>
        </w:tc>
        <w:tc>
          <w:tcPr>
            <w:tcW w:w="2536" w:type="pct"/>
            <w:vAlign w:val="center"/>
          </w:tcPr>
          <w:p w14:paraId="306B9E61">
            <w:pPr>
              <w:pStyle w:val="148"/>
              <w:outlineLvl w:val="3"/>
              <w:rPr>
                <w:color w:val="000000"/>
                <w:kern w:val="2"/>
                <w:sz w:val="21"/>
              </w:rPr>
            </w:pPr>
            <w:r>
              <w:rPr>
                <w:rFonts w:hint="eastAsia"/>
                <w:color w:val="000000"/>
                <w:kern w:val="2"/>
                <w:sz w:val="21"/>
              </w:rPr>
              <w:t>极不可能</w:t>
            </w:r>
          </w:p>
        </w:tc>
      </w:tr>
      <w:tr w14:paraId="36BED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5BEE8310">
            <w:pPr>
              <w:pStyle w:val="148"/>
              <w:outlineLvl w:val="3"/>
              <w:rPr>
                <w:color w:val="000000"/>
                <w:kern w:val="2"/>
                <w:sz w:val="21"/>
              </w:rPr>
            </w:pPr>
            <w:r>
              <w:rPr>
                <w:rFonts w:hint="eastAsia"/>
                <w:color w:val="000000"/>
                <w:kern w:val="2"/>
                <w:sz w:val="21"/>
              </w:rPr>
              <w:t>0.1</w:t>
            </w:r>
          </w:p>
        </w:tc>
        <w:tc>
          <w:tcPr>
            <w:tcW w:w="2536" w:type="pct"/>
            <w:vAlign w:val="center"/>
          </w:tcPr>
          <w:p w14:paraId="6826E227">
            <w:pPr>
              <w:pStyle w:val="148"/>
              <w:outlineLvl w:val="3"/>
              <w:rPr>
                <w:color w:val="000000"/>
                <w:kern w:val="2"/>
                <w:sz w:val="21"/>
              </w:rPr>
            </w:pPr>
            <w:r>
              <w:rPr>
                <w:rFonts w:hint="eastAsia"/>
                <w:color w:val="000000"/>
                <w:kern w:val="2"/>
                <w:sz w:val="21"/>
              </w:rPr>
              <w:t>实际不可能</w:t>
            </w:r>
          </w:p>
        </w:tc>
      </w:tr>
    </w:tbl>
    <w:p w14:paraId="685F50D2">
      <w:pPr>
        <w:pStyle w:val="16"/>
        <w:rPr>
          <w:rFonts w:hint="eastAsia" w:eastAsia="黑体"/>
          <w:lang w:val="en-US" w:eastAsia="zh-CN"/>
        </w:rPr>
      </w:pPr>
      <w:r>
        <w:t xml:space="preserve">表 </w:t>
      </w:r>
      <w:r>
        <w:fldChar w:fldCharType="begin"/>
      </w:r>
      <w:r>
        <w:instrText xml:space="preserve"> STYLEREF 2 \s </w:instrText>
      </w:r>
      <w:r>
        <w:fldChar w:fldCharType="separate"/>
      </w:r>
      <w:r>
        <w:t>11.3</w:t>
      </w:r>
      <w:r>
        <w:fldChar w:fldCharType="end"/>
      </w:r>
      <w:r>
        <w:rPr>
          <w:rFonts w:hint="eastAsia"/>
          <w:lang w:eastAsia="zh-CN"/>
        </w:rPr>
        <w:t>-</w:t>
      </w:r>
      <w:r>
        <w:fldChar w:fldCharType="begin"/>
      </w:r>
      <w:r>
        <w:instrText xml:space="preserve"> SEQ 表 \* ARABIC \s 2 </w:instrText>
      </w:r>
      <w:r>
        <w:fldChar w:fldCharType="separate"/>
      </w:r>
      <w:r>
        <w:t>2</w:t>
      </w:r>
      <w:r>
        <w:fldChar w:fldCharType="end"/>
      </w:r>
      <w:r>
        <w:rPr>
          <w:rFonts w:hint="eastAsia"/>
          <w:lang w:val="en-US" w:eastAsia="zh-CN"/>
        </w:rPr>
        <w:t xml:space="preserve"> </w:t>
      </w:r>
      <w:r>
        <w:rPr>
          <w:rFonts w:hint="eastAsia"/>
        </w:rPr>
        <w:t>暴露于危险环境的频繁程度（</w:t>
      </w:r>
      <w:r>
        <w:t>E</w:t>
      </w:r>
      <w:r>
        <w:rPr>
          <w:rFonts w:hint="eastAsia"/>
        </w:rPr>
        <w:t>）</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9"/>
        <w:gridCol w:w="4682"/>
      </w:tblGrid>
      <w:tr w14:paraId="0816D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67AC30EE">
            <w:pPr>
              <w:pStyle w:val="148"/>
              <w:outlineLvl w:val="3"/>
              <w:rPr>
                <w:color w:val="000000"/>
                <w:kern w:val="2"/>
                <w:sz w:val="21"/>
              </w:rPr>
            </w:pPr>
            <w:r>
              <w:rPr>
                <w:rFonts w:hint="eastAsia"/>
                <w:color w:val="000000"/>
                <w:kern w:val="2"/>
                <w:sz w:val="21"/>
              </w:rPr>
              <w:t>分数值</w:t>
            </w:r>
          </w:p>
        </w:tc>
        <w:tc>
          <w:tcPr>
            <w:tcW w:w="2536" w:type="pct"/>
            <w:vAlign w:val="center"/>
          </w:tcPr>
          <w:p w14:paraId="53DE0947">
            <w:pPr>
              <w:pStyle w:val="148"/>
              <w:outlineLvl w:val="3"/>
              <w:rPr>
                <w:color w:val="000000"/>
                <w:kern w:val="2"/>
                <w:sz w:val="21"/>
              </w:rPr>
            </w:pPr>
            <w:r>
              <w:rPr>
                <w:rFonts w:hint="eastAsia"/>
                <w:color w:val="000000"/>
                <w:kern w:val="2"/>
                <w:sz w:val="21"/>
              </w:rPr>
              <w:t>暴露于危险环境的频繁程度</w:t>
            </w:r>
          </w:p>
        </w:tc>
      </w:tr>
      <w:tr w14:paraId="0DDF4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6FED07B7">
            <w:pPr>
              <w:pStyle w:val="148"/>
              <w:outlineLvl w:val="3"/>
              <w:rPr>
                <w:color w:val="000000"/>
                <w:kern w:val="2"/>
                <w:sz w:val="21"/>
              </w:rPr>
            </w:pPr>
            <w:r>
              <w:rPr>
                <w:rFonts w:hint="eastAsia"/>
                <w:color w:val="000000"/>
                <w:kern w:val="2"/>
                <w:sz w:val="21"/>
              </w:rPr>
              <w:t>10</w:t>
            </w:r>
          </w:p>
        </w:tc>
        <w:tc>
          <w:tcPr>
            <w:tcW w:w="2536" w:type="pct"/>
            <w:vAlign w:val="center"/>
          </w:tcPr>
          <w:p w14:paraId="734DE1E0">
            <w:pPr>
              <w:pStyle w:val="148"/>
              <w:outlineLvl w:val="3"/>
              <w:rPr>
                <w:color w:val="000000"/>
                <w:kern w:val="2"/>
                <w:sz w:val="21"/>
              </w:rPr>
            </w:pPr>
            <w:r>
              <w:rPr>
                <w:rFonts w:hint="eastAsia"/>
                <w:color w:val="000000"/>
                <w:kern w:val="2"/>
                <w:sz w:val="21"/>
              </w:rPr>
              <w:t>连续暴露</w:t>
            </w:r>
          </w:p>
        </w:tc>
      </w:tr>
      <w:tr w14:paraId="3C748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4A6EDA2B">
            <w:pPr>
              <w:pStyle w:val="148"/>
              <w:outlineLvl w:val="3"/>
              <w:rPr>
                <w:color w:val="000000"/>
                <w:kern w:val="2"/>
                <w:sz w:val="21"/>
              </w:rPr>
            </w:pPr>
            <w:r>
              <w:rPr>
                <w:rFonts w:hint="eastAsia"/>
                <w:color w:val="000000"/>
                <w:kern w:val="2"/>
                <w:sz w:val="21"/>
              </w:rPr>
              <w:t>6</w:t>
            </w:r>
          </w:p>
        </w:tc>
        <w:tc>
          <w:tcPr>
            <w:tcW w:w="2536" w:type="pct"/>
            <w:vAlign w:val="center"/>
          </w:tcPr>
          <w:p w14:paraId="19B47EE3">
            <w:pPr>
              <w:pStyle w:val="148"/>
              <w:outlineLvl w:val="3"/>
              <w:rPr>
                <w:color w:val="000000"/>
                <w:kern w:val="2"/>
                <w:sz w:val="21"/>
              </w:rPr>
            </w:pPr>
            <w:r>
              <w:rPr>
                <w:rFonts w:hint="eastAsia"/>
                <w:color w:val="000000"/>
                <w:kern w:val="2"/>
                <w:sz w:val="21"/>
              </w:rPr>
              <w:t>每天工作时间内暴露</w:t>
            </w:r>
          </w:p>
        </w:tc>
      </w:tr>
      <w:tr w14:paraId="32D93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5D6F0872">
            <w:pPr>
              <w:pStyle w:val="148"/>
              <w:outlineLvl w:val="3"/>
              <w:rPr>
                <w:color w:val="000000"/>
                <w:kern w:val="2"/>
                <w:sz w:val="21"/>
              </w:rPr>
            </w:pPr>
            <w:r>
              <w:rPr>
                <w:rFonts w:hint="eastAsia"/>
                <w:color w:val="000000"/>
                <w:kern w:val="2"/>
                <w:sz w:val="21"/>
              </w:rPr>
              <w:t>3</w:t>
            </w:r>
          </w:p>
        </w:tc>
        <w:tc>
          <w:tcPr>
            <w:tcW w:w="2536" w:type="pct"/>
            <w:vAlign w:val="center"/>
          </w:tcPr>
          <w:p w14:paraId="07A3D2C3">
            <w:pPr>
              <w:pStyle w:val="148"/>
              <w:outlineLvl w:val="3"/>
              <w:rPr>
                <w:color w:val="000000"/>
                <w:kern w:val="2"/>
                <w:sz w:val="21"/>
              </w:rPr>
            </w:pPr>
            <w:r>
              <w:rPr>
                <w:rFonts w:hint="eastAsia"/>
                <w:color w:val="000000"/>
                <w:kern w:val="2"/>
                <w:sz w:val="21"/>
              </w:rPr>
              <w:t>每周一次或偶然暴露</w:t>
            </w:r>
          </w:p>
        </w:tc>
      </w:tr>
      <w:tr w14:paraId="5B9FB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5161BA78">
            <w:pPr>
              <w:pStyle w:val="148"/>
              <w:outlineLvl w:val="3"/>
              <w:rPr>
                <w:color w:val="000000"/>
                <w:kern w:val="2"/>
                <w:sz w:val="21"/>
              </w:rPr>
            </w:pPr>
            <w:r>
              <w:rPr>
                <w:rFonts w:hint="eastAsia"/>
                <w:color w:val="000000"/>
                <w:kern w:val="2"/>
                <w:sz w:val="21"/>
              </w:rPr>
              <w:t>2</w:t>
            </w:r>
          </w:p>
        </w:tc>
        <w:tc>
          <w:tcPr>
            <w:tcW w:w="2536" w:type="pct"/>
            <w:vAlign w:val="center"/>
          </w:tcPr>
          <w:p w14:paraId="2D3B6BB5">
            <w:pPr>
              <w:pStyle w:val="148"/>
              <w:outlineLvl w:val="3"/>
              <w:rPr>
                <w:color w:val="000000"/>
                <w:kern w:val="2"/>
                <w:sz w:val="21"/>
              </w:rPr>
            </w:pPr>
            <w:r>
              <w:rPr>
                <w:rFonts w:hint="eastAsia"/>
                <w:color w:val="000000"/>
                <w:kern w:val="2"/>
                <w:sz w:val="21"/>
              </w:rPr>
              <w:t>每月一次暴露</w:t>
            </w:r>
          </w:p>
        </w:tc>
      </w:tr>
      <w:tr w14:paraId="7BA1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195449CC">
            <w:pPr>
              <w:pStyle w:val="148"/>
              <w:outlineLvl w:val="3"/>
              <w:rPr>
                <w:color w:val="000000"/>
                <w:kern w:val="2"/>
                <w:sz w:val="21"/>
              </w:rPr>
            </w:pPr>
            <w:r>
              <w:rPr>
                <w:rFonts w:hint="eastAsia"/>
                <w:color w:val="000000"/>
                <w:kern w:val="2"/>
                <w:sz w:val="21"/>
              </w:rPr>
              <w:t>1</w:t>
            </w:r>
          </w:p>
        </w:tc>
        <w:tc>
          <w:tcPr>
            <w:tcW w:w="2536" w:type="pct"/>
            <w:vAlign w:val="center"/>
          </w:tcPr>
          <w:p w14:paraId="519FD453">
            <w:pPr>
              <w:pStyle w:val="148"/>
              <w:outlineLvl w:val="3"/>
              <w:rPr>
                <w:color w:val="000000"/>
                <w:kern w:val="2"/>
                <w:sz w:val="21"/>
              </w:rPr>
            </w:pPr>
            <w:r>
              <w:rPr>
                <w:rFonts w:hint="eastAsia"/>
                <w:color w:val="000000"/>
                <w:kern w:val="2"/>
                <w:sz w:val="21"/>
              </w:rPr>
              <w:t>每年几次暴露</w:t>
            </w:r>
          </w:p>
        </w:tc>
      </w:tr>
      <w:tr w14:paraId="19BB4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7887206E">
            <w:pPr>
              <w:pStyle w:val="148"/>
              <w:outlineLvl w:val="3"/>
              <w:rPr>
                <w:color w:val="000000"/>
                <w:kern w:val="2"/>
                <w:sz w:val="21"/>
              </w:rPr>
            </w:pPr>
            <w:r>
              <w:rPr>
                <w:rFonts w:hint="eastAsia"/>
                <w:color w:val="000000"/>
                <w:kern w:val="2"/>
                <w:sz w:val="21"/>
              </w:rPr>
              <w:t>0.5</w:t>
            </w:r>
          </w:p>
        </w:tc>
        <w:tc>
          <w:tcPr>
            <w:tcW w:w="2536" w:type="pct"/>
            <w:vAlign w:val="center"/>
          </w:tcPr>
          <w:p w14:paraId="72F41AF6">
            <w:pPr>
              <w:pStyle w:val="148"/>
              <w:outlineLvl w:val="3"/>
              <w:rPr>
                <w:color w:val="000000"/>
                <w:kern w:val="2"/>
                <w:sz w:val="21"/>
              </w:rPr>
            </w:pPr>
            <w:r>
              <w:rPr>
                <w:rFonts w:hint="eastAsia"/>
                <w:color w:val="000000"/>
                <w:kern w:val="2"/>
                <w:sz w:val="21"/>
              </w:rPr>
              <w:t>非常罕见暴露</w:t>
            </w:r>
          </w:p>
        </w:tc>
      </w:tr>
    </w:tbl>
    <w:p w14:paraId="4E8D35D6">
      <w:pPr>
        <w:pStyle w:val="16"/>
        <w:rPr>
          <w:rFonts w:hint="eastAsia" w:eastAsia="黑体"/>
          <w:lang w:eastAsia="zh-CN"/>
        </w:rPr>
      </w:pPr>
      <w:r>
        <w:t xml:space="preserve">表 </w:t>
      </w:r>
      <w:r>
        <w:fldChar w:fldCharType="begin"/>
      </w:r>
      <w:r>
        <w:instrText xml:space="preserve"> STYLEREF 2 \s </w:instrText>
      </w:r>
      <w:r>
        <w:fldChar w:fldCharType="separate"/>
      </w:r>
      <w:r>
        <w:t>11.3</w:t>
      </w:r>
      <w:r>
        <w:fldChar w:fldCharType="end"/>
      </w:r>
      <w:r>
        <w:rPr>
          <w:rFonts w:hint="eastAsia"/>
          <w:lang w:eastAsia="zh-CN"/>
        </w:rPr>
        <w:t>-</w:t>
      </w:r>
      <w:r>
        <w:fldChar w:fldCharType="begin"/>
      </w:r>
      <w:r>
        <w:instrText xml:space="preserve"> SEQ 表 \* ARABIC \s 2 </w:instrText>
      </w:r>
      <w:r>
        <w:fldChar w:fldCharType="separate"/>
      </w:r>
      <w:r>
        <w:t>3</w:t>
      </w:r>
      <w:r>
        <w:fldChar w:fldCharType="end"/>
      </w:r>
      <w:r>
        <w:rPr>
          <w:rFonts w:hint="eastAsia"/>
          <w:lang w:val="en-US" w:eastAsia="zh-CN"/>
        </w:rPr>
        <w:t xml:space="preserve"> </w:t>
      </w:r>
      <w:r>
        <w:rPr>
          <w:rFonts w:hint="eastAsia"/>
        </w:rPr>
        <w:t>发生事故产生的后果（</w:t>
      </w:r>
      <w:r>
        <w:t>C</w:t>
      </w:r>
      <w:r>
        <w:rPr>
          <w:rFonts w:hint="eastAsia"/>
          <w:lang w:eastAsia="zh-CN"/>
        </w:rPr>
        <w:t>）</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9"/>
        <w:gridCol w:w="4682"/>
      </w:tblGrid>
      <w:tr w14:paraId="601DD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3314DEF0">
            <w:pPr>
              <w:pStyle w:val="148"/>
              <w:outlineLvl w:val="3"/>
              <w:rPr>
                <w:color w:val="000000"/>
                <w:kern w:val="2"/>
                <w:sz w:val="21"/>
              </w:rPr>
            </w:pPr>
            <w:r>
              <w:rPr>
                <w:rFonts w:hint="eastAsia"/>
                <w:color w:val="000000"/>
                <w:kern w:val="2"/>
                <w:sz w:val="21"/>
              </w:rPr>
              <w:t>分数值</w:t>
            </w:r>
          </w:p>
        </w:tc>
        <w:tc>
          <w:tcPr>
            <w:tcW w:w="2536" w:type="pct"/>
            <w:vAlign w:val="center"/>
          </w:tcPr>
          <w:p w14:paraId="42B9772D">
            <w:pPr>
              <w:pStyle w:val="148"/>
              <w:outlineLvl w:val="3"/>
              <w:rPr>
                <w:color w:val="000000"/>
                <w:kern w:val="2"/>
                <w:sz w:val="21"/>
              </w:rPr>
            </w:pPr>
            <w:r>
              <w:rPr>
                <w:rFonts w:hint="eastAsia"/>
                <w:color w:val="000000"/>
                <w:kern w:val="2"/>
                <w:sz w:val="21"/>
              </w:rPr>
              <w:t>发生事故产生的后果</w:t>
            </w:r>
          </w:p>
        </w:tc>
      </w:tr>
      <w:tr w14:paraId="5243F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74190026">
            <w:pPr>
              <w:pStyle w:val="148"/>
              <w:outlineLvl w:val="3"/>
              <w:rPr>
                <w:color w:val="000000"/>
                <w:kern w:val="2"/>
                <w:sz w:val="21"/>
              </w:rPr>
            </w:pPr>
            <w:r>
              <w:rPr>
                <w:rFonts w:hint="eastAsia"/>
                <w:color w:val="000000"/>
                <w:kern w:val="2"/>
                <w:sz w:val="21"/>
              </w:rPr>
              <w:t>100</w:t>
            </w:r>
          </w:p>
        </w:tc>
        <w:tc>
          <w:tcPr>
            <w:tcW w:w="2536" w:type="pct"/>
            <w:vAlign w:val="center"/>
          </w:tcPr>
          <w:p w14:paraId="7E27A724">
            <w:pPr>
              <w:pStyle w:val="148"/>
              <w:outlineLvl w:val="3"/>
              <w:rPr>
                <w:color w:val="000000"/>
                <w:kern w:val="2"/>
                <w:sz w:val="21"/>
              </w:rPr>
            </w:pPr>
            <w:r>
              <w:rPr>
                <w:rFonts w:hint="eastAsia"/>
                <w:color w:val="000000"/>
                <w:kern w:val="2"/>
                <w:sz w:val="21"/>
              </w:rPr>
              <w:t>10人以上死亡</w:t>
            </w:r>
          </w:p>
        </w:tc>
      </w:tr>
      <w:tr w14:paraId="3C607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150C901E">
            <w:pPr>
              <w:pStyle w:val="148"/>
              <w:outlineLvl w:val="3"/>
              <w:rPr>
                <w:color w:val="000000"/>
                <w:kern w:val="2"/>
                <w:sz w:val="21"/>
              </w:rPr>
            </w:pPr>
            <w:r>
              <w:rPr>
                <w:rFonts w:hint="eastAsia"/>
                <w:color w:val="000000"/>
                <w:kern w:val="2"/>
                <w:sz w:val="21"/>
              </w:rPr>
              <w:t>40</w:t>
            </w:r>
          </w:p>
        </w:tc>
        <w:tc>
          <w:tcPr>
            <w:tcW w:w="2536" w:type="pct"/>
            <w:vAlign w:val="center"/>
          </w:tcPr>
          <w:p w14:paraId="1E018BE4">
            <w:pPr>
              <w:pStyle w:val="148"/>
              <w:outlineLvl w:val="3"/>
              <w:rPr>
                <w:color w:val="000000"/>
                <w:kern w:val="2"/>
                <w:sz w:val="21"/>
              </w:rPr>
            </w:pPr>
            <w:r>
              <w:rPr>
                <w:rFonts w:hint="eastAsia"/>
                <w:color w:val="000000"/>
                <w:kern w:val="2"/>
                <w:sz w:val="21"/>
              </w:rPr>
              <w:t>2~9人死亡</w:t>
            </w:r>
          </w:p>
        </w:tc>
      </w:tr>
      <w:tr w14:paraId="00CF3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5CD3525D">
            <w:pPr>
              <w:pStyle w:val="148"/>
              <w:outlineLvl w:val="3"/>
              <w:rPr>
                <w:color w:val="000000"/>
                <w:kern w:val="2"/>
                <w:sz w:val="21"/>
              </w:rPr>
            </w:pPr>
            <w:r>
              <w:rPr>
                <w:rFonts w:hint="eastAsia"/>
                <w:color w:val="000000"/>
                <w:kern w:val="2"/>
                <w:sz w:val="21"/>
              </w:rPr>
              <w:t>15</w:t>
            </w:r>
          </w:p>
        </w:tc>
        <w:tc>
          <w:tcPr>
            <w:tcW w:w="2536" w:type="pct"/>
            <w:vAlign w:val="center"/>
          </w:tcPr>
          <w:p w14:paraId="320B913A">
            <w:pPr>
              <w:pStyle w:val="148"/>
              <w:outlineLvl w:val="3"/>
              <w:rPr>
                <w:color w:val="000000"/>
                <w:kern w:val="2"/>
                <w:sz w:val="21"/>
              </w:rPr>
            </w:pPr>
            <w:r>
              <w:rPr>
                <w:rFonts w:hint="eastAsia"/>
                <w:color w:val="000000"/>
                <w:kern w:val="2"/>
                <w:sz w:val="21"/>
              </w:rPr>
              <w:t>非常严重，1人死亡</w:t>
            </w:r>
          </w:p>
        </w:tc>
      </w:tr>
      <w:tr w14:paraId="14125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287B5900">
            <w:pPr>
              <w:pStyle w:val="148"/>
              <w:outlineLvl w:val="3"/>
              <w:rPr>
                <w:color w:val="000000"/>
                <w:kern w:val="2"/>
                <w:sz w:val="21"/>
              </w:rPr>
            </w:pPr>
            <w:r>
              <w:rPr>
                <w:rFonts w:hint="eastAsia"/>
                <w:color w:val="000000"/>
                <w:kern w:val="2"/>
                <w:sz w:val="21"/>
              </w:rPr>
              <w:t>7</w:t>
            </w:r>
          </w:p>
        </w:tc>
        <w:tc>
          <w:tcPr>
            <w:tcW w:w="2536" w:type="pct"/>
            <w:vAlign w:val="center"/>
          </w:tcPr>
          <w:p w14:paraId="1F12173D">
            <w:pPr>
              <w:pStyle w:val="148"/>
              <w:outlineLvl w:val="3"/>
              <w:rPr>
                <w:color w:val="000000"/>
                <w:kern w:val="2"/>
                <w:sz w:val="21"/>
              </w:rPr>
            </w:pPr>
            <w:r>
              <w:rPr>
                <w:rFonts w:hint="eastAsia"/>
                <w:color w:val="000000"/>
                <w:kern w:val="2"/>
                <w:sz w:val="21"/>
              </w:rPr>
              <w:t>重大，伤残</w:t>
            </w:r>
          </w:p>
        </w:tc>
      </w:tr>
      <w:tr w14:paraId="4FBE2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1E2DFF46">
            <w:pPr>
              <w:pStyle w:val="148"/>
              <w:outlineLvl w:val="3"/>
              <w:rPr>
                <w:color w:val="000000"/>
                <w:kern w:val="2"/>
                <w:sz w:val="21"/>
              </w:rPr>
            </w:pPr>
            <w:r>
              <w:rPr>
                <w:rFonts w:hint="eastAsia"/>
                <w:color w:val="000000"/>
                <w:kern w:val="2"/>
                <w:sz w:val="21"/>
              </w:rPr>
              <w:t>3</w:t>
            </w:r>
          </w:p>
        </w:tc>
        <w:tc>
          <w:tcPr>
            <w:tcW w:w="2536" w:type="pct"/>
            <w:vAlign w:val="center"/>
          </w:tcPr>
          <w:p w14:paraId="65A6EC25">
            <w:pPr>
              <w:pStyle w:val="148"/>
              <w:outlineLvl w:val="3"/>
              <w:rPr>
                <w:color w:val="000000"/>
                <w:kern w:val="2"/>
                <w:sz w:val="21"/>
              </w:rPr>
            </w:pPr>
            <w:r>
              <w:rPr>
                <w:rFonts w:hint="eastAsia"/>
                <w:color w:val="000000"/>
                <w:kern w:val="2"/>
                <w:sz w:val="21"/>
              </w:rPr>
              <w:t>严重，重伤</w:t>
            </w:r>
          </w:p>
        </w:tc>
      </w:tr>
      <w:tr w14:paraId="16E69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4C56059F">
            <w:pPr>
              <w:pStyle w:val="148"/>
              <w:outlineLvl w:val="3"/>
              <w:rPr>
                <w:color w:val="000000"/>
                <w:kern w:val="2"/>
                <w:sz w:val="21"/>
              </w:rPr>
            </w:pPr>
            <w:r>
              <w:rPr>
                <w:rFonts w:hint="eastAsia"/>
                <w:color w:val="000000"/>
                <w:kern w:val="2"/>
                <w:sz w:val="21"/>
              </w:rPr>
              <w:t>1</w:t>
            </w:r>
          </w:p>
        </w:tc>
        <w:tc>
          <w:tcPr>
            <w:tcW w:w="2536" w:type="pct"/>
            <w:vAlign w:val="center"/>
          </w:tcPr>
          <w:p w14:paraId="1B2288CB">
            <w:pPr>
              <w:pStyle w:val="148"/>
              <w:outlineLvl w:val="3"/>
              <w:rPr>
                <w:color w:val="000000"/>
                <w:kern w:val="2"/>
                <w:sz w:val="21"/>
              </w:rPr>
            </w:pPr>
            <w:r>
              <w:rPr>
                <w:rFonts w:hint="eastAsia"/>
                <w:color w:val="000000"/>
                <w:kern w:val="2"/>
                <w:sz w:val="21"/>
              </w:rPr>
              <w:t>轻伤（引人注意，需要救护）</w:t>
            </w:r>
          </w:p>
        </w:tc>
      </w:tr>
    </w:tbl>
    <w:p w14:paraId="350EAD76">
      <w:pPr>
        <w:pStyle w:val="16"/>
      </w:pPr>
      <w:r>
        <w:t xml:space="preserve">表 </w:t>
      </w:r>
      <w:r>
        <w:fldChar w:fldCharType="begin"/>
      </w:r>
      <w:r>
        <w:instrText xml:space="preserve"> STYLEREF 2 \s </w:instrText>
      </w:r>
      <w:r>
        <w:fldChar w:fldCharType="separate"/>
      </w:r>
      <w:r>
        <w:t>11.3</w:t>
      </w:r>
      <w:r>
        <w:fldChar w:fldCharType="end"/>
      </w:r>
      <w:r>
        <w:rPr>
          <w:rFonts w:hint="eastAsia"/>
          <w:lang w:eastAsia="zh-CN"/>
        </w:rPr>
        <w:t>-</w:t>
      </w:r>
      <w:r>
        <w:fldChar w:fldCharType="begin"/>
      </w:r>
      <w:r>
        <w:instrText xml:space="preserve"> SEQ 表 \* ARABIC \s 2 </w:instrText>
      </w:r>
      <w:r>
        <w:fldChar w:fldCharType="separate"/>
      </w:r>
      <w:r>
        <w:t>4</w:t>
      </w:r>
      <w:r>
        <w:fldChar w:fldCharType="end"/>
      </w:r>
      <w:r>
        <w:rPr>
          <w:rFonts w:hint="eastAsia"/>
          <w:lang w:val="en-US" w:eastAsia="zh-CN"/>
        </w:rPr>
        <w:t xml:space="preserve"> </w:t>
      </w:r>
      <w:r>
        <w:rPr>
          <w:rFonts w:hint="eastAsia"/>
        </w:rPr>
        <w:t>风险等级划分（</w:t>
      </w:r>
      <w:r>
        <w:t>D</w:t>
      </w:r>
      <w:r>
        <w:rPr>
          <w:rFonts w:hint="eastAsia"/>
        </w:rPr>
        <w:t>）</w:t>
      </w:r>
    </w:p>
    <w:tbl>
      <w:tblPr>
        <w:tblStyle w:val="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9"/>
        <w:gridCol w:w="2374"/>
        <w:gridCol w:w="2308"/>
      </w:tblGrid>
      <w:tr w14:paraId="3A169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223AA030">
            <w:pPr>
              <w:pStyle w:val="148"/>
              <w:outlineLvl w:val="3"/>
              <w:rPr>
                <w:rStyle w:val="104"/>
                <w:rFonts w:hAnsi="Times New Roman" w:eastAsia="宋体"/>
                <w:color w:val="000000"/>
                <w:kern w:val="2"/>
                <w:sz w:val="21"/>
              </w:rPr>
            </w:pPr>
            <w:r>
              <w:rPr>
                <w:rStyle w:val="104"/>
                <w:rFonts w:hint="eastAsia" w:hAnsi="Times New Roman"/>
                <w:color w:val="000000"/>
                <w:kern w:val="2"/>
              </w:rPr>
              <w:t>D值</w:t>
            </w:r>
          </w:p>
        </w:tc>
        <w:tc>
          <w:tcPr>
            <w:tcW w:w="1286" w:type="pct"/>
            <w:vAlign w:val="center"/>
          </w:tcPr>
          <w:p w14:paraId="3E200A9C">
            <w:pPr>
              <w:pStyle w:val="148"/>
              <w:outlineLvl w:val="3"/>
              <w:rPr>
                <w:rStyle w:val="104"/>
                <w:rFonts w:hAnsi="Times New Roman" w:eastAsia="宋体"/>
                <w:color w:val="000000"/>
                <w:kern w:val="2"/>
                <w:sz w:val="21"/>
              </w:rPr>
            </w:pPr>
            <w:r>
              <w:rPr>
                <w:rStyle w:val="104"/>
                <w:rFonts w:hint="eastAsia" w:hAnsi="Times New Roman"/>
                <w:color w:val="000000"/>
                <w:kern w:val="2"/>
              </w:rPr>
              <w:t>风险程度</w:t>
            </w:r>
          </w:p>
        </w:tc>
        <w:tc>
          <w:tcPr>
            <w:tcW w:w="1250" w:type="pct"/>
            <w:vAlign w:val="center"/>
          </w:tcPr>
          <w:p w14:paraId="6E43CCD9">
            <w:pPr>
              <w:pStyle w:val="148"/>
              <w:outlineLvl w:val="3"/>
              <w:rPr>
                <w:rStyle w:val="104"/>
                <w:rFonts w:hAnsi="Times New Roman" w:eastAsia="宋体"/>
                <w:color w:val="000000"/>
                <w:kern w:val="2"/>
                <w:sz w:val="21"/>
              </w:rPr>
            </w:pPr>
            <w:r>
              <w:rPr>
                <w:rStyle w:val="104"/>
                <w:rFonts w:hint="eastAsia" w:hAnsi="Times New Roman"/>
                <w:color w:val="000000"/>
                <w:kern w:val="2"/>
              </w:rPr>
              <w:t>风险等级</w:t>
            </w:r>
          </w:p>
        </w:tc>
      </w:tr>
      <w:tr w14:paraId="53F8F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1029F3A9">
            <w:pPr>
              <w:pStyle w:val="148"/>
              <w:outlineLvl w:val="3"/>
              <w:rPr>
                <w:rStyle w:val="104"/>
                <w:rFonts w:hAnsi="Times New Roman" w:eastAsia="宋体"/>
                <w:color w:val="000000"/>
                <w:kern w:val="2"/>
                <w:sz w:val="21"/>
              </w:rPr>
            </w:pPr>
            <w:r>
              <w:rPr>
                <w:rStyle w:val="104"/>
                <w:rFonts w:hint="eastAsia" w:hAnsi="Times New Roman"/>
                <w:color w:val="000000"/>
                <w:kern w:val="2"/>
              </w:rPr>
              <w:t>＞320</w:t>
            </w:r>
          </w:p>
        </w:tc>
        <w:tc>
          <w:tcPr>
            <w:tcW w:w="1286" w:type="pct"/>
            <w:vAlign w:val="center"/>
          </w:tcPr>
          <w:p w14:paraId="347547A7">
            <w:pPr>
              <w:pStyle w:val="148"/>
              <w:outlineLvl w:val="3"/>
              <w:rPr>
                <w:rStyle w:val="104"/>
                <w:rFonts w:hAnsi="Times New Roman" w:eastAsia="宋体"/>
                <w:color w:val="000000"/>
                <w:kern w:val="2"/>
                <w:sz w:val="21"/>
              </w:rPr>
            </w:pPr>
            <w:r>
              <w:rPr>
                <w:rStyle w:val="104"/>
                <w:rFonts w:hint="eastAsia" w:hAnsi="Times New Roman"/>
                <w:color w:val="000000"/>
                <w:kern w:val="2"/>
              </w:rPr>
              <w:t>极其危险</w:t>
            </w:r>
          </w:p>
        </w:tc>
        <w:tc>
          <w:tcPr>
            <w:tcW w:w="1250" w:type="pct"/>
            <w:vAlign w:val="center"/>
          </w:tcPr>
          <w:p w14:paraId="124AA06C">
            <w:pPr>
              <w:pStyle w:val="148"/>
              <w:outlineLvl w:val="3"/>
              <w:rPr>
                <w:rStyle w:val="104"/>
                <w:rFonts w:hAnsi="Times New Roman" w:eastAsia="宋体"/>
                <w:color w:val="000000"/>
                <w:kern w:val="2"/>
                <w:sz w:val="21"/>
              </w:rPr>
            </w:pPr>
            <w:r>
              <w:rPr>
                <w:rStyle w:val="104"/>
                <w:rFonts w:hAnsi="Times New Roman"/>
                <w:color w:val="000000"/>
                <w:kern w:val="2"/>
              </w:rPr>
              <w:t>5</w:t>
            </w:r>
          </w:p>
        </w:tc>
      </w:tr>
      <w:tr w14:paraId="5BAD8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125CF821">
            <w:pPr>
              <w:pStyle w:val="148"/>
              <w:outlineLvl w:val="3"/>
              <w:rPr>
                <w:rStyle w:val="104"/>
                <w:rFonts w:hAnsi="Times New Roman" w:eastAsia="宋体"/>
                <w:color w:val="000000"/>
                <w:kern w:val="2"/>
                <w:sz w:val="21"/>
              </w:rPr>
            </w:pPr>
            <w:r>
              <w:rPr>
                <w:rStyle w:val="104"/>
                <w:rFonts w:hAnsi="Times New Roman"/>
                <w:color w:val="000000"/>
                <w:kern w:val="2"/>
              </w:rPr>
              <w:t>160-320</w:t>
            </w:r>
          </w:p>
        </w:tc>
        <w:tc>
          <w:tcPr>
            <w:tcW w:w="1286" w:type="pct"/>
            <w:vAlign w:val="center"/>
          </w:tcPr>
          <w:p w14:paraId="13A7C722">
            <w:pPr>
              <w:pStyle w:val="148"/>
              <w:outlineLvl w:val="3"/>
              <w:rPr>
                <w:rStyle w:val="104"/>
                <w:rFonts w:hAnsi="Times New Roman" w:eastAsia="宋体"/>
                <w:color w:val="000000"/>
                <w:kern w:val="2"/>
                <w:sz w:val="21"/>
              </w:rPr>
            </w:pPr>
            <w:r>
              <w:rPr>
                <w:rStyle w:val="104"/>
                <w:rFonts w:hint="eastAsia" w:hAnsi="Times New Roman"/>
                <w:color w:val="000000"/>
                <w:kern w:val="2"/>
              </w:rPr>
              <w:t>高度危险</w:t>
            </w:r>
          </w:p>
        </w:tc>
        <w:tc>
          <w:tcPr>
            <w:tcW w:w="1250" w:type="pct"/>
            <w:vAlign w:val="center"/>
          </w:tcPr>
          <w:p w14:paraId="268F1F39">
            <w:pPr>
              <w:pStyle w:val="148"/>
              <w:outlineLvl w:val="3"/>
              <w:rPr>
                <w:rStyle w:val="104"/>
                <w:rFonts w:hAnsi="Times New Roman" w:eastAsia="宋体"/>
                <w:color w:val="000000"/>
                <w:kern w:val="2"/>
                <w:sz w:val="21"/>
              </w:rPr>
            </w:pPr>
            <w:r>
              <w:rPr>
                <w:rStyle w:val="104"/>
                <w:rFonts w:hAnsi="Times New Roman"/>
                <w:color w:val="000000"/>
                <w:kern w:val="2"/>
              </w:rPr>
              <w:t>4</w:t>
            </w:r>
          </w:p>
        </w:tc>
      </w:tr>
      <w:tr w14:paraId="296D0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2B025115">
            <w:pPr>
              <w:pStyle w:val="148"/>
              <w:outlineLvl w:val="3"/>
              <w:rPr>
                <w:rStyle w:val="104"/>
                <w:rFonts w:hAnsi="Times New Roman" w:eastAsia="宋体"/>
                <w:color w:val="000000"/>
                <w:kern w:val="2"/>
                <w:sz w:val="21"/>
              </w:rPr>
            </w:pPr>
            <w:r>
              <w:rPr>
                <w:rStyle w:val="104"/>
                <w:rFonts w:hAnsi="Times New Roman"/>
                <w:color w:val="000000"/>
                <w:kern w:val="2"/>
              </w:rPr>
              <w:t>70-160</w:t>
            </w:r>
          </w:p>
        </w:tc>
        <w:tc>
          <w:tcPr>
            <w:tcW w:w="1286" w:type="pct"/>
            <w:vAlign w:val="center"/>
          </w:tcPr>
          <w:p w14:paraId="12ED6474">
            <w:pPr>
              <w:pStyle w:val="148"/>
              <w:outlineLvl w:val="3"/>
              <w:rPr>
                <w:rStyle w:val="104"/>
                <w:rFonts w:hAnsi="Times New Roman" w:eastAsia="宋体"/>
                <w:color w:val="000000"/>
                <w:kern w:val="2"/>
                <w:sz w:val="21"/>
              </w:rPr>
            </w:pPr>
            <w:r>
              <w:rPr>
                <w:rStyle w:val="104"/>
                <w:rFonts w:hint="eastAsia" w:hAnsi="Times New Roman"/>
                <w:color w:val="000000"/>
                <w:kern w:val="2"/>
              </w:rPr>
              <w:t>显著危险</w:t>
            </w:r>
          </w:p>
        </w:tc>
        <w:tc>
          <w:tcPr>
            <w:tcW w:w="1250" w:type="pct"/>
            <w:vAlign w:val="center"/>
          </w:tcPr>
          <w:p w14:paraId="3833771B">
            <w:pPr>
              <w:pStyle w:val="148"/>
              <w:outlineLvl w:val="3"/>
              <w:rPr>
                <w:rStyle w:val="104"/>
                <w:rFonts w:hAnsi="Times New Roman" w:eastAsia="宋体"/>
                <w:color w:val="000000"/>
                <w:kern w:val="2"/>
                <w:sz w:val="21"/>
              </w:rPr>
            </w:pPr>
            <w:r>
              <w:rPr>
                <w:rStyle w:val="104"/>
                <w:rFonts w:hAnsi="Times New Roman"/>
                <w:color w:val="000000"/>
                <w:kern w:val="2"/>
              </w:rPr>
              <w:t>3</w:t>
            </w:r>
          </w:p>
        </w:tc>
      </w:tr>
      <w:tr w14:paraId="75CFC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5790943F">
            <w:pPr>
              <w:pStyle w:val="148"/>
              <w:outlineLvl w:val="3"/>
              <w:rPr>
                <w:rStyle w:val="104"/>
                <w:rFonts w:hAnsi="Times New Roman" w:eastAsia="宋体"/>
                <w:color w:val="000000"/>
                <w:kern w:val="2"/>
                <w:sz w:val="21"/>
              </w:rPr>
            </w:pPr>
            <w:r>
              <w:rPr>
                <w:rStyle w:val="104"/>
                <w:rFonts w:hAnsi="Times New Roman"/>
                <w:color w:val="000000"/>
                <w:kern w:val="2"/>
              </w:rPr>
              <w:t>20-70</w:t>
            </w:r>
          </w:p>
        </w:tc>
        <w:tc>
          <w:tcPr>
            <w:tcW w:w="1286" w:type="pct"/>
            <w:vAlign w:val="center"/>
          </w:tcPr>
          <w:p w14:paraId="6094202F">
            <w:pPr>
              <w:pStyle w:val="148"/>
              <w:outlineLvl w:val="3"/>
              <w:rPr>
                <w:rStyle w:val="104"/>
                <w:rFonts w:hAnsi="Times New Roman" w:eastAsia="宋体"/>
                <w:color w:val="000000"/>
                <w:kern w:val="2"/>
                <w:sz w:val="21"/>
              </w:rPr>
            </w:pPr>
            <w:r>
              <w:rPr>
                <w:rStyle w:val="104"/>
                <w:rFonts w:hint="eastAsia" w:hAnsi="Times New Roman"/>
                <w:color w:val="000000"/>
                <w:kern w:val="2"/>
              </w:rPr>
              <w:t>一般危险</w:t>
            </w:r>
          </w:p>
        </w:tc>
        <w:tc>
          <w:tcPr>
            <w:tcW w:w="1250" w:type="pct"/>
            <w:vAlign w:val="center"/>
          </w:tcPr>
          <w:p w14:paraId="2DA3891C">
            <w:pPr>
              <w:pStyle w:val="148"/>
              <w:outlineLvl w:val="3"/>
              <w:rPr>
                <w:rStyle w:val="104"/>
                <w:rFonts w:hAnsi="Times New Roman" w:eastAsia="宋体"/>
                <w:color w:val="000000"/>
                <w:kern w:val="2"/>
                <w:sz w:val="21"/>
              </w:rPr>
            </w:pPr>
            <w:r>
              <w:rPr>
                <w:rStyle w:val="104"/>
                <w:rFonts w:hAnsi="Times New Roman"/>
                <w:color w:val="000000"/>
                <w:kern w:val="2"/>
              </w:rPr>
              <w:t>2</w:t>
            </w:r>
          </w:p>
        </w:tc>
      </w:tr>
      <w:tr w14:paraId="390AE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4" w:type="pct"/>
            <w:vAlign w:val="center"/>
          </w:tcPr>
          <w:p w14:paraId="4055D47A">
            <w:pPr>
              <w:pStyle w:val="148"/>
              <w:outlineLvl w:val="3"/>
              <w:rPr>
                <w:rStyle w:val="104"/>
                <w:rFonts w:hAnsi="Times New Roman" w:eastAsia="宋体"/>
                <w:color w:val="000000"/>
                <w:kern w:val="2"/>
                <w:sz w:val="21"/>
              </w:rPr>
            </w:pPr>
            <w:r>
              <w:rPr>
                <w:rStyle w:val="104"/>
                <w:rFonts w:hint="eastAsia" w:hAnsi="Times New Roman"/>
                <w:color w:val="000000"/>
                <w:kern w:val="2"/>
              </w:rPr>
              <w:t>＜20</w:t>
            </w:r>
          </w:p>
        </w:tc>
        <w:tc>
          <w:tcPr>
            <w:tcW w:w="1286" w:type="pct"/>
            <w:vAlign w:val="center"/>
          </w:tcPr>
          <w:p w14:paraId="37C52F9A">
            <w:pPr>
              <w:pStyle w:val="148"/>
              <w:outlineLvl w:val="3"/>
              <w:rPr>
                <w:rStyle w:val="104"/>
                <w:rFonts w:hAnsi="Times New Roman" w:eastAsia="宋体"/>
                <w:color w:val="000000"/>
                <w:kern w:val="2"/>
                <w:sz w:val="21"/>
              </w:rPr>
            </w:pPr>
            <w:r>
              <w:rPr>
                <w:rStyle w:val="104"/>
                <w:rFonts w:hint="eastAsia" w:hAnsi="Times New Roman"/>
                <w:color w:val="000000"/>
                <w:kern w:val="2"/>
              </w:rPr>
              <w:t>稍有危险</w:t>
            </w:r>
          </w:p>
        </w:tc>
        <w:tc>
          <w:tcPr>
            <w:tcW w:w="1250" w:type="pct"/>
            <w:vAlign w:val="center"/>
          </w:tcPr>
          <w:p w14:paraId="22BFF446">
            <w:pPr>
              <w:pStyle w:val="148"/>
              <w:outlineLvl w:val="3"/>
              <w:rPr>
                <w:rStyle w:val="104"/>
                <w:rFonts w:hAnsi="Times New Roman" w:eastAsia="宋体"/>
                <w:color w:val="000000"/>
                <w:kern w:val="2"/>
                <w:sz w:val="21"/>
              </w:rPr>
            </w:pPr>
            <w:r>
              <w:rPr>
                <w:rStyle w:val="104"/>
                <w:rFonts w:hAnsi="Times New Roman"/>
                <w:color w:val="000000"/>
                <w:kern w:val="2"/>
              </w:rPr>
              <w:t>1</w:t>
            </w:r>
          </w:p>
        </w:tc>
      </w:tr>
    </w:tbl>
    <w:p w14:paraId="04FB2F11">
      <w:pPr>
        <w:pStyle w:val="16"/>
      </w:pPr>
      <w:r>
        <w:t xml:space="preserve">表 </w:t>
      </w:r>
      <w:r>
        <w:fldChar w:fldCharType="begin"/>
      </w:r>
      <w:r>
        <w:instrText xml:space="preserve"> STYLEREF 2 \s </w:instrText>
      </w:r>
      <w:r>
        <w:fldChar w:fldCharType="separate"/>
      </w:r>
      <w:r>
        <w:t>11.3</w:t>
      </w:r>
      <w:r>
        <w:fldChar w:fldCharType="end"/>
      </w:r>
      <w:r>
        <w:rPr>
          <w:rFonts w:hint="eastAsia"/>
          <w:lang w:eastAsia="zh-CN"/>
        </w:rPr>
        <w:t>-</w:t>
      </w:r>
      <w:r>
        <w:fldChar w:fldCharType="begin"/>
      </w:r>
      <w:r>
        <w:instrText xml:space="preserve"> SEQ 表 \* ARABIC \s 2 </w:instrText>
      </w:r>
      <w:r>
        <w:fldChar w:fldCharType="separate"/>
      </w:r>
      <w:r>
        <w:t>5</w:t>
      </w:r>
      <w:r>
        <w:fldChar w:fldCharType="end"/>
      </w:r>
      <w:r>
        <w:rPr>
          <w:rFonts w:hint="eastAsia"/>
          <w:lang w:val="en-US" w:eastAsia="zh-CN"/>
        </w:rPr>
        <w:t xml:space="preserve"> </w:t>
      </w:r>
      <w:r>
        <w:rPr>
          <w:rFonts w:hint="eastAsia"/>
        </w:rPr>
        <w:t>风险评估表</w:t>
      </w:r>
    </w:p>
    <w:tbl>
      <w:tblPr>
        <w:tblStyle w:val="44"/>
        <w:tblW w:w="9164"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74"/>
        <w:gridCol w:w="2440"/>
        <w:gridCol w:w="1549"/>
        <w:gridCol w:w="657"/>
        <w:gridCol w:w="705"/>
        <w:gridCol w:w="705"/>
        <w:gridCol w:w="1374"/>
        <w:gridCol w:w="1060"/>
      </w:tblGrid>
      <w:tr w14:paraId="0BA91A2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restart"/>
            <w:tcBorders>
              <w:top w:val="double" w:color="auto" w:sz="4" w:space="0"/>
            </w:tcBorders>
            <w:vAlign w:val="center"/>
          </w:tcPr>
          <w:p w14:paraId="6F6CF5A9">
            <w:pPr>
              <w:pStyle w:val="172"/>
              <w:rPr>
                <w:rFonts w:ascii="仿宋" w:hAnsi="仿宋" w:eastAsia="仿宋" w:cs="微软雅黑"/>
                <w:sz w:val="24"/>
                <w:szCs w:val="24"/>
              </w:rPr>
            </w:pPr>
            <w:r>
              <w:rPr>
                <w:rFonts w:hint="eastAsia" w:ascii="仿宋" w:hAnsi="仿宋" w:eastAsia="仿宋" w:cs="微软雅黑"/>
                <w:sz w:val="24"/>
                <w:szCs w:val="24"/>
              </w:rPr>
              <w:t>序号</w:t>
            </w:r>
          </w:p>
        </w:tc>
        <w:tc>
          <w:tcPr>
            <w:tcW w:w="2440" w:type="dxa"/>
            <w:vMerge w:val="restart"/>
            <w:tcBorders>
              <w:top w:val="double" w:color="auto" w:sz="4" w:space="0"/>
            </w:tcBorders>
            <w:vAlign w:val="center"/>
          </w:tcPr>
          <w:p w14:paraId="42195340">
            <w:pPr>
              <w:pStyle w:val="172"/>
              <w:rPr>
                <w:rFonts w:ascii="仿宋" w:hAnsi="仿宋" w:eastAsia="仿宋" w:cs="微软雅黑"/>
                <w:sz w:val="24"/>
                <w:szCs w:val="24"/>
              </w:rPr>
            </w:pPr>
            <w:r>
              <w:rPr>
                <w:rFonts w:hint="eastAsia" w:ascii="仿宋" w:hAnsi="仿宋" w:eastAsia="仿宋"/>
                <w:sz w:val="24"/>
                <w:szCs w:val="24"/>
              </w:rPr>
              <w:t>施工内容</w:t>
            </w:r>
          </w:p>
        </w:tc>
        <w:tc>
          <w:tcPr>
            <w:tcW w:w="1549" w:type="dxa"/>
            <w:vMerge w:val="restart"/>
            <w:tcBorders>
              <w:top w:val="double" w:color="auto" w:sz="4" w:space="0"/>
            </w:tcBorders>
            <w:vAlign w:val="center"/>
          </w:tcPr>
          <w:p w14:paraId="609B85A8">
            <w:pPr>
              <w:pStyle w:val="172"/>
              <w:rPr>
                <w:rFonts w:ascii="仿宋" w:hAnsi="仿宋" w:eastAsia="仿宋"/>
                <w:sz w:val="24"/>
                <w:szCs w:val="24"/>
              </w:rPr>
            </w:pPr>
            <w:r>
              <w:rPr>
                <w:rFonts w:hint="eastAsia" w:ascii="仿宋" w:hAnsi="仿宋" w:eastAsia="仿宋"/>
                <w:sz w:val="24"/>
                <w:szCs w:val="24"/>
              </w:rPr>
              <w:t>潜在的事故类型及危害</w:t>
            </w:r>
          </w:p>
        </w:tc>
        <w:tc>
          <w:tcPr>
            <w:tcW w:w="3441" w:type="dxa"/>
            <w:gridSpan w:val="4"/>
            <w:tcBorders>
              <w:top w:val="double" w:color="auto" w:sz="4" w:space="0"/>
            </w:tcBorders>
            <w:vAlign w:val="center"/>
          </w:tcPr>
          <w:p w14:paraId="49635BD7">
            <w:pPr>
              <w:pStyle w:val="172"/>
              <w:rPr>
                <w:rFonts w:ascii="仿宋" w:hAnsi="仿宋" w:eastAsia="仿宋"/>
                <w:sz w:val="24"/>
                <w:szCs w:val="24"/>
              </w:rPr>
            </w:pPr>
            <w:r>
              <w:rPr>
                <w:rFonts w:hint="eastAsia" w:ascii="仿宋" w:hAnsi="仿宋" w:eastAsia="仿宋"/>
                <w:sz w:val="24"/>
                <w:szCs w:val="24"/>
              </w:rPr>
              <w:t>风险评估</w:t>
            </w:r>
          </w:p>
        </w:tc>
        <w:tc>
          <w:tcPr>
            <w:tcW w:w="1060" w:type="dxa"/>
            <w:vMerge w:val="restart"/>
            <w:tcBorders>
              <w:top w:val="double" w:color="auto" w:sz="4" w:space="0"/>
            </w:tcBorders>
            <w:vAlign w:val="center"/>
          </w:tcPr>
          <w:p w14:paraId="03C730D5">
            <w:pPr>
              <w:pStyle w:val="172"/>
              <w:rPr>
                <w:rFonts w:ascii="仿宋" w:hAnsi="仿宋" w:eastAsia="仿宋"/>
                <w:sz w:val="24"/>
                <w:szCs w:val="24"/>
              </w:rPr>
            </w:pPr>
            <w:r>
              <w:rPr>
                <w:rFonts w:hint="eastAsia" w:ascii="仿宋" w:hAnsi="仿宋" w:eastAsia="仿宋"/>
                <w:sz w:val="24"/>
                <w:szCs w:val="24"/>
              </w:rPr>
              <w:t>风险等级</w:t>
            </w:r>
          </w:p>
        </w:tc>
      </w:tr>
      <w:tr w14:paraId="71CB44D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14:paraId="715DC5B3">
            <w:pPr>
              <w:pStyle w:val="172"/>
              <w:rPr>
                <w:rFonts w:ascii="仿宋" w:hAnsi="仿宋" w:eastAsia="仿宋"/>
                <w:sz w:val="24"/>
                <w:szCs w:val="24"/>
              </w:rPr>
            </w:pPr>
          </w:p>
        </w:tc>
        <w:tc>
          <w:tcPr>
            <w:tcW w:w="2440" w:type="dxa"/>
            <w:vMerge w:val="continue"/>
            <w:vAlign w:val="center"/>
          </w:tcPr>
          <w:p w14:paraId="35765B50">
            <w:pPr>
              <w:pStyle w:val="172"/>
              <w:rPr>
                <w:rFonts w:ascii="仿宋" w:hAnsi="仿宋" w:eastAsia="仿宋"/>
                <w:sz w:val="24"/>
                <w:szCs w:val="24"/>
              </w:rPr>
            </w:pPr>
          </w:p>
        </w:tc>
        <w:tc>
          <w:tcPr>
            <w:tcW w:w="1549" w:type="dxa"/>
            <w:vMerge w:val="continue"/>
            <w:vAlign w:val="center"/>
          </w:tcPr>
          <w:p w14:paraId="1899EC7F">
            <w:pPr>
              <w:pStyle w:val="172"/>
              <w:rPr>
                <w:rFonts w:ascii="仿宋" w:hAnsi="仿宋" w:eastAsia="仿宋"/>
                <w:sz w:val="24"/>
                <w:szCs w:val="24"/>
              </w:rPr>
            </w:pPr>
          </w:p>
        </w:tc>
        <w:tc>
          <w:tcPr>
            <w:tcW w:w="657" w:type="dxa"/>
            <w:vAlign w:val="center"/>
          </w:tcPr>
          <w:p w14:paraId="64129535">
            <w:pPr>
              <w:pStyle w:val="172"/>
              <w:rPr>
                <w:rFonts w:ascii="仿宋" w:hAnsi="仿宋" w:eastAsia="仿宋"/>
                <w:sz w:val="24"/>
                <w:szCs w:val="24"/>
              </w:rPr>
            </w:pPr>
            <w:r>
              <w:rPr>
                <w:rFonts w:ascii="仿宋" w:hAnsi="仿宋" w:eastAsia="仿宋"/>
                <w:sz w:val="24"/>
                <w:szCs w:val="24"/>
              </w:rPr>
              <w:t>L</w:t>
            </w:r>
          </w:p>
        </w:tc>
        <w:tc>
          <w:tcPr>
            <w:tcW w:w="705" w:type="dxa"/>
            <w:vAlign w:val="center"/>
          </w:tcPr>
          <w:p w14:paraId="37F300A0">
            <w:pPr>
              <w:pStyle w:val="172"/>
              <w:rPr>
                <w:rFonts w:ascii="仿宋" w:hAnsi="仿宋" w:eastAsia="仿宋"/>
                <w:sz w:val="24"/>
                <w:szCs w:val="24"/>
              </w:rPr>
            </w:pPr>
            <w:r>
              <w:rPr>
                <w:rFonts w:ascii="仿宋" w:hAnsi="仿宋" w:eastAsia="仿宋"/>
                <w:sz w:val="24"/>
                <w:szCs w:val="24"/>
              </w:rPr>
              <w:t>E</w:t>
            </w:r>
          </w:p>
        </w:tc>
        <w:tc>
          <w:tcPr>
            <w:tcW w:w="705" w:type="dxa"/>
            <w:vAlign w:val="center"/>
          </w:tcPr>
          <w:p w14:paraId="006BC2F6">
            <w:pPr>
              <w:pStyle w:val="172"/>
              <w:rPr>
                <w:rFonts w:ascii="仿宋" w:hAnsi="仿宋" w:eastAsia="仿宋"/>
                <w:sz w:val="24"/>
                <w:szCs w:val="24"/>
              </w:rPr>
            </w:pPr>
            <w:r>
              <w:rPr>
                <w:rFonts w:ascii="仿宋" w:hAnsi="仿宋" w:eastAsia="仿宋"/>
                <w:sz w:val="24"/>
                <w:szCs w:val="24"/>
              </w:rPr>
              <w:t>C</w:t>
            </w:r>
          </w:p>
        </w:tc>
        <w:tc>
          <w:tcPr>
            <w:tcW w:w="1374" w:type="dxa"/>
            <w:vAlign w:val="center"/>
          </w:tcPr>
          <w:p w14:paraId="4122F9C2">
            <w:pPr>
              <w:pStyle w:val="172"/>
              <w:rPr>
                <w:rFonts w:ascii="仿宋" w:hAnsi="仿宋" w:eastAsia="仿宋"/>
                <w:sz w:val="24"/>
                <w:szCs w:val="24"/>
              </w:rPr>
            </w:pPr>
            <w:r>
              <w:rPr>
                <w:rFonts w:ascii="仿宋" w:hAnsi="仿宋" w:eastAsia="仿宋"/>
                <w:sz w:val="24"/>
                <w:szCs w:val="24"/>
              </w:rPr>
              <w:t>D=LEC</w:t>
            </w:r>
          </w:p>
        </w:tc>
        <w:tc>
          <w:tcPr>
            <w:tcW w:w="1060" w:type="dxa"/>
            <w:vMerge w:val="continue"/>
            <w:vAlign w:val="center"/>
          </w:tcPr>
          <w:p w14:paraId="75D46FA0">
            <w:pPr>
              <w:pStyle w:val="172"/>
              <w:rPr>
                <w:rFonts w:ascii="仿宋" w:hAnsi="仿宋" w:eastAsia="仿宋"/>
                <w:sz w:val="24"/>
                <w:szCs w:val="24"/>
              </w:rPr>
            </w:pPr>
          </w:p>
        </w:tc>
      </w:tr>
      <w:tr w14:paraId="3C8D02F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E1D8FF4">
            <w:pPr>
              <w:pStyle w:val="172"/>
              <w:rPr>
                <w:rFonts w:ascii="仿宋" w:hAnsi="仿宋" w:eastAsia="仿宋"/>
                <w:sz w:val="24"/>
                <w:szCs w:val="24"/>
              </w:rPr>
            </w:pPr>
            <w:r>
              <w:rPr>
                <w:rFonts w:ascii="仿宋" w:hAnsi="仿宋" w:eastAsia="仿宋"/>
                <w:sz w:val="24"/>
                <w:szCs w:val="24"/>
              </w:rPr>
              <w:t>1</w:t>
            </w:r>
          </w:p>
        </w:tc>
        <w:tc>
          <w:tcPr>
            <w:tcW w:w="2440" w:type="dxa"/>
            <w:vMerge w:val="restart"/>
            <w:vAlign w:val="center"/>
          </w:tcPr>
          <w:p w14:paraId="6F2849FF">
            <w:pPr>
              <w:pStyle w:val="172"/>
              <w:rPr>
                <w:rFonts w:ascii="仿宋" w:hAnsi="仿宋" w:eastAsia="仿宋"/>
                <w:sz w:val="24"/>
                <w:szCs w:val="24"/>
              </w:rPr>
            </w:pPr>
            <w:r>
              <w:rPr>
                <w:rFonts w:hint="eastAsia" w:ascii="仿宋" w:hAnsi="仿宋" w:eastAsia="仿宋"/>
                <w:sz w:val="24"/>
                <w:szCs w:val="24"/>
              </w:rPr>
              <w:t>塔吊安装与拆除</w:t>
            </w:r>
          </w:p>
        </w:tc>
        <w:tc>
          <w:tcPr>
            <w:tcW w:w="1549" w:type="dxa"/>
            <w:vAlign w:val="center"/>
          </w:tcPr>
          <w:p w14:paraId="77ABAAFA">
            <w:pPr>
              <w:pStyle w:val="172"/>
              <w:jc w:val="left"/>
              <w:rPr>
                <w:rFonts w:ascii="仿宋" w:hAnsi="仿宋" w:eastAsia="仿宋"/>
                <w:sz w:val="24"/>
                <w:szCs w:val="24"/>
              </w:rPr>
            </w:pPr>
            <w:r>
              <w:rPr>
                <w:rFonts w:ascii="仿宋" w:hAnsi="仿宋" w:eastAsia="仿宋"/>
                <w:sz w:val="24"/>
                <w:szCs w:val="24"/>
              </w:rPr>
              <w:t>1</w:t>
            </w:r>
            <w:r>
              <w:rPr>
                <w:rFonts w:hint="eastAsia" w:ascii="仿宋" w:hAnsi="仿宋" w:eastAsia="仿宋"/>
                <w:sz w:val="24"/>
                <w:szCs w:val="24"/>
              </w:rPr>
              <w:t>、坍塌</w:t>
            </w:r>
          </w:p>
        </w:tc>
        <w:tc>
          <w:tcPr>
            <w:tcW w:w="657" w:type="dxa"/>
            <w:vAlign w:val="center"/>
          </w:tcPr>
          <w:p w14:paraId="0FCB3607">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01E4721B">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33FA14D4">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1BFDEA81">
            <w:pPr>
              <w:pStyle w:val="172"/>
              <w:rPr>
                <w:rFonts w:ascii="仿宋" w:hAnsi="仿宋" w:eastAsia="仿宋"/>
                <w:color w:val="000000"/>
                <w:sz w:val="24"/>
                <w:szCs w:val="24"/>
              </w:rPr>
            </w:pPr>
            <w:r>
              <w:rPr>
                <w:rFonts w:hint="eastAsia" w:ascii="仿宋" w:hAnsi="仿宋" w:eastAsia="仿宋"/>
                <w:color w:val="000000"/>
                <w:sz w:val="24"/>
                <w:szCs w:val="24"/>
              </w:rPr>
              <w:t>90</w:t>
            </w:r>
          </w:p>
        </w:tc>
        <w:tc>
          <w:tcPr>
            <w:tcW w:w="1060" w:type="dxa"/>
            <w:vAlign w:val="center"/>
          </w:tcPr>
          <w:p w14:paraId="771A070A">
            <w:pPr>
              <w:pStyle w:val="172"/>
              <w:rPr>
                <w:rFonts w:ascii="仿宋" w:hAnsi="仿宋" w:eastAsia="仿宋"/>
                <w:color w:val="000000"/>
                <w:sz w:val="24"/>
                <w:szCs w:val="24"/>
              </w:rPr>
            </w:pPr>
            <w:r>
              <w:rPr>
                <w:rFonts w:ascii="仿宋" w:hAnsi="仿宋" w:eastAsia="仿宋"/>
                <w:color w:val="000000"/>
                <w:sz w:val="24"/>
                <w:szCs w:val="24"/>
              </w:rPr>
              <w:t>3</w:t>
            </w:r>
          </w:p>
        </w:tc>
      </w:tr>
      <w:tr w14:paraId="3A02ACC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08B7B326">
            <w:pPr>
              <w:pStyle w:val="172"/>
              <w:rPr>
                <w:rFonts w:ascii="仿宋" w:hAnsi="仿宋" w:eastAsia="仿宋"/>
                <w:sz w:val="24"/>
                <w:szCs w:val="24"/>
              </w:rPr>
            </w:pPr>
            <w:r>
              <w:rPr>
                <w:rFonts w:ascii="仿宋" w:hAnsi="仿宋" w:eastAsia="仿宋"/>
                <w:sz w:val="24"/>
                <w:szCs w:val="24"/>
              </w:rPr>
              <w:t>2</w:t>
            </w:r>
          </w:p>
        </w:tc>
        <w:tc>
          <w:tcPr>
            <w:tcW w:w="2440" w:type="dxa"/>
            <w:vMerge w:val="continue"/>
            <w:vAlign w:val="center"/>
          </w:tcPr>
          <w:p w14:paraId="0A605E1F">
            <w:pPr>
              <w:pStyle w:val="172"/>
              <w:rPr>
                <w:rFonts w:ascii="仿宋" w:hAnsi="仿宋" w:eastAsia="仿宋"/>
                <w:sz w:val="24"/>
                <w:szCs w:val="24"/>
              </w:rPr>
            </w:pPr>
          </w:p>
        </w:tc>
        <w:tc>
          <w:tcPr>
            <w:tcW w:w="1549" w:type="dxa"/>
            <w:vAlign w:val="center"/>
          </w:tcPr>
          <w:p w14:paraId="2E079046">
            <w:pPr>
              <w:pStyle w:val="172"/>
              <w:jc w:val="left"/>
              <w:rPr>
                <w:rFonts w:ascii="仿宋" w:hAnsi="仿宋" w:eastAsia="仿宋"/>
                <w:sz w:val="24"/>
                <w:szCs w:val="24"/>
              </w:rPr>
            </w:pPr>
            <w:r>
              <w:rPr>
                <w:rFonts w:ascii="仿宋" w:hAnsi="仿宋" w:eastAsia="仿宋"/>
                <w:sz w:val="24"/>
                <w:szCs w:val="24"/>
              </w:rPr>
              <w:t>2</w:t>
            </w:r>
            <w:r>
              <w:rPr>
                <w:rFonts w:hint="eastAsia" w:ascii="仿宋" w:hAnsi="仿宋" w:eastAsia="仿宋"/>
                <w:sz w:val="24"/>
                <w:szCs w:val="24"/>
              </w:rPr>
              <w:t>、起重伤害</w:t>
            </w:r>
          </w:p>
        </w:tc>
        <w:tc>
          <w:tcPr>
            <w:tcW w:w="657" w:type="dxa"/>
            <w:vAlign w:val="center"/>
          </w:tcPr>
          <w:p w14:paraId="73368C11">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0EA862B0">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6CDEACD0">
            <w:pPr>
              <w:pStyle w:val="172"/>
              <w:rPr>
                <w:rFonts w:ascii="仿宋" w:hAnsi="仿宋" w:eastAsia="仿宋"/>
                <w:color w:val="000000"/>
                <w:sz w:val="24"/>
                <w:szCs w:val="24"/>
              </w:rPr>
            </w:pPr>
            <w:r>
              <w:rPr>
                <w:rFonts w:ascii="仿宋" w:hAnsi="仿宋" w:eastAsia="仿宋"/>
                <w:color w:val="000000"/>
                <w:sz w:val="24"/>
                <w:szCs w:val="24"/>
              </w:rPr>
              <w:t>7</w:t>
            </w:r>
          </w:p>
        </w:tc>
        <w:tc>
          <w:tcPr>
            <w:tcW w:w="1374" w:type="dxa"/>
            <w:vAlign w:val="center"/>
          </w:tcPr>
          <w:p w14:paraId="35988E37">
            <w:pPr>
              <w:pStyle w:val="172"/>
              <w:rPr>
                <w:rFonts w:ascii="仿宋" w:hAnsi="仿宋" w:eastAsia="仿宋"/>
                <w:color w:val="000000"/>
                <w:sz w:val="24"/>
                <w:szCs w:val="24"/>
              </w:rPr>
            </w:pPr>
            <w:r>
              <w:rPr>
                <w:rFonts w:ascii="仿宋" w:hAnsi="仿宋" w:eastAsia="仿宋"/>
                <w:color w:val="000000"/>
                <w:sz w:val="24"/>
                <w:szCs w:val="24"/>
              </w:rPr>
              <w:t>126</w:t>
            </w:r>
          </w:p>
        </w:tc>
        <w:tc>
          <w:tcPr>
            <w:tcW w:w="1060" w:type="dxa"/>
            <w:vAlign w:val="center"/>
          </w:tcPr>
          <w:p w14:paraId="3894A820">
            <w:pPr>
              <w:pStyle w:val="172"/>
              <w:rPr>
                <w:rFonts w:ascii="仿宋" w:hAnsi="仿宋" w:eastAsia="仿宋"/>
                <w:color w:val="000000"/>
                <w:sz w:val="24"/>
                <w:szCs w:val="24"/>
              </w:rPr>
            </w:pPr>
            <w:r>
              <w:rPr>
                <w:rFonts w:ascii="仿宋" w:hAnsi="仿宋" w:eastAsia="仿宋"/>
                <w:color w:val="000000"/>
                <w:sz w:val="24"/>
                <w:szCs w:val="24"/>
              </w:rPr>
              <w:t>3</w:t>
            </w:r>
          </w:p>
        </w:tc>
      </w:tr>
      <w:tr w14:paraId="6F502E3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3ABA112">
            <w:pPr>
              <w:pStyle w:val="172"/>
              <w:rPr>
                <w:rFonts w:ascii="仿宋" w:hAnsi="仿宋" w:eastAsia="仿宋"/>
                <w:sz w:val="24"/>
                <w:szCs w:val="24"/>
              </w:rPr>
            </w:pPr>
            <w:r>
              <w:rPr>
                <w:rFonts w:ascii="仿宋" w:hAnsi="仿宋" w:eastAsia="仿宋"/>
                <w:sz w:val="24"/>
                <w:szCs w:val="24"/>
              </w:rPr>
              <w:t>3</w:t>
            </w:r>
          </w:p>
        </w:tc>
        <w:tc>
          <w:tcPr>
            <w:tcW w:w="2440" w:type="dxa"/>
            <w:vMerge w:val="continue"/>
            <w:vAlign w:val="center"/>
          </w:tcPr>
          <w:p w14:paraId="3A4EE14B">
            <w:pPr>
              <w:pStyle w:val="172"/>
              <w:rPr>
                <w:rFonts w:ascii="仿宋" w:hAnsi="仿宋" w:eastAsia="仿宋"/>
                <w:sz w:val="24"/>
                <w:szCs w:val="24"/>
              </w:rPr>
            </w:pPr>
          </w:p>
        </w:tc>
        <w:tc>
          <w:tcPr>
            <w:tcW w:w="1549" w:type="dxa"/>
            <w:vAlign w:val="center"/>
          </w:tcPr>
          <w:p w14:paraId="7F25C519">
            <w:pPr>
              <w:pStyle w:val="172"/>
              <w:jc w:val="left"/>
              <w:rPr>
                <w:rFonts w:ascii="仿宋" w:hAnsi="仿宋" w:eastAsia="仿宋"/>
                <w:sz w:val="24"/>
                <w:szCs w:val="24"/>
              </w:rPr>
            </w:pPr>
            <w:r>
              <w:rPr>
                <w:rFonts w:ascii="仿宋" w:hAnsi="仿宋" w:eastAsia="仿宋"/>
                <w:sz w:val="24"/>
                <w:szCs w:val="24"/>
              </w:rPr>
              <w:t>3</w:t>
            </w:r>
            <w:r>
              <w:rPr>
                <w:rFonts w:hint="eastAsia" w:ascii="仿宋" w:hAnsi="仿宋" w:eastAsia="仿宋"/>
                <w:sz w:val="24"/>
                <w:szCs w:val="24"/>
              </w:rPr>
              <w:t>、物体打击</w:t>
            </w:r>
          </w:p>
        </w:tc>
        <w:tc>
          <w:tcPr>
            <w:tcW w:w="657" w:type="dxa"/>
            <w:vAlign w:val="center"/>
          </w:tcPr>
          <w:p w14:paraId="67073B87">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1B83962B">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2224A738">
            <w:pPr>
              <w:pStyle w:val="172"/>
              <w:rPr>
                <w:rFonts w:ascii="仿宋" w:hAnsi="仿宋" w:eastAsia="仿宋"/>
                <w:color w:val="000000"/>
                <w:sz w:val="24"/>
                <w:szCs w:val="24"/>
              </w:rPr>
            </w:pPr>
            <w:r>
              <w:rPr>
                <w:rFonts w:ascii="仿宋" w:hAnsi="仿宋" w:eastAsia="仿宋"/>
                <w:color w:val="000000"/>
                <w:sz w:val="24"/>
                <w:szCs w:val="24"/>
              </w:rPr>
              <w:t>3</w:t>
            </w:r>
          </w:p>
        </w:tc>
        <w:tc>
          <w:tcPr>
            <w:tcW w:w="1374" w:type="dxa"/>
            <w:vAlign w:val="center"/>
          </w:tcPr>
          <w:p w14:paraId="732FE0A3">
            <w:pPr>
              <w:pStyle w:val="172"/>
              <w:rPr>
                <w:rFonts w:ascii="仿宋" w:hAnsi="仿宋" w:eastAsia="仿宋"/>
                <w:color w:val="000000"/>
                <w:sz w:val="24"/>
                <w:szCs w:val="24"/>
              </w:rPr>
            </w:pPr>
            <w:r>
              <w:rPr>
                <w:rFonts w:ascii="仿宋" w:hAnsi="仿宋" w:eastAsia="仿宋"/>
                <w:color w:val="000000"/>
                <w:sz w:val="24"/>
                <w:szCs w:val="24"/>
              </w:rPr>
              <w:t>54</w:t>
            </w:r>
          </w:p>
        </w:tc>
        <w:tc>
          <w:tcPr>
            <w:tcW w:w="1060" w:type="dxa"/>
            <w:vAlign w:val="center"/>
          </w:tcPr>
          <w:p w14:paraId="0EC9D07E">
            <w:pPr>
              <w:pStyle w:val="172"/>
              <w:rPr>
                <w:rFonts w:ascii="仿宋" w:hAnsi="仿宋" w:eastAsia="仿宋"/>
                <w:color w:val="000000"/>
                <w:sz w:val="24"/>
                <w:szCs w:val="24"/>
              </w:rPr>
            </w:pPr>
            <w:r>
              <w:rPr>
                <w:rFonts w:ascii="仿宋" w:hAnsi="仿宋" w:eastAsia="仿宋"/>
                <w:color w:val="000000"/>
                <w:sz w:val="24"/>
                <w:szCs w:val="24"/>
              </w:rPr>
              <w:t>2</w:t>
            </w:r>
          </w:p>
        </w:tc>
      </w:tr>
      <w:tr w14:paraId="4BA6C82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720ACA66">
            <w:pPr>
              <w:pStyle w:val="172"/>
              <w:rPr>
                <w:rFonts w:ascii="仿宋" w:hAnsi="仿宋" w:eastAsia="仿宋"/>
                <w:sz w:val="24"/>
                <w:szCs w:val="24"/>
              </w:rPr>
            </w:pPr>
            <w:r>
              <w:rPr>
                <w:rFonts w:ascii="仿宋" w:hAnsi="仿宋" w:eastAsia="仿宋"/>
                <w:sz w:val="24"/>
                <w:szCs w:val="24"/>
              </w:rPr>
              <w:t>4</w:t>
            </w:r>
          </w:p>
        </w:tc>
        <w:tc>
          <w:tcPr>
            <w:tcW w:w="2440" w:type="dxa"/>
            <w:vMerge w:val="continue"/>
            <w:vAlign w:val="center"/>
          </w:tcPr>
          <w:p w14:paraId="2303AF28">
            <w:pPr>
              <w:pStyle w:val="172"/>
              <w:rPr>
                <w:rFonts w:ascii="仿宋" w:hAnsi="仿宋" w:eastAsia="仿宋"/>
                <w:sz w:val="24"/>
                <w:szCs w:val="24"/>
              </w:rPr>
            </w:pPr>
          </w:p>
        </w:tc>
        <w:tc>
          <w:tcPr>
            <w:tcW w:w="1549" w:type="dxa"/>
            <w:vAlign w:val="center"/>
          </w:tcPr>
          <w:p w14:paraId="5F634DFF">
            <w:pPr>
              <w:pStyle w:val="172"/>
              <w:jc w:val="left"/>
              <w:rPr>
                <w:rFonts w:ascii="仿宋" w:hAnsi="仿宋" w:eastAsia="仿宋"/>
                <w:sz w:val="24"/>
                <w:szCs w:val="24"/>
              </w:rPr>
            </w:pPr>
            <w:r>
              <w:rPr>
                <w:rFonts w:ascii="仿宋" w:hAnsi="仿宋" w:eastAsia="仿宋"/>
                <w:sz w:val="24"/>
                <w:szCs w:val="24"/>
              </w:rPr>
              <w:t>4</w:t>
            </w:r>
            <w:r>
              <w:rPr>
                <w:rFonts w:hint="eastAsia" w:ascii="仿宋" w:hAnsi="仿宋" w:eastAsia="仿宋"/>
                <w:sz w:val="24"/>
                <w:szCs w:val="24"/>
              </w:rPr>
              <w:t>、高处坠落</w:t>
            </w:r>
          </w:p>
        </w:tc>
        <w:tc>
          <w:tcPr>
            <w:tcW w:w="657" w:type="dxa"/>
            <w:vAlign w:val="center"/>
          </w:tcPr>
          <w:p w14:paraId="7FB41FE0">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3C37D853">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4572BD0C">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5DCB477B">
            <w:pPr>
              <w:pStyle w:val="172"/>
              <w:rPr>
                <w:rFonts w:ascii="仿宋" w:hAnsi="仿宋" w:eastAsia="仿宋"/>
                <w:color w:val="000000"/>
                <w:sz w:val="24"/>
                <w:szCs w:val="24"/>
              </w:rPr>
            </w:pPr>
            <w:r>
              <w:rPr>
                <w:rFonts w:ascii="仿宋" w:hAnsi="仿宋" w:eastAsia="仿宋"/>
                <w:color w:val="000000"/>
                <w:sz w:val="24"/>
                <w:szCs w:val="24"/>
              </w:rPr>
              <w:t>135</w:t>
            </w:r>
          </w:p>
        </w:tc>
        <w:tc>
          <w:tcPr>
            <w:tcW w:w="1060" w:type="dxa"/>
            <w:vAlign w:val="center"/>
          </w:tcPr>
          <w:p w14:paraId="5A821685">
            <w:pPr>
              <w:pStyle w:val="172"/>
              <w:rPr>
                <w:rFonts w:ascii="仿宋" w:hAnsi="仿宋" w:eastAsia="仿宋"/>
                <w:color w:val="000000"/>
                <w:sz w:val="24"/>
                <w:szCs w:val="24"/>
              </w:rPr>
            </w:pPr>
            <w:r>
              <w:rPr>
                <w:rFonts w:ascii="仿宋" w:hAnsi="仿宋" w:eastAsia="仿宋"/>
                <w:color w:val="000000"/>
                <w:sz w:val="24"/>
                <w:szCs w:val="24"/>
              </w:rPr>
              <w:t>3</w:t>
            </w:r>
          </w:p>
        </w:tc>
      </w:tr>
      <w:tr w14:paraId="761B673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585A5AB6">
            <w:pPr>
              <w:pStyle w:val="172"/>
              <w:rPr>
                <w:rFonts w:ascii="仿宋" w:hAnsi="仿宋" w:eastAsia="仿宋"/>
                <w:sz w:val="24"/>
                <w:szCs w:val="24"/>
              </w:rPr>
            </w:pPr>
            <w:r>
              <w:rPr>
                <w:rFonts w:ascii="仿宋" w:hAnsi="仿宋" w:eastAsia="仿宋"/>
                <w:sz w:val="24"/>
                <w:szCs w:val="24"/>
              </w:rPr>
              <w:t>5</w:t>
            </w:r>
          </w:p>
        </w:tc>
        <w:tc>
          <w:tcPr>
            <w:tcW w:w="2440" w:type="dxa"/>
            <w:vMerge w:val="continue"/>
            <w:vAlign w:val="center"/>
          </w:tcPr>
          <w:p w14:paraId="1D56D555">
            <w:pPr>
              <w:pStyle w:val="172"/>
              <w:rPr>
                <w:rFonts w:ascii="仿宋" w:hAnsi="仿宋" w:eastAsia="仿宋"/>
                <w:sz w:val="24"/>
                <w:szCs w:val="24"/>
              </w:rPr>
            </w:pPr>
          </w:p>
        </w:tc>
        <w:tc>
          <w:tcPr>
            <w:tcW w:w="1549" w:type="dxa"/>
            <w:vAlign w:val="center"/>
          </w:tcPr>
          <w:p w14:paraId="2742CFDC">
            <w:pPr>
              <w:pStyle w:val="172"/>
              <w:jc w:val="left"/>
              <w:rPr>
                <w:rFonts w:ascii="仿宋" w:hAnsi="仿宋" w:eastAsia="仿宋"/>
                <w:sz w:val="24"/>
                <w:szCs w:val="24"/>
              </w:rPr>
            </w:pPr>
            <w:r>
              <w:rPr>
                <w:rFonts w:ascii="仿宋" w:hAnsi="仿宋" w:eastAsia="仿宋"/>
                <w:sz w:val="24"/>
                <w:szCs w:val="24"/>
              </w:rPr>
              <w:t>5</w:t>
            </w:r>
            <w:r>
              <w:rPr>
                <w:rFonts w:hint="eastAsia" w:ascii="仿宋" w:hAnsi="仿宋" w:eastAsia="仿宋"/>
                <w:sz w:val="24"/>
                <w:szCs w:val="24"/>
              </w:rPr>
              <w:t>、车辆伤害</w:t>
            </w:r>
          </w:p>
        </w:tc>
        <w:tc>
          <w:tcPr>
            <w:tcW w:w="657" w:type="dxa"/>
            <w:vAlign w:val="center"/>
          </w:tcPr>
          <w:p w14:paraId="492CE451">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5A3FD682">
            <w:pPr>
              <w:pStyle w:val="172"/>
              <w:rPr>
                <w:rFonts w:ascii="仿宋" w:hAnsi="仿宋" w:eastAsia="仿宋"/>
                <w:color w:val="000000"/>
                <w:sz w:val="24"/>
                <w:szCs w:val="24"/>
              </w:rPr>
            </w:pPr>
            <w:r>
              <w:rPr>
                <w:rFonts w:ascii="仿宋" w:hAnsi="仿宋" w:eastAsia="仿宋"/>
                <w:color w:val="000000"/>
                <w:sz w:val="24"/>
                <w:szCs w:val="24"/>
              </w:rPr>
              <w:t>2</w:t>
            </w:r>
          </w:p>
        </w:tc>
        <w:tc>
          <w:tcPr>
            <w:tcW w:w="705" w:type="dxa"/>
            <w:vAlign w:val="center"/>
          </w:tcPr>
          <w:p w14:paraId="5E152652">
            <w:pPr>
              <w:pStyle w:val="172"/>
              <w:rPr>
                <w:rFonts w:ascii="仿宋" w:hAnsi="仿宋" w:eastAsia="仿宋"/>
                <w:color w:val="000000"/>
                <w:sz w:val="24"/>
                <w:szCs w:val="24"/>
              </w:rPr>
            </w:pPr>
            <w:r>
              <w:rPr>
                <w:rFonts w:ascii="仿宋" w:hAnsi="仿宋" w:eastAsia="仿宋"/>
                <w:color w:val="000000"/>
                <w:sz w:val="24"/>
                <w:szCs w:val="24"/>
              </w:rPr>
              <w:t>7</w:t>
            </w:r>
          </w:p>
        </w:tc>
        <w:tc>
          <w:tcPr>
            <w:tcW w:w="1374" w:type="dxa"/>
            <w:vAlign w:val="center"/>
          </w:tcPr>
          <w:p w14:paraId="6C6C039C">
            <w:pPr>
              <w:pStyle w:val="172"/>
              <w:rPr>
                <w:rFonts w:ascii="仿宋" w:hAnsi="仿宋" w:eastAsia="仿宋"/>
                <w:color w:val="000000"/>
                <w:sz w:val="24"/>
                <w:szCs w:val="24"/>
              </w:rPr>
            </w:pPr>
            <w:r>
              <w:rPr>
                <w:rFonts w:ascii="仿宋" w:hAnsi="仿宋" w:eastAsia="仿宋"/>
                <w:color w:val="000000"/>
                <w:sz w:val="24"/>
                <w:szCs w:val="24"/>
              </w:rPr>
              <w:t>14</w:t>
            </w:r>
          </w:p>
        </w:tc>
        <w:tc>
          <w:tcPr>
            <w:tcW w:w="1060" w:type="dxa"/>
            <w:vAlign w:val="center"/>
          </w:tcPr>
          <w:p w14:paraId="06D36020">
            <w:pPr>
              <w:pStyle w:val="172"/>
              <w:rPr>
                <w:rFonts w:ascii="仿宋" w:hAnsi="仿宋" w:eastAsia="仿宋"/>
                <w:color w:val="000000"/>
                <w:sz w:val="24"/>
                <w:szCs w:val="24"/>
              </w:rPr>
            </w:pPr>
            <w:r>
              <w:rPr>
                <w:rFonts w:ascii="仿宋" w:hAnsi="仿宋" w:eastAsia="仿宋"/>
                <w:color w:val="000000"/>
                <w:sz w:val="24"/>
                <w:szCs w:val="24"/>
              </w:rPr>
              <w:t>1</w:t>
            </w:r>
          </w:p>
        </w:tc>
      </w:tr>
      <w:tr w14:paraId="046AD1A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452AC27">
            <w:pPr>
              <w:pStyle w:val="172"/>
              <w:rPr>
                <w:rFonts w:ascii="仿宋" w:hAnsi="仿宋" w:eastAsia="仿宋"/>
                <w:sz w:val="24"/>
                <w:szCs w:val="24"/>
              </w:rPr>
            </w:pPr>
            <w:r>
              <w:rPr>
                <w:rFonts w:ascii="仿宋" w:hAnsi="仿宋" w:eastAsia="仿宋"/>
                <w:sz w:val="24"/>
                <w:szCs w:val="24"/>
              </w:rPr>
              <w:t>6</w:t>
            </w:r>
          </w:p>
        </w:tc>
        <w:tc>
          <w:tcPr>
            <w:tcW w:w="2440" w:type="dxa"/>
            <w:vMerge w:val="continue"/>
            <w:vAlign w:val="center"/>
          </w:tcPr>
          <w:p w14:paraId="42A316A1">
            <w:pPr>
              <w:pStyle w:val="172"/>
              <w:rPr>
                <w:rFonts w:ascii="仿宋" w:hAnsi="仿宋" w:eastAsia="仿宋"/>
                <w:sz w:val="24"/>
                <w:szCs w:val="24"/>
              </w:rPr>
            </w:pPr>
          </w:p>
        </w:tc>
        <w:tc>
          <w:tcPr>
            <w:tcW w:w="1549" w:type="dxa"/>
            <w:vAlign w:val="center"/>
          </w:tcPr>
          <w:p w14:paraId="05A7FCC1">
            <w:pPr>
              <w:pStyle w:val="172"/>
              <w:jc w:val="left"/>
              <w:rPr>
                <w:rFonts w:ascii="仿宋" w:hAnsi="仿宋" w:eastAsia="仿宋"/>
                <w:sz w:val="24"/>
                <w:szCs w:val="24"/>
              </w:rPr>
            </w:pPr>
            <w:r>
              <w:rPr>
                <w:rFonts w:ascii="仿宋" w:hAnsi="仿宋" w:eastAsia="仿宋"/>
                <w:sz w:val="24"/>
                <w:szCs w:val="24"/>
              </w:rPr>
              <w:t>6</w:t>
            </w:r>
            <w:r>
              <w:rPr>
                <w:rFonts w:hint="eastAsia" w:ascii="仿宋" w:hAnsi="仿宋" w:eastAsia="仿宋"/>
                <w:sz w:val="24"/>
                <w:szCs w:val="24"/>
              </w:rPr>
              <w:t>、触电</w:t>
            </w:r>
          </w:p>
        </w:tc>
        <w:tc>
          <w:tcPr>
            <w:tcW w:w="657" w:type="dxa"/>
            <w:vAlign w:val="center"/>
          </w:tcPr>
          <w:p w14:paraId="1898188F">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1DF2F261">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0C493135">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6EF17A0B">
            <w:pPr>
              <w:pStyle w:val="172"/>
              <w:rPr>
                <w:rFonts w:ascii="仿宋" w:hAnsi="仿宋" w:eastAsia="仿宋"/>
                <w:color w:val="000000"/>
                <w:sz w:val="24"/>
                <w:szCs w:val="24"/>
              </w:rPr>
            </w:pPr>
            <w:r>
              <w:rPr>
                <w:rFonts w:ascii="仿宋" w:hAnsi="仿宋" w:eastAsia="仿宋"/>
                <w:color w:val="000000"/>
                <w:sz w:val="24"/>
                <w:szCs w:val="24"/>
              </w:rPr>
              <w:t>45</w:t>
            </w:r>
          </w:p>
        </w:tc>
        <w:tc>
          <w:tcPr>
            <w:tcW w:w="1060" w:type="dxa"/>
            <w:vAlign w:val="center"/>
          </w:tcPr>
          <w:p w14:paraId="40E3F640">
            <w:pPr>
              <w:pStyle w:val="172"/>
              <w:rPr>
                <w:rFonts w:ascii="仿宋" w:hAnsi="仿宋" w:eastAsia="仿宋"/>
                <w:color w:val="000000"/>
                <w:sz w:val="24"/>
                <w:szCs w:val="24"/>
              </w:rPr>
            </w:pPr>
            <w:r>
              <w:rPr>
                <w:rFonts w:ascii="仿宋" w:hAnsi="仿宋" w:eastAsia="仿宋"/>
                <w:color w:val="000000"/>
                <w:sz w:val="24"/>
                <w:szCs w:val="24"/>
              </w:rPr>
              <w:t>2</w:t>
            </w:r>
          </w:p>
        </w:tc>
      </w:tr>
      <w:tr w14:paraId="5AA94312">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0F932A2">
            <w:pPr>
              <w:pStyle w:val="172"/>
              <w:rPr>
                <w:rFonts w:ascii="仿宋" w:hAnsi="仿宋" w:eastAsia="仿宋"/>
                <w:sz w:val="24"/>
                <w:szCs w:val="24"/>
              </w:rPr>
            </w:pPr>
            <w:r>
              <w:rPr>
                <w:rFonts w:ascii="仿宋" w:hAnsi="仿宋" w:eastAsia="仿宋"/>
                <w:sz w:val="24"/>
                <w:szCs w:val="24"/>
              </w:rPr>
              <w:t>7</w:t>
            </w:r>
          </w:p>
        </w:tc>
        <w:tc>
          <w:tcPr>
            <w:tcW w:w="2440" w:type="dxa"/>
            <w:vMerge w:val="restart"/>
            <w:vAlign w:val="center"/>
          </w:tcPr>
          <w:p w14:paraId="43183137">
            <w:pPr>
              <w:pStyle w:val="172"/>
              <w:rPr>
                <w:rFonts w:ascii="仿宋" w:hAnsi="仿宋" w:eastAsia="仿宋"/>
                <w:sz w:val="24"/>
                <w:szCs w:val="24"/>
              </w:rPr>
            </w:pPr>
            <w:r>
              <w:rPr>
                <w:rFonts w:hint="eastAsia" w:ascii="仿宋" w:hAnsi="仿宋" w:eastAsia="仿宋"/>
                <w:sz w:val="24"/>
                <w:szCs w:val="24"/>
              </w:rPr>
              <w:t>立体交叉作业</w:t>
            </w:r>
          </w:p>
        </w:tc>
        <w:tc>
          <w:tcPr>
            <w:tcW w:w="1549" w:type="dxa"/>
            <w:vAlign w:val="center"/>
          </w:tcPr>
          <w:p w14:paraId="1224E5F2">
            <w:pPr>
              <w:pStyle w:val="172"/>
              <w:jc w:val="left"/>
              <w:rPr>
                <w:rFonts w:ascii="仿宋" w:hAnsi="仿宋" w:eastAsia="仿宋"/>
                <w:sz w:val="24"/>
                <w:szCs w:val="24"/>
              </w:rPr>
            </w:pPr>
            <w:r>
              <w:rPr>
                <w:rFonts w:ascii="仿宋" w:hAnsi="仿宋" w:eastAsia="仿宋"/>
                <w:sz w:val="24"/>
                <w:szCs w:val="24"/>
              </w:rPr>
              <w:t>1</w:t>
            </w:r>
            <w:r>
              <w:rPr>
                <w:rFonts w:hint="eastAsia" w:ascii="仿宋" w:hAnsi="仿宋" w:eastAsia="仿宋"/>
                <w:sz w:val="24"/>
                <w:szCs w:val="24"/>
              </w:rPr>
              <w:t>、物体打击</w:t>
            </w:r>
          </w:p>
        </w:tc>
        <w:tc>
          <w:tcPr>
            <w:tcW w:w="657" w:type="dxa"/>
            <w:vAlign w:val="center"/>
          </w:tcPr>
          <w:p w14:paraId="2C963C06">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1A89741F">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263876BF">
            <w:pPr>
              <w:pStyle w:val="172"/>
              <w:rPr>
                <w:rFonts w:ascii="仿宋" w:hAnsi="仿宋" w:eastAsia="仿宋"/>
                <w:color w:val="000000"/>
                <w:sz w:val="24"/>
                <w:szCs w:val="24"/>
              </w:rPr>
            </w:pPr>
            <w:r>
              <w:rPr>
                <w:rFonts w:ascii="仿宋" w:hAnsi="仿宋" w:eastAsia="仿宋"/>
                <w:color w:val="000000"/>
                <w:sz w:val="24"/>
                <w:szCs w:val="24"/>
              </w:rPr>
              <w:t>7</w:t>
            </w:r>
          </w:p>
        </w:tc>
        <w:tc>
          <w:tcPr>
            <w:tcW w:w="1374" w:type="dxa"/>
            <w:vAlign w:val="center"/>
          </w:tcPr>
          <w:p w14:paraId="5F303AAD">
            <w:pPr>
              <w:pStyle w:val="172"/>
              <w:rPr>
                <w:rFonts w:ascii="仿宋" w:hAnsi="仿宋" w:eastAsia="仿宋"/>
                <w:color w:val="000000"/>
                <w:sz w:val="24"/>
                <w:szCs w:val="24"/>
              </w:rPr>
            </w:pPr>
            <w:r>
              <w:rPr>
                <w:rFonts w:ascii="仿宋" w:hAnsi="仿宋" w:eastAsia="仿宋"/>
                <w:color w:val="000000"/>
                <w:sz w:val="24"/>
                <w:szCs w:val="24"/>
              </w:rPr>
              <w:t>21</w:t>
            </w:r>
          </w:p>
        </w:tc>
        <w:tc>
          <w:tcPr>
            <w:tcW w:w="1060" w:type="dxa"/>
            <w:vAlign w:val="center"/>
          </w:tcPr>
          <w:p w14:paraId="5847EF04">
            <w:pPr>
              <w:pStyle w:val="172"/>
              <w:rPr>
                <w:rFonts w:ascii="仿宋" w:hAnsi="仿宋" w:eastAsia="仿宋"/>
                <w:color w:val="000000"/>
                <w:sz w:val="24"/>
                <w:szCs w:val="24"/>
              </w:rPr>
            </w:pPr>
            <w:r>
              <w:rPr>
                <w:rFonts w:ascii="仿宋" w:hAnsi="仿宋" w:eastAsia="仿宋"/>
                <w:color w:val="000000"/>
                <w:sz w:val="24"/>
                <w:szCs w:val="24"/>
              </w:rPr>
              <w:t>2</w:t>
            </w:r>
          </w:p>
        </w:tc>
      </w:tr>
      <w:tr w14:paraId="5F0FD6D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2A7EE27B">
            <w:pPr>
              <w:pStyle w:val="172"/>
              <w:rPr>
                <w:rFonts w:ascii="仿宋" w:hAnsi="仿宋" w:eastAsia="仿宋"/>
                <w:sz w:val="24"/>
                <w:szCs w:val="24"/>
              </w:rPr>
            </w:pPr>
            <w:r>
              <w:rPr>
                <w:rFonts w:ascii="仿宋" w:hAnsi="仿宋" w:eastAsia="仿宋"/>
                <w:sz w:val="24"/>
                <w:szCs w:val="24"/>
              </w:rPr>
              <w:t>8</w:t>
            </w:r>
          </w:p>
        </w:tc>
        <w:tc>
          <w:tcPr>
            <w:tcW w:w="2440" w:type="dxa"/>
            <w:vMerge w:val="continue"/>
            <w:vAlign w:val="center"/>
          </w:tcPr>
          <w:p w14:paraId="60C35376">
            <w:pPr>
              <w:pStyle w:val="172"/>
              <w:rPr>
                <w:rFonts w:ascii="仿宋" w:hAnsi="仿宋" w:eastAsia="仿宋"/>
                <w:sz w:val="24"/>
                <w:szCs w:val="24"/>
              </w:rPr>
            </w:pPr>
          </w:p>
        </w:tc>
        <w:tc>
          <w:tcPr>
            <w:tcW w:w="1549" w:type="dxa"/>
            <w:vAlign w:val="center"/>
          </w:tcPr>
          <w:p w14:paraId="4065BA59">
            <w:pPr>
              <w:pStyle w:val="172"/>
              <w:jc w:val="left"/>
              <w:rPr>
                <w:rFonts w:ascii="仿宋" w:hAnsi="仿宋" w:eastAsia="仿宋"/>
                <w:sz w:val="24"/>
                <w:szCs w:val="24"/>
              </w:rPr>
            </w:pPr>
            <w:r>
              <w:rPr>
                <w:rFonts w:ascii="仿宋" w:hAnsi="仿宋" w:eastAsia="仿宋"/>
                <w:sz w:val="24"/>
                <w:szCs w:val="24"/>
              </w:rPr>
              <w:t>2</w:t>
            </w:r>
            <w:r>
              <w:rPr>
                <w:rFonts w:hint="eastAsia" w:ascii="仿宋" w:hAnsi="仿宋" w:eastAsia="仿宋"/>
                <w:sz w:val="24"/>
                <w:szCs w:val="24"/>
              </w:rPr>
              <w:t>、高处坠落</w:t>
            </w:r>
          </w:p>
        </w:tc>
        <w:tc>
          <w:tcPr>
            <w:tcW w:w="657" w:type="dxa"/>
            <w:vAlign w:val="center"/>
          </w:tcPr>
          <w:p w14:paraId="19AAB210">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447DDF76">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2BF28EEE">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13620ADE">
            <w:pPr>
              <w:pStyle w:val="172"/>
              <w:rPr>
                <w:rFonts w:ascii="仿宋" w:hAnsi="仿宋" w:eastAsia="仿宋"/>
                <w:color w:val="000000"/>
                <w:sz w:val="24"/>
                <w:szCs w:val="24"/>
              </w:rPr>
            </w:pPr>
            <w:r>
              <w:rPr>
                <w:rFonts w:ascii="仿宋" w:hAnsi="仿宋" w:eastAsia="仿宋"/>
                <w:color w:val="000000"/>
                <w:sz w:val="24"/>
                <w:szCs w:val="24"/>
              </w:rPr>
              <w:t>135</w:t>
            </w:r>
          </w:p>
        </w:tc>
        <w:tc>
          <w:tcPr>
            <w:tcW w:w="1060" w:type="dxa"/>
            <w:vAlign w:val="center"/>
          </w:tcPr>
          <w:p w14:paraId="3347A849">
            <w:pPr>
              <w:pStyle w:val="172"/>
              <w:rPr>
                <w:rFonts w:ascii="仿宋" w:hAnsi="仿宋" w:eastAsia="仿宋"/>
                <w:color w:val="000000"/>
                <w:sz w:val="24"/>
                <w:szCs w:val="24"/>
              </w:rPr>
            </w:pPr>
            <w:r>
              <w:rPr>
                <w:rFonts w:ascii="仿宋" w:hAnsi="仿宋" w:eastAsia="仿宋"/>
                <w:color w:val="000000"/>
                <w:sz w:val="24"/>
                <w:szCs w:val="24"/>
              </w:rPr>
              <w:t>3</w:t>
            </w:r>
          </w:p>
        </w:tc>
      </w:tr>
      <w:tr w14:paraId="2B4B584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7DB25D55">
            <w:pPr>
              <w:pStyle w:val="172"/>
              <w:rPr>
                <w:rFonts w:ascii="仿宋" w:hAnsi="仿宋" w:eastAsia="仿宋"/>
                <w:sz w:val="24"/>
                <w:szCs w:val="24"/>
              </w:rPr>
            </w:pPr>
            <w:r>
              <w:rPr>
                <w:rFonts w:ascii="仿宋" w:hAnsi="仿宋" w:eastAsia="仿宋"/>
                <w:sz w:val="24"/>
                <w:szCs w:val="24"/>
              </w:rPr>
              <w:t>9</w:t>
            </w:r>
          </w:p>
        </w:tc>
        <w:tc>
          <w:tcPr>
            <w:tcW w:w="2440" w:type="dxa"/>
            <w:vMerge w:val="restart"/>
            <w:vAlign w:val="center"/>
          </w:tcPr>
          <w:p w14:paraId="3EB3748C">
            <w:pPr>
              <w:pStyle w:val="172"/>
              <w:rPr>
                <w:rFonts w:ascii="仿宋" w:hAnsi="仿宋" w:eastAsia="仿宋"/>
                <w:sz w:val="24"/>
                <w:szCs w:val="24"/>
              </w:rPr>
            </w:pPr>
            <w:r>
              <w:rPr>
                <w:rFonts w:hint="eastAsia" w:ascii="仿宋" w:hAnsi="仿宋" w:eastAsia="仿宋"/>
                <w:sz w:val="24"/>
                <w:szCs w:val="24"/>
              </w:rPr>
              <w:t>恶劣天气（雷电、大风、大雨等）</w:t>
            </w:r>
          </w:p>
        </w:tc>
        <w:tc>
          <w:tcPr>
            <w:tcW w:w="1549" w:type="dxa"/>
            <w:vAlign w:val="center"/>
          </w:tcPr>
          <w:p w14:paraId="058B03A4">
            <w:pPr>
              <w:pStyle w:val="172"/>
              <w:jc w:val="left"/>
              <w:rPr>
                <w:rFonts w:ascii="仿宋" w:hAnsi="仿宋" w:eastAsia="仿宋"/>
                <w:sz w:val="24"/>
                <w:szCs w:val="24"/>
              </w:rPr>
            </w:pPr>
            <w:r>
              <w:rPr>
                <w:rFonts w:ascii="仿宋" w:hAnsi="仿宋" w:eastAsia="仿宋"/>
                <w:sz w:val="24"/>
                <w:szCs w:val="24"/>
              </w:rPr>
              <w:t>1</w:t>
            </w:r>
            <w:r>
              <w:rPr>
                <w:rFonts w:hint="eastAsia" w:ascii="仿宋" w:hAnsi="仿宋" w:eastAsia="仿宋"/>
                <w:sz w:val="24"/>
                <w:szCs w:val="24"/>
              </w:rPr>
              <w:t>、起重伤害</w:t>
            </w:r>
          </w:p>
        </w:tc>
        <w:tc>
          <w:tcPr>
            <w:tcW w:w="657" w:type="dxa"/>
            <w:vAlign w:val="center"/>
          </w:tcPr>
          <w:p w14:paraId="411769D1">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3A435C74">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453EACB3">
            <w:pPr>
              <w:pStyle w:val="172"/>
              <w:rPr>
                <w:rFonts w:ascii="仿宋" w:hAnsi="仿宋" w:eastAsia="仿宋"/>
                <w:color w:val="000000"/>
                <w:sz w:val="24"/>
                <w:szCs w:val="24"/>
              </w:rPr>
            </w:pPr>
            <w:r>
              <w:rPr>
                <w:rFonts w:ascii="仿宋" w:hAnsi="仿宋" w:eastAsia="仿宋"/>
                <w:color w:val="000000"/>
                <w:sz w:val="24"/>
                <w:szCs w:val="24"/>
              </w:rPr>
              <w:t>7</w:t>
            </w:r>
          </w:p>
        </w:tc>
        <w:tc>
          <w:tcPr>
            <w:tcW w:w="1374" w:type="dxa"/>
            <w:vAlign w:val="center"/>
          </w:tcPr>
          <w:p w14:paraId="107431B6">
            <w:pPr>
              <w:pStyle w:val="172"/>
              <w:rPr>
                <w:rFonts w:ascii="仿宋" w:hAnsi="仿宋" w:eastAsia="仿宋"/>
                <w:color w:val="000000"/>
                <w:sz w:val="24"/>
                <w:szCs w:val="24"/>
              </w:rPr>
            </w:pPr>
            <w:r>
              <w:rPr>
                <w:rFonts w:ascii="仿宋" w:hAnsi="仿宋" w:eastAsia="仿宋"/>
                <w:color w:val="000000"/>
                <w:sz w:val="24"/>
                <w:szCs w:val="24"/>
              </w:rPr>
              <w:t>126</w:t>
            </w:r>
          </w:p>
        </w:tc>
        <w:tc>
          <w:tcPr>
            <w:tcW w:w="1060" w:type="dxa"/>
            <w:vAlign w:val="center"/>
          </w:tcPr>
          <w:p w14:paraId="54A3CF0F">
            <w:pPr>
              <w:pStyle w:val="172"/>
              <w:rPr>
                <w:rFonts w:ascii="仿宋" w:hAnsi="仿宋" w:eastAsia="仿宋"/>
                <w:color w:val="000000"/>
                <w:sz w:val="24"/>
                <w:szCs w:val="24"/>
              </w:rPr>
            </w:pPr>
            <w:r>
              <w:rPr>
                <w:rFonts w:ascii="仿宋" w:hAnsi="仿宋" w:eastAsia="仿宋"/>
                <w:color w:val="000000"/>
                <w:sz w:val="24"/>
                <w:szCs w:val="24"/>
              </w:rPr>
              <w:t>3</w:t>
            </w:r>
          </w:p>
        </w:tc>
      </w:tr>
      <w:tr w14:paraId="6FDD283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04866FDE">
            <w:pPr>
              <w:pStyle w:val="172"/>
              <w:rPr>
                <w:rFonts w:ascii="仿宋" w:hAnsi="仿宋" w:eastAsia="仿宋"/>
                <w:sz w:val="24"/>
                <w:szCs w:val="24"/>
              </w:rPr>
            </w:pPr>
            <w:r>
              <w:rPr>
                <w:rFonts w:ascii="仿宋" w:hAnsi="仿宋" w:eastAsia="仿宋"/>
                <w:sz w:val="24"/>
                <w:szCs w:val="24"/>
              </w:rPr>
              <w:t>10</w:t>
            </w:r>
          </w:p>
        </w:tc>
        <w:tc>
          <w:tcPr>
            <w:tcW w:w="2440" w:type="dxa"/>
            <w:vMerge w:val="continue"/>
            <w:vAlign w:val="center"/>
          </w:tcPr>
          <w:p w14:paraId="347E437C">
            <w:pPr>
              <w:pStyle w:val="172"/>
              <w:rPr>
                <w:rFonts w:ascii="仿宋" w:hAnsi="仿宋" w:eastAsia="仿宋"/>
                <w:sz w:val="24"/>
                <w:szCs w:val="24"/>
              </w:rPr>
            </w:pPr>
          </w:p>
        </w:tc>
        <w:tc>
          <w:tcPr>
            <w:tcW w:w="1549" w:type="dxa"/>
            <w:vAlign w:val="center"/>
          </w:tcPr>
          <w:p w14:paraId="6AEFA97C">
            <w:pPr>
              <w:pStyle w:val="172"/>
              <w:jc w:val="left"/>
              <w:rPr>
                <w:rFonts w:ascii="仿宋" w:hAnsi="仿宋" w:eastAsia="仿宋"/>
                <w:sz w:val="24"/>
                <w:szCs w:val="24"/>
              </w:rPr>
            </w:pPr>
            <w:r>
              <w:rPr>
                <w:rFonts w:ascii="仿宋" w:hAnsi="仿宋" w:eastAsia="仿宋"/>
                <w:sz w:val="24"/>
                <w:szCs w:val="24"/>
              </w:rPr>
              <w:t>2</w:t>
            </w:r>
            <w:r>
              <w:rPr>
                <w:rFonts w:hint="eastAsia" w:ascii="仿宋" w:hAnsi="仿宋" w:eastAsia="仿宋"/>
                <w:sz w:val="24"/>
                <w:szCs w:val="24"/>
              </w:rPr>
              <w:t>、物体打击</w:t>
            </w:r>
          </w:p>
        </w:tc>
        <w:tc>
          <w:tcPr>
            <w:tcW w:w="657" w:type="dxa"/>
            <w:vAlign w:val="center"/>
          </w:tcPr>
          <w:p w14:paraId="0745F828">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224DBE9F">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1B96940F">
            <w:pPr>
              <w:pStyle w:val="172"/>
              <w:rPr>
                <w:rFonts w:ascii="仿宋" w:hAnsi="仿宋" w:eastAsia="仿宋"/>
                <w:color w:val="000000"/>
                <w:sz w:val="24"/>
                <w:szCs w:val="24"/>
              </w:rPr>
            </w:pPr>
            <w:r>
              <w:rPr>
                <w:rFonts w:ascii="仿宋" w:hAnsi="仿宋" w:eastAsia="仿宋"/>
                <w:color w:val="000000"/>
                <w:sz w:val="24"/>
                <w:szCs w:val="24"/>
              </w:rPr>
              <w:t>3</w:t>
            </w:r>
          </w:p>
        </w:tc>
        <w:tc>
          <w:tcPr>
            <w:tcW w:w="1374" w:type="dxa"/>
            <w:vAlign w:val="center"/>
          </w:tcPr>
          <w:p w14:paraId="7ABAC30F">
            <w:pPr>
              <w:pStyle w:val="172"/>
              <w:rPr>
                <w:rFonts w:ascii="仿宋" w:hAnsi="仿宋" w:eastAsia="仿宋"/>
                <w:color w:val="000000"/>
                <w:sz w:val="24"/>
                <w:szCs w:val="24"/>
              </w:rPr>
            </w:pPr>
            <w:r>
              <w:rPr>
                <w:rFonts w:ascii="仿宋" w:hAnsi="仿宋" w:eastAsia="仿宋"/>
                <w:color w:val="000000"/>
                <w:sz w:val="24"/>
                <w:szCs w:val="24"/>
              </w:rPr>
              <w:t>54</w:t>
            </w:r>
          </w:p>
        </w:tc>
        <w:tc>
          <w:tcPr>
            <w:tcW w:w="1060" w:type="dxa"/>
            <w:vAlign w:val="center"/>
          </w:tcPr>
          <w:p w14:paraId="69DA1ED1">
            <w:pPr>
              <w:pStyle w:val="172"/>
              <w:rPr>
                <w:rFonts w:ascii="仿宋" w:hAnsi="仿宋" w:eastAsia="仿宋"/>
                <w:color w:val="000000"/>
                <w:sz w:val="24"/>
                <w:szCs w:val="24"/>
              </w:rPr>
            </w:pPr>
            <w:r>
              <w:rPr>
                <w:rFonts w:ascii="仿宋" w:hAnsi="仿宋" w:eastAsia="仿宋"/>
                <w:color w:val="000000"/>
                <w:sz w:val="24"/>
                <w:szCs w:val="24"/>
              </w:rPr>
              <w:t>2</w:t>
            </w:r>
          </w:p>
        </w:tc>
      </w:tr>
      <w:tr w14:paraId="42BAC45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25DB715">
            <w:pPr>
              <w:pStyle w:val="172"/>
              <w:rPr>
                <w:rFonts w:ascii="仿宋" w:hAnsi="仿宋" w:eastAsia="仿宋"/>
                <w:sz w:val="24"/>
                <w:szCs w:val="24"/>
              </w:rPr>
            </w:pPr>
            <w:r>
              <w:rPr>
                <w:rFonts w:ascii="仿宋" w:hAnsi="仿宋" w:eastAsia="仿宋"/>
                <w:sz w:val="24"/>
                <w:szCs w:val="24"/>
              </w:rPr>
              <w:t>11</w:t>
            </w:r>
          </w:p>
        </w:tc>
        <w:tc>
          <w:tcPr>
            <w:tcW w:w="2440" w:type="dxa"/>
            <w:vMerge w:val="continue"/>
            <w:vAlign w:val="center"/>
          </w:tcPr>
          <w:p w14:paraId="30454B1D">
            <w:pPr>
              <w:pStyle w:val="172"/>
              <w:rPr>
                <w:rFonts w:ascii="仿宋" w:hAnsi="仿宋" w:eastAsia="仿宋"/>
                <w:sz w:val="24"/>
                <w:szCs w:val="24"/>
              </w:rPr>
            </w:pPr>
          </w:p>
        </w:tc>
        <w:tc>
          <w:tcPr>
            <w:tcW w:w="1549" w:type="dxa"/>
            <w:vAlign w:val="center"/>
          </w:tcPr>
          <w:p w14:paraId="6D5F70FF">
            <w:pPr>
              <w:pStyle w:val="172"/>
              <w:jc w:val="left"/>
              <w:rPr>
                <w:rFonts w:ascii="仿宋" w:hAnsi="仿宋" w:eastAsia="仿宋"/>
                <w:sz w:val="24"/>
                <w:szCs w:val="24"/>
              </w:rPr>
            </w:pPr>
            <w:r>
              <w:rPr>
                <w:rFonts w:ascii="仿宋" w:hAnsi="仿宋" w:eastAsia="仿宋"/>
                <w:sz w:val="24"/>
                <w:szCs w:val="24"/>
              </w:rPr>
              <w:t>3</w:t>
            </w:r>
            <w:r>
              <w:rPr>
                <w:rFonts w:hint="eastAsia" w:ascii="仿宋" w:hAnsi="仿宋" w:eastAsia="仿宋"/>
                <w:sz w:val="24"/>
                <w:szCs w:val="24"/>
              </w:rPr>
              <w:t>、高处坠落</w:t>
            </w:r>
          </w:p>
        </w:tc>
        <w:tc>
          <w:tcPr>
            <w:tcW w:w="657" w:type="dxa"/>
            <w:vAlign w:val="center"/>
          </w:tcPr>
          <w:p w14:paraId="017EE233">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7BB85FDE">
            <w:pPr>
              <w:pStyle w:val="172"/>
              <w:rPr>
                <w:rFonts w:ascii="仿宋" w:hAnsi="仿宋" w:eastAsia="仿宋"/>
                <w:color w:val="000000"/>
                <w:sz w:val="24"/>
                <w:szCs w:val="24"/>
              </w:rPr>
            </w:pPr>
            <w:r>
              <w:rPr>
                <w:rFonts w:ascii="仿宋" w:hAnsi="仿宋" w:eastAsia="仿宋"/>
                <w:color w:val="000000"/>
                <w:sz w:val="24"/>
                <w:szCs w:val="24"/>
              </w:rPr>
              <w:t>3</w:t>
            </w:r>
          </w:p>
        </w:tc>
        <w:tc>
          <w:tcPr>
            <w:tcW w:w="705" w:type="dxa"/>
            <w:vAlign w:val="center"/>
          </w:tcPr>
          <w:p w14:paraId="6B42C155">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7AFFBEA7">
            <w:pPr>
              <w:pStyle w:val="172"/>
              <w:rPr>
                <w:rFonts w:ascii="仿宋" w:hAnsi="仿宋" w:eastAsia="仿宋"/>
                <w:color w:val="000000"/>
                <w:sz w:val="24"/>
                <w:szCs w:val="24"/>
              </w:rPr>
            </w:pPr>
            <w:r>
              <w:rPr>
                <w:rFonts w:ascii="仿宋" w:hAnsi="仿宋" w:eastAsia="仿宋"/>
                <w:color w:val="000000"/>
                <w:sz w:val="24"/>
                <w:szCs w:val="24"/>
              </w:rPr>
              <w:t>135</w:t>
            </w:r>
          </w:p>
        </w:tc>
        <w:tc>
          <w:tcPr>
            <w:tcW w:w="1060" w:type="dxa"/>
            <w:vAlign w:val="center"/>
          </w:tcPr>
          <w:p w14:paraId="404218B6">
            <w:pPr>
              <w:pStyle w:val="172"/>
              <w:rPr>
                <w:rFonts w:ascii="仿宋" w:hAnsi="仿宋" w:eastAsia="仿宋"/>
                <w:color w:val="000000"/>
                <w:sz w:val="24"/>
                <w:szCs w:val="24"/>
              </w:rPr>
            </w:pPr>
            <w:r>
              <w:rPr>
                <w:rFonts w:ascii="仿宋" w:hAnsi="仿宋" w:eastAsia="仿宋"/>
                <w:color w:val="000000"/>
                <w:sz w:val="24"/>
                <w:szCs w:val="24"/>
              </w:rPr>
              <w:t>3</w:t>
            </w:r>
          </w:p>
        </w:tc>
      </w:tr>
      <w:tr w14:paraId="4CECBA7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120A8590">
            <w:pPr>
              <w:pStyle w:val="172"/>
              <w:rPr>
                <w:rFonts w:ascii="仿宋" w:hAnsi="仿宋" w:eastAsia="仿宋"/>
                <w:sz w:val="24"/>
                <w:szCs w:val="24"/>
              </w:rPr>
            </w:pPr>
            <w:r>
              <w:rPr>
                <w:rFonts w:ascii="仿宋" w:hAnsi="仿宋" w:eastAsia="仿宋"/>
                <w:sz w:val="24"/>
                <w:szCs w:val="24"/>
              </w:rPr>
              <w:t>12</w:t>
            </w:r>
          </w:p>
        </w:tc>
        <w:tc>
          <w:tcPr>
            <w:tcW w:w="2440" w:type="dxa"/>
            <w:vMerge w:val="continue"/>
            <w:vAlign w:val="center"/>
          </w:tcPr>
          <w:p w14:paraId="38B29DE2">
            <w:pPr>
              <w:pStyle w:val="172"/>
              <w:rPr>
                <w:rFonts w:ascii="仿宋" w:hAnsi="仿宋" w:eastAsia="仿宋"/>
                <w:sz w:val="24"/>
                <w:szCs w:val="24"/>
              </w:rPr>
            </w:pPr>
          </w:p>
        </w:tc>
        <w:tc>
          <w:tcPr>
            <w:tcW w:w="1549" w:type="dxa"/>
            <w:vAlign w:val="center"/>
          </w:tcPr>
          <w:p w14:paraId="375FC643">
            <w:pPr>
              <w:pStyle w:val="172"/>
              <w:jc w:val="left"/>
              <w:rPr>
                <w:rFonts w:ascii="仿宋" w:hAnsi="仿宋" w:eastAsia="仿宋"/>
                <w:sz w:val="24"/>
                <w:szCs w:val="24"/>
              </w:rPr>
            </w:pPr>
            <w:r>
              <w:rPr>
                <w:rFonts w:ascii="仿宋" w:hAnsi="仿宋" w:eastAsia="仿宋"/>
                <w:sz w:val="24"/>
                <w:szCs w:val="24"/>
              </w:rPr>
              <w:t>4</w:t>
            </w:r>
            <w:r>
              <w:rPr>
                <w:rFonts w:hint="eastAsia" w:ascii="仿宋" w:hAnsi="仿宋" w:eastAsia="仿宋"/>
                <w:sz w:val="24"/>
                <w:szCs w:val="24"/>
              </w:rPr>
              <w:t>、坍塌</w:t>
            </w:r>
          </w:p>
        </w:tc>
        <w:tc>
          <w:tcPr>
            <w:tcW w:w="657" w:type="dxa"/>
            <w:vAlign w:val="center"/>
          </w:tcPr>
          <w:p w14:paraId="7045C60A">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3FCB5555">
            <w:pPr>
              <w:pStyle w:val="172"/>
              <w:rPr>
                <w:rFonts w:ascii="仿宋" w:hAnsi="仿宋" w:eastAsia="仿宋"/>
                <w:color w:val="000000"/>
                <w:sz w:val="24"/>
                <w:szCs w:val="24"/>
              </w:rPr>
            </w:pPr>
            <w:r>
              <w:rPr>
                <w:rFonts w:ascii="仿宋" w:hAnsi="仿宋" w:eastAsia="仿宋"/>
                <w:color w:val="000000"/>
                <w:sz w:val="24"/>
                <w:szCs w:val="24"/>
              </w:rPr>
              <w:t>6</w:t>
            </w:r>
          </w:p>
        </w:tc>
        <w:tc>
          <w:tcPr>
            <w:tcW w:w="705" w:type="dxa"/>
            <w:vAlign w:val="center"/>
          </w:tcPr>
          <w:p w14:paraId="769586B3">
            <w:pPr>
              <w:pStyle w:val="172"/>
              <w:rPr>
                <w:rFonts w:ascii="仿宋" w:hAnsi="仿宋" w:eastAsia="仿宋"/>
                <w:color w:val="000000"/>
                <w:sz w:val="24"/>
                <w:szCs w:val="24"/>
              </w:rPr>
            </w:pPr>
            <w:r>
              <w:rPr>
                <w:rFonts w:ascii="仿宋" w:hAnsi="仿宋" w:eastAsia="仿宋"/>
                <w:color w:val="000000"/>
                <w:sz w:val="24"/>
                <w:szCs w:val="24"/>
              </w:rPr>
              <w:t>15</w:t>
            </w:r>
          </w:p>
        </w:tc>
        <w:tc>
          <w:tcPr>
            <w:tcW w:w="1374" w:type="dxa"/>
            <w:vAlign w:val="center"/>
          </w:tcPr>
          <w:p w14:paraId="615D85A6">
            <w:pPr>
              <w:pStyle w:val="172"/>
              <w:rPr>
                <w:rFonts w:ascii="仿宋" w:hAnsi="仿宋" w:eastAsia="仿宋"/>
                <w:color w:val="000000"/>
                <w:sz w:val="24"/>
                <w:szCs w:val="24"/>
              </w:rPr>
            </w:pPr>
            <w:r>
              <w:rPr>
                <w:rFonts w:hint="eastAsia" w:ascii="仿宋" w:hAnsi="仿宋" w:eastAsia="仿宋"/>
                <w:color w:val="000000"/>
                <w:sz w:val="24"/>
                <w:szCs w:val="24"/>
              </w:rPr>
              <w:t>90</w:t>
            </w:r>
          </w:p>
        </w:tc>
        <w:tc>
          <w:tcPr>
            <w:tcW w:w="1060" w:type="dxa"/>
            <w:vAlign w:val="center"/>
          </w:tcPr>
          <w:p w14:paraId="5BDD1EA0">
            <w:pPr>
              <w:pStyle w:val="172"/>
              <w:rPr>
                <w:rFonts w:ascii="仿宋" w:hAnsi="仿宋" w:eastAsia="仿宋"/>
                <w:color w:val="000000"/>
                <w:sz w:val="24"/>
                <w:szCs w:val="24"/>
              </w:rPr>
            </w:pPr>
            <w:r>
              <w:rPr>
                <w:rFonts w:ascii="仿宋" w:hAnsi="仿宋" w:eastAsia="仿宋"/>
                <w:color w:val="000000"/>
                <w:sz w:val="24"/>
                <w:szCs w:val="24"/>
              </w:rPr>
              <w:t>3</w:t>
            </w:r>
          </w:p>
        </w:tc>
      </w:tr>
      <w:tr w14:paraId="3CFF619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14:paraId="30BB2980">
            <w:pPr>
              <w:pStyle w:val="172"/>
              <w:rPr>
                <w:rFonts w:ascii="仿宋" w:hAnsi="仿宋" w:eastAsia="仿宋"/>
                <w:sz w:val="24"/>
                <w:szCs w:val="24"/>
              </w:rPr>
            </w:pPr>
            <w:r>
              <w:rPr>
                <w:rFonts w:ascii="仿宋" w:hAnsi="仿宋" w:eastAsia="仿宋"/>
                <w:sz w:val="24"/>
                <w:szCs w:val="24"/>
              </w:rPr>
              <w:t>13</w:t>
            </w:r>
          </w:p>
        </w:tc>
        <w:tc>
          <w:tcPr>
            <w:tcW w:w="2440" w:type="dxa"/>
            <w:vMerge w:val="continue"/>
            <w:vAlign w:val="center"/>
          </w:tcPr>
          <w:p w14:paraId="1733D00B">
            <w:pPr>
              <w:pStyle w:val="172"/>
              <w:rPr>
                <w:rFonts w:ascii="仿宋" w:hAnsi="仿宋" w:eastAsia="仿宋"/>
                <w:sz w:val="24"/>
                <w:szCs w:val="24"/>
              </w:rPr>
            </w:pPr>
          </w:p>
        </w:tc>
        <w:tc>
          <w:tcPr>
            <w:tcW w:w="1549" w:type="dxa"/>
            <w:vAlign w:val="center"/>
          </w:tcPr>
          <w:p w14:paraId="39C106D8">
            <w:pPr>
              <w:pStyle w:val="172"/>
              <w:jc w:val="left"/>
              <w:rPr>
                <w:rFonts w:ascii="仿宋" w:hAnsi="仿宋" w:eastAsia="仿宋"/>
                <w:sz w:val="24"/>
                <w:szCs w:val="24"/>
              </w:rPr>
            </w:pPr>
            <w:r>
              <w:rPr>
                <w:rFonts w:hint="eastAsia" w:ascii="仿宋" w:hAnsi="仿宋" w:eastAsia="仿宋"/>
                <w:sz w:val="24"/>
                <w:szCs w:val="24"/>
              </w:rPr>
              <w:t>5、其他伤害</w:t>
            </w:r>
          </w:p>
        </w:tc>
        <w:tc>
          <w:tcPr>
            <w:tcW w:w="657" w:type="dxa"/>
            <w:vAlign w:val="center"/>
          </w:tcPr>
          <w:p w14:paraId="3D3065EF">
            <w:pPr>
              <w:pStyle w:val="172"/>
              <w:rPr>
                <w:rFonts w:ascii="仿宋" w:hAnsi="仿宋" w:eastAsia="仿宋"/>
                <w:color w:val="000000"/>
                <w:sz w:val="24"/>
                <w:szCs w:val="24"/>
              </w:rPr>
            </w:pPr>
            <w:r>
              <w:rPr>
                <w:rFonts w:ascii="仿宋" w:hAnsi="仿宋" w:eastAsia="仿宋"/>
                <w:color w:val="000000"/>
                <w:sz w:val="24"/>
                <w:szCs w:val="24"/>
              </w:rPr>
              <w:t>1</w:t>
            </w:r>
          </w:p>
        </w:tc>
        <w:tc>
          <w:tcPr>
            <w:tcW w:w="705" w:type="dxa"/>
            <w:vAlign w:val="center"/>
          </w:tcPr>
          <w:p w14:paraId="04C35706">
            <w:pPr>
              <w:pStyle w:val="172"/>
              <w:rPr>
                <w:rFonts w:ascii="仿宋" w:hAnsi="仿宋" w:eastAsia="仿宋"/>
                <w:color w:val="000000"/>
                <w:sz w:val="24"/>
                <w:szCs w:val="24"/>
              </w:rPr>
            </w:pPr>
            <w:r>
              <w:rPr>
                <w:rFonts w:ascii="仿宋" w:hAnsi="仿宋" w:eastAsia="仿宋"/>
                <w:color w:val="000000"/>
                <w:sz w:val="24"/>
                <w:szCs w:val="24"/>
              </w:rPr>
              <w:t>2</w:t>
            </w:r>
          </w:p>
        </w:tc>
        <w:tc>
          <w:tcPr>
            <w:tcW w:w="705" w:type="dxa"/>
            <w:vAlign w:val="center"/>
          </w:tcPr>
          <w:p w14:paraId="54EE2272">
            <w:pPr>
              <w:pStyle w:val="172"/>
              <w:rPr>
                <w:rFonts w:ascii="仿宋" w:hAnsi="仿宋" w:eastAsia="仿宋"/>
                <w:color w:val="000000"/>
                <w:sz w:val="24"/>
                <w:szCs w:val="24"/>
              </w:rPr>
            </w:pPr>
            <w:r>
              <w:rPr>
                <w:rFonts w:ascii="仿宋" w:hAnsi="仿宋" w:eastAsia="仿宋"/>
                <w:color w:val="000000"/>
                <w:sz w:val="24"/>
                <w:szCs w:val="24"/>
              </w:rPr>
              <w:t>7</w:t>
            </w:r>
          </w:p>
        </w:tc>
        <w:tc>
          <w:tcPr>
            <w:tcW w:w="1374" w:type="dxa"/>
            <w:vAlign w:val="center"/>
          </w:tcPr>
          <w:p w14:paraId="4EAC6221">
            <w:pPr>
              <w:pStyle w:val="172"/>
              <w:rPr>
                <w:rFonts w:ascii="仿宋" w:hAnsi="仿宋" w:eastAsia="仿宋"/>
                <w:color w:val="000000"/>
                <w:sz w:val="24"/>
                <w:szCs w:val="24"/>
              </w:rPr>
            </w:pPr>
            <w:r>
              <w:rPr>
                <w:rFonts w:ascii="仿宋" w:hAnsi="仿宋" w:eastAsia="仿宋"/>
                <w:color w:val="000000"/>
                <w:sz w:val="24"/>
                <w:szCs w:val="24"/>
              </w:rPr>
              <w:t>14</w:t>
            </w:r>
          </w:p>
        </w:tc>
        <w:tc>
          <w:tcPr>
            <w:tcW w:w="1060" w:type="dxa"/>
            <w:vAlign w:val="center"/>
          </w:tcPr>
          <w:p w14:paraId="463D6959">
            <w:pPr>
              <w:pStyle w:val="172"/>
              <w:rPr>
                <w:rFonts w:ascii="仿宋" w:hAnsi="仿宋" w:eastAsia="仿宋"/>
                <w:color w:val="000000"/>
                <w:sz w:val="24"/>
                <w:szCs w:val="24"/>
              </w:rPr>
            </w:pPr>
            <w:r>
              <w:rPr>
                <w:rFonts w:ascii="仿宋" w:hAnsi="仿宋" w:eastAsia="仿宋"/>
                <w:color w:val="000000"/>
                <w:sz w:val="24"/>
                <w:szCs w:val="24"/>
              </w:rPr>
              <w:t>1</w:t>
            </w:r>
          </w:p>
        </w:tc>
      </w:tr>
    </w:tbl>
    <w:p w14:paraId="2C507531">
      <w:pPr>
        <w:pStyle w:val="172"/>
        <w:rPr>
          <w:highlight w:val="yellow"/>
        </w:rPr>
      </w:pPr>
    </w:p>
    <w:p w14:paraId="25AC9246">
      <w:pPr>
        <w:ind w:firstLine="560"/>
      </w:pPr>
      <w:r>
        <w:rPr>
          <w:rFonts w:hint="eastAsia"/>
        </w:rPr>
        <w:t>根据以上分析，高处坠落、起重伤害、坍塌的D值在70～160之间，属于3级风险源，属显著危险，应采取有效措施，予以重点控制。</w:t>
      </w:r>
    </w:p>
    <w:p w14:paraId="6874471E">
      <w:pPr>
        <w:ind w:firstLine="560"/>
      </w:pPr>
      <w:r>
        <w:rPr>
          <w:rFonts w:hint="eastAsia"/>
        </w:rPr>
        <w:t>物体打击、机械伤害、触电、火灾爆炸的D值在20～70之间，属于一般风险源，比较危险，需要注意，用项目部现有制度进行预防和控制。</w:t>
      </w:r>
    </w:p>
    <w:p w14:paraId="4FD932DF">
      <w:pPr>
        <w:ind w:firstLine="560"/>
      </w:pPr>
      <w:r>
        <w:rPr>
          <w:rFonts w:hint="eastAsia"/>
        </w:rPr>
        <w:t>车辆伤害、中毒窒息和其他伤害的D值小于20，属Ⅰ级风险源，稍有危险，利用项目部现有制度进行预防和控制即可。</w:t>
      </w:r>
    </w:p>
    <w:p w14:paraId="5A818135">
      <w:pPr>
        <w:ind w:firstLine="0" w:firstLineChars="0"/>
      </w:pPr>
    </w:p>
    <w:p w14:paraId="3546B32F">
      <w:pPr>
        <w:pStyle w:val="2"/>
        <w:bidi w:val="0"/>
        <w:ind w:left="432" w:leftChars="0" w:hanging="432" w:firstLineChars="0"/>
      </w:pPr>
      <w:bookmarkStart w:id="402" w:name="_Toc24360"/>
      <w:bookmarkStart w:id="403" w:name="_Toc8938"/>
      <w:bookmarkStart w:id="404" w:name="_Toc6301"/>
      <w:bookmarkStart w:id="405" w:name="_Toc17296"/>
      <w:bookmarkStart w:id="406" w:name="_Toc9448"/>
      <w:bookmarkStart w:id="407" w:name="_Toc17624"/>
      <w:bookmarkStart w:id="408" w:name="_Toc14087"/>
      <w:r>
        <w:rPr>
          <w:rFonts w:hint="eastAsia"/>
        </w:rPr>
        <w:t>施工安全技术保障措施</w:t>
      </w:r>
      <w:bookmarkEnd w:id="402"/>
      <w:bookmarkEnd w:id="403"/>
      <w:bookmarkEnd w:id="404"/>
      <w:bookmarkEnd w:id="405"/>
      <w:bookmarkEnd w:id="406"/>
      <w:bookmarkEnd w:id="407"/>
      <w:bookmarkEnd w:id="408"/>
    </w:p>
    <w:p w14:paraId="7454DF3F">
      <w:pPr>
        <w:pStyle w:val="3"/>
        <w:bidi w:val="0"/>
        <w:ind w:left="575" w:leftChars="0" w:hanging="575" w:firstLineChars="0"/>
      </w:pPr>
      <w:bookmarkStart w:id="409" w:name="_Toc3117"/>
      <w:bookmarkStart w:id="410" w:name="_Toc15664"/>
      <w:bookmarkStart w:id="411" w:name="_Toc30611"/>
      <w:bookmarkStart w:id="412" w:name="_Toc7888"/>
      <w:bookmarkStart w:id="413" w:name="_Toc29854"/>
      <w:bookmarkStart w:id="414" w:name="_Toc24284"/>
      <w:bookmarkStart w:id="415" w:name="_Toc15696"/>
      <w:bookmarkStart w:id="416" w:name="_Toc24025"/>
      <w:bookmarkStart w:id="417" w:name="_Toc16384"/>
      <w:r>
        <w:rPr>
          <w:rFonts w:hint="eastAsia"/>
        </w:rPr>
        <w:t>健康</w:t>
      </w:r>
      <w:bookmarkEnd w:id="409"/>
      <w:bookmarkEnd w:id="410"/>
      <w:bookmarkEnd w:id="411"/>
      <w:bookmarkEnd w:id="412"/>
      <w:bookmarkEnd w:id="413"/>
      <w:bookmarkEnd w:id="414"/>
      <w:bookmarkEnd w:id="415"/>
      <w:bookmarkEnd w:id="416"/>
      <w:bookmarkEnd w:id="417"/>
    </w:p>
    <w:p w14:paraId="77057788">
      <w:pPr>
        <w:pStyle w:val="4"/>
        <w:bidi w:val="0"/>
        <w:ind w:left="720" w:leftChars="0" w:hanging="720" w:firstLineChars="0"/>
      </w:pPr>
      <w:r>
        <w:rPr>
          <w:rFonts w:hint="eastAsia"/>
        </w:rPr>
        <w:t>健康管理目标</w:t>
      </w:r>
    </w:p>
    <w:p w14:paraId="27C7A228">
      <w:pPr>
        <w:ind w:firstLine="560"/>
        <w:rPr>
          <w:rFonts w:ascii="宋体" w:hAnsi="宋体"/>
          <w:color w:val="171717"/>
        </w:rPr>
      </w:pPr>
      <w:r>
        <w:rPr>
          <w:rFonts w:hint="eastAsia" w:ascii="宋体" w:hAnsi="宋体"/>
          <w:color w:val="171717"/>
        </w:rPr>
        <w:t>1、不发生轻伤以上的人身伤害事故。</w:t>
      </w:r>
    </w:p>
    <w:p w14:paraId="30A494DA">
      <w:pPr>
        <w:ind w:firstLine="560"/>
        <w:rPr>
          <w:rFonts w:ascii="宋体" w:hAnsi="宋体"/>
          <w:color w:val="171717"/>
        </w:rPr>
      </w:pPr>
      <w:r>
        <w:rPr>
          <w:rFonts w:hint="eastAsia" w:ascii="宋体" w:hAnsi="宋体"/>
          <w:color w:val="171717"/>
        </w:rPr>
        <w:t>2、不发生因天气原因造成的中暑现象。</w:t>
      </w:r>
    </w:p>
    <w:p w14:paraId="34EF2B24">
      <w:pPr>
        <w:ind w:firstLine="560"/>
        <w:rPr>
          <w:rFonts w:ascii="宋体" w:hAnsi="宋体"/>
          <w:color w:val="171717"/>
        </w:rPr>
      </w:pPr>
      <w:r>
        <w:rPr>
          <w:rFonts w:hint="eastAsia" w:ascii="宋体" w:hAnsi="宋体"/>
          <w:color w:val="171717"/>
        </w:rPr>
        <w:t>3、不发生施工过程中的职业病伤害。</w:t>
      </w:r>
    </w:p>
    <w:p w14:paraId="5656C38B">
      <w:pPr>
        <w:pStyle w:val="4"/>
        <w:bidi w:val="0"/>
        <w:ind w:left="720" w:leftChars="0" w:hanging="720" w:firstLineChars="0"/>
      </w:pPr>
      <w:r>
        <w:rPr>
          <w:rFonts w:hint="eastAsia"/>
        </w:rPr>
        <w:t>健康管理措施</w:t>
      </w:r>
    </w:p>
    <w:p w14:paraId="59987F90">
      <w:pPr>
        <w:ind w:firstLine="560"/>
        <w:rPr>
          <w:rFonts w:ascii="宋体" w:hAnsi="宋体"/>
          <w:color w:val="171717"/>
        </w:rPr>
      </w:pPr>
      <w:r>
        <w:rPr>
          <w:rFonts w:hint="eastAsia" w:ascii="宋体" w:hAnsi="宋体"/>
          <w:color w:val="171717"/>
        </w:rPr>
        <w:t>1、施工前应检查确保每个施工人员均投保了意外伤害保险。</w:t>
      </w:r>
    </w:p>
    <w:p w14:paraId="4A62AFDF">
      <w:pPr>
        <w:ind w:firstLine="560"/>
        <w:rPr>
          <w:rFonts w:ascii="宋体" w:hAnsi="宋体"/>
          <w:color w:val="171717"/>
        </w:rPr>
      </w:pPr>
      <w:r>
        <w:rPr>
          <w:rFonts w:hint="eastAsia" w:ascii="宋体" w:hAnsi="宋体"/>
          <w:color w:val="171717"/>
        </w:rPr>
        <w:t>2、入场前施工人员应进行体验，确保每个人都没有不能进行高空作业的职业病。</w:t>
      </w:r>
    </w:p>
    <w:p w14:paraId="4701E1D1">
      <w:pPr>
        <w:ind w:firstLine="560"/>
        <w:rPr>
          <w:rFonts w:ascii="宋体" w:hAnsi="宋体"/>
          <w:color w:val="171717"/>
        </w:rPr>
      </w:pPr>
      <w:r>
        <w:rPr>
          <w:rFonts w:hint="eastAsia" w:ascii="宋体" w:hAnsi="宋体"/>
          <w:color w:val="171717"/>
        </w:rPr>
        <w:t>3、每日施工前检查施工人员身体状况，身体不适者严禁进行安装作业。</w:t>
      </w:r>
    </w:p>
    <w:p w14:paraId="2E40E6AB">
      <w:pPr>
        <w:ind w:firstLine="560"/>
        <w:rPr>
          <w:rFonts w:ascii="宋体" w:hAnsi="宋体"/>
          <w:color w:val="171717"/>
        </w:rPr>
      </w:pPr>
      <w:r>
        <w:rPr>
          <w:rFonts w:hint="eastAsia" w:ascii="宋体" w:hAnsi="宋体"/>
          <w:color w:val="171717"/>
        </w:rPr>
        <w:t>4、冬季施工注意防寒保暖，防止冻伤。</w:t>
      </w:r>
    </w:p>
    <w:p w14:paraId="0ADDFC80">
      <w:pPr>
        <w:ind w:firstLine="560"/>
        <w:rPr>
          <w:rFonts w:ascii="宋体" w:hAnsi="宋体"/>
          <w:color w:val="171717"/>
        </w:rPr>
      </w:pPr>
      <w:r>
        <w:rPr>
          <w:rFonts w:hint="eastAsia" w:ascii="宋体" w:hAnsi="宋体"/>
          <w:color w:val="171717"/>
        </w:rPr>
        <w:t>5、检查确认每位施工人员都配备足够的劳动防护用品，以杜绝施工过程中的人身伤害及高处坠落事故发生。</w:t>
      </w:r>
    </w:p>
    <w:p w14:paraId="012C6DD4">
      <w:pPr>
        <w:ind w:firstLine="560"/>
        <w:rPr>
          <w:rFonts w:ascii="宋体" w:hAnsi="宋体"/>
          <w:color w:val="171717"/>
        </w:rPr>
      </w:pPr>
      <w:r>
        <w:rPr>
          <w:rFonts w:hint="eastAsia" w:ascii="宋体" w:hAnsi="宋体"/>
          <w:color w:val="171717"/>
        </w:rPr>
        <w:t>6、配备常用救急药箱。</w:t>
      </w:r>
    </w:p>
    <w:p w14:paraId="207E21C1">
      <w:pPr>
        <w:pStyle w:val="3"/>
        <w:bidi w:val="0"/>
        <w:ind w:left="575" w:leftChars="0" w:hanging="575" w:firstLineChars="0"/>
      </w:pPr>
      <w:bookmarkStart w:id="418" w:name="_Toc19090"/>
      <w:bookmarkStart w:id="419" w:name="_Toc2328"/>
      <w:bookmarkStart w:id="420" w:name="_Toc22950"/>
      <w:bookmarkStart w:id="421" w:name="_Toc15726"/>
      <w:bookmarkStart w:id="422" w:name="_Toc12490"/>
      <w:bookmarkStart w:id="423" w:name="_Toc23217"/>
      <w:bookmarkStart w:id="424" w:name="_Toc32172"/>
      <w:bookmarkStart w:id="425" w:name="_Toc29506"/>
      <w:r>
        <w:rPr>
          <w:rFonts w:hint="eastAsia"/>
        </w:rPr>
        <w:t>环境</w:t>
      </w:r>
      <w:bookmarkEnd w:id="418"/>
      <w:bookmarkEnd w:id="419"/>
      <w:bookmarkEnd w:id="420"/>
      <w:bookmarkEnd w:id="421"/>
      <w:bookmarkEnd w:id="422"/>
      <w:bookmarkEnd w:id="423"/>
      <w:bookmarkEnd w:id="424"/>
      <w:bookmarkEnd w:id="425"/>
    </w:p>
    <w:p w14:paraId="21E1A463">
      <w:pPr>
        <w:pStyle w:val="4"/>
        <w:bidi w:val="0"/>
        <w:ind w:left="720" w:leftChars="0" w:hanging="720" w:firstLineChars="0"/>
      </w:pPr>
      <w:r>
        <w:rPr>
          <w:rFonts w:hint="eastAsia"/>
        </w:rPr>
        <w:t>环境管理目标</w:t>
      </w:r>
    </w:p>
    <w:p w14:paraId="686C1C94">
      <w:pPr>
        <w:ind w:firstLine="560"/>
        <w:rPr>
          <w:rFonts w:ascii="宋体" w:hAnsi="宋体"/>
          <w:color w:val="171717"/>
        </w:rPr>
      </w:pPr>
      <w:r>
        <w:rPr>
          <w:rFonts w:hint="eastAsia" w:ascii="宋体" w:hAnsi="宋体"/>
          <w:color w:val="171717"/>
        </w:rPr>
        <w:t>1、施工现场固体废弃物分类收集安全处置。</w:t>
      </w:r>
    </w:p>
    <w:p w14:paraId="16913B36">
      <w:pPr>
        <w:ind w:firstLine="560"/>
        <w:rPr>
          <w:rFonts w:ascii="宋体" w:hAnsi="宋体"/>
          <w:color w:val="171717"/>
        </w:rPr>
      </w:pPr>
      <w:r>
        <w:rPr>
          <w:rFonts w:hint="eastAsia" w:ascii="宋体" w:hAnsi="宋体"/>
          <w:color w:val="171717"/>
        </w:rPr>
        <w:t>2、施工现场噪声达标排放。</w:t>
      </w:r>
    </w:p>
    <w:p w14:paraId="5C9955E4">
      <w:pPr>
        <w:ind w:firstLine="560"/>
        <w:rPr>
          <w:rFonts w:ascii="宋体" w:hAnsi="宋体"/>
          <w:color w:val="171717"/>
        </w:rPr>
      </w:pPr>
      <w:r>
        <w:rPr>
          <w:rFonts w:hint="eastAsia" w:ascii="宋体" w:hAnsi="宋体"/>
          <w:color w:val="171717"/>
        </w:rPr>
        <w:t>3、相关方无环境问题投诉。</w:t>
      </w:r>
    </w:p>
    <w:p w14:paraId="0180EC6A">
      <w:pPr>
        <w:pStyle w:val="4"/>
        <w:bidi w:val="0"/>
        <w:ind w:left="720" w:leftChars="0" w:hanging="720" w:firstLineChars="0"/>
      </w:pPr>
      <w:r>
        <w:rPr>
          <w:rFonts w:hint="eastAsia"/>
        </w:rPr>
        <w:t>环境管理措施</w:t>
      </w:r>
    </w:p>
    <w:p w14:paraId="49FA5727">
      <w:pPr>
        <w:ind w:firstLine="560"/>
        <w:rPr>
          <w:rFonts w:ascii="宋体" w:hAnsi="宋体"/>
          <w:color w:val="171717"/>
        </w:rPr>
      </w:pPr>
      <w:r>
        <w:rPr>
          <w:rFonts w:hint="eastAsia" w:ascii="宋体" w:hAnsi="宋体"/>
          <w:color w:val="171717"/>
        </w:rPr>
        <w:t>1、噪声：安装过程中使用的机械设备必须是低噪声设备，施工过程中也应避免噪声污染。</w:t>
      </w:r>
    </w:p>
    <w:p w14:paraId="23EE594C">
      <w:pPr>
        <w:ind w:firstLine="560"/>
        <w:rPr>
          <w:rFonts w:ascii="宋体" w:hAnsi="宋体"/>
          <w:color w:val="171717"/>
        </w:rPr>
      </w:pPr>
      <w:r>
        <w:rPr>
          <w:rFonts w:hint="eastAsia" w:ascii="宋体" w:hAnsi="宋体"/>
          <w:color w:val="171717"/>
        </w:rPr>
        <w:t>2、垃圾：安装过程中产生的生活垃圾和生产垃圾要分类堆放，并及时清理，特别是饭盒等生活垃圾一定要归类处理，严禁随意丢弃。</w:t>
      </w:r>
    </w:p>
    <w:p w14:paraId="09E48DA8">
      <w:pPr>
        <w:ind w:firstLine="560"/>
        <w:rPr>
          <w:rFonts w:ascii="宋体" w:hAnsi="宋体"/>
          <w:color w:val="171717"/>
        </w:rPr>
      </w:pPr>
      <w:r>
        <w:rPr>
          <w:rFonts w:hint="eastAsia" w:ascii="宋体" w:hAnsi="宋体"/>
          <w:color w:val="171717"/>
        </w:rPr>
        <w:t>3、污水：不得在施工现场排放生产、生活污水。</w:t>
      </w:r>
    </w:p>
    <w:p w14:paraId="201B1FBA">
      <w:pPr>
        <w:ind w:firstLine="560"/>
        <w:rPr>
          <w:rFonts w:ascii="宋体" w:hAnsi="宋体"/>
          <w:color w:val="171717"/>
        </w:rPr>
      </w:pPr>
      <w:r>
        <w:rPr>
          <w:rFonts w:hint="eastAsia" w:ascii="宋体" w:hAnsi="宋体"/>
          <w:color w:val="171717"/>
        </w:rPr>
        <w:t>4、危险化学品：油漆、机油等应在指定地点存放，并配置相应的消防措施。</w:t>
      </w:r>
    </w:p>
    <w:p w14:paraId="4B9CF72A">
      <w:pPr>
        <w:ind w:firstLine="560"/>
        <w:rPr>
          <w:rFonts w:ascii="宋体" w:hAnsi="宋体"/>
          <w:color w:val="171717"/>
        </w:rPr>
      </w:pPr>
      <w:r>
        <w:rPr>
          <w:rFonts w:hint="eastAsia" w:ascii="宋体" w:hAnsi="宋体"/>
          <w:color w:val="171717"/>
        </w:rPr>
        <w:t>5、对氧气和乙炔气体的贮存、使用，应确保安全可靠，考虑安全间距，按安全规程操作，配备足够数量的消防器材。</w:t>
      </w:r>
    </w:p>
    <w:p w14:paraId="5FC2E2DE">
      <w:pPr>
        <w:ind w:firstLine="560"/>
        <w:rPr>
          <w:rFonts w:ascii="宋体" w:hAnsi="宋体"/>
          <w:color w:val="171717"/>
        </w:rPr>
      </w:pPr>
      <w:r>
        <w:rPr>
          <w:rFonts w:hint="eastAsia" w:ascii="宋体" w:hAnsi="宋体"/>
          <w:color w:val="171717"/>
        </w:rPr>
        <w:t>6、含油棉纱、手套、废机油应集中收集，按规定统一处置；严格控制设备漏油，防止对土壤污染。</w:t>
      </w:r>
    </w:p>
    <w:p w14:paraId="52864BF8">
      <w:pPr>
        <w:ind w:firstLine="560"/>
        <w:rPr>
          <w:rFonts w:ascii="宋体" w:hAnsi="宋体"/>
          <w:color w:val="171717"/>
        </w:rPr>
      </w:pPr>
      <w:r>
        <w:rPr>
          <w:rFonts w:hint="eastAsia" w:ascii="宋体" w:hAnsi="宋体"/>
          <w:color w:val="171717"/>
        </w:rPr>
        <w:t>7、防止电气线路老化引起火灾，加强安全检查。</w:t>
      </w:r>
    </w:p>
    <w:p w14:paraId="051D4376">
      <w:pPr>
        <w:pStyle w:val="4"/>
        <w:bidi w:val="0"/>
        <w:ind w:left="720" w:leftChars="0" w:hanging="720" w:firstLineChars="0"/>
      </w:pPr>
      <w:r>
        <w:rPr>
          <w:rFonts w:hint="eastAsia"/>
        </w:rPr>
        <w:t>环水保突发事件应急处置措施</w:t>
      </w:r>
    </w:p>
    <w:p w14:paraId="4EB1BB97">
      <w:pPr>
        <w:numPr>
          <w:ilvl w:val="0"/>
          <w:numId w:val="12"/>
        </w:numPr>
        <w:ind w:firstLineChars="0"/>
      </w:pPr>
      <w:r>
        <w:rPr>
          <w:rFonts w:hint="eastAsia"/>
        </w:rPr>
        <w:t>吸入：如果大量吸入，立即转移到新鲜空气充足的地方。</w:t>
      </w:r>
    </w:p>
    <w:p w14:paraId="137672C4">
      <w:pPr>
        <w:numPr>
          <w:ilvl w:val="0"/>
          <w:numId w:val="12"/>
        </w:numPr>
        <w:ind w:firstLineChars="0"/>
      </w:pPr>
      <w:r>
        <w:rPr>
          <w:rFonts w:hint="eastAsia"/>
        </w:rPr>
        <w:t>吞食：在医护人员指导下催吐，不要给意识不清的人吃东西。</w:t>
      </w:r>
    </w:p>
    <w:p w14:paraId="421D73B0">
      <w:pPr>
        <w:numPr>
          <w:ilvl w:val="0"/>
          <w:numId w:val="12"/>
        </w:numPr>
        <w:ind w:firstLineChars="0"/>
      </w:pPr>
      <w:r>
        <w:rPr>
          <w:rFonts w:hint="eastAsia"/>
        </w:rPr>
        <w:t>皮肤接触：如果接触，立即用肥皂和大量清水冲洗至少15分钟。眼睛接触：立即用清水冲洗至少15分钟。</w:t>
      </w:r>
    </w:p>
    <w:p w14:paraId="7EEC0066">
      <w:pPr>
        <w:numPr>
          <w:ilvl w:val="0"/>
          <w:numId w:val="12"/>
        </w:numPr>
        <w:ind w:firstLineChars="0"/>
      </w:pPr>
      <w:r>
        <w:rPr>
          <w:rFonts w:hint="eastAsia"/>
        </w:rPr>
        <w:t>事故现场设立警戒区域，设珞警戒标识及注意事项。</w:t>
      </w:r>
    </w:p>
    <w:p w14:paraId="3ED8449D">
      <w:pPr>
        <w:numPr>
          <w:ilvl w:val="0"/>
          <w:numId w:val="12"/>
        </w:numPr>
        <w:ind w:firstLineChars="0"/>
      </w:pPr>
      <w:r>
        <w:rPr>
          <w:rFonts w:hint="eastAsia"/>
        </w:rPr>
        <w:t>进入事故现场救援的人员应做好统一标识区分。</w:t>
      </w:r>
    </w:p>
    <w:p w14:paraId="09CD02BF">
      <w:pPr>
        <w:numPr>
          <w:ilvl w:val="0"/>
          <w:numId w:val="12"/>
        </w:numPr>
        <w:ind w:firstLineChars="0"/>
      </w:pPr>
      <w:r>
        <w:rPr>
          <w:rFonts w:hint="eastAsia"/>
        </w:rPr>
        <w:t>事故单位应当无条件配合现场指挥的工作，提供必要的协助。</w:t>
      </w:r>
    </w:p>
    <w:p w14:paraId="18EF0659">
      <w:pPr>
        <w:numPr>
          <w:ilvl w:val="0"/>
          <w:numId w:val="12"/>
        </w:numPr>
        <w:ind w:firstLineChars="0"/>
      </w:pPr>
      <w:r>
        <w:rPr>
          <w:rFonts w:hint="eastAsia"/>
        </w:rPr>
        <w:t>事故产生的危险废物必须到环保部门办理《危险废物转移许可证》，并委托有资质的处丽单位进行合法安全处理。</w:t>
      </w:r>
    </w:p>
    <w:p w14:paraId="24D33736">
      <w:pPr>
        <w:numPr>
          <w:ilvl w:val="0"/>
          <w:numId w:val="12"/>
        </w:numPr>
        <w:ind w:firstLineChars="0"/>
      </w:pPr>
      <w:r>
        <w:rPr>
          <w:rFonts w:hint="eastAsia"/>
        </w:rPr>
        <w:t>废物处理完成后，对周围土壤、水质进行环境监测。</w:t>
      </w:r>
    </w:p>
    <w:p w14:paraId="55F9D2E8">
      <w:pPr>
        <w:pStyle w:val="3"/>
        <w:bidi w:val="0"/>
        <w:ind w:left="575" w:leftChars="0" w:hanging="575" w:firstLineChars="0"/>
      </w:pPr>
      <w:bookmarkStart w:id="426" w:name="_Toc25431"/>
      <w:bookmarkStart w:id="427" w:name="_Toc14249"/>
      <w:bookmarkStart w:id="428" w:name="_Toc6732"/>
      <w:bookmarkStart w:id="429" w:name="_Toc3911"/>
      <w:bookmarkStart w:id="430" w:name="_Toc9705"/>
      <w:bookmarkStart w:id="431" w:name="_Toc5849"/>
      <w:bookmarkStart w:id="432" w:name="_Toc29475"/>
      <w:bookmarkStart w:id="433" w:name="_Toc3227"/>
      <w:bookmarkStart w:id="434" w:name="_Toc533610110"/>
      <w:bookmarkStart w:id="435" w:name="_Toc326854326"/>
      <w:bookmarkStart w:id="436" w:name="_Toc29387"/>
      <w:bookmarkStart w:id="437" w:name="_Toc21956"/>
      <w:bookmarkStart w:id="438" w:name="_Toc26350"/>
      <w:r>
        <w:rPr>
          <w:rFonts w:hint="eastAsia"/>
        </w:rPr>
        <w:t>安全</w:t>
      </w:r>
      <w:bookmarkEnd w:id="426"/>
      <w:bookmarkEnd w:id="427"/>
      <w:bookmarkEnd w:id="428"/>
      <w:bookmarkEnd w:id="429"/>
      <w:bookmarkEnd w:id="430"/>
      <w:bookmarkEnd w:id="431"/>
      <w:bookmarkEnd w:id="432"/>
      <w:bookmarkEnd w:id="433"/>
      <w:bookmarkEnd w:id="434"/>
      <w:bookmarkEnd w:id="435"/>
      <w:bookmarkEnd w:id="436"/>
      <w:bookmarkEnd w:id="437"/>
      <w:bookmarkEnd w:id="438"/>
    </w:p>
    <w:p w14:paraId="6C1CE246">
      <w:pPr>
        <w:pStyle w:val="4"/>
        <w:bidi w:val="0"/>
        <w:ind w:left="720" w:leftChars="0" w:hanging="720" w:firstLineChars="0"/>
      </w:pPr>
      <w:r>
        <w:rPr>
          <w:rFonts w:hint="eastAsia"/>
        </w:rPr>
        <w:t>安全管理控制指标</w:t>
      </w:r>
    </w:p>
    <w:p w14:paraId="2B218906">
      <w:pPr>
        <w:ind w:firstLine="560"/>
        <w:rPr>
          <w:rFonts w:ascii="宋体" w:hAnsi="宋体"/>
          <w:color w:val="171717"/>
        </w:rPr>
      </w:pPr>
      <w:r>
        <w:rPr>
          <w:rFonts w:hint="eastAsia" w:ascii="宋体" w:hAnsi="宋体"/>
          <w:color w:val="171717"/>
        </w:rPr>
        <w:t>1、特种作业人员持证上岗率</w:t>
      </w:r>
      <w:r>
        <w:rPr>
          <w:rFonts w:ascii="宋体" w:hAnsi="宋体"/>
          <w:color w:val="171717"/>
        </w:rPr>
        <w:t>100%</w:t>
      </w:r>
      <w:r>
        <w:rPr>
          <w:rFonts w:hint="eastAsia" w:ascii="宋体" w:hAnsi="宋体"/>
          <w:color w:val="171717"/>
        </w:rPr>
        <w:t>。</w:t>
      </w:r>
    </w:p>
    <w:p w14:paraId="40926CBE">
      <w:pPr>
        <w:ind w:firstLine="560"/>
        <w:rPr>
          <w:rFonts w:ascii="宋体" w:hAnsi="宋体"/>
          <w:color w:val="171717"/>
        </w:rPr>
      </w:pPr>
      <w:r>
        <w:rPr>
          <w:rFonts w:hint="eastAsia" w:ascii="宋体" w:hAnsi="宋体"/>
          <w:color w:val="171717"/>
        </w:rPr>
        <w:t>2、安全防护用品正确配备率</w:t>
      </w:r>
      <w:r>
        <w:rPr>
          <w:rFonts w:ascii="宋体" w:hAnsi="宋体"/>
          <w:color w:val="171717"/>
        </w:rPr>
        <w:t>100%</w:t>
      </w:r>
      <w:r>
        <w:rPr>
          <w:rFonts w:hint="eastAsia" w:ascii="宋体" w:hAnsi="宋体"/>
          <w:color w:val="171717"/>
        </w:rPr>
        <w:t>。</w:t>
      </w:r>
    </w:p>
    <w:p w14:paraId="4C628C64">
      <w:pPr>
        <w:ind w:firstLine="560"/>
        <w:rPr>
          <w:rFonts w:ascii="宋体" w:hAnsi="宋体"/>
          <w:color w:val="171717"/>
        </w:rPr>
      </w:pPr>
      <w:r>
        <w:rPr>
          <w:rFonts w:hint="eastAsia" w:ascii="宋体" w:hAnsi="宋体"/>
          <w:color w:val="171717"/>
        </w:rPr>
        <w:t>3、无高空坠落事故、触电事故、起重设备坍塌事故及重伤事故的发生。</w:t>
      </w:r>
    </w:p>
    <w:p w14:paraId="7BB0AA39">
      <w:pPr>
        <w:pStyle w:val="4"/>
        <w:bidi w:val="0"/>
        <w:ind w:left="720" w:leftChars="0" w:hanging="720" w:firstLineChars="0"/>
      </w:pPr>
      <w:r>
        <w:rPr>
          <w:rFonts w:hint="eastAsia"/>
        </w:rPr>
        <w:t>安全管理措施</w:t>
      </w:r>
    </w:p>
    <w:p w14:paraId="437F3B00">
      <w:pPr>
        <w:ind w:firstLine="560"/>
        <w:rPr>
          <w:rFonts w:ascii="宋体" w:hAnsi="宋体"/>
          <w:color w:val="171717"/>
        </w:rPr>
      </w:pPr>
      <w:r>
        <w:rPr>
          <w:rFonts w:hint="eastAsia" w:ascii="宋体" w:hAnsi="宋体"/>
          <w:color w:val="171717"/>
        </w:rPr>
        <w:t>1、塔吊</w:t>
      </w:r>
      <w:r>
        <w:rPr>
          <w:rFonts w:hint="eastAsia" w:ascii="宋体" w:hAnsi="宋体"/>
          <w:color w:val="171717"/>
          <w:lang w:val="en-US" w:eastAsia="zh-CN"/>
        </w:rPr>
        <w:t>安拆</w:t>
      </w:r>
      <w:r>
        <w:rPr>
          <w:rFonts w:hint="eastAsia" w:ascii="宋体" w:hAnsi="宋体"/>
          <w:color w:val="171717"/>
        </w:rPr>
        <w:t>操作和指挥人员必须经过技术和安全培训，每一个作业人员必须熟悉说明书，熟知施工程序和塔机基本性能。</w:t>
      </w:r>
    </w:p>
    <w:p w14:paraId="0307573B">
      <w:pPr>
        <w:ind w:firstLine="560"/>
        <w:rPr>
          <w:rFonts w:ascii="宋体" w:hAnsi="宋体"/>
          <w:color w:val="171717"/>
        </w:rPr>
      </w:pPr>
      <w:r>
        <w:rPr>
          <w:rFonts w:hint="eastAsia" w:ascii="宋体" w:hAnsi="宋体"/>
          <w:color w:val="171717"/>
        </w:rPr>
        <w:t>2、现场作业人员必须持省市劳动部门颁发的有效特殊工种上岗操作证件，确保</w:t>
      </w:r>
      <w:r>
        <w:rPr>
          <w:rFonts w:ascii="宋体" w:hAnsi="宋体"/>
          <w:color w:val="171717"/>
        </w:rPr>
        <w:t>100%</w:t>
      </w:r>
      <w:r>
        <w:rPr>
          <w:rFonts w:hint="eastAsia" w:ascii="宋体" w:hAnsi="宋体"/>
          <w:color w:val="171717"/>
        </w:rPr>
        <w:t>持证上岗。</w:t>
      </w:r>
    </w:p>
    <w:p w14:paraId="4BAA18F2">
      <w:pPr>
        <w:ind w:firstLine="560"/>
        <w:rPr>
          <w:rFonts w:ascii="宋体" w:hAnsi="宋体"/>
          <w:color w:val="171717"/>
        </w:rPr>
      </w:pPr>
      <w:r>
        <w:rPr>
          <w:rFonts w:hint="eastAsia" w:ascii="宋体" w:hAnsi="宋体"/>
          <w:color w:val="171717"/>
        </w:rPr>
        <w:t>3、安装作业由专人指挥，参加作业人员应听从现场指挥人员统一指挥，严格按安装方案中的分工执行。</w:t>
      </w:r>
    </w:p>
    <w:p w14:paraId="578BE3B1">
      <w:pPr>
        <w:ind w:firstLine="560"/>
        <w:rPr>
          <w:rFonts w:ascii="宋体" w:hAnsi="宋体"/>
          <w:color w:val="171717"/>
        </w:rPr>
      </w:pPr>
      <w:r>
        <w:rPr>
          <w:rFonts w:hint="eastAsia" w:ascii="宋体" w:hAnsi="宋体"/>
          <w:color w:val="171717"/>
        </w:rPr>
        <w:t>4、所有作业人员应接受三级安全教育，在作业前，必须接受安全技术交底工作，明确分工，确定指挥信号及统一口令。</w:t>
      </w:r>
    </w:p>
    <w:p w14:paraId="2CAADDBC">
      <w:pPr>
        <w:ind w:firstLine="560"/>
        <w:rPr>
          <w:rFonts w:ascii="宋体" w:hAnsi="宋体"/>
          <w:color w:val="171717"/>
        </w:rPr>
      </w:pPr>
      <w:r>
        <w:rPr>
          <w:rFonts w:hint="eastAsia" w:ascii="宋体" w:hAnsi="宋体"/>
          <w:color w:val="171717"/>
        </w:rPr>
        <w:t>5、安装前检验电气设备是否安全可靠。</w:t>
      </w:r>
    </w:p>
    <w:p w14:paraId="3209465F">
      <w:pPr>
        <w:ind w:firstLine="560"/>
        <w:rPr>
          <w:rFonts w:ascii="宋体" w:hAnsi="宋体"/>
          <w:color w:val="171717"/>
        </w:rPr>
      </w:pPr>
      <w:r>
        <w:rPr>
          <w:rFonts w:hint="eastAsia" w:ascii="宋体" w:hAnsi="宋体"/>
          <w:color w:val="171717"/>
        </w:rPr>
        <w:t>6、检验钢丝绳及吊索、吊具、履带吊站位地基是否符合要求。</w:t>
      </w:r>
    </w:p>
    <w:p w14:paraId="28DD7285">
      <w:pPr>
        <w:ind w:firstLine="560"/>
        <w:rPr>
          <w:rFonts w:ascii="宋体" w:hAnsi="宋体"/>
          <w:color w:val="171717"/>
        </w:rPr>
      </w:pPr>
      <w:r>
        <w:rPr>
          <w:rFonts w:hint="eastAsia" w:ascii="宋体" w:hAnsi="宋体"/>
          <w:color w:val="171717"/>
        </w:rPr>
        <w:t>7、吊点选择应牢固可靠，起吊保持平稳。</w:t>
      </w:r>
    </w:p>
    <w:p w14:paraId="527F2125">
      <w:pPr>
        <w:ind w:firstLine="560"/>
        <w:rPr>
          <w:rFonts w:ascii="宋体" w:hAnsi="宋体"/>
          <w:color w:val="171717"/>
        </w:rPr>
      </w:pPr>
      <w:r>
        <w:rPr>
          <w:rFonts w:hint="eastAsia" w:ascii="宋体" w:hAnsi="宋体"/>
          <w:color w:val="171717"/>
        </w:rPr>
        <w:t>8、安装起吊过程中，吊物下严禁站人，高空作业戴好安全帽，挂系好安全带，扣好保险钩，穿安全防滑胶鞋，同时必须将工具螺栓等物放置系挂牢靠，严防高空坠落。</w:t>
      </w:r>
    </w:p>
    <w:p w14:paraId="7227778F">
      <w:pPr>
        <w:ind w:firstLine="560"/>
        <w:rPr>
          <w:rFonts w:ascii="宋体" w:hAnsi="宋体"/>
          <w:color w:val="171717"/>
        </w:rPr>
      </w:pPr>
      <w:r>
        <w:rPr>
          <w:rFonts w:hint="eastAsia" w:ascii="宋体" w:hAnsi="宋体"/>
          <w:color w:val="171717"/>
        </w:rPr>
        <w:t>9、临边作业区域要搭设围栏，防止施工过程中人员从边坡滚落。</w:t>
      </w:r>
    </w:p>
    <w:p w14:paraId="6F229119">
      <w:pPr>
        <w:ind w:firstLine="560"/>
        <w:rPr>
          <w:rFonts w:ascii="宋体" w:hAnsi="宋体"/>
          <w:color w:val="171717"/>
        </w:rPr>
      </w:pPr>
      <w:r>
        <w:rPr>
          <w:rFonts w:hint="eastAsia" w:ascii="宋体" w:hAnsi="宋体"/>
          <w:color w:val="171717"/>
        </w:rPr>
        <w:t>10</w:t>
      </w:r>
      <w:r>
        <w:rPr>
          <w:rFonts w:hint="eastAsia" w:ascii="宋体" w:hAnsi="宋体"/>
          <w:color w:val="171717"/>
          <w:lang w:eastAsia="zh-CN"/>
        </w:rPr>
        <w:t>、</w:t>
      </w:r>
      <w:r>
        <w:rPr>
          <w:rFonts w:hint="eastAsia" w:ascii="宋体" w:hAnsi="宋体"/>
          <w:color w:val="171717"/>
        </w:rPr>
        <w:t>严禁酒后上岗，作业时不得打闹、玩笑，不得向地面抛物件。</w:t>
      </w:r>
    </w:p>
    <w:p w14:paraId="1C255881">
      <w:pPr>
        <w:ind w:firstLine="560"/>
        <w:rPr>
          <w:rFonts w:ascii="宋体" w:hAnsi="宋体"/>
          <w:color w:val="171717"/>
        </w:rPr>
      </w:pPr>
      <w:r>
        <w:rPr>
          <w:rFonts w:hint="eastAsia" w:ascii="宋体" w:hAnsi="宋体"/>
          <w:color w:val="171717"/>
        </w:rPr>
        <w:t>11、作业前，塔机安装</w:t>
      </w:r>
      <w:r>
        <w:rPr>
          <w:rFonts w:ascii="宋体" w:hAnsi="宋体"/>
          <w:color w:val="171717"/>
        </w:rPr>
        <w:t>20</w:t>
      </w:r>
      <w:r>
        <w:rPr>
          <w:rFonts w:hint="eastAsia" w:ascii="宋体" w:hAnsi="宋体"/>
          <w:color w:val="171717"/>
        </w:rPr>
        <w:t>米范围内应划出安全警戒线，现场专职安全监护人员负责，严禁非作业人员入内逗留。</w:t>
      </w:r>
    </w:p>
    <w:p w14:paraId="5FC12068">
      <w:pPr>
        <w:ind w:firstLine="560"/>
        <w:rPr>
          <w:rFonts w:ascii="宋体" w:hAnsi="宋体"/>
          <w:color w:val="171717"/>
        </w:rPr>
      </w:pPr>
      <w:r>
        <w:rPr>
          <w:rFonts w:hint="eastAsia" w:ascii="宋体" w:hAnsi="宋体"/>
          <w:color w:val="171717"/>
        </w:rPr>
        <w:t>12、夜间作业照明应充足，看不清楚不得作业。</w:t>
      </w:r>
    </w:p>
    <w:p w14:paraId="0F0523EE">
      <w:pPr>
        <w:ind w:firstLine="560"/>
        <w:rPr>
          <w:rFonts w:ascii="宋体" w:hAnsi="宋体"/>
          <w:color w:val="171717"/>
        </w:rPr>
      </w:pPr>
      <w:r>
        <w:rPr>
          <w:rFonts w:hint="eastAsia" w:ascii="宋体" w:hAnsi="宋体"/>
          <w:color w:val="171717"/>
        </w:rPr>
        <w:t>13、所有参加作业人员必须遵守施工现场各项安全规定和本工种安全操作规程。</w:t>
      </w:r>
    </w:p>
    <w:p w14:paraId="53401563">
      <w:pPr>
        <w:ind w:firstLine="560"/>
        <w:rPr>
          <w:rFonts w:ascii="宋体" w:hAnsi="宋体"/>
          <w:color w:val="171717"/>
        </w:rPr>
      </w:pPr>
      <w:r>
        <w:rPr>
          <w:rFonts w:hint="eastAsia" w:ascii="宋体" w:hAnsi="宋体"/>
          <w:color w:val="171717"/>
        </w:rPr>
        <w:t>14、作业前，明确分工，指定专人统一指挥，并在作业范围设明显的安全标志及警戒线，并派专人看护，严禁非塔吊装拆工作人员进入施工区。</w:t>
      </w:r>
    </w:p>
    <w:p w14:paraId="5C814C15">
      <w:pPr>
        <w:ind w:firstLine="560"/>
        <w:rPr>
          <w:rFonts w:ascii="宋体" w:hAnsi="宋体"/>
          <w:color w:val="171717"/>
        </w:rPr>
      </w:pPr>
      <w:r>
        <w:rPr>
          <w:rFonts w:hint="eastAsia" w:ascii="宋体" w:hAnsi="宋体"/>
          <w:color w:val="171717"/>
        </w:rPr>
        <w:t>15、塔机顶升作业过程中，严禁回转起重臂。标准节连接销及其他连接销必须规范。</w:t>
      </w:r>
    </w:p>
    <w:p w14:paraId="6750A8A7">
      <w:pPr>
        <w:ind w:firstLine="560"/>
        <w:rPr>
          <w:rFonts w:ascii="宋体" w:hAnsi="宋体"/>
          <w:color w:val="171717"/>
        </w:rPr>
      </w:pPr>
      <w:r>
        <w:rPr>
          <w:rFonts w:hint="eastAsia" w:ascii="宋体" w:hAnsi="宋体"/>
          <w:color w:val="171717"/>
        </w:rPr>
        <w:t>16、安装和顶升作业必须明确油泵操作人员和作业观察人员，没有明确指令任何人均不可随意操作。</w:t>
      </w:r>
    </w:p>
    <w:p w14:paraId="1C630582">
      <w:pPr>
        <w:ind w:firstLine="560"/>
        <w:rPr>
          <w:rFonts w:ascii="宋体" w:hAnsi="宋体"/>
          <w:color w:val="171717"/>
        </w:rPr>
      </w:pPr>
      <w:r>
        <w:rPr>
          <w:rFonts w:hint="eastAsia" w:ascii="宋体" w:hAnsi="宋体"/>
          <w:color w:val="171717"/>
        </w:rPr>
        <w:t>17、吊装作业时由专人负责指挥，严格遵守“十不吊”规定，严禁乱指挥。</w:t>
      </w:r>
    </w:p>
    <w:p w14:paraId="1DD702DA">
      <w:pPr>
        <w:ind w:firstLine="560"/>
        <w:rPr>
          <w:rFonts w:ascii="宋体" w:hAnsi="宋体"/>
          <w:color w:val="171717"/>
        </w:rPr>
      </w:pPr>
      <w:r>
        <w:rPr>
          <w:rFonts w:hint="eastAsia" w:ascii="宋体" w:hAnsi="宋体"/>
          <w:color w:val="171717"/>
        </w:rPr>
        <w:t>18、安装和顶升人员必须正确使用规定的安全防护用具（安全帽、安全带、劳保鞋），并正确佩带。</w:t>
      </w:r>
    </w:p>
    <w:p w14:paraId="5C9528A1">
      <w:pPr>
        <w:ind w:firstLine="560"/>
        <w:rPr>
          <w:rFonts w:ascii="宋体" w:hAnsi="宋体"/>
          <w:color w:val="171717"/>
        </w:rPr>
      </w:pPr>
      <w:r>
        <w:rPr>
          <w:rFonts w:hint="eastAsia" w:ascii="宋体" w:hAnsi="宋体"/>
          <w:color w:val="171717"/>
        </w:rPr>
        <w:t>19、作业前，施工工长必须熟悉现场，注意运输中塔机部件与现场的电线、管线碰触问题。</w:t>
      </w:r>
    </w:p>
    <w:p w14:paraId="6144949C">
      <w:pPr>
        <w:ind w:firstLine="560"/>
        <w:rPr>
          <w:rFonts w:ascii="宋体" w:hAnsi="宋体"/>
          <w:color w:val="171717"/>
        </w:rPr>
      </w:pPr>
      <w:r>
        <w:rPr>
          <w:rFonts w:hint="eastAsia" w:ascii="宋体" w:hAnsi="宋体"/>
          <w:color w:val="171717"/>
        </w:rPr>
        <w:t>20、必须安装漏电保护器，作业前接地电阻测试应合格。</w:t>
      </w:r>
    </w:p>
    <w:p w14:paraId="1F0602A2">
      <w:pPr>
        <w:ind w:firstLine="560"/>
        <w:rPr>
          <w:rFonts w:ascii="宋体" w:hAnsi="宋体"/>
          <w:color w:val="171717"/>
        </w:rPr>
      </w:pPr>
      <w:r>
        <w:rPr>
          <w:rFonts w:hint="eastAsia" w:ascii="宋体" w:hAnsi="宋体"/>
          <w:color w:val="171717"/>
        </w:rPr>
        <w:t>21、作业时所有工具和连接件必须系挂在身上或放到工具袋内，严防物品坠落，严禁向下抛掷。</w:t>
      </w:r>
    </w:p>
    <w:p w14:paraId="449FD226">
      <w:pPr>
        <w:ind w:firstLine="560"/>
        <w:rPr>
          <w:rFonts w:ascii="宋体" w:hAnsi="宋体"/>
          <w:color w:val="171717"/>
        </w:rPr>
      </w:pPr>
      <w:r>
        <w:rPr>
          <w:rFonts w:hint="eastAsia" w:ascii="宋体" w:hAnsi="宋体"/>
          <w:color w:val="171717"/>
        </w:rPr>
        <w:t>22、施工负责人对塔吊运输、安装过程进行检查，及时制止并纠正违章操作行为，防止事故发生。</w:t>
      </w:r>
    </w:p>
    <w:p w14:paraId="424DD8B7">
      <w:pPr>
        <w:ind w:firstLine="560"/>
        <w:rPr>
          <w:rFonts w:ascii="宋体" w:hAnsi="宋体"/>
          <w:color w:val="171717"/>
        </w:rPr>
      </w:pPr>
      <w:r>
        <w:rPr>
          <w:rFonts w:hint="eastAsia" w:ascii="宋体" w:hAnsi="宋体"/>
          <w:color w:val="171717"/>
        </w:rPr>
        <w:t>23、驾驶室必须配备灭火器、对讲机。</w:t>
      </w:r>
    </w:p>
    <w:p w14:paraId="3F7FC750">
      <w:pPr>
        <w:ind w:firstLine="560"/>
        <w:rPr>
          <w:rFonts w:ascii="宋体" w:hAnsi="宋体"/>
          <w:color w:val="171717"/>
        </w:rPr>
      </w:pPr>
      <w:r>
        <w:rPr>
          <w:rFonts w:hint="eastAsia" w:ascii="宋体" w:hAnsi="宋体"/>
          <w:color w:val="171717"/>
        </w:rPr>
        <w:t>24、五级以上大风及较大雨天禁止作业。</w:t>
      </w:r>
    </w:p>
    <w:p w14:paraId="240E11F2">
      <w:pPr>
        <w:pStyle w:val="15"/>
        <w:ind w:firstLine="560"/>
        <w:rPr>
          <w:rFonts w:hint="default"/>
        </w:rPr>
      </w:pPr>
      <w:r>
        <w:rPr>
          <w:rFonts w:hAnsi="宋体"/>
          <w:color w:val="171717"/>
        </w:rPr>
        <w:t>25、</w:t>
      </w:r>
      <w:r>
        <w:rPr>
          <w:rFonts w:cs="宋体"/>
          <w:kern w:val="0"/>
          <w:szCs w:val="21"/>
        </w:rPr>
        <w:t>安装作业人员需随身携带工具包，移动时需将工具收纳至工具包内。大锤需有防滑措施。</w:t>
      </w:r>
    </w:p>
    <w:p w14:paraId="4AD32823">
      <w:pPr>
        <w:pStyle w:val="3"/>
        <w:bidi w:val="0"/>
        <w:ind w:left="575" w:leftChars="0" w:hanging="575" w:firstLineChars="0"/>
      </w:pPr>
      <w:bookmarkStart w:id="439" w:name="_Toc20367"/>
      <w:bookmarkStart w:id="440" w:name="_Toc14743"/>
      <w:bookmarkStart w:id="441" w:name="_Toc174"/>
      <w:bookmarkStart w:id="442" w:name="_Toc13237"/>
      <w:bookmarkStart w:id="443" w:name="_Toc27529"/>
      <w:bookmarkStart w:id="444" w:name="_Toc11211"/>
      <w:bookmarkStart w:id="445" w:name="_Toc28627"/>
      <w:bookmarkStart w:id="446" w:name="_Toc27814"/>
      <w:r>
        <w:rPr>
          <w:rFonts w:hint="eastAsia"/>
        </w:rPr>
        <w:t>质量监测与监控</w:t>
      </w:r>
      <w:bookmarkEnd w:id="439"/>
      <w:bookmarkEnd w:id="440"/>
      <w:bookmarkEnd w:id="441"/>
      <w:bookmarkEnd w:id="442"/>
      <w:bookmarkEnd w:id="443"/>
      <w:bookmarkEnd w:id="444"/>
      <w:bookmarkEnd w:id="445"/>
      <w:bookmarkEnd w:id="446"/>
    </w:p>
    <w:p w14:paraId="21B79B89">
      <w:pPr>
        <w:ind w:firstLine="560"/>
        <w:rPr>
          <w:rFonts w:ascii="宋体" w:hAnsi="宋体"/>
          <w:color w:val="171717"/>
        </w:rPr>
      </w:pPr>
      <w:r>
        <w:rPr>
          <w:rFonts w:hint="eastAsia" w:ascii="宋体" w:hAnsi="宋体"/>
          <w:color w:val="171717"/>
        </w:rPr>
        <w:t>安装完成后和项目部相关人员和安装负责人按下表进行安装质量监测监控</w:t>
      </w:r>
    </w:p>
    <w:p w14:paraId="1BD6A1ED">
      <w:pPr>
        <w:ind w:firstLine="560"/>
        <w:rPr>
          <w:rFonts w:ascii="宋体" w:hAnsi="宋体"/>
          <w:color w:val="171717"/>
        </w:rPr>
      </w:pPr>
      <w:r>
        <w:rPr>
          <w:rFonts w:ascii="宋体" w:hAnsi="宋体"/>
          <w:color w:val="171717"/>
        </w:rPr>
        <w:t>1</w:t>
      </w:r>
      <w:r>
        <w:rPr>
          <w:rFonts w:hint="eastAsia" w:ascii="宋体" w:hAnsi="宋体"/>
          <w:color w:val="171717"/>
        </w:rPr>
        <w:t>、监测监控单位和人员</w:t>
      </w:r>
    </w:p>
    <w:p w14:paraId="140EBBB2">
      <w:pPr>
        <w:ind w:firstLine="560"/>
        <w:rPr>
          <w:rFonts w:ascii="宋体" w:hAnsi="宋体"/>
          <w:color w:val="171717"/>
        </w:rPr>
      </w:pPr>
      <w:r>
        <w:rPr>
          <w:rFonts w:hint="eastAsia" w:ascii="宋体" w:hAnsi="宋体"/>
          <w:color w:val="171717"/>
        </w:rPr>
        <w:t>监测监控小组应由安质部、工程部部及机械部等相关技术监督部门组成，负责对整个安装施工过程的监督，以保证塔机的安装质量。</w:t>
      </w:r>
    </w:p>
    <w:p w14:paraId="144350CB">
      <w:pPr>
        <w:ind w:firstLine="560"/>
        <w:rPr>
          <w:rFonts w:ascii="宋体" w:hAnsi="宋体"/>
          <w:color w:val="171717"/>
        </w:rPr>
      </w:pPr>
      <w:r>
        <w:rPr>
          <w:rFonts w:ascii="宋体" w:hAnsi="宋体"/>
          <w:color w:val="171717"/>
        </w:rPr>
        <w:t>2</w:t>
      </w:r>
      <w:r>
        <w:rPr>
          <w:rFonts w:hint="eastAsia" w:ascii="宋体" w:hAnsi="宋体"/>
          <w:color w:val="171717"/>
        </w:rPr>
        <w:t>、监测监控管理目标</w:t>
      </w:r>
    </w:p>
    <w:p w14:paraId="757F26E7">
      <w:pPr>
        <w:ind w:firstLine="560"/>
        <w:rPr>
          <w:rFonts w:ascii="宋体" w:hAnsi="宋体"/>
          <w:color w:val="171717"/>
        </w:rPr>
      </w:pPr>
      <w:r>
        <w:rPr>
          <w:rFonts w:hint="eastAsia" w:ascii="宋体" w:hAnsi="宋体"/>
          <w:color w:val="171717"/>
        </w:rPr>
        <w:t>施工工艺执行率</w:t>
      </w:r>
      <w:r>
        <w:rPr>
          <w:rFonts w:ascii="宋体" w:hAnsi="宋体"/>
          <w:color w:val="171717"/>
        </w:rPr>
        <w:t>100%</w:t>
      </w:r>
      <w:r>
        <w:rPr>
          <w:rFonts w:hint="eastAsia" w:ascii="宋体" w:hAnsi="宋体"/>
          <w:color w:val="171717"/>
        </w:rPr>
        <w:t>。</w:t>
      </w:r>
    </w:p>
    <w:p w14:paraId="2A045DBC">
      <w:pPr>
        <w:ind w:firstLine="560"/>
        <w:rPr>
          <w:rFonts w:ascii="宋体" w:hAnsi="宋体"/>
          <w:color w:val="171717"/>
        </w:rPr>
      </w:pPr>
      <w:r>
        <w:rPr>
          <w:rFonts w:hint="eastAsia" w:ascii="宋体" w:hAnsi="宋体"/>
          <w:color w:val="171717"/>
        </w:rPr>
        <w:t>工程竣工一次验收合格率</w:t>
      </w:r>
      <w:r>
        <w:rPr>
          <w:rFonts w:ascii="宋体" w:hAnsi="宋体"/>
          <w:color w:val="171717"/>
        </w:rPr>
        <w:t>100%</w:t>
      </w:r>
      <w:r>
        <w:rPr>
          <w:rFonts w:hint="eastAsia" w:ascii="宋体" w:hAnsi="宋体"/>
          <w:color w:val="171717"/>
        </w:rPr>
        <w:t>。</w:t>
      </w:r>
    </w:p>
    <w:p w14:paraId="048CCBD8">
      <w:pPr>
        <w:ind w:firstLine="560"/>
        <w:rPr>
          <w:rFonts w:ascii="宋体" w:hAnsi="宋体"/>
          <w:color w:val="171717"/>
        </w:rPr>
      </w:pPr>
      <w:r>
        <w:rPr>
          <w:rFonts w:hint="eastAsia" w:ascii="宋体" w:hAnsi="宋体"/>
          <w:color w:val="171717"/>
        </w:rPr>
        <w:t>确保设备安全无故障运行，现场服务满意率</w:t>
      </w:r>
      <w:r>
        <w:rPr>
          <w:rFonts w:ascii="宋体" w:hAnsi="宋体"/>
          <w:color w:val="171717"/>
        </w:rPr>
        <w:t>100%</w:t>
      </w:r>
      <w:r>
        <w:rPr>
          <w:rFonts w:hint="eastAsia" w:ascii="宋体" w:hAnsi="宋体"/>
          <w:color w:val="171717"/>
        </w:rPr>
        <w:t>。</w:t>
      </w:r>
    </w:p>
    <w:p w14:paraId="2874C914">
      <w:pPr>
        <w:ind w:firstLine="560"/>
        <w:rPr>
          <w:rFonts w:ascii="宋体" w:hAnsi="宋体"/>
          <w:color w:val="171717"/>
        </w:rPr>
      </w:pPr>
      <w:r>
        <w:rPr>
          <w:rFonts w:ascii="宋体" w:hAnsi="宋体"/>
          <w:color w:val="171717"/>
        </w:rPr>
        <w:t>3</w:t>
      </w:r>
      <w:r>
        <w:rPr>
          <w:rFonts w:hint="eastAsia" w:ascii="宋体" w:hAnsi="宋体"/>
          <w:color w:val="171717"/>
        </w:rPr>
        <w:t>、监测监控管理措施</w:t>
      </w:r>
    </w:p>
    <w:p w14:paraId="2352D32B">
      <w:pPr>
        <w:ind w:firstLine="560"/>
        <w:rPr>
          <w:rFonts w:ascii="宋体" w:hAnsi="宋体"/>
          <w:color w:val="171717"/>
        </w:rPr>
      </w:pPr>
      <w:r>
        <w:rPr>
          <w:rFonts w:hint="eastAsia" w:ascii="宋体" w:hAnsi="宋体"/>
          <w:color w:val="171717"/>
        </w:rPr>
        <w:t>塔机进场时必须经质保、安全、技术等相关部门验收合格，方可进行安装。</w:t>
      </w:r>
    </w:p>
    <w:p w14:paraId="3B7BD65D">
      <w:pPr>
        <w:ind w:firstLine="560"/>
        <w:rPr>
          <w:rFonts w:ascii="宋体" w:hAnsi="宋体"/>
          <w:color w:val="171717"/>
        </w:rPr>
      </w:pPr>
      <w:r>
        <w:rPr>
          <w:rFonts w:hint="eastAsia" w:ascii="宋体" w:hAnsi="宋体"/>
          <w:color w:val="171717"/>
        </w:rPr>
        <w:t>塔机进场后必须提交各部件出厂合格证，整机第三方检验证明等质保文件。</w:t>
      </w:r>
    </w:p>
    <w:p w14:paraId="18DB7B0A">
      <w:pPr>
        <w:ind w:firstLine="560"/>
        <w:rPr>
          <w:rFonts w:ascii="宋体" w:hAnsi="宋体"/>
          <w:color w:val="171717"/>
        </w:rPr>
      </w:pPr>
      <w:r>
        <w:rPr>
          <w:rFonts w:hint="eastAsia" w:ascii="宋体" w:hAnsi="宋体"/>
          <w:color w:val="171717"/>
        </w:rPr>
        <w:t>塔机安装的每一个步骤均应有机械化施工分公司质保人员见证验收，验收合格后方可进行下一步的安装工作。</w:t>
      </w:r>
    </w:p>
    <w:p w14:paraId="370BEC86">
      <w:pPr>
        <w:ind w:firstLine="560"/>
        <w:rPr>
          <w:rFonts w:ascii="宋体" w:hAnsi="宋体"/>
          <w:color w:val="171717"/>
        </w:rPr>
      </w:pPr>
      <w:r>
        <w:rPr>
          <w:rFonts w:hint="eastAsia" w:ascii="宋体" w:hAnsi="宋体"/>
          <w:color w:val="171717"/>
        </w:rPr>
        <w:t>塔机的安装工作必须严格按照安装技术方案来执行。</w:t>
      </w:r>
    </w:p>
    <w:p w14:paraId="5F7DABDE">
      <w:pPr>
        <w:ind w:firstLine="560"/>
        <w:rPr>
          <w:rFonts w:ascii="宋体" w:hAnsi="宋体"/>
          <w:color w:val="171717"/>
        </w:rPr>
      </w:pPr>
      <w:r>
        <w:rPr>
          <w:rFonts w:hint="eastAsia" w:ascii="宋体" w:hAnsi="宋体"/>
          <w:color w:val="171717"/>
        </w:rPr>
        <w:t>安拆施工技术人员编制出的安拆施工方案，必须履行审批手续，经项目部审核、监理单位批准后实施。</w:t>
      </w:r>
    </w:p>
    <w:p w14:paraId="73373FA8">
      <w:pPr>
        <w:ind w:firstLine="560"/>
        <w:rPr>
          <w:rFonts w:ascii="宋体" w:hAnsi="宋体"/>
          <w:color w:val="171717"/>
        </w:rPr>
      </w:pPr>
      <w:r>
        <w:rPr>
          <w:rFonts w:hint="eastAsia" w:ascii="宋体" w:hAnsi="宋体"/>
          <w:color w:val="171717"/>
        </w:rPr>
        <w:t>安装工序做好自检，安装完毕应根据《安装质量验收制度》要求做好调试、检查各机构运转正常、安全装置和各安全限位齐全、灵敏、可靠，</w:t>
      </w:r>
      <w:r>
        <w:rPr>
          <w:rFonts w:hint="eastAsia" w:ascii="宋体" w:hAnsi="宋体"/>
          <w:color w:val="1E1C11"/>
        </w:rPr>
        <w:t>做好安装检查验收记录。</w:t>
      </w:r>
    </w:p>
    <w:p w14:paraId="29921255">
      <w:pPr>
        <w:ind w:firstLine="560"/>
        <w:rPr>
          <w:rFonts w:ascii="宋体" w:hAnsi="宋体"/>
          <w:color w:val="171717"/>
        </w:rPr>
      </w:pPr>
      <w:r>
        <w:rPr>
          <w:rFonts w:hint="eastAsia" w:ascii="宋体" w:hAnsi="宋体"/>
          <w:color w:val="171717"/>
        </w:rPr>
        <w:t>吊安装工长负责贯彻执行每道作业程序，确保施工工艺执行率</w:t>
      </w:r>
      <w:r>
        <w:rPr>
          <w:rFonts w:ascii="宋体" w:hAnsi="宋体"/>
          <w:color w:val="171717"/>
        </w:rPr>
        <w:t>100%</w:t>
      </w:r>
      <w:r>
        <w:rPr>
          <w:rFonts w:hint="eastAsia" w:ascii="宋体" w:hAnsi="宋体"/>
          <w:color w:val="171717"/>
        </w:rPr>
        <w:t>。</w:t>
      </w:r>
    </w:p>
    <w:p w14:paraId="63D61BEC">
      <w:pPr>
        <w:ind w:firstLine="560"/>
        <w:rPr>
          <w:rFonts w:ascii="宋体" w:hAnsi="宋体"/>
          <w:color w:val="171717"/>
        </w:rPr>
      </w:pPr>
      <w:r>
        <w:rPr>
          <w:rFonts w:hint="eastAsia" w:ascii="宋体" w:hAnsi="宋体"/>
          <w:color w:val="171717"/>
        </w:rPr>
        <w:t>安拆单位负责塔机基础的施工质量，项目部配合塔吊安装过程中垂直度进行测量和记录。</w:t>
      </w:r>
    </w:p>
    <w:p w14:paraId="27FA0CCB">
      <w:pPr>
        <w:ind w:firstLine="560"/>
        <w:rPr>
          <w:rFonts w:ascii="宋体" w:hAnsi="宋体"/>
          <w:color w:val="171717"/>
        </w:rPr>
      </w:pPr>
      <w:r>
        <w:rPr>
          <w:rFonts w:hint="eastAsia" w:ascii="宋体" w:hAnsi="宋体"/>
          <w:color w:val="171717"/>
        </w:rPr>
        <w:t>实施对施工设备、工具、索具每日安全检查、维护保养，确保设备安全无故障运行。</w:t>
      </w:r>
    </w:p>
    <w:p w14:paraId="3EC99C57">
      <w:pPr>
        <w:ind w:firstLine="560"/>
        <w:rPr>
          <w:rFonts w:ascii="宋体" w:hAnsi="宋体"/>
          <w:color w:val="171717"/>
        </w:rPr>
      </w:pPr>
      <w:r>
        <w:rPr>
          <w:rFonts w:hint="eastAsia" w:ascii="宋体" w:hAnsi="宋体"/>
          <w:color w:val="171717"/>
        </w:rPr>
        <w:t>设备安装完毕，必须经安全检查部门检验合格，或所有缺陷均整改合格，取得安全使用合格证后，才能移交使用。</w:t>
      </w:r>
    </w:p>
    <w:p w14:paraId="577F9237">
      <w:pPr>
        <w:ind w:firstLine="560"/>
        <w:rPr>
          <w:rFonts w:ascii="宋体" w:hAnsi="宋体"/>
          <w:color w:val="171717"/>
        </w:rPr>
      </w:pPr>
      <w:r>
        <w:rPr>
          <w:rFonts w:hint="eastAsia" w:ascii="宋体" w:hAnsi="宋体"/>
          <w:color w:val="171717"/>
        </w:rPr>
        <w:t>施工服务人员、维修人员严格执行劳动纪律，保持良好的服务态度，虚心听取建设单位意见，确保服务质量满足客户要求。</w:t>
      </w:r>
    </w:p>
    <w:p w14:paraId="5419354D">
      <w:pPr>
        <w:ind w:firstLine="560"/>
        <w:rPr>
          <w:rFonts w:ascii="宋体" w:hAnsi="宋体"/>
          <w:color w:val="171717"/>
        </w:rPr>
      </w:pPr>
      <w:r>
        <w:rPr>
          <w:rFonts w:ascii="宋体" w:hAnsi="宋体"/>
          <w:color w:val="171717"/>
        </w:rPr>
        <w:t>4</w:t>
      </w:r>
      <w:r>
        <w:rPr>
          <w:rFonts w:hint="eastAsia" w:ascii="宋体" w:hAnsi="宋体"/>
          <w:color w:val="171717"/>
        </w:rPr>
        <w:t>、垂直度测量措施</w:t>
      </w:r>
    </w:p>
    <w:p w14:paraId="661EA556">
      <w:pPr>
        <w:ind w:firstLine="560"/>
      </w:pPr>
      <w:r>
        <w:rPr>
          <w:rFonts w:hint="eastAsia" w:ascii="宋体" w:hAnsi="宋体"/>
          <w:color w:val="171717"/>
        </w:rPr>
        <w:t>侧向垂直度在最大独立安装高度、空载状态、臂架相对于塔身</w:t>
      </w:r>
      <w:r>
        <w:rPr>
          <w:rFonts w:ascii="宋体" w:hAnsi="宋体"/>
          <w:color w:val="171717"/>
        </w:rPr>
        <w:t>0</w:t>
      </w:r>
      <w:r>
        <w:rPr>
          <w:rFonts w:hint="eastAsia" w:ascii="宋体" w:hAnsi="宋体"/>
          <w:color w:val="171717"/>
        </w:rPr>
        <w:t>°和</w:t>
      </w:r>
      <w:r>
        <w:rPr>
          <w:rFonts w:ascii="宋体" w:hAnsi="宋体"/>
          <w:color w:val="171717"/>
        </w:rPr>
        <w:t>90</w:t>
      </w:r>
      <w:r>
        <w:rPr>
          <w:rFonts w:hint="eastAsia" w:ascii="宋体" w:hAnsi="宋体"/>
          <w:color w:val="171717"/>
        </w:rPr>
        <w:t>°时由项目部测量人员使用全站仪分别沿臂架方向测量，标尺贴靠在塔身结构中心的最低处和最高处，用经纬仪测量两处的值，连续测量三次取平均值，计算塔身垂直度。要求垂直度误差≤</w:t>
      </w:r>
      <w:r>
        <w:rPr>
          <w:rFonts w:ascii="宋体" w:hAnsi="宋体"/>
          <w:color w:val="171717"/>
        </w:rPr>
        <w:t>4/1000</w:t>
      </w:r>
      <w:r>
        <w:rPr>
          <w:rFonts w:hint="eastAsia" w:ascii="宋体" w:hAnsi="宋体"/>
          <w:color w:val="171717"/>
        </w:rPr>
        <w:t>；</w:t>
      </w:r>
    </w:p>
    <w:p w14:paraId="40B9B054">
      <w:pPr>
        <w:pStyle w:val="2"/>
        <w:bidi w:val="0"/>
        <w:ind w:left="432" w:leftChars="0" w:hanging="432" w:firstLineChars="0"/>
      </w:pPr>
      <w:bookmarkStart w:id="447" w:name="_Toc14047"/>
      <w:bookmarkStart w:id="448" w:name="_Toc25840"/>
      <w:bookmarkStart w:id="449" w:name="_Toc6494"/>
      <w:bookmarkStart w:id="450" w:name="_Toc30554"/>
      <w:bookmarkStart w:id="451" w:name="_Toc9689"/>
      <w:bookmarkStart w:id="452" w:name="_Toc32609"/>
      <w:bookmarkStart w:id="453" w:name="_Toc16563"/>
      <w:r>
        <w:rPr>
          <w:rFonts w:hint="eastAsia"/>
        </w:rPr>
        <w:t>安全管理措施</w:t>
      </w:r>
      <w:bookmarkEnd w:id="365"/>
      <w:bookmarkEnd w:id="366"/>
      <w:bookmarkEnd w:id="367"/>
      <w:bookmarkEnd w:id="368"/>
      <w:bookmarkEnd w:id="369"/>
      <w:bookmarkEnd w:id="370"/>
      <w:bookmarkEnd w:id="371"/>
      <w:bookmarkEnd w:id="372"/>
      <w:bookmarkEnd w:id="447"/>
      <w:bookmarkEnd w:id="448"/>
      <w:bookmarkEnd w:id="449"/>
      <w:bookmarkEnd w:id="450"/>
      <w:bookmarkEnd w:id="451"/>
      <w:bookmarkEnd w:id="452"/>
      <w:bookmarkEnd w:id="453"/>
    </w:p>
    <w:p w14:paraId="2EAE696C">
      <w:pPr>
        <w:pStyle w:val="3"/>
        <w:bidi w:val="0"/>
        <w:ind w:left="575" w:leftChars="0" w:hanging="575" w:firstLineChars="0"/>
      </w:pPr>
      <w:bookmarkStart w:id="454" w:name="_Toc6010"/>
      <w:bookmarkStart w:id="455" w:name="_Toc4288"/>
      <w:bookmarkStart w:id="456" w:name="_Toc28976"/>
      <w:bookmarkStart w:id="457" w:name="_Toc1159"/>
      <w:bookmarkStart w:id="458" w:name="_Toc20054"/>
      <w:bookmarkStart w:id="459" w:name="_Toc87114081"/>
      <w:bookmarkStart w:id="460" w:name="_Toc13990"/>
      <w:bookmarkStart w:id="461" w:name="_Toc5695"/>
      <w:bookmarkStart w:id="462" w:name="_Toc22032"/>
      <w:bookmarkStart w:id="463" w:name="_Toc24020"/>
      <w:bookmarkStart w:id="464" w:name="_Toc10746"/>
      <w:bookmarkStart w:id="465" w:name="_Toc10342"/>
      <w:bookmarkStart w:id="466" w:name="_Toc6532"/>
      <w:bookmarkStart w:id="467" w:name="_Toc7305"/>
      <w:bookmarkStart w:id="468" w:name="_Toc11936"/>
      <w:r>
        <w:rPr>
          <w:rFonts w:hint="eastAsia"/>
        </w:rPr>
        <w:t>安全保证措施</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p>
    <w:p w14:paraId="740F2514">
      <w:pPr>
        <w:pStyle w:val="4"/>
        <w:bidi w:val="0"/>
        <w:ind w:left="720" w:leftChars="0" w:hanging="720" w:firstLineChars="0"/>
      </w:pPr>
      <w:r>
        <w:rPr>
          <w:rFonts w:hint="eastAsia"/>
        </w:rPr>
        <w:t>安全管理目标</w:t>
      </w:r>
    </w:p>
    <w:p w14:paraId="040E7019">
      <w:pPr>
        <w:ind w:firstLine="560"/>
      </w:pPr>
      <w:r>
        <w:rPr>
          <w:rFonts w:hint="eastAsia"/>
        </w:rPr>
        <w:t>杜绝一般事故，确保零死亡。无责任事故。无重大安全隐患。不得因施工对周边环境、建筑、设施等造成破坏。无刑事案件发生。</w:t>
      </w:r>
    </w:p>
    <w:p w14:paraId="38EF1E10">
      <w:pPr>
        <w:pStyle w:val="4"/>
        <w:bidi w:val="0"/>
        <w:ind w:left="720" w:leftChars="0" w:hanging="720" w:firstLineChars="0"/>
      </w:pPr>
      <w:r>
        <w:rPr>
          <w:rFonts w:hint="eastAsia"/>
        </w:rPr>
        <w:t>组织机构</w:t>
      </w:r>
    </w:p>
    <w:p w14:paraId="48612161">
      <w:pPr>
        <w:ind w:firstLine="560"/>
        <w:rPr>
          <w:color w:val="000000"/>
        </w:rPr>
      </w:pPr>
      <w:r>
        <w:rPr>
          <w:rFonts w:hint="eastAsia"/>
          <w:color w:val="000000"/>
        </w:rPr>
        <w:t>项目经理部成立以项目经理为组长，安全总监、总工程师、副经理、总经济师为副组长，职能部门负责人为组员的安全管理领导小组。项目部设置安环部，配备专职安全工程师，专门负责本单位日常安全生产监督管理工作。</w:t>
      </w:r>
    </w:p>
    <w:p w14:paraId="514A70B6">
      <w:pPr>
        <w:spacing w:line="240" w:lineRule="auto"/>
        <w:ind w:firstLine="0" w:firstLineChars="0"/>
        <w:jc w:val="center"/>
        <w:rPr>
          <w:color w:val="000000"/>
        </w:rPr>
      </w:pPr>
      <w:r>
        <w:rPr>
          <w:color w:val="000000"/>
        </w:rPr>
        <w:drawing>
          <wp:inline distT="0" distB="0" distL="114300" distR="114300">
            <wp:extent cx="4145280" cy="4037330"/>
            <wp:effectExtent l="0" t="0" r="0" b="1270"/>
            <wp:docPr id="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pic:cNvPicPr>
                      <a:picLocks noChangeAspect="1"/>
                    </pic:cNvPicPr>
                  </pic:nvPicPr>
                  <pic:blipFill>
                    <a:blip r:embed="rId164"/>
                    <a:stretch>
                      <a:fillRect/>
                    </a:stretch>
                  </pic:blipFill>
                  <pic:spPr>
                    <a:xfrm>
                      <a:off x="0" y="0"/>
                      <a:ext cx="4145280" cy="4037330"/>
                    </a:xfrm>
                    <a:prstGeom prst="rect">
                      <a:avLst/>
                    </a:prstGeom>
                    <a:noFill/>
                    <a:ln>
                      <a:noFill/>
                    </a:ln>
                  </pic:spPr>
                </pic:pic>
              </a:graphicData>
            </a:graphic>
          </wp:inline>
        </w:drawing>
      </w:r>
    </w:p>
    <w:p w14:paraId="5DC14E05">
      <w:pPr>
        <w:pStyle w:val="16"/>
        <w:spacing w:line="240" w:lineRule="auto"/>
        <w:ind w:firstLine="0" w:firstLineChars="0"/>
        <w:jc w:val="center"/>
        <w:rPr>
          <w:color w:val="000000"/>
        </w:rPr>
      </w:pPr>
      <w:r>
        <w:t xml:space="preserve">图 </w:t>
      </w:r>
      <w:r>
        <w:fldChar w:fldCharType="begin"/>
      </w:r>
      <w:r>
        <w:instrText xml:space="preserve"> STYLEREF 3 \s </w:instrText>
      </w:r>
      <w:r>
        <w:fldChar w:fldCharType="separate"/>
      </w:r>
      <w:r>
        <w:t>13.1.2</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eastAsia"/>
        </w:rPr>
        <w:t>安全管理组织机构框图</w:t>
      </w:r>
    </w:p>
    <w:p w14:paraId="4624944E">
      <w:pPr>
        <w:pStyle w:val="4"/>
        <w:bidi w:val="0"/>
        <w:ind w:left="720" w:leftChars="0" w:hanging="720" w:firstLineChars="0"/>
      </w:pPr>
      <w:r>
        <w:rPr>
          <w:rFonts w:hint="eastAsia"/>
        </w:rPr>
        <w:t>保证体系</w:t>
      </w:r>
    </w:p>
    <w:p w14:paraId="045A4902">
      <w:pPr>
        <w:ind w:firstLine="560"/>
        <w:rPr>
          <w:color w:val="000000"/>
        </w:rPr>
      </w:pPr>
      <w:r>
        <w:rPr>
          <w:rFonts w:hint="eastAsia"/>
          <w:color w:val="000000"/>
        </w:rPr>
        <w:t>施工安全目标保证体系如下图:</w:t>
      </w:r>
    </w:p>
    <w:p w14:paraId="16AF8EF2">
      <w:pPr>
        <w:spacing w:line="240" w:lineRule="auto"/>
        <w:ind w:firstLine="0" w:firstLineChars="0"/>
        <w:jc w:val="center"/>
        <w:rPr>
          <w:rFonts w:cs="仿宋"/>
          <w:color w:val="000000"/>
          <w:sz w:val="18"/>
        </w:rPr>
      </w:pPr>
      <w:r>
        <w:rPr>
          <w:rFonts w:cs="仿宋"/>
          <w:color w:val="000000"/>
          <w:sz w:val="18"/>
        </w:rPr>
        <w:drawing>
          <wp:inline distT="0" distB="0" distL="114300" distR="114300">
            <wp:extent cx="5725160" cy="6306820"/>
            <wp:effectExtent l="0" t="0" r="5080" b="2540"/>
            <wp:docPr id="5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1"/>
                    <pic:cNvPicPr>
                      <a:picLocks noChangeAspect="1"/>
                    </pic:cNvPicPr>
                  </pic:nvPicPr>
                  <pic:blipFill>
                    <a:blip r:embed="rId165"/>
                    <a:stretch>
                      <a:fillRect/>
                    </a:stretch>
                  </pic:blipFill>
                  <pic:spPr>
                    <a:xfrm>
                      <a:off x="0" y="0"/>
                      <a:ext cx="5725160" cy="6306820"/>
                    </a:xfrm>
                    <a:prstGeom prst="rect">
                      <a:avLst/>
                    </a:prstGeom>
                    <a:noFill/>
                    <a:ln>
                      <a:noFill/>
                    </a:ln>
                  </pic:spPr>
                </pic:pic>
              </a:graphicData>
            </a:graphic>
          </wp:inline>
        </w:drawing>
      </w:r>
    </w:p>
    <w:p w14:paraId="4B1C4B3F">
      <w:pPr>
        <w:pStyle w:val="16"/>
        <w:spacing w:line="240" w:lineRule="auto"/>
        <w:ind w:firstLine="0" w:firstLineChars="0"/>
        <w:jc w:val="center"/>
        <w:rPr>
          <w:rFonts w:cs="仿宋"/>
          <w:color w:val="000000"/>
          <w:sz w:val="18"/>
        </w:rPr>
      </w:pPr>
      <w:r>
        <w:t xml:space="preserve">图 </w:t>
      </w:r>
      <w:r>
        <w:fldChar w:fldCharType="begin"/>
      </w:r>
      <w:r>
        <w:instrText xml:space="preserve"> STYLEREF 3 \s </w:instrText>
      </w:r>
      <w:r>
        <w:fldChar w:fldCharType="separate"/>
      </w:r>
      <w:r>
        <w:t>13.1.3</w:t>
      </w:r>
      <w:r>
        <w:fldChar w:fldCharType="end"/>
      </w:r>
      <w:r>
        <w:rPr>
          <w:rFonts w:hint="eastAsia"/>
          <w:lang w:eastAsia="zh-CN"/>
        </w:rPr>
        <w:t>-</w:t>
      </w:r>
      <w:r>
        <w:fldChar w:fldCharType="begin"/>
      </w:r>
      <w:r>
        <w:instrText xml:space="preserve"> SEQ 图 \* ARABIC \s 3 </w:instrText>
      </w:r>
      <w:r>
        <w:fldChar w:fldCharType="separate"/>
      </w:r>
      <w:r>
        <w:t>1</w:t>
      </w:r>
      <w:r>
        <w:fldChar w:fldCharType="end"/>
      </w:r>
      <w:r>
        <w:rPr>
          <w:rFonts w:hint="eastAsia"/>
          <w:lang w:val="en-US" w:eastAsia="zh-CN"/>
        </w:rPr>
        <w:t xml:space="preserve"> </w:t>
      </w:r>
      <w:r>
        <w:rPr>
          <w:rFonts w:hint="eastAsia"/>
        </w:rPr>
        <w:t>安全生产保证体系框图</w:t>
      </w:r>
    </w:p>
    <w:p w14:paraId="20894C7E">
      <w:pPr>
        <w:pStyle w:val="3"/>
        <w:bidi w:val="0"/>
        <w:ind w:left="575" w:leftChars="0" w:hanging="575" w:firstLineChars="0"/>
      </w:pPr>
      <w:bookmarkStart w:id="469" w:name="_Toc31815"/>
      <w:bookmarkStart w:id="470" w:name="_Toc14256"/>
      <w:bookmarkStart w:id="471" w:name="_Toc10569"/>
      <w:bookmarkStart w:id="472" w:name="_Toc20533"/>
      <w:bookmarkStart w:id="473" w:name="_Toc17725"/>
      <w:bookmarkStart w:id="474" w:name="_Toc5351"/>
      <w:bookmarkStart w:id="475" w:name="_Toc17375"/>
      <w:bookmarkStart w:id="476" w:name="_Toc511375423"/>
      <w:bookmarkStart w:id="477" w:name="_Toc16185041"/>
      <w:bookmarkStart w:id="478" w:name="_Toc96868107"/>
      <w:r>
        <w:rPr>
          <w:rFonts w:hint="eastAsia"/>
        </w:rPr>
        <w:t>危险源安全监控措施</w:t>
      </w:r>
      <w:bookmarkEnd w:id="469"/>
      <w:bookmarkEnd w:id="470"/>
      <w:bookmarkEnd w:id="471"/>
      <w:bookmarkEnd w:id="472"/>
      <w:bookmarkEnd w:id="473"/>
      <w:bookmarkEnd w:id="474"/>
      <w:bookmarkEnd w:id="475"/>
    </w:p>
    <w:p w14:paraId="4E482FFA">
      <w:pPr>
        <w:pStyle w:val="4"/>
        <w:bidi w:val="0"/>
        <w:ind w:left="720" w:leftChars="0" w:hanging="720" w:firstLineChars="0"/>
      </w:pPr>
      <w:r>
        <w:rPr>
          <w:rFonts w:hint="eastAsia"/>
        </w:rPr>
        <w:t>高处坠落安全控制措施</w:t>
      </w:r>
    </w:p>
    <w:p w14:paraId="4265581F">
      <w:pPr>
        <w:ind w:firstLine="560"/>
        <w:rPr>
          <w:szCs w:val="22"/>
        </w:rPr>
      </w:pPr>
      <w:r>
        <w:rPr>
          <w:rFonts w:hint="eastAsia"/>
          <w:szCs w:val="22"/>
        </w:rPr>
        <w:t>1、一般控制措施</w:t>
      </w:r>
    </w:p>
    <w:p w14:paraId="44F26FFC">
      <w:pPr>
        <w:ind w:firstLine="560"/>
      </w:pPr>
      <w:r>
        <w:rPr>
          <w:rFonts w:hint="eastAsia"/>
        </w:rPr>
        <w:t>（1）从事登高作业人员，必须进行体格检查，检查不合格不得从事高空作业。</w:t>
      </w:r>
    </w:p>
    <w:p w14:paraId="23BEDE68">
      <w:pPr>
        <w:ind w:firstLine="560"/>
      </w:pPr>
      <w:r>
        <w:rPr>
          <w:rFonts w:hint="eastAsia"/>
        </w:rPr>
        <w:t>（2）定期对个人安全防护用品、安全帽、安全带、防滑鞋的检查。</w:t>
      </w:r>
    </w:p>
    <w:p w14:paraId="6C66F6AC">
      <w:pPr>
        <w:ind w:firstLine="560"/>
      </w:pPr>
      <w:r>
        <w:rPr>
          <w:rFonts w:hint="eastAsia"/>
        </w:rPr>
        <w:t>（3）每日上岗前，必须对高处作业安全防护设施逐一加以检查，发现有松动、变形、损坏或脱落等现象，立即修理完善。</w:t>
      </w:r>
    </w:p>
    <w:p w14:paraId="45121BD8">
      <w:pPr>
        <w:ind w:firstLine="560"/>
      </w:pPr>
      <w:r>
        <w:rPr>
          <w:rFonts w:hint="eastAsia"/>
        </w:rPr>
        <w:t>（4）对高处作业的安全防护设施，做好安全监控，发现有缺陷和隐患时必须及时解决。</w:t>
      </w:r>
    </w:p>
    <w:p w14:paraId="62C314F1">
      <w:pPr>
        <w:ind w:firstLine="560"/>
      </w:pPr>
      <w:r>
        <w:rPr>
          <w:rFonts w:hint="eastAsia"/>
        </w:rPr>
        <w:t>（5）在没有安全防护设施时，禁止在高处支架操作平台上支撑、挑架或未固定的构件上行走或作业。高处作业与地面的联系，必须采用通讯装置，并设专人负责。</w:t>
      </w:r>
    </w:p>
    <w:p w14:paraId="71075BD5">
      <w:pPr>
        <w:ind w:firstLine="560"/>
      </w:pPr>
      <w:r>
        <w:rPr>
          <w:rFonts w:hint="eastAsia"/>
        </w:rPr>
        <w:t>（6）高处作业施工临边防护均采用标准1.2m防护栏杆，18cm高踢脚板。</w:t>
      </w:r>
    </w:p>
    <w:p w14:paraId="425AE501">
      <w:pPr>
        <w:ind w:firstLine="560"/>
      </w:pPr>
      <w:r>
        <w:rPr>
          <w:rFonts w:hint="eastAsia"/>
        </w:rPr>
        <w:t>2、施工现场高处坠落控制措施</w:t>
      </w:r>
    </w:p>
    <w:p w14:paraId="34101D1F">
      <w:pPr>
        <w:ind w:firstLine="560"/>
      </w:pPr>
      <w:r>
        <w:rPr>
          <w:rFonts w:hint="eastAsia"/>
        </w:rPr>
        <w:t>（1）塔机施工人员必须穿防滑鞋，危险部位作业必须系好安全带。</w:t>
      </w:r>
    </w:p>
    <w:p w14:paraId="693A0C38">
      <w:pPr>
        <w:ind w:firstLine="560"/>
      </w:pPr>
      <w:r>
        <w:rPr>
          <w:rFonts w:hint="eastAsia"/>
        </w:rPr>
        <w:t>（2）夜间工作必须有足够的照明灯光。</w:t>
      </w:r>
    </w:p>
    <w:p w14:paraId="72F3B800">
      <w:pPr>
        <w:ind w:firstLine="560"/>
      </w:pPr>
      <w:r>
        <w:rPr>
          <w:rFonts w:hint="eastAsia"/>
        </w:rPr>
        <w:t>（3）安装期间一律禁止饮酒。</w:t>
      </w:r>
    </w:p>
    <w:p w14:paraId="0AE6DB47">
      <w:pPr>
        <w:ind w:firstLine="560"/>
      </w:pPr>
      <w:r>
        <w:rPr>
          <w:rFonts w:hint="eastAsia"/>
        </w:rPr>
        <w:t>（4）所有作业吊车必须严格遵守安全操作规程。</w:t>
      </w:r>
    </w:p>
    <w:p w14:paraId="5576EF42">
      <w:pPr>
        <w:ind w:firstLine="560"/>
      </w:pPr>
      <w:r>
        <w:rPr>
          <w:rFonts w:hint="eastAsia"/>
        </w:rPr>
        <w:t>（5）工作中集中精力，不得随意开玩笑和打闹。</w:t>
      </w:r>
    </w:p>
    <w:p w14:paraId="4EC5A738">
      <w:pPr>
        <w:ind w:firstLine="560"/>
      </w:pPr>
      <w:r>
        <w:rPr>
          <w:rFonts w:hint="eastAsia"/>
        </w:rPr>
        <w:t>（6）凡大雨、大雪、大雾、大风（风力六级以上）等天气禁止安装塔吊。</w:t>
      </w:r>
    </w:p>
    <w:p w14:paraId="0FACECEF">
      <w:pPr>
        <w:pStyle w:val="15"/>
        <w:ind w:firstLine="560"/>
        <w:rPr>
          <w:rFonts w:hint="default"/>
        </w:rPr>
      </w:pPr>
      <w:r>
        <w:t>（7）</w:t>
      </w:r>
      <w:r>
        <w:rPr>
          <w:rFonts w:cs="宋体"/>
          <w:kern w:val="0"/>
          <w:szCs w:val="21"/>
        </w:rPr>
        <w:t>销轴时安装人员应站站塔机平台上，挂好安全带。</w:t>
      </w:r>
    </w:p>
    <w:p w14:paraId="780A3B47">
      <w:pPr>
        <w:pStyle w:val="4"/>
        <w:bidi w:val="0"/>
        <w:ind w:left="720" w:leftChars="0" w:hanging="720" w:firstLineChars="0"/>
      </w:pPr>
      <w:r>
        <w:rPr>
          <w:rFonts w:hint="eastAsia"/>
        </w:rPr>
        <w:t>9.2.</w:t>
      </w:r>
      <w:r>
        <w:t>2</w:t>
      </w:r>
      <w:r>
        <w:rPr>
          <w:rFonts w:hint="eastAsia"/>
        </w:rPr>
        <w:t xml:space="preserve"> 起重伤害安全控制措施</w:t>
      </w:r>
    </w:p>
    <w:p w14:paraId="3B91044F">
      <w:pPr>
        <w:ind w:firstLine="560"/>
      </w:pPr>
      <w:r>
        <w:rPr>
          <w:rFonts w:hint="eastAsia"/>
        </w:rPr>
        <w:t>1、严格执行机械管理要求，性能不满足要求</w:t>
      </w:r>
      <w:r>
        <w:t>、</w:t>
      </w:r>
      <w:r>
        <w:rPr>
          <w:rFonts w:hint="eastAsia"/>
        </w:rPr>
        <w:t>状态差、车辆和操作人员证件不齐或无效的严禁进场。</w:t>
      </w:r>
    </w:p>
    <w:p w14:paraId="455F2BBB">
      <w:pPr>
        <w:ind w:firstLine="560"/>
      </w:pPr>
      <w:r>
        <w:rPr>
          <w:rFonts w:hint="eastAsia"/>
        </w:rPr>
        <w:t>2、起重机司机、起重指挥等操作人员必须正确佩戴防护用品。</w:t>
      </w:r>
    </w:p>
    <w:p w14:paraId="6F1D8763">
      <w:pPr>
        <w:ind w:firstLine="560"/>
      </w:pPr>
      <w:r>
        <w:rPr>
          <w:rFonts w:hint="eastAsia"/>
        </w:rPr>
        <w:t>3、起重吊装作业应设警戒区域，设置警示标牌，安排专人统一指挥，严禁闲杂人员进入吊装施工现场。</w:t>
      </w:r>
    </w:p>
    <w:p w14:paraId="5ADFD4BA">
      <w:pPr>
        <w:ind w:firstLine="560"/>
      </w:pPr>
      <w:r>
        <w:rPr>
          <w:rFonts w:hint="eastAsia"/>
        </w:rPr>
        <w:t>4、吊装作业如遇到停电或其他特殊情况，应将重物落在地面，不得悬在空中。</w:t>
      </w:r>
    </w:p>
    <w:p w14:paraId="57F0D5D6">
      <w:pPr>
        <w:ind w:firstLine="560"/>
      </w:pPr>
      <w:r>
        <w:rPr>
          <w:rFonts w:hint="eastAsia"/>
        </w:rPr>
        <w:t>5、大雨、大雾及风力六级以上（含六级）等恶劣天气，必须停止露天起重吊装作业。</w:t>
      </w:r>
    </w:p>
    <w:p w14:paraId="4D484CA8">
      <w:pPr>
        <w:ind w:firstLine="560"/>
      </w:pPr>
      <w:r>
        <w:rPr>
          <w:rFonts w:hint="eastAsia"/>
          <w:lang w:val="en-US" w:eastAsia="zh-CN"/>
        </w:rPr>
        <w:t>6</w:t>
      </w:r>
      <w:r>
        <w:rPr>
          <w:rFonts w:hint="eastAsia"/>
        </w:rPr>
        <w:t>、严格遵守起重安全操作规程及“十不吊”要求，严禁违章操作、违章指挥。</w:t>
      </w:r>
    </w:p>
    <w:p w14:paraId="69B1A1AB">
      <w:pPr>
        <w:pStyle w:val="4"/>
        <w:bidi w:val="0"/>
        <w:ind w:left="720" w:leftChars="0" w:hanging="720" w:firstLineChars="0"/>
      </w:pPr>
      <w:r>
        <w:rPr>
          <w:rFonts w:hint="eastAsia"/>
        </w:rPr>
        <w:t>预防坍塌安全控制措施</w:t>
      </w:r>
    </w:p>
    <w:p w14:paraId="5E9418C0">
      <w:pPr>
        <w:ind w:firstLine="560"/>
        <w:rPr>
          <w:szCs w:val="22"/>
        </w:rPr>
      </w:pPr>
      <w:r>
        <w:rPr>
          <w:rFonts w:hint="eastAsia"/>
          <w:szCs w:val="22"/>
        </w:rPr>
        <w:t>1、 一般控制措施</w:t>
      </w:r>
    </w:p>
    <w:p w14:paraId="728672B6">
      <w:pPr>
        <w:ind w:firstLine="560"/>
      </w:pPr>
      <w:r>
        <w:rPr>
          <w:rFonts w:hint="eastAsia"/>
        </w:rPr>
        <w:t>（1）在塔式起重机的塔吊顶及机臂架上设置爆闪警示灯及其他警示标志。</w:t>
      </w:r>
    </w:p>
    <w:p w14:paraId="2AEB9EB7">
      <w:pPr>
        <w:ind w:firstLine="560"/>
      </w:pPr>
      <w:r>
        <w:rPr>
          <w:rFonts w:hint="eastAsia"/>
        </w:rPr>
        <w:t>（2）塔式起重机安装时其自由高度严禁超过设计要求</w:t>
      </w:r>
    </w:p>
    <w:p w14:paraId="2C3489DB">
      <w:pPr>
        <w:ind w:firstLine="560"/>
        <w:rPr>
          <w:szCs w:val="22"/>
        </w:rPr>
      </w:pPr>
      <w:r>
        <w:rPr>
          <w:rFonts w:hint="eastAsia"/>
          <w:szCs w:val="22"/>
        </w:rPr>
        <w:t>2、施工现场防止坍塌控制措施</w:t>
      </w:r>
    </w:p>
    <w:p w14:paraId="769952F3">
      <w:pPr>
        <w:ind w:firstLine="560"/>
      </w:pPr>
      <w:r>
        <w:rPr>
          <w:rFonts w:hint="eastAsia"/>
        </w:rPr>
        <w:t>（1）各类施工机械距基坑（槽）、边坡和基础桩孔的距离， 应 根据设备重量、基坑（槽）、边坡和基础桩的支护、土质情况确定， 并不得小于 1.5m。</w:t>
      </w:r>
    </w:p>
    <w:p w14:paraId="73101D8C">
      <w:pPr>
        <w:ind w:firstLine="560"/>
      </w:pPr>
      <w:r>
        <w:rPr>
          <w:rFonts w:hint="eastAsia"/>
        </w:rPr>
        <w:t>（2）断点后拆下电磁离合器的电刷，观察磨损是否过度，内部弹簧有无伸缩劲，如不行或者不灵活就必须中心更换。用万能表测量离合器线圈是否在规定值内，在认真观察吸片是否烧坏，线圈工作时是否产生磁场，并检查夹谷吸片的卡簧是否有效。待确认正常后恢复使用。</w:t>
      </w:r>
    </w:p>
    <w:p w14:paraId="4C4A8C01">
      <w:pPr>
        <w:ind w:firstLine="560"/>
      </w:pPr>
      <w:r>
        <w:rPr>
          <w:rFonts w:hint="eastAsia"/>
        </w:rPr>
        <w:t>（3）检查钢丝绳、卸夹、吊钩、吊索等，严格执行钢丝绳的磨损规定，发现绳股断裂、纤维芯损坏或者钢芯断裂而造成绳径显著减小、笼状畸变、严重扭结等问题立即更换，杜绝事故发生。</w:t>
      </w:r>
    </w:p>
    <w:p w14:paraId="62E9DDD9">
      <w:pPr>
        <w:ind w:firstLine="560"/>
      </w:pPr>
      <w:r>
        <w:rPr>
          <w:rFonts w:hint="eastAsia"/>
        </w:rPr>
        <w:t>（4）定期用扳手检查标准节连接螺栓紧固。</w:t>
      </w:r>
    </w:p>
    <w:p w14:paraId="40F0C5B8">
      <w:pPr>
        <w:ind w:firstLine="560"/>
      </w:pPr>
      <w:r>
        <w:rPr>
          <w:rFonts w:hint="eastAsia"/>
        </w:rPr>
        <w:t>（5）定期对限位器进行试验，并调试确认灵敏后作业。</w:t>
      </w:r>
    </w:p>
    <w:p w14:paraId="6FDDEF4B">
      <w:pPr>
        <w:ind w:firstLine="560"/>
      </w:pPr>
      <w:bookmarkStart w:id="479" w:name="_Toc2425"/>
      <w:bookmarkStart w:id="480" w:name="_Toc6070"/>
      <w:bookmarkStart w:id="481" w:name="_Toc3197"/>
      <w:bookmarkStart w:id="482" w:name="_Toc533610116"/>
      <w:bookmarkStart w:id="483" w:name="_Toc5122"/>
      <w:bookmarkStart w:id="484" w:name="_Toc529200610"/>
      <w:bookmarkStart w:id="485" w:name="_Toc26093"/>
      <w:r>
        <w:rPr>
          <w:rFonts w:hint="eastAsia"/>
        </w:rPr>
        <w:t>一般风险源控制措施</w:t>
      </w:r>
      <w:bookmarkEnd w:id="479"/>
      <w:bookmarkEnd w:id="480"/>
      <w:bookmarkEnd w:id="481"/>
      <w:bookmarkEnd w:id="482"/>
      <w:bookmarkEnd w:id="483"/>
      <w:bookmarkEnd w:id="484"/>
      <w:bookmarkEnd w:id="485"/>
    </w:p>
    <w:p w14:paraId="30320D14">
      <w:pPr>
        <w:ind w:firstLine="560"/>
      </w:pPr>
      <w:r>
        <w:rPr>
          <w:rFonts w:hint="eastAsia"/>
        </w:rPr>
        <w:t>安全管理人员或安全管理方案规定的其他负有监控职责的人员，必须对已开工的工程实施工地安全标准或安全管理方案的情况和相关目标、指标的完成情况进行定期检查，并将情况填入安全日志。对已存在的与工地安全标准和安全管理方案不符合或对目标、指标的实现有影响的缺陷，应及时向有关人员指出，并按规定的时限向分管领导报告；对于严重威胁操作人员安全的，有权要求立即停工。</w:t>
      </w:r>
    </w:p>
    <w:p w14:paraId="0B2C836C">
      <w:pPr>
        <w:pStyle w:val="4"/>
        <w:bidi w:val="0"/>
        <w:ind w:left="720" w:leftChars="0" w:hanging="720" w:firstLineChars="0"/>
      </w:pPr>
      <w:r>
        <w:rPr>
          <w:rFonts w:hint="eastAsia"/>
        </w:rPr>
        <w:t>常规安全控制措施</w:t>
      </w:r>
    </w:p>
    <w:p w14:paraId="45BA80D4">
      <w:pPr>
        <w:ind w:firstLine="560"/>
      </w:pPr>
      <w:r>
        <w:rPr>
          <w:rFonts w:hint="eastAsia"/>
        </w:rPr>
        <w:t>1、严格按照有关安全生产的各项规定组织施工，做到安全生产，文明施工，必须认真贯彻“安全第一、预防为主、综合治理”的方针。</w:t>
      </w:r>
    </w:p>
    <w:p w14:paraId="1EED2081">
      <w:pPr>
        <w:ind w:firstLine="560"/>
      </w:pPr>
      <w:r>
        <w:rPr>
          <w:rFonts w:hint="eastAsia"/>
        </w:rPr>
        <w:t>2、操作人员必须持证上岗，对新进场的工人进行安全生产的教育和培训，方准许其进入操作岗位。</w:t>
      </w:r>
    </w:p>
    <w:p w14:paraId="0A04C664">
      <w:pPr>
        <w:ind w:firstLine="560"/>
      </w:pPr>
      <w:r>
        <w:rPr>
          <w:rFonts w:hint="eastAsia"/>
        </w:rPr>
        <w:t>3、施工现场设立安全警示标志和守卫人员，闲杂人员一律不得进入施工现场参观、逗留，施工现场严禁嬉戏打闹。</w:t>
      </w:r>
    </w:p>
    <w:p w14:paraId="743B8F6A">
      <w:pPr>
        <w:ind w:firstLine="560"/>
      </w:pPr>
      <w:r>
        <w:rPr>
          <w:rFonts w:hint="eastAsia"/>
        </w:rPr>
        <w:t>4、施工操作人员进入现场时必须正确佩戴安全帽。</w:t>
      </w:r>
    </w:p>
    <w:p w14:paraId="2BF9D257">
      <w:pPr>
        <w:ind w:firstLine="560"/>
      </w:pPr>
      <w:r>
        <w:rPr>
          <w:rFonts w:hint="eastAsia"/>
        </w:rPr>
        <w:t>5、各工种严格执行相应的操作规程，不得违章作业。严格执行交接班制度。</w:t>
      </w:r>
    </w:p>
    <w:p w14:paraId="2A071EC3">
      <w:pPr>
        <w:ind w:firstLine="560"/>
      </w:pPr>
      <w:r>
        <w:rPr>
          <w:rFonts w:hint="eastAsia"/>
        </w:rPr>
        <w:t>6、现场施工为多工种协调作业，必须统一指挥，信号明确，通讯迅达，指令正确。各操作人员在意图不明时严禁进行作业，发现问题应及时向上级反映。</w:t>
      </w:r>
    </w:p>
    <w:p w14:paraId="6E33D96E">
      <w:pPr>
        <w:ind w:firstLine="560"/>
      </w:pPr>
      <w:r>
        <w:rPr>
          <w:rFonts w:hint="eastAsia"/>
        </w:rPr>
        <w:t>7、大风、大雨和浓雾天气必须停止吊装作业；夜间作业必须有良好的照明设施，否则不得夜间作业。</w:t>
      </w:r>
    </w:p>
    <w:p w14:paraId="562952D0">
      <w:pPr>
        <w:ind w:firstLine="560"/>
      </w:pPr>
      <w:r>
        <w:rPr>
          <w:rFonts w:hint="eastAsia"/>
        </w:rPr>
        <w:t>8、每天上下班时对劳动用品、机械设备及机具、吊具、索具等进行检查，确保用具在完好的情况下进行施工，消除隐患，确保安全施工。</w:t>
      </w:r>
    </w:p>
    <w:p w14:paraId="0A5AC72A">
      <w:pPr>
        <w:pStyle w:val="4"/>
        <w:bidi w:val="0"/>
        <w:ind w:left="720" w:leftChars="0" w:hanging="720" w:firstLineChars="0"/>
      </w:pPr>
      <w:r>
        <w:rPr>
          <w:rFonts w:hint="eastAsia"/>
        </w:rPr>
        <w:t>物体打击安全控制措施</w:t>
      </w:r>
    </w:p>
    <w:p w14:paraId="57974251">
      <w:pPr>
        <w:ind w:firstLine="560"/>
      </w:pPr>
      <w:r>
        <w:rPr>
          <w:rFonts w:hint="eastAsia"/>
        </w:rPr>
        <w:t>1、塔机结构件吊装过程中必须专人指挥，统一管理。</w:t>
      </w:r>
    </w:p>
    <w:p w14:paraId="60D7EFC5">
      <w:pPr>
        <w:ind w:firstLine="560"/>
      </w:pPr>
      <w:r>
        <w:rPr>
          <w:rFonts w:hint="eastAsia"/>
        </w:rPr>
        <w:t>2、高处施工作业人员必须配备工具袋并按要求正确佩戴使用个体安全防护用品，防止个人物品从高处掉落。</w:t>
      </w:r>
    </w:p>
    <w:p w14:paraId="57164A4E">
      <w:pPr>
        <w:ind w:firstLine="560"/>
      </w:pPr>
      <w:r>
        <w:rPr>
          <w:rFonts w:hint="eastAsia"/>
        </w:rPr>
        <w:t>3、尽量避免交叉作业，无法避开交叉作业时，应设置安全防护措施，防止发生物体打击事故。</w:t>
      </w:r>
    </w:p>
    <w:p w14:paraId="0D2D8834">
      <w:pPr>
        <w:ind w:firstLine="560"/>
        <w:rPr>
          <w:rFonts w:ascii="宋体" w:hAnsi="宋体" w:cs="宋体"/>
        </w:rPr>
      </w:pPr>
      <w:r>
        <w:rPr>
          <w:rFonts w:hint="eastAsia" w:ascii="宋体" w:hAnsi="宋体" w:cs="宋体"/>
        </w:rPr>
        <w:t>4、加强安全检查，高处临边严禁堆放物件，施工作业时严禁上下抛掷物件。</w:t>
      </w:r>
    </w:p>
    <w:p w14:paraId="26CEDBA7">
      <w:pPr>
        <w:ind w:firstLine="560"/>
        <w:rPr>
          <w:rFonts w:ascii="宋体" w:hAnsi="宋体" w:cs="宋体"/>
        </w:rPr>
      </w:pPr>
      <w:r>
        <w:rPr>
          <w:rFonts w:hint="eastAsia" w:ascii="宋体" w:hAnsi="宋体" w:cs="宋体"/>
        </w:rPr>
        <w:t>5、高空临边作业做好安全防护，护栏高度达到1.2m，设置踢脚板，防止物件掉落；高空操作范围全封闭，通道及操作平台满铺脚手板，设置防滑条。</w:t>
      </w:r>
    </w:p>
    <w:p w14:paraId="68CD6850">
      <w:pPr>
        <w:ind w:firstLine="560"/>
        <w:rPr>
          <w:rFonts w:ascii="宋体" w:hAnsi="宋体" w:cs="宋体"/>
        </w:rPr>
      </w:pPr>
      <w:r>
        <w:rPr>
          <w:rFonts w:hint="eastAsia" w:ascii="宋体" w:hAnsi="宋体" w:cs="宋体"/>
        </w:rPr>
        <w:t>6、大型结构安装、拆除等高空操作时设置临时警戒区，下方人员撤离并拉设警戒线。安装、拆除完成后及时清理现场，做到工完料尽场地清。</w:t>
      </w:r>
    </w:p>
    <w:p w14:paraId="2B27AC51">
      <w:pPr>
        <w:pStyle w:val="4"/>
        <w:bidi w:val="0"/>
        <w:ind w:left="720" w:leftChars="0" w:hanging="720" w:firstLineChars="0"/>
      </w:pPr>
      <w:r>
        <w:rPr>
          <w:rFonts w:hint="eastAsia"/>
        </w:rPr>
        <w:t>机械伤害安全控制措施</w:t>
      </w:r>
    </w:p>
    <w:p w14:paraId="2C0A5E71">
      <w:pPr>
        <w:ind w:firstLine="560"/>
      </w:pPr>
      <w:r>
        <w:rPr>
          <w:rFonts w:hint="eastAsia"/>
        </w:rPr>
        <w:t>1、操作人员须经安全教育培训，考核合格取得操作证后方可持证上岗作业。</w:t>
      </w:r>
    </w:p>
    <w:p w14:paraId="24D5E5AD">
      <w:pPr>
        <w:ind w:firstLine="560"/>
      </w:pPr>
      <w:r>
        <w:t>2、</w:t>
      </w:r>
      <w:r>
        <w:rPr>
          <w:rFonts w:hint="eastAsia"/>
        </w:rPr>
        <w:t>特种设备安装、拆除必须由具备资质的专业化公司进行，并且使用前或使用后一个月内到当地部门登记备案。</w:t>
      </w:r>
    </w:p>
    <w:p w14:paraId="3CD8E268">
      <w:pPr>
        <w:ind w:firstLine="560"/>
      </w:pPr>
      <w:r>
        <w:rPr>
          <w:rFonts w:hint="eastAsia"/>
        </w:rPr>
        <w:t>3、操作人员要严格按照机械设备安全操作规程作业，并且佩戴使用必要的安全防护用品。</w:t>
      </w:r>
    </w:p>
    <w:p w14:paraId="67729156">
      <w:pPr>
        <w:ind w:firstLine="560"/>
      </w:pPr>
      <w:r>
        <w:rPr>
          <w:rFonts w:hint="eastAsia"/>
        </w:rPr>
        <w:t>4、要定期对机械设备进行保养和维护，做好维修保养记录保证机械性能良好。</w:t>
      </w:r>
    </w:p>
    <w:p w14:paraId="313E7D1D">
      <w:pPr>
        <w:ind w:firstLine="560"/>
      </w:pPr>
      <w:r>
        <w:rPr>
          <w:rFonts w:hint="eastAsia"/>
        </w:rPr>
        <w:t>5、极端恶劣天气来临前以及过后要全面对机械设备进行检查和维修。</w:t>
      </w:r>
    </w:p>
    <w:p w14:paraId="45529874">
      <w:pPr>
        <w:ind w:firstLine="560"/>
      </w:pPr>
      <w:r>
        <w:rPr>
          <w:rFonts w:hint="eastAsia"/>
        </w:rPr>
        <w:t>6、机械设备零部件必须符合设计及安全技术规范、标准要求。</w:t>
      </w:r>
    </w:p>
    <w:p w14:paraId="0CAF6898">
      <w:pPr>
        <w:ind w:firstLine="560"/>
      </w:pPr>
      <w:r>
        <w:rPr>
          <w:rFonts w:hint="eastAsia"/>
        </w:rPr>
        <w:t>7、机械设备电气装置必须符合安全要求。</w:t>
      </w:r>
    </w:p>
    <w:p w14:paraId="404C4983">
      <w:pPr>
        <w:ind w:firstLine="560"/>
      </w:pPr>
      <w:r>
        <w:rPr>
          <w:rFonts w:hint="eastAsia"/>
        </w:rPr>
        <w:t>8、机械设备应根据有关安全要求，装设合理、可靠的安全装置，保证不影响机械设备安全使用。</w:t>
      </w:r>
    </w:p>
    <w:p w14:paraId="49AD0C91">
      <w:pPr>
        <w:ind w:firstLine="560"/>
      </w:pPr>
      <w:r>
        <w:rPr>
          <w:rFonts w:hint="eastAsia"/>
        </w:rPr>
        <w:t>9、操作人员必须正确使用安全装置，不得随意破坏或拆除安全装置；</w:t>
      </w:r>
    </w:p>
    <w:p w14:paraId="0EC7F8AF">
      <w:pPr>
        <w:ind w:firstLine="560"/>
      </w:pPr>
      <w:r>
        <w:rPr>
          <w:rFonts w:hint="eastAsia"/>
        </w:rPr>
        <w:t>10、操作人员在机械设备运行前，必须按规定进行安全检查，严禁机械设备带病运行。</w:t>
      </w:r>
    </w:p>
    <w:p w14:paraId="289C1B88">
      <w:pPr>
        <w:pStyle w:val="4"/>
        <w:bidi w:val="0"/>
        <w:ind w:left="720" w:leftChars="0" w:hanging="720" w:firstLineChars="0"/>
      </w:pPr>
      <w:r>
        <w:rPr>
          <w:rFonts w:hint="eastAsia"/>
        </w:rPr>
        <w:t>施工用电安全控制措施</w:t>
      </w:r>
    </w:p>
    <w:p w14:paraId="07D8EE9A">
      <w:pPr>
        <w:ind w:firstLine="560"/>
      </w:pPr>
      <w:r>
        <w:rPr>
          <w:rFonts w:hint="eastAsia"/>
        </w:rPr>
        <w:t>1、严格执行《施工现场临时用电安全技术规范》（JGJ</w:t>
      </w:r>
      <w:r>
        <w:t xml:space="preserve"> 46-2005</w:t>
      </w:r>
      <w:r>
        <w:rPr>
          <w:rFonts w:hint="eastAsia"/>
        </w:rPr>
        <w:t>）中的规定，并做好临时用电施工设计和安全用电技术措施的编制。</w:t>
      </w:r>
    </w:p>
    <w:p w14:paraId="28463448">
      <w:pPr>
        <w:ind w:firstLine="560"/>
      </w:pPr>
      <w:r>
        <w:rPr>
          <w:rFonts w:hint="eastAsia"/>
        </w:rPr>
        <w:t>2、施工用电必须符合“三相五线制”的要求，按“一机、一闸、一漏、一锁”和“动力线照明用电严禁搭接的规定落实”并设置醒目的警示标志。</w:t>
      </w:r>
    </w:p>
    <w:p w14:paraId="285079B0">
      <w:pPr>
        <w:ind w:firstLine="560"/>
      </w:pPr>
      <w:r>
        <w:rPr>
          <w:rFonts w:hint="eastAsia"/>
        </w:rPr>
        <w:t>3、专值电工必须做好临时用电安全检测制度，定期对临时用电工程进行检测，主要内容是：接地电阻值，电气设备绝缘电阻值，漏电保护器动作参数等，以监视临时用电工程是否安全可靠，并做好检测记录，有检测日期和检测人员签名。</w:t>
      </w:r>
    </w:p>
    <w:p w14:paraId="32590C03">
      <w:pPr>
        <w:ind w:firstLine="560"/>
      </w:pPr>
      <w:r>
        <w:rPr>
          <w:rFonts w:hint="eastAsia"/>
        </w:rPr>
        <w:t>4、做好临时用电维修制度，加强日常和定期维修工作，及时发现和消除隐患，并建立维修工作记录，记载维修时间、地点、设备、内容、技术措施、处理结果、维修人员、验收人员等。</w:t>
      </w:r>
    </w:p>
    <w:p w14:paraId="1D2E95F9">
      <w:pPr>
        <w:ind w:firstLine="560"/>
      </w:pPr>
      <w:r>
        <w:rPr>
          <w:rFonts w:hint="eastAsia"/>
        </w:rPr>
        <w:t>5、建立安全用电责任制，对临时用电工程各部位的操作、监护、维修分片、分块、分机落实到人，并辅以必要的严惩。</w:t>
      </w:r>
    </w:p>
    <w:p w14:paraId="1F3C44DB">
      <w:pPr>
        <w:ind w:firstLine="560"/>
      </w:pPr>
      <w:r>
        <w:rPr>
          <w:rFonts w:hint="eastAsia"/>
        </w:rPr>
        <w:t>6、建立安全教育和培训制度；定期对专业电工和各类用电人员进行用电安全教育和培训，凡上岗人员必须持有劳动部门核发的上岗证书，严禁无证上岗。</w:t>
      </w:r>
    </w:p>
    <w:p w14:paraId="662A3F67">
      <w:pPr>
        <w:ind w:firstLine="560"/>
      </w:pPr>
      <w:r>
        <w:rPr>
          <w:rFonts w:hint="eastAsia"/>
        </w:rPr>
        <w:t>7、电气操作人员要认真执行规范，正确连接电线，电线要完好无损，有良好的绝缘外皮。电线要压牢、压实，各种开关触头要压接牢固，多股导线要用端子与设备安装，以防加大电阻引起火灾。</w:t>
      </w:r>
    </w:p>
    <w:p w14:paraId="7DCF34F2">
      <w:pPr>
        <w:ind w:firstLine="560"/>
      </w:pPr>
      <w:r>
        <w:rPr>
          <w:rFonts w:hint="eastAsia"/>
        </w:rPr>
        <w:t>8、配电箱、开关箱内严禁存放杂物及易燃物体，并派专人负责定期清扫。</w:t>
      </w:r>
    </w:p>
    <w:p w14:paraId="112F22A6">
      <w:pPr>
        <w:ind w:firstLine="560"/>
      </w:pPr>
      <w:r>
        <w:rPr>
          <w:rFonts w:hint="eastAsia"/>
        </w:rPr>
        <w:t>9、临时用电维修时必须执行两人制度，一人在总控制柜值守并悬挂“维修中”警示牌，另一人在现场进行维修作业。</w:t>
      </w:r>
    </w:p>
    <w:p w14:paraId="58510229">
      <w:pPr>
        <w:ind w:firstLine="560"/>
      </w:pPr>
      <w:r>
        <w:rPr>
          <w:rFonts w:hint="eastAsia"/>
        </w:rPr>
        <w:t>10、施工现场变压器必须采用全封闭，二级配电柜采用隔离防护并做防水防触电漏电。三级配电距离现场用电设备不宜太远防止出现电线损坏漏电。</w:t>
      </w:r>
    </w:p>
    <w:p w14:paraId="36CCC027">
      <w:pPr>
        <w:pStyle w:val="4"/>
        <w:bidi w:val="0"/>
        <w:ind w:left="720" w:leftChars="0" w:hanging="720" w:firstLineChars="0"/>
      </w:pPr>
      <w:r>
        <w:rPr>
          <w:rFonts w:hint="eastAsia"/>
        </w:rPr>
        <w:t>车辆伤害安全控制措施</w:t>
      </w:r>
    </w:p>
    <w:p w14:paraId="67F4692A">
      <w:pPr>
        <w:ind w:firstLine="560"/>
      </w:pPr>
      <w:r>
        <w:t>1</w:t>
      </w:r>
      <w:r>
        <w:rPr>
          <w:rFonts w:hint="eastAsia"/>
        </w:rPr>
        <w:t>车辆驾驶人员及车辆必须证件齐全并在有效时间内，车辆必须车检。</w:t>
      </w:r>
    </w:p>
    <w:p w14:paraId="267357A9">
      <w:pPr>
        <w:ind w:firstLine="560"/>
      </w:pPr>
      <w:r>
        <w:rPr>
          <w:rFonts w:hint="eastAsia"/>
        </w:rPr>
        <w:t>2、物机部、安环部、综合办公室制定车辆管理办法并督促落实车辆管理办法</w:t>
      </w:r>
    </w:p>
    <w:p w14:paraId="31F6BB59">
      <w:pPr>
        <w:ind w:firstLine="560"/>
      </w:pPr>
      <w:r>
        <w:rPr>
          <w:rFonts w:hint="eastAsia"/>
        </w:rPr>
        <w:t>3、驾驶员应严格执行项目有关安全规定，每天出车前应对车辆进行“三检”，对车辆进行安全性能方面的全面检查，并作好记录，杜绝病车上路。不得驾驶安全设施不全或者有安全隐患的机动车，确保行车安全。</w:t>
      </w:r>
    </w:p>
    <w:p w14:paraId="617E0DB6">
      <w:pPr>
        <w:ind w:firstLine="560"/>
      </w:pPr>
      <w:r>
        <w:rPr>
          <w:rFonts w:hint="eastAsia"/>
        </w:rPr>
        <w:t>4、现场施工区域道路上应在显眼、清晰的位置按规定设置限速交通标志、警示标志或者安全防护设施。在交叉路口、上下坡、转弯处、出入口等位置设置醒目标识。在便道两侧设置反光贴保证夜间行车安全。</w:t>
      </w:r>
    </w:p>
    <w:p w14:paraId="3BE0EACA">
      <w:pPr>
        <w:ind w:firstLine="560"/>
      </w:pPr>
      <w:r>
        <w:rPr>
          <w:rFonts w:hint="eastAsia"/>
        </w:rPr>
        <w:t>5、冬季、雨季做好防滑措施及警示标志，保证车辆行驶安全。</w:t>
      </w:r>
    </w:p>
    <w:p w14:paraId="3E9C21E6">
      <w:pPr>
        <w:ind w:firstLine="560"/>
      </w:pPr>
      <w:r>
        <w:rPr>
          <w:rFonts w:hint="eastAsia"/>
        </w:rPr>
        <w:t>6、机动车在保证安全的情况下，在施工便道行驶时，车速不得超过每小时15公里，汽车吊车行驶速度不超过每小时5公里。</w:t>
      </w:r>
    </w:p>
    <w:p w14:paraId="06CD3838">
      <w:pPr>
        <w:ind w:firstLine="560"/>
      </w:pPr>
      <w:r>
        <w:t>7</w:t>
      </w:r>
      <w:r>
        <w:rPr>
          <w:rFonts w:hint="eastAsia"/>
        </w:rPr>
        <w:t>、生产现场使用的车辆，如机械运输车、吊车、装载车等机械车辆，车辆驾驶人员定岗、定人、定则。并定期做好体检。</w:t>
      </w:r>
    </w:p>
    <w:bookmarkEnd w:id="476"/>
    <w:bookmarkEnd w:id="477"/>
    <w:bookmarkEnd w:id="478"/>
    <w:p w14:paraId="09F270A6">
      <w:pPr>
        <w:pStyle w:val="3"/>
        <w:bidi w:val="0"/>
        <w:ind w:left="575" w:leftChars="0" w:hanging="575" w:firstLineChars="0"/>
      </w:pPr>
      <w:bookmarkStart w:id="486" w:name="_Toc9016"/>
      <w:bookmarkStart w:id="487" w:name="_Toc14932"/>
      <w:bookmarkStart w:id="488" w:name="_Toc24088"/>
      <w:bookmarkStart w:id="489" w:name="_Toc25745"/>
      <w:bookmarkStart w:id="490" w:name="_Toc21634"/>
      <w:bookmarkStart w:id="491" w:name="_Toc11573"/>
      <w:bookmarkStart w:id="492" w:name="_Toc943"/>
      <w:r>
        <w:rPr>
          <w:rFonts w:hint="eastAsia"/>
        </w:rPr>
        <w:t>施工安全保证措施</w:t>
      </w:r>
      <w:bookmarkEnd w:id="486"/>
      <w:bookmarkEnd w:id="487"/>
      <w:bookmarkEnd w:id="488"/>
      <w:bookmarkEnd w:id="489"/>
      <w:bookmarkEnd w:id="490"/>
      <w:bookmarkEnd w:id="491"/>
      <w:bookmarkEnd w:id="492"/>
    </w:p>
    <w:p w14:paraId="34D83B8A">
      <w:pPr>
        <w:pStyle w:val="4"/>
        <w:bidi w:val="0"/>
        <w:ind w:left="720" w:leftChars="0" w:hanging="720" w:firstLineChars="0"/>
      </w:pPr>
      <w:r>
        <w:rPr>
          <w:rFonts w:hint="eastAsia"/>
        </w:rPr>
        <w:t>组织保证</w:t>
      </w:r>
    </w:p>
    <w:p w14:paraId="6670EF8D">
      <w:pPr>
        <w:ind w:firstLine="560"/>
        <w:rPr>
          <w:color w:val="000000"/>
        </w:rPr>
      </w:pPr>
      <w:r>
        <w:rPr>
          <w:rFonts w:hint="eastAsia"/>
          <w:color w:val="000000"/>
        </w:rPr>
        <w:t>1、建立安全保证体系组织机构，成立以项目经理为组长，安全总监、总工程师、副经理、总经济师为副组长，职能部门负责人为组员的安全领导小组。</w:t>
      </w:r>
    </w:p>
    <w:p w14:paraId="15A2ECEF">
      <w:pPr>
        <w:ind w:firstLine="560"/>
        <w:rPr>
          <w:color w:val="000000"/>
        </w:rPr>
      </w:pPr>
      <w:r>
        <w:rPr>
          <w:rFonts w:hint="eastAsia"/>
          <w:color w:val="000000"/>
        </w:rPr>
        <w:t>2、安全领导小组成立办公室，下设在项目部安全环保部，领导小组成员在施工期间，应保持手机通讯24小时畅通。</w:t>
      </w:r>
    </w:p>
    <w:p w14:paraId="26685834">
      <w:pPr>
        <w:ind w:firstLine="560"/>
        <w:rPr>
          <w:color w:val="000000"/>
        </w:rPr>
      </w:pPr>
      <w:r>
        <w:rPr>
          <w:rFonts w:hint="eastAsia"/>
          <w:color w:val="000000"/>
        </w:rPr>
        <w:t>3、健全自上而下、层层落实的安全管理体系，安全环保部配备足够的专职安全管理人员。</w:t>
      </w:r>
    </w:p>
    <w:p w14:paraId="0C0C9265">
      <w:pPr>
        <w:ind w:firstLine="560"/>
        <w:rPr>
          <w:color w:val="000000"/>
        </w:rPr>
      </w:pPr>
      <w:r>
        <w:rPr>
          <w:rFonts w:hint="eastAsia"/>
          <w:color w:val="000000"/>
        </w:rPr>
        <w:t>4、作业队配兼职安全员、群安员，建立各级网络，做到“专管成线，群管成片”。</w:t>
      </w:r>
    </w:p>
    <w:p w14:paraId="5958D574">
      <w:pPr>
        <w:pStyle w:val="4"/>
        <w:bidi w:val="0"/>
        <w:ind w:left="720" w:leftChars="0" w:hanging="720" w:firstLineChars="0"/>
      </w:pPr>
      <w:r>
        <w:rPr>
          <w:rFonts w:hint="eastAsia"/>
        </w:rPr>
        <w:t>制度保证</w:t>
      </w:r>
    </w:p>
    <w:p w14:paraId="400195C9">
      <w:pPr>
        <w:ind w:firstLine="560"/>
        <w:rPr>
          <w:color w:val="000000"/>
        </w:rPr>
      </w:pPr>
      <w:r>
        <w:rPr>
          <w:rFonts w:hint="eastAsia"/>
          <w:color w:val="000000"/>
        </w:rPr>
        <w:t>1、安全检查制度</w:t>
      </w:r>
    </w:p>
    <w:p w14:paraId="17DC2746">
      <w:pPr>
        <w:ind w:firstLine="560"/>
        <w:rPr>
          <w:color w:val="000000"/>
        </w:rPr>
      </w:pPr>
      <w:r>
        <w:rPr>
          <w:rFonts w:hint="eastAsia"/>
          <w:color w:val="000000"/>
        </w:rPr>
        <w:t>（1）定期安全检查制度</w:t>
      </w:r>
    </w:p>
    <w:p w14:paraId="73DB6771">
      <w:pPr>
        <w:ind w:firstLine="560"/>
        <w:rPr>
          <w:color w:val="000000"/>
        </w:rPr>
      </w:pPr>
      <w:r>
        <w:rPr>
          <w:rFonts w:hint="eastAsia"/>
          <w:color w:val="000000"/>
        </w:rPr>
        <w:t>项目部每旬进行定期安全大检查，同时根据实际情况进行不定期安全检查或专项安全检查。</w:t>
      </w:r>
    </w:p>
    <w:p w14:paraId="431C5109">
      <w:pPr>
        <w:ind w:firstLine="560"/>
        <w:rPr>
          <w:color w:val="000000"/>
        </w:rPr>
      </w:pPr>
      <w:r>
        <w:rPr>
          <w:rFonts w:hint="eastAsia"/>
          <w:color w:val="000000"/>
        </w:rPr>
        <w:t>定期安全大检查由项目经理主持，安全环保部组织，安全生产领导小组成员及其他有关人员参加，检查人员在项目部会议室准时集合，根据检查范围进行分组检查。</w:t>
      </w:r>
    </w:p>
    <w:p w14:paraId="305DB132">
      <w:pPr>
        <w:ind w:firstLine="560"/>
        <w:rPr>
          <w:color w:val="000000"/>
        </w:rPr>
      </w:pPr>
      <w:r>
        <w:rPr>
          <w:rFonts w:hint="eastAsia"/>
          <w:color w:val="000000"/>
        </w:rPr>
        <w:t>（2）经常性安全检查</w:t>
      </w:r>
    </w:p>
    <w:p w14:paraId="1563865C">
      <w:pPr>
        <w:ind w:firstLine="560"/>
        <w:rPr>
          <w:color w:val="000000"/>
        </w:rPr>
      </w:pPr>
      <w:r>
        <w:rPr>
          <w:color w:val="000000"/>
        </w:rPr>
        <w:fldChar w:fldCharType="begin"/>
      </w:r>
      <w:r>
        <w:rPr>
          <w:rFonts w:hint="eastAsia"/>
          <w:color w:val="000000"/>
        </w:rPr>
        <w:instrText xml:space="preserve">= 1 \* GB3</w:instrText>
      </w:r>
      <w:r>
        <w:rPr>
          <w:color w:val="000000"/>
        </w:rPr>
        <w:fldChar w:fldCharType="separate"/>
      </w:r>
      <w:r>
        <w:rPr>
          <w:rFonts w:hint="eastAsia"/>
          <w:color w:val="000000"/>
        </w:rPr>
        <w:t>①</w:t>
      </w:r>
      <w:r>
        <w:rPr>
          <w:color w:val="000000"/>
        </w:rPr>
        <w:fldChar w:fldCharType="end"/>
      </w:r>
      <w:r>
        <w:rPr>
          <w:rFonts w:hint="eastAsia"/>
          <w:color w:val="000000"/>
        </w:rPr>
        <w:t>各作业班组长负责组织开展班前、班后、岗位安全检查并保留检查记录，项目部安全环保部将定期对活动开展情况进行检查。</w:t>
      </w:r>
    </w:p>
    <w:p w14:paraId="26263DEE">
      <w:pPr>
        <w:ind w:firstLine="560"/>
        <w:rPr>
          <w:color w:val="000000"/>
        </w:rPr>
      </w:pPr>
      <w:r>
        <w:rPr>
          <w:color w:val="000000"/>
        </w:rPr>
        <w:fldChar w:fldCharType="begin"/>
      </w:r>
      <w:r>
        <w:rPr>
          <w:rFonts w:hint="eastAsia"/>
          <w:color w:val="000000"/>
        </w:rPr>
        <w:instrText xml:space="preserve">= 2 \* GB3</w:instrText>
      </w:r>
      <w:r>
        <w:rPr>
          <w:color w:val="000000"/>
        </w:rPr>
        <w:fldChar w:fldCharType="separate"/>
      </w:r>
      <w:r>
        <w:rPr>
          <w:rFonts w:hint="eastAsia"/>
          <w:color w:val="000000"/>
        </w:rPr>
        <w:t>②</w:t>
      </w:r>
      <w:r>
        <w:rPr>
          <w:color w:val="000000"/>
        </w:rPr>
        <w:fldChar w:fldCharType="end"/>
      </w:r>
      <w:r>
        <w:rPr>
          <w:rFonts w:hint="eastAsia"/>
          <w:color w:val="000000"/>
        </w:rPr>
        <w:t>作业工序转换时安全检查。此项检查活动由安全员或现场技术人员实施，并将检查情况记入工程施工日志备查。</w:t>
      </w:r>
    </w:p>
    <w:p w14:paraId="2422AA61">
      <w:pPr>
        <w:ind w:firstLine="560"/>
        <w:rPr>
          <w:color w:val="000000"/>
        </w:rPr>
      </w:pPr>
      <w:r>
        <w:rPr>
          <w:color w:val="000000"/>
        </w:rPr>
        <w:fldChar w:fldCharType="begin"/>
      </w:r>
      <w:r>
        <w:rPr>
          <w:rFonts w:hint="eastAsia"/>
          <w:color w:val="000000"/>
        </w:rPr>
        <w:instrText xml:space="preserve">= 3 \* GB3</w:instrText>
      </w:r>
      <w:r>
        <w:rPr>
          <w:color w:val="000000"/>
        </w:rPr>
        <w:fldChar w:fldCharType="separate"/>
      </w:r>
      <w:r>
        <w:rPr>
          <w:rFonts w:hint="eastAsia"/>
          <w:color w:val="000000"/>
        </w:rPr>
        <w:t>③</w:t>
      </w:r>
      <w:r>
        <w:rPr>
          <w:color w:val="000000"/>
        </w:rPr>
        <w:fldChar w:fldCharType="end"/>
      </w:r>
      <w:r>
        <w:rPr>
          <w:rFonts w:hint="eastAsia"/>
          <w:color w:val="000000"/>
        </w:rPr>
        <w:t>各级安全员日常巡回安全检查。此项检查活动由专兼职安全员实施，并每天记录巡查日志。</w:t>
      </w:r>
    </w:p>
    <w:p w14:paraId="60EF19B0">
      <w:pPr>
        <w:ind w:firstLine="560"/>
        <w:rPr>
          <w:color w:val="000000"/>
        </w:rPr>
      </w:pPr>
      <w:r>
        <w:rPr>
          <w:color w:val="000000"/>
        </w:rPr>
        <w:fldChar w:fldCharType="begin"/>
      </w:r>
      <w:r>
        <w:rPr>
          <w:rFonts w:hint="eastAsia"/>
          <w:color w:val="000000"/>
        </w:rPr>
        <w:instrText xml:space="preserve">= 4 \* GB3</w:instrText>
      </w:r>
      <w:r>
        <w:rPr>
          <w:color w:val="000000"/>
        </w:rPr>
        <w:fldChar w:fldCharType="separate"/>
      </w:r>
      <w:r>
        <w:rPr>
          <w:rFonts w:hint="eastAsia"/>
          <w:color w:val="000000"/>
        </w:rPr>
        <w:t>④</w:t>
      </w:r>
      <w:r>
        <w:rPr>
          <w:color w:val="000000"/>
        </w:rPr>
        <w:fldChar w:fldCharType="end"/>
      </w:r>
      <w:r>
        <w:rPr>
          <w:rFonts w:hint="eastAsia"/>
          <w:color w:val="000000"/>
        </w:rPr>
        <w:t>各级管理人员在检查生产的同时检查安全施工。</w:t>
      </w:r>
    </w:p>
    <w:p w14:paraId="4FB95598">
      <w:pPr>
        <w:ind w:firstLine="560"/>
        <w:rPr>
          <w:color w:val="000000"/>
        </w:rPr>
      </w:pPr>
      <w:r>
        <w:rPr>
          <w:rFonts w:hint="eastAsia"/>
          <w:color w:val="000000"/>
        </w:rPr>
        <w:t>（3）专项安全生产检查</w:t>
      </w:r>
    </w:p>
    <w:p w14:paraId="14158E33">
      <w:pPr>
        <w:ind w:firstLine="560"/>
        <w:rPr>
          <w:color w:val="000000"/>
        </w:rPr>
      </w:pPr>
      <w:r>
        <w:rPr>
          <w:color w:val="000000"/>
        </w:rPr>
        <w:fldChar w:fldCharType="begin"/>
      </w:r>
      <w:r>
        <w:rPr>
          <w:rFonts w:hint="eastAsia"/>
          <w:color w:val="000000"/>
        </w:rPr>
        <w:instrText xml:space="preserve">= 1 \* GB3</w:instrText>
      </w:r>
      <w:r>
        <w:rPr>
          <w:color w:val="000000"/>
        </w:rPr>
        <w:fldChar w:fldCharType="separate"/>
      </w:r>
      <w:r>
        <w:rPr>
          <w:rFonts w:hint="eastAsia"/>
          <w:color w:val="000000"/>
        </w:rPr>
        <w:t>①</w:t>
      </w:r>
      <w:r>
        <w:rPr>
          <w:color w:val="000000"/>
        </w:rPr>
        <w:fldChar w:fldCharType="end"/>
      </w:r>
      <w:r>
        <w:rPr>
          <w:rFonts w:hint="eastAsia"/>
          <w:color w:val="000000"/>
        </w:rPr>
        <w:t>特殊气候条件下施工专项施工安全检查，包括雨（雷）季、大风等。</w:t>
      </w:r>
    </w:p>
    <w:p w14:paraId="19FCF62C">
      <w:pPr>
        <w:ind w:firstLine="560"/>
        <w:rPr>
          <w:color w:val="000000"/>
        </w:rPr>
      </w:pPr>
      <w:r>
        <w:rPr>
          <w:color w:val="000000"/>
        </w:rPr>
        <w:fldChar w:fldCharType="begin"/>
      </w:r>
      <w:r>
        <w:rPr>
          <w:rFonts w:hint="eastAsia"/>
          <w:color w:val="000000"/>
        </w:rPr>
        <w:instrText xml:space="preserve">= 2 \* GB3</w:instrText>
      </w:r>
      <w:r>
        <w:rPr>
          <w:color w:val="000000"/>
        </w:rPr>
        <w:fldChar w:fldCharType="separate"/>
      </w:r>
      <w:r>
        <w:rPr>
          <w:rFonts w:hint="eastAsia"/>
          <w:color w:val="000000"/>
        </w:rPr>
        <w:t>②</w:t>
      </w:r>
      <w:r>
        <w:rPr>
          <w:color w:val="000000"/>
        </w:rPr>
        <w:fldChar w:fldCharType="end"/>
      </w:r>
      <w:r>
        <w:rPr>
          <w:rFonts w:hint="eastAsia"/>
          <w:color w:val="000000"/>
        </w:rPr>
        <w:t>节假日前后专项安全生产检查。</w:t>
      </w:r>
    </w:p>
    <w:p w14:paraId="187CBFF1">
      <w:pPr>
        <w:ind w:firstLine="560"/>
        <w:rPr>
          <w:color w:val="000000"/>
        </w:rPr>
      </w:pPr>
      <w:r>
        <w:rPr>
          <w:color w:val="000000"/>
        </w:rPr>
        <w:fldChar w:fldCharType="begin"/>
      </w:r>
      <w:r>
        <w:rPr>
          <w:rFonts w:hint="eastAsia"/>
          <w:color w:val="000000"/>
        </w:rPr>
        <w:instrText xml:space="preserve">= 3 \* GB3</w:instrText>
      </w:r>
      <w:r>
        <w:rPr>
          <w:color w:val="000000"/>
        </w:rPr>
        <w:fldChar w:fldCharType="separate"/>
      </w:r>
      <w:r>
        <w:rPr>
          <w:rFonts w:hint="eastAsia"/>
          <w:color w:val="000000"/>
        </w:rPr>
        <w:t>③</w:t>
      </w:r>
      <w:r>
        <w:rPr>
          <w:color w:val="000000"/>
        </w:rPr>
        <w:fldChar w:fldCharType="end"/>
      </w:r>
      <w:r>
        <w:rPr>
          <w:rFonts w:hint="eastAsia"/>
          <w:color w:val="000000"/>
        </w:rPr>
        <w:t>临时停工后复工前专项安全生产检查。</w:t>
      </w:r>
    </w:p>
    <w:p w14:paraId="04DC3EBF">
      <w:pPr>
        <w:ind w:firstLine="560"/>
        <w:rPr>
          <w:color w:val="000000"/>
        </w:rPr>
      </w:pPr>
      <w:r>
        <w:rPr>
          <w:color w:val="000000"/>
        </w:rPr>
        <w:fldChar w:fldCharType="begin"/>
      </w:r>
      <w:r>
        <w:rPr>
          <w:rFonts w:hint="eastAsia"/>
          <w:color w:val="000000"/>
        </w:rPr>
        <w:instrText xml:space="preserve">= 4 \* GB3</w:instrText>
      </w:r>
      <w:r>
        <w:rPr>
          <w:color w:val="000000"/>
        </w:rPr>
        <w:fldChar w:fldCharType="separate"/>
      </w:r>
      <w:r>
        <w:rPr>
          <w:rFonts w:hint="eastAsia"/>
          <w:color w:val="000000"/>
        </w:rPr>
        <w:t>④</w:t>
      </w:r>
      <w:r>
        <w:rPr>
          <w:color w:val="000000"/>
        </w:rPr>
        <w:fldChar w:fldCharType="end"/>
      </w:r>
      <w:r>
        <w:rPr>
          <w:rFonts w:hint="eastAsia"/>
          <w:color w:val="000000"/>
        </w:rPr>
        <w:t>大型吊装前、大型结构体系转换前、特种设备、大型临时设备设施投入使用前专项安全生产检查。</w:t>
      </w:r>
    </w:p>
    <w:p w14:paraId="105FCFB9">
      <w:pPr>
        <w:ind w:firstLine="560"/>
        <w:rPr>
          <w:color w:val="000000"/>
        </w:rPr>
      </w:pPr>
      <w:r>
        <w:rPr>
          <w:color w:val="000000"/>
        </w:rPr>
        <w:fldChar w:fldCharType="begin"/>
      </w:r>
      <w:r>
        <w:rPr>
          <w:rFonts w:hint="eastAsia"/>
          <w:color w:val="000000"/>
        </w:rPr>
        <w:instrText xml:space="preserve">= 5 \* GB3</w:instrText>
      </w:r>
      <w:r>
        <w:rPr>
          <w:color w:val="000000"/>
        </w:rPr>
        <w:fldChar w:fldCharType="separate"/>
      </w:r>
      <w:r>
        <w:rPr>
          <w:rFonts w:hint="eastAsia"/>
          <w:color w:val="000000"/>
        </w:rPr>
        <w:t>⑤</w:t>
      </w:r>
      <w:r>
        <w:rPr>
          <w:color w:val="000000"/>
        </w:rPr>
        <w:fldChar w:fldCharType="end"/>
      </w:r>
      <w:r>
        <w:rPr>
          <w:rFonts w:hint="eastAsia"/>
          <w:color w:val="000000"/>
        </w:rPr>
        <w:t>上级要求的专项安全生产检查。</w:t>
      </w:r>
    </w:p>
    <w:p w14:paraId="46B0B7BC">
      <w:pPr>
        <w:ind w:firstLine="560"/>
        <w:rPr>
          <w:color w:val="000000"/>
        </w:rPr>
      </w:pPr>
      <w:r>
        <w:rPr>
          <w:rFonts w:hint="eastAsia"/>
          <w:color w:val="000000"/>
        </w:rPr>
        <w:t>（4）安全环保部做好各项检查记录，对重要隐患下发安全事故隐患通知单一式两份，按照“五定”（即：定整改措施、定整改时间、定整改负责人、定整改标准、定整改落实人）的原则，各部门或作业队分管负责人对隐患进行落实整改，整改完毕后书面及时返回安全环保部、质量管理部保存。</w:t>
      </w:r>
    </w:p>
    <w:p w14:paraId="048584BD">
      <w:pPr>
        <w:ind w:firstLine="560"/>
        <w:rPr>
          <w:color w:val="000000"/>
        </w:rPr>
      </w:pPr>
      <w:r>
        <w:rPr>
          <w:rFonts w:hint="eastAsia"/>
          <w:color w:val="000000"/>
        </w:rPr>
        <w:t>2、安全教育制度</w:t>
      </w:r>
    </w:p>
    <w:p w14:paraId="1141E72F">
      <w:pPr>
        <w:ind w:firstLine="560"/>
        <w:rPr>
          <w:color w:val="000000"/>
        </w:rPr>
      </w:pPr>
      <w:r>
        <w:rPr>
          <w:rFonts w:hint="eastAsia"/>
          <w:color w:val="000000"/>
          <w:lang w:val="zh-CN"/>
        </w:rPr>
        <w:t>（1）</w:t>
      </w:r>
      <w:r>
        <w:rPr>
          <w:rFonts w:hint="eastAsia"/>
          <w:color w:val="000000"/>
        </w:rPr>
        <w:t>项目部应对全体员工及参加项目所属各项工程施工的生产人员进行上岗前安全培训，并进行考核。</w:t>
      </w:r>
    </w:p>
    <w:p w14:paraId="284EA31C">
      <w:pPr>
        <w:ind w:firstLine="560"/>
        <w:rPr>
          <w:color w:val="000000"/>
        </w:rPr>
      </w:pPr>
      <w:r>
        <w:rPr>
          <w:rFonts w:hint="eastAsia"/>
          <w:color w:val="000000"/>
          <w:lang w:val="zh-CN"/>
        </w:rPr>
        <w:t>（2）</w:t>
      </w:r>
      <w:r>
        <w:rPr>
          <w:rFonts w:hint="eastAsia"/>
          <w:color w:val="000000"/>
        </w:rPr>
        <w:t>项目部全体员工及参加项目所属各项工程施工的生产人员应接受安全培训，熟悉有关安全生产规章制度和安全操作规程，具备必要的安全生产知识，掌握本岗位的安全操作技能，增强预防事故、控制职业危害和应急处理的能力。</w:t>
      </w:r>
    </w:p>
    <w:p w14:paraId="6BD42304">
      <w:pPr>
        <w:ind w:firstLine="560"/>
        <w:rPr>
          <w:color w:val="000000"/>
        </w:rPr>
      </w:pPr>
      <w:r>
        <w:rPr>
          <w:rFonts w:hint="eastAsia"/>
          <w:color w:val="000000"/>
          <w:lang w:val="zh-CN"/>
        </w:rPr>
        <w:t>（3）</w:t>
      </w:r>
      <w:r>
        <w:rPr>
          <w:rFonts w:hint="eastAsia"/>
          <w:color w:val="000000"/>
        </w:rPr>
        <w:t>未经安全生产培训、考核合格的从业人员，不得上岗或参与项目所属工程项目的施工生产。</w:t>
      </w:r>
    </w:p>
    <w:p w14:paraId="445032FC">
      <w:pPr>
        <w:ind w:firstLine="560"/>
        <w:rPr>
          <w:color w:val="000000"/>
        </w:rPr>
      </w:pPr>
      <w:r>
        <w:rPr>
          <w:rFonts w:hint="eastAsia"/>
          <w:color w:val="000000"/>
          <w:lang w:val="zh-CN"/>
        </w:rPr>
        <w:t>（4）</w:t>
      </w:r>
      <w:r>
        <w:rPr>
          <w:rFonts w:hint="eastAsia"/>
          <w:color w:val="000000"/>
        </w:rPr>
        <w:t>项目部经理和专职安全生产管理人员应积极参加公司、业主组织的安全生产再培训。</w:t>
      </w:r>
    </w:p>
    <w:p w14:paraId="53C0C1FD">
      <w:pPr>
        <w:ind w:firstLine="560"/>
        <w:rPr>
          <w:color w:val="000000"/>
        </w:rPr>
      </w:pPr>
      <w:r>
        <w:rPr>
          <w:rFonts w:hint="eastAsia"/>
          <w:color w:val="000000"/>
          <w:lang w:val="zh-CN"/>
        </w:rPr>
        <w:t>（5）</w:t>
      </w:r>
      <w:r>
        <w:rPr>
          <w:rFonts w:hint="eastAsia"/>
          <w:color w:val="000000"/>
        </w:rPr>
        <w:t>特种作业人员，必须按照国家有关法律、法规的规定接受专门的安全培训，经省、市级劳动安全部门考核合格，取得特种作业操作资格证书后，方可上岗作业。</w:t>
      </w:r>
    </w:p>
    <w:p w14:paraId="24DEFBF3">
      <w:pPr>
        <w:ind w:firstLine="560"/>
        <w:rPr>
          <w:color w:val="000000"/>
        </w:rPr>
      </w:pPr>
      <w:r>
        <w:rPr>
          <w:rFonts w:hint="eastAsia"/>
          <w:color w:val="000000"/>
          <w:lang w:val="zh-CN"/>
        </w:rPr>
        <w:t>（6）</w:t>
      </w:r>
      <w:r>
        <w:rPr>
          <w:rFonts w:hint="eastAsia"/>
          <w:color w:val="000000"/>
        </w:rPr>
        <w:t>实施新工艺、新技术或者使用新设备、新材料时，应当对有关作业人员重新进行有针对性的安全培训。</w:t>
      </w:r>
    </w:p>
    <w:p w14:paraId="1974687B">
      <w:pPr>
        <w:ind w:firstLine="560"/>
        <w:rPr>
          <w:color w:val="000000"/>
        </w:rPr>
      </w:pPr>
      <w:r>
        <w:rPr>
          <w:rFonts w:hint="eastAsia"/>
          <w:color w:val="000000"/>
        </w:rPr>
        <w:t>3、特种作业人员管理制度</w:t>
      </w:r>
    </w:p>
    <w:p w14:paraId="21D8E9F0">
      <w:pPr>
        <w:ind w:firstLine="560"/>
        <w:rPr>
          <w:color w:val="000000"/>
        </w:rPr>
      </w:pPr>
      <w:r>
        <w:rPr>
          <w:rFonts w:hint="eastAsia"/>
          <w:color w:val="000000"/>
          <w:lang w:val="zh-CN"/>
        </w:rPr>
        <w:t>（1）</w:t>
      </w:r>
      <w:r>
        <w:rPr>
          <w:rFonts w:hint="eastAsia"/>
          <w:color w:val="000000"/>
        </w:rPr>
        <w:t>特种作业人员（包括电工、焊工、起重工、场内机动车司机等），质量技术监督部门或建设行政主管部门组织的安全技术培训，经教育、考核、复验，考核合格取得合格证，获取操作证者方准上岗作业。</w:t>
      </w:r>
    </w:p>
    <w:p w14:paraId="199358F5">
      <w:pPr>
        <w:ind w:firstLine="560"/>
        <w:rPr>
          <w:color w:val="000000"/>
        </w:rPr>
      </w:pPr>
      <w:r>
        <w:rPr>
          <w:rFonts w:hint="eastAsia"/>
          <w:color w:val="000000"/>
          <w:lang w:val="zh-CN"/>
        </w:rPr>
        <w:t>（2）</w:t>
      </w:r>
      <w:r>
        <w:rPr>
          <w:rFonts w:hint="eastAsia"/>
          <w:color w:val="000000"/>
        </w:rPr>
        <w:t>取得操作证的特种作业人员，应定期进行复审，未按期复审或复审不合格者，其操作证自行失效，该特种工不准上岗作业。</w:t>
      </w:r>
    </w:p>
    <w:p w14:paraId="44C86E65">
      <w:pPr>
        <w:ind w:firstLine="560"/>
        <w:rPr>
          <w:color w:val="000000"/>
        </w:rPr>
      </w:pPr>
      <w:r>
        <w:rPr>
          <w:rFonts w:hint="eastAsia"/>
          <w:color w:val="000000"/>
        </w:rPr>
        <w:t>4、特种设备管理制度</w:t>
      </w:r>
    </w:p>
    <w:p w14:paraId="583FE5CB">
      <w:pPr>
        <w:ind w:firstLine="560"/>
        <w:rPr>
          <w:color w:val="000000"/>
        </w:rPr>
      </w:pPr>
      <w:r>
        <w:rPr>
          <w:rFonts w:hint="eastAsia"/>
          <w:color w:val="000000"/>
          <w:lang w:val="zh-CN"/>
        </w:rPr>
        <w:t>（1）</w:t>
      </w:r>
      <w:r>
        <w:rPr>
          <w:rFonts w:hint="eastAsia"/>
          <w:color w:val="000000"/>
        </w:rPr>
        <w:t>项目部设备物资部必须严格执行《中华人民共和国特种设备安全法》规定，保证特种设备的安全使用，并明确管理人员及每台设备的安全责任人。</w:t>
      </w:r>
    </w:p>
    <w:p w14:paraId="265F7311">
      <w:pPr>
        <w:ind w:firstLine="560"/>
        <w:rPr>
          <w:color w:val="000000"/>
        </w:rPr>
      </w:pPr>
      <w:r>
        <w:rPr>
          <w:rFonts w:hint="eastAsia"/>
          <w:color w:val="000000"/>
          <w:lang w:val="zh-CN"/>
        </w:rPr>
        <w:t>（2）</w:t>
      </w:r>
      <w:r>
        <w:rPr>
          <w:rFonts w:hint="eastAsia"/>
          <w:color w:val="000000"/>
        </w:rPr>
        <w:t>设备物资部、安全环保部、工程技术部等部门应对进场设备进行验收，验收合格后方可投入使用，并按“一机一档”的原则建立台帐，归档保存，并将《特种设备管理台账》报安全环保部备案；安装、使用和维修改造应符合相关规定要求。</w:t>
      </w:r>
    </w:p>
    <w:p w14:paraId="36CE103E">
      <w:pPr>
        <w:ind w:firstLine="560"/>
        <w:rPr>
          <w:color w:val="000000"/>
        </w:rPr>
      </w:pPr>
      <w:r>
        <w:rPr>
          <w:rFonts w:hint="eastAsia"/>
          <w:color w:val="000000"/>
          <w:lang w:val="zh-CN"/>
        </w:rPr>
        <w:t>（3）</w:t>
      </w:r>
      <w:r>
        <w:rPr>
          <w:rFonts w:hint="eastAsia"/>
          <w:color w:val="000000"/>
        </w:rPr>
        <w:t>进场特种设备应经国家特种设备安全监督管理部门检验检测合格后方可投入使用。</w:t>
      </w:r>
    </w:p>
    <w:p w14:paraId="1A51F5CA">
      <w:pPr>
        <w:ind w:firstLine="560"/>
        <w:rPr>
          <w:color w:val="000000"/>
        </w:rPr>
      </w:pPr>
      <w:r>
        <w:rPr>
          <w:rFonts w:hint="eastAsia"/>
          <w:color w:val="000000"/>
          <w:lang w:val="zh-CN"/>
        </w:rPr>
        <w:t>（4）</w:t>
      </w:r>
      <w:r>
        <w:rPr>
          <w:rFonts w:hint="eastAsia"/>
          <w:color w:val="000000"/>
        </w:rPr>
        <w:t>使用单位至少每月进行一次自行检查，对查出的问题必须及时处理，并按技术规范作定期检验。</w:t>
      </w:r>
    </w:p>
    <w:p w14:paraId="554F0300">
      <w:pPr>
        <w:ind w:firstLine="560"/>
        <w:rPr>
          <w:color w:val="000000"/>
        </w:rPr>
      </w:pPr>
      <w:r>
        <w:rPr>
          <w:rFonts w:hint="eastAsia"/>
          <w:color w:val="000000"/>
          <w:lang w:val="zh-CN"/>
        </w:rPr>
        <w:t>（5）</w:t>
      </w:r>
      <w:r>
        <w:rPr>
          <w:rFonts w:hint="eastAsia"/>
          <w:color w:val="000000"/>
        </w:rPr>
        <w:t>特种设备使用单位负责日常保养和维护工作并做好记录。</w:t>
      </w:r>
    </w:p>
    <w:p w14:paraId="5332EED1">
      <w:pPr>
        <w:ind w:firstLine="560"/>
        <w:rPr>
          <w:color w:val="000000"/>
        </w:rPr>
      </w:pPr>
      <w:r>
        <w:rPr>
          <w:rFonts w:hint="eastAsia"/>
          <w:color w:val="000000"/>
          <w:lang w:val="zh-CN"/>
        </w:rPr>
        <w:t>（6）</w:t>
      </w:r>
      <w:r>
        <w:rPr>
          <w:rFonts w:hint="eastAsia"/>
          <w:color w:val="000000"/>
        </w:rPr>
        <w:t>凡需持证操作的设备必须执行定人、定机、定岗位的“三定”制度。</w:t>
      </w:r>
    </w:p>
    <w:p w14:paraId="64009D44">
      <w:pPr>
        <w:ind w:firstLine="560"/>
        <w:rPr>
          <w:color w:val="000000"/>
        </w:rPr>
      </w:pPr>
      <w:r>
        <w:rPr>
          <w:rFonts w:hint="eastAsia"/>
          <w:color w:val="000000"/>
          <w:lang w:val="zh-CN"/>
        </w:rPr>
        <w:t>（7）</w:t>
      </w:r>
      <w:r>
        <w:rPr>
          <w:rFonts w:hint="eastAsia"/>
          <w:color w:val="000000"/>
        </w:rPr>
        <w:t>特种设备的操作人员必须持证上岗，严格执行特种设备的安全操作规程。</w:t>
      </w:r>
    </w:p>
    <w:p w14:paraId="069E35A3">
      <w:pPr>
        <w:ind w:firstLine="560"/>
        <w:rPr>
          <w:color w:val="000000"/>
        </w:rPr>
      </w:pPr>
      <w:r>
        <w:rPr>
          <w:rFonts w:hint="eastAsia"/>
          <w:color w:val="000000"/>
          <w:lang w:val="zh-CN"/>
        </w:rPr>
        <w:t>（8）</w:t>
      </w:r>
      <w:r>
        <w:rPr>
          <w:rFonts w:hint="eastAsia"/>
          <w:color w:val="000000"/>
        </w:rPr>
        <w:t>特种设备管理人员须持证上岗，方可从事相应管理工作。</w:t>
      </w:r>
    </w:p>
    <w:p w14:paraId="7E7C7252">
      <w:pPr>
        <w:ind w:firstLine="560"/>
        <w:rPr>
          <w:color w:val="000000"/>
        </w:rPr>
      </w:pPr>
      <w:r>
        <w:rPr>
          <w:rFonts w:hint="eastAsia"/>
          <w:color w:val="000000"/>
          <w:lang w:val="zh-CN"/>
        </w:rPr>
        <w:t>（9）</w:t>
      </w:r>
      <w:r>
        <w:rPr>
          <w:rFonts w:hint="eastAsia"/>
          <w:color w:val="000000"/>
        </w:rPr>
        <w:t>特种设备须在显著位置设置标识牌。</w:t>
      </w:r>
    </w:p>
    <w:p w14:paraId="073AB844">
      <w:pPr>
        <w:ind w:firstLine="560"/>
        <w:rPr>
          <w:color w:val="000000"/>
        </w:rPr>
      </w:pPr>
      <w:r>
        <w:rPr>
          <w:rFonts w:hint="eastAsia"/>
          <w:color w:val="000000"/>
        </w:rPr>
        <w:t>5、安全生产例会制度</w:t>
      </w:r>
    </w:p>
    <w:p w14:paraId="72BBC192">
      <w:pPr>
        <w:ind w:firstLine="560"/>
        <w:rPr>
          <w:color w:val="000000"/>
        </w:rPr>
      </w:pPr>
      <w:r>
        <w:rPr>
          <w:rFonts w:hint="eastAsia"/>
          <w:color w:val="000000"/>
          <w:lang w:val="zh-CN"/>
        </w:rPr>
        <w:t>（1）</w:t>
      </w:r>
      <w:r>
        <w:rPr>
          <w:rFonts w:hint="eastAsia"/>
          <w:color w:val="000000"/>
        </w:rPr>
        <w:t>项目部每月召开一次安全生产例会，根据情况，可以增加安全生产例会次数，或者召开专项安全生产例会。</w:t>
      </w:r>
    </w:p>
    <w:p w14:paraId="27FDF913">
      <w:pPr>
        <w:ind w:firstLine="560"/>
        <w:rPr>
          <w:color w:val="000000"/>
        </w:rPr>
      </w:pPr>
      <w:r>
        <w:rPr>
          <w:rFonts w:hint="eastAsia"/>
          <w:color w:val="000000"/>
          <w:lang w:val="zh-CN"/>
        </w:rPr>
        <w:t>（2）</w:t>
      </w:r>
      <w:r>
        <w:rPr>
          <w:rFonts w:hint="eastAsia"/>
          <w:color w:val="000000"/>
        </w:rPr>
        <w:t>安全生产例会由主管生产的副经理或安全总监召集并主持。一般在月度安全生产检查后及时召开，可以和生产例会同时召开。</w:t>
      </w:r>
    </w:p>
    <w:p w14:paraId="55490B45">
      <w:pPr>
        <w:ind w:firstLine="560"/>
        <w:rPr>
          <w:color w:val="000000"/>
        </w:rPr>
      </w:pPr>
      <w:r>
        <w:rPr>
          <w:rFonts w:hint="eastAsia"/>
          <w:color w:val="000000"/>
          <w:lang w:val="zh-CN"/>
        </w:rPr>
        <w:t>（3）</w:t>
      </w:r>
      <w:r>
        <w:rPr>
          <w:rFonts w:hint="eastAsia"/>
          <w:color w:val="000000"/>
        </w:rPr>
        <w:t>项目部安全生产领导小组成员、各工区经理和技术负责人、专职安全管理人员、安全保卫负责人、各劳务协作单位负责人、租赁机械设备单位管理人员应参加安全生产例会。</w:t>
      </w:r>
    </w:p>
    <w:p w14:paraId="6E4226D6">
      <w:pPr>
        <w:ind w:firstLine="560"/>
        <w:rPr>
          <w:color w:val="000000"/>
        </w:rPr>
      </w:pPr>
      <w:r>
        <w:rPr>
          <w:rFonts w:hint="eastAsia"/>
          <w:color w:val="000000"/>
          <w:lang w:val="zh-CN"/>
        </w:rPr>
        <w:t>（4）</w:t>
      </w:r>
      <w:r>
        <w:rPr>
          <w:rFonts w:hint="eastAsia"/>
          <w:color w:val="000000"/>
        </w:rPr>
        <w:t>项目部月度安全生产例会议程包括：</w:t>
      </w:r>
    </w:p>
    <w:p w14:paraId="7AD8D899">
      <w:pPr>
        <w:ind w:firstLine="560"/>
        <w:rPr>
          <w:color w:val="000000"/>
        </w:rPr>
      </w:pPr>
      <w:r>
        <w:rPr>
          <w:color w:val="000000"/>
        </w:rPr>
        <w:fldChar w:fldCharType="begin"/>
      </w:r>
      <w:r>
        <w:rPr>
          <w:rFonts w:hint="eastAsia"/>
          <w:color w:val="000000"/>
        </w:rPr>
        <w:instrText xml:space="preserve">= 1 \* GB3</w:instrText>
      </w:r>
      <w:r>
        <w:rPr>
          <w:color w:val="000000"/>
        </w:rPr>
        <w:fldChar w:fldCharType="separate"/>
      </w:r>
      <w:r>
        <w:rPr>
          <w:rFonts w:hint="eastAsia"/>
          <w:color w:val="000000"/>
        </w:rPr>
        <w:t>①</w:t>
      </w:r>
      <w:r>
        <w:rPr>
          <w:color w:val="000000"/>
        </w:rPr>
        <w:fldChar w:fldCharType="end"/>
      </w:r>
      <w:r>
        <w:rPr>
          <w:rFonts w:hint="eastAsia"/>
          <w:color w:val="000000"/>
        </w:rPr>
        <w:t>汇报上月项目部安全生产管理工作总体情况及安全生产大检查及日常安全巡查发现的情况。</w:t>
      </w:r>
    </w:p>
    <w:p w14:paraId="6BFA6555">
      <w:pPr>
        <w:ind w:firstLine="560"/>
        <w:rPr>
          <w:color w:val="000000"/>
        </w:rPr>
      </w:pPr>
      <w:r>
        <w:rPr>
          <w:color w:val="000000"/>
        </w:rPr>
        <w:fldChar w:fldCharType="begin"/>
      </w:r>
      <w:r>
        <w:rPr>
          <w:rFonts w:hint="eastAsia"/>
          <w:color w:val="000000"/>
        </w:rPr>
        <w:instrText xml:space="preserve">= 2 \* GB3</w:instrText>
      </w:r>
      <w:r>
        <w:rPr>
          <w:color w:val="000000"/>
        </w:rPr>
        <w:fldChar w:fldCharType="separate"/>
      </w:r>
      <w:r>
        <w:rPr>
          <w:rFonts w:hint="eastAsia"/>
          <w:color w:val="000000"/>
        </w:rPr>
        <w:t>②</w:t>
      </w:r>
      <w:r>
        <w:rPr>
          <w:color w:val="000000"/>
        </w:rPr>
        <w:fldChar w:fldCharType="end"/>
      </w:r>
      <w:r>
        <w:rPr>
          <w:rFonts w:hint="eastAsia"/>
          <w:color w:val="000000"/>
        </w:rPr>
        <w:t>上月项目部发生的生产安全事故分析。</w:t>
      </w:r>
    </w:p>
    <w:p w14:paraId="000E628C">
      <w:pPr>
        <w:ind w:firstLine="560"/>
        <w:rPr>
          <w:color w:val="000000"/>
        </w:rPr>
      </w:pPr>
      <w:r>
        <w:rPr>
          <w:color w:val="000000"/>
        </w:rPr>
        <w:fldChar w:fldCharType="begin"/>
      </w:r>
      <w:r>
        <w:rPr>
          <w:rFonts w:hint="eastAsia"/>
          <w:color w:val="000000"/>
        </w:rPr>
        <w:instrText xml:space="preserve">= 3 \* GB3</w:instrText>
      </w:r>
      <w:r>
        <w:rPr>
          <w:color w:val="000000"/>
        </w:rPr>
        <w:fldChar w:fldCharType="separate"/>
      </w:r>
      <w:r>
        <w:rPr>
          <w:rFonts w:hint="eastAsia"/>
          <w:color w:val="000000"/>
        </w:rPr>
        <w:t>③</w:t>
      </w:r>
      <w:r>
        <w:rPr>
          <w:color w:val="000000"/>
        </w:rPr>
        <w:fldChar w:fldCharType="end"/>
      </w:r>
      <w:r>
        <w:rPr>
          <w:rFonts w:hint="eastAsia"/>
          <w:color w:val="000000"/>
        </w:rPr>
        <w:t>项目部目前安全生产状况及当前需要做好的工作。</w:t>
      </w:r>
    </w:p>
    <w:p w14:paraId="42E7414B">
      <w:pPr>
        <w:ind w:firstLine="560"/>
        <w:rPr>
          <w:color w:val="000000"/>
        </w:rPr>
      </w:pPr>
      <w:r>
        <w:rPr>
          <w:color w:val="000000"/>
        </w:rPr>
        <w:fldChar w:fldCharType="begin"/>
      </w:r>
      <w:r>
        <w:rPr>
          <w:rFonts w:hint="eastAsia"/>
          <w:color w:val="000000"/>
        </w:rPr>
        <w:instrText xml:space="preserve">= 4 \* GB3</w:instrText>
      </w:r>
      <w:r>
        <w:rPr>
          <w:color w:val="000000"/>
        </w:rPr>
        <w:fldChar w:fldCharType="separate"/>
      </w:r>
      <w:r>
        <w:rPr>
          <w:rFonts w:hint="eastAsia"/>
          <w:color w:val="000000"/>
        </w:rPr>
        <w:t>④</w:t>
      </w:r>
      <w:r>
        <w:rPr>
          <w:color w:val="000000"/>
        </w:rPr>
        <w:fldChar w:fldCharType="end"/>
      </w:r>
      <w:r>
        <w:rPr>
          <w:rFonts w:hint="eastAsia"/>
          <w:color w:val="000000"/>
        </w:rPr>
        <w:t>国家、上级机关关于安全生产工作的新法律、规章制度和相关要求的学习通报。</w:t>
      </w:r>
    </w:p>
    <w:p w14:paraId="3CC0A913">
      <w:pPr>
        <w:ind w:firstLine="560"/>
        <w:rPr>
          <w:color w:val="000000"/>
        </w:rPr>
      </w:pPr>
      <w:r>
        <w:rPr>
          <w:color w:val="000000"/>
        </w:rPr>
        <w:fldChar w:fldCharType="begin"/>
      </w:r>
      <w:r>
        <w:rPr>
          <w:rFonts w:hint="eastAsia"/>
          <w:color w:val="000000"/>
        </w:rPr>
        <w:instrText xml:space="preserve">= 5 \* GB3</w:instrText>
      </w:r>
      <w:r>
        <w:rPr>
          <w:color w:val="000000"/>
        </w:rPr>
        <w:fldChar w:fldCharType="separate"/>
      </w:r>
      <w:r>
        <w:rPr>
          <w:rFonts w:hint="eastAsia"/>
          <w:color w:val="000000"/>
        </w:rPr>
        <w:t>⑤</w:t>
      </w:r>
      <w:r>
        <w:rPr>
          <w:color w:val="000000"/>
        </w:rPr>
        <w:fldChar w:fldCharType="end"/>
      </w:r>
      <w:r>
        <w:rPr>
          <w:rFonts w:hint="eastAsia"/>
          <w:color w:val="000000"/>
        </w:rPr>
        <w:t>分析确定下月项目部安全生产工作重点，确定安全生产重点监控部位。</w:t>
      </w:r>
    </w:p>
    <w:p w14:paraId="46230250">
      <w:pPr>
        <w:ind w:firstLine="560"/>
        <w:rPr>
          <w:color w:val="000000"/>
        </w:rPr>
      </w:pPr>
      <w:r>
        <w:rPr>
          <w:color w:val="000000"/>
        </w:rPr>
        <w:fldChar w:fldCharType="begin"/>
      </w:r>
      <w:r>
        <w:rPr>
          <w:rFonts w:hint="eastAsia"/>
          <w:color w:val="000000"/>
        </w:rPr>
        <w:instrText xml:space="preserve">= 6 \* GB3</w:instrText>
      </w:r>
      <w:r>
        <w:rPr>
          <w:color w:val="000000"/>
        </w:rPr>
        <w:fldChar w:fldCharType="separate"/>
      </w:r>
      <w:r>
        <w:rPr>
          <w:rFonts w:hint="eastAsia"/>
          <w:color w:val="000000"/>
        </w:rPr>
        <w:t>⑥</w:t>
      </w:r>
      <w:r>
        <w:rPr>
          <w:color w:val="000000"/>
        </w:rPr>
        <w:fldChar w:fldCharType="end"/>
      </w:r>
      <w:r>
        <w:rPr>
          <w:rFonts w:hint="eastAsia"/>
          <w:color w:val="000000"/>
        </w:rPr>
        <w:t>落实相关安全生产问题的解决方案和责任部门或人员。</w:t>
      </w:r>
    </w:p>
    <w:p w14:paraId="481C8AAF">
      <w:pPr>
        <w:ind w:firstLine="560"/>
        <w:rPr>
          <w:color w:val="000000"/>
        </w:rPr>
      </w:pPr>
      <w:r>
        <w:rPr>
          <w:color w:val="000000"/>
        </w:rPr>
        <w:fldChar w:fldCharType="begin"/>
      </w:r>
      <w:r>
        <w:rPr>
          <w:rFonts w:hint="eastAsia"/>
          <w:color w:val="000000"/>
        </w:rPr>
        <w:instrText xml:space="preserve">= 7 \* GB3</w:instrText>
      </w:r>
      <w:r>
        <w:rPr>
          <w:color w:val="000000"/>
        </w:rPr>
        <w:fldChar w:fldCharType="separate"/>
      </w:r>
      <w:r>
        <w:rPr>
          <w:rFonts w:hint="eastAsia"/>
          <w:color w:val="000000"/>
        </w:rPr>
        <w:t>⑦</w:t>
      </w:r>
      <w:r>
        <w:rPr>
          <w:color w:val="000000"/>
        </w:rPr>
        <w:fldChar w:fldCharType="end"/>
      </w:r>
      <w:r>
        <w:rPr>
          <w:rFonts w:hint="eastAsia"/>
          <w:color w:val="000000"/>
        </w:rPr>
        <w:t>其他需要解决的安全生产相关问题。</w:t>
      </w:r>
    </w:p>
    <w:p w14:paraId="0A012A54">
      <w:pPr>
        <w:ind w:firstLine="560"/>
        <w:rPr>
          <w:color w:val="000000"/>
        </w:rPr>
      </w:pPr>
      <w:r>
        <w:rPr>
          <w:rFonts w:hint="eastAsia"/>
          <w:color w:val="000000"/>
          <w:lang w:val="zh-CN"/>
        </w:rPr>
        <w:t>（5）</w:t>
      </w:r>
      <w:r>
        <w:rPr>
          <w:rFonts w:hint="eastAsia"/>
          <w:color w:val="000000"/>
        </w:rPr>
        <w:t>安全生产例会的内容要记录清楚，必要时要形成会议记要，会议形成的各项决议、有关部门和人员必须认真落实，安全环保部、质量管理部负责监督。</w:t>
      </w:r>
    </w:p>
    <w:p w14:paraId="69C18851">
      <w:pPr>
        <w:ind w:firstLine="560"/>
        <w:rPr>
          <w:color w:val="000000"/>
        </w:rPr>
      </w:pPr>
      <w:r>
        <w:rPr>
          <w:rFonts w:hint="eastAsia"/>
          <w:color w:val="000000"/>
          <w:lang w:val="zh-CN"/>
        </w:rPr>
        <w:t>（6）</w:t>
      </w:r>
      <w:r>
        <w:rPr>
          <w:rFonts w:hint="eastAsia"/>
          <w:color w:val="000000"/>
        </w:rPr>
        <w:t>安全生产例会会议记录由安全环保部、质量管理部记录并保存。</w:t>
      </w:r>
    </w:p>
    <w:p w14:paraId="40978748">
      <w:pPr>
        <w:ind w:firstLine="560"/>
        <w:rPr>
          <w:color w:val="000000"/>
        </w:rPr>
      </w:pPr>
      <w:r>
        <w:rPr>
          <w:rFonts w:hint="eastAsia"/>
          <w:color w:val="000000"/>
        </w:rPr>
        <w:t>6、职业健康管理制度</w:t>
      </w:r>
    </w:p>
    <w:p w14:paraId="102DB8AA">
      <w:pPr>
        <w:ind w:firstLine="560"/>
        <w:rPr>
          <w:color w:val="000000"/>
        </w:rPr>
      </w:pPr>
      <w:r>
        <w:rPr>
          <w:rFonts w:hint="eastAsia"/>
          <w:color w:val="000000"/>
          <w:lang w:val="zh-CN"/>
        </w:rPr>
        <w:t>（1）</w:t>
      </w:r>
      <w:r>
        <w:rPr>
          <w:rFonts w:hint="eastAsia"/>
          <w:color w:val="000000"/>
        </w:rPr>
        <w:t>劳动保护措施</w:t>
      </w:r>
    </w:p>
    <w:p w14:paraId="45120DA0">
      <w:pPr>
        <w:ind w:firstLine="560"/>
        <w:rPr>
          <w:color w:val="000000"/>
        </w:rPr>
      </w:pPr>
      <w:r>
        <w:rPr>
          <w:rFonts w:ascii="宋体" w:hAnsi="宋体" w:eastAsia="宋体" w:cs="宋体"/>
          <w:color w:val="000000"/>
        </w:rPr>
        <w:fldChar w:fldCharType="begin"/>
      </w:r>
      <w:r>
        <w:rPr>
          <w:rFonts w:hint="eastAsia" w:ascii="宋体" w:hAnsi="宋体" w:eastAsia="宋体" w:cs="宋体"/>
          <w:color w:val="000000"/>
        </w:rPr>
        <w:instrText xml:space="preserve">= 1 \* GB3</w:instrText>
      </w:r>
      <w:r>
        <w:rPr>
          <w:rFonts w:ascii="宋体" w:hAnsi="宋体" w:eastAsia="宋体" w:cs="宋体"/>
          <w:color w:val="000000"/>
        </w:rPr>
        <w:fldChar w:fldCharType="separate"/>
      </w:r>
      <w:r>
        <w:rPr>
          <w:rFonts w:hint="eastAsia" w:ascii="宋体" w:hAnsi="宋体" w:eastAsia="宋体" w:cs="宋体"/>
          <w:color w:val="000000"/>
        </w:rPr>
        <w:t>①</w:t>
      </w:r>
      <w:r>
        <w:rPr>
          <w:rFonts w:ascii="宋体" w:hAnsi="宋体" w:eastAsia="宋体" w:cs="宋体"/>
          <w:color w:val="000000"/>
        </w:rPr>
        <w:fldChar w:fldCharType="end"/>
      </w:r>
      <w:r>
        <w:rPr>
          <w:rFonts w:hint="eastAsia"/>
          <w:color w:val="000000"/>
        </w:rPr>
        <w:t xml:space="preserve">接触粉尘、有毒有害气体等有害、危险施工环境的作业职工，按有关规定发放个人劳动保护用品，并监督检查使用情况，以确保正常使用。  </w:t>
      </w:r>
    </w:p>
    <w:p w14:paraId="60A191FC">
      <w:pPr>
        <w:ind w:firstLine="560"/>
        <w:rPr>
          <w:color w:val="000000"/>
        </w:rPr>
      </w:pPr>
      <w:r>
        <w:rPr>
          <w:rFonts w:ascii="宋体" w:hAnsi="宋体" w:eastAsia="宋体" w:cs="宋体"/>
          <w:color w:val="000000"/>
        </w:rPr>
        <w:fldChar w:fldCharType="begin"/>
      </w:r>
      <w:r>
        <w:rPr>
          <w:rFonts w:hint="eastAsia" w:ascii="宋体" w:hAnsi="宋体" w:eastAsia="宋体" w:cs="宋体"/>
          <w:color w:val="000000"/>
        </w:rPr>
        <w:instrText xml:space="preserve">= 2 \* GB3</w:instrText>
      </w:r>
      <w:r>
        <w:rPr>
          <w:rFonts w:ascii="宋体" w:hAnsi="宋体" w:eastAsia="宋体" w:cs="宋体"/>
          <w:color w:val="000000"/>
        </w:rPr>
        <w:fldChar w:fldCharType="separate"/>
      </w:r>
      <w:r>
        <w:rPr>
          <w:rFonts w:hint="eastAsia" w:ascii="宋体" w:hAnsi="宋体" w:eastAsia="宋体" w:cs="宋体"/>
          <w:color w:val="000000"/>
        </w:rPr>
        <w:t>②</w:t>
      </w:r>
      <w:r>
        <w:rPr>
          <w:rFonts w:ascii="宋体" w:hAnsi="宋体" w:eastAsia="宋体" w:cs="宋体"/>
          <w:color w:val="000000"/>
        </w:rPr>
        <w:fldChar w:fldCharType="end"/>
      </w:r>
      <w:r>
        <w:rPr>
          <w:rFonts w:hint="eastAsia"/>
          <w:color w:val="000000"/>
        </w:rPr>
        <w:t xml:space="preserve">加强机械保养，减少施工机械不正常运转造成的噪音。 </w:t>
      </w:r>
    </w:p>
    <w:p w14:paraId="316A48BD">
      <w:pPr>
        <w:ind w:firstLine="560"/>
        <w:rPr>
          <w:color w:val="000000"/>
        </w:rPr>
      </w:pPr>
      <w:r>
        <w:rPr>
          <w:color w:val="000000"/>
        </w:rPr>
        <w:fldChar w:fldCharType="begin"/>
      </w:r>
      <w:r>
        <w:rPr>
          <w:rFonts w:hint="eastAsia"/>
          <w:color w:val="000000"/>
        </w:rPr>
        <w:instrText xml:space="preserve">= 3 \* GB3</w:instrText>
      </w:r>
      <w:r>
        <w:rPr>
          <w:color w:val="000000"/>
        </w:rPr>
        <w:fldChar w:fldCharType="separate"/>
      </w:r>
      <w:r>
        <w:rPr>
          <w:rFonts w:hint="eastAsia"/>
          <w:color w:val="000000"/>
        </w:rPr>
        <w:t>③</w:t>
      </w:r>
      <w:r>
        <w:rPr>
          <w:color w:val="000000"/>
        </w:rPr>
        <w:fldChar w:fldCharType="end"/>
      </w:r>
      <w:r>
        <w:rPr>
          <w:rFonts w:hint="eastAsia"/>
          <w:color w:val="000000"/>
        </w:rPr>
        <w:t>对于噪音超标的机械设备，采用消音器降低噪音。</w:t>
      </w:r>
    </w:p>
    <w:p w14:paraId="55754C7B">
      <w:pPr>
        <w:ind w:firstLine="560"/>
        <w:rPr>
          <w:color w:val="000000"/>
        </w:rPr>
      </w:pPr>
      <w:r>
        <w:rPr>
          <w:color w:val="000000"/>
        </w:rPr>
        <w:fldChar w:fldCharType="begin"/>
      </w:r>
      <w:r>
        <w:rPr>
          <w:rFonts w:hint="eastAsia"/>
          <w:color w:val="000000"/>
        </w:rPr>
        <w:instrText xml:space="preserve">= 4 \* GB3</w:instrText>
      </w:r>
      <w:r>
        <w:rPr>
          <w:color w:val="000000"/>
        </w:rPr>
        <w:fldChar w:fldCharType="separate"/>
      </w:r>
      <w:r>
        <w:rPr>
          <w:rFonts w:hint="eastAsia"/>
          <w:color w:val="000000"/>
        </w:rPr>
        <w:t>④</w:t>
      </w:r>
      <w:r>
        <w:rPr>
          <w:color w:val="000000"/>
        </w:rPr>
        <w:fldChar w:fldCharType="end"/>
      </w:r>
      <w:r>
        <w:rPr>
          <w:rFonts w:hint="eastAsia"/>
          <w:color w:val="000000"/>
        </w:rPr>
        <w:t>对经常接触有噪音的职工，加强个人防护，佩带耳塞消除影响。</w:t>
      </w:r>
    </w:p>
    <w:p w14:paraId="1003F203">
      <w:pPr>
        <w:ind w:firstLine="560"/>
        <w:rPr>
          <w:color w:val="000000"/>
        </w:rPr>
      </w:pPr>
      <w:r>
        <w:rPr>
          <w:rFonts w:ascii="宋体" w:hAnsi="宋体" w:eastAsia="宋体" w:cs="宋体"/>
          <w:color w:val="000000"/>
        </w:rPr>
        <w:fldChar w:fldCharType="begin"/>
      </w:r>
      <w:r>
        <w:rPr>
          <w:rFonts w:hint="eastAsia" w:ascii="宋体" w:hAnsi="宋体" w:eastAsia="宋体" w:cs="宋体"/>
          <w:color w:val="000000"/>
        </w:rPr>
        <w:instrText xml:space="preserve">= 5 \* GB3</w:instrText>
      </w:r>
      <w:r>
        <w:rPr>
          <w:rFonts w:ascii="宋体" w:hAnsi="宋体" w:eastAsia="宋体" w:cs="宋体"/>
          <w:color w:val="000000"/>
        </w:rPr>
        <w:fldChar w:fldCharType="separate"/>
      </w:r>
      <w:r>
        <w:rPr>
          <w:rFonts w:hint="eastAsia" w:ascii="宋体" w:hAnsi="宋体" w:eastAsia="宋体" w:cs="宋体"/>
          <w:color w:val="000000"/>
        </w:rPr>
        <w:t>⑤</w:t>
      </w:r>
      <w:r>
        <w:rPr>
          <w:rFonts w:ascii="宋体" w:hAnsi="宋体" w:eastAsia="宋体" w:cs="宋体"/>
          <w:color w:val="000000"/>
        </w:rPr>
        <w:fldChar w:fldCharType="end"/>
      </w:r>
      <w:r>
        <w:rPr>
          <w:rFonts w:hint="eastAsia"/>
          <w:color w:val="000000"/>
        </w:rPr>
        <w:t>按照劳动法的要求，做好本工程的劳动、保护装备工作，根据每个工种的人数以及劳动性质，由物机部门负责采购，配备充足而且必要的劳动保护用品。同时加强行政管理，落实劳动保护措施。</w:t>
      </w:r>
    </w:p>
    <w:p w14:paraId="02682314">
      <w:pPr>
        <w:ind w:firstLine="560"/>
        <w:rPr>
          <w:color w:val="000000"/>
        </w:rPr>
      </w:pPr>
      <w:r>
        <w:rPr>
          <w:rFonts w:cs="仿宋"/>
          <w:color w:val="000000"/>
        </w:rPr>
        <w:fldChar w:fldCharType="begin"/>
      </w:r>
      <w:r>
        <w:rPr>
          <w:rFonts w:hint="eastAsia" w:cs="仿宋"/>
          <w:color w:val="000000"/>
        </w:rPr>
        <w:instrText xml:space="preserve">= 6 \* GB3</w:instrText>
      </w:r>
      <w:r>
        <w:rPr>
          <w:rFonts w:cs="仿宋"/>
          <w:color w:val="000000"/>
        </w:rPr>
        <w:fldChar w:fldCharType="separate"/>
      </w:r>
      <w:r>
        <w:rPr>
          <w:rFonts w:hint="eastAsia" w:cs="仿宋"/>
          <w:color w:val="000000"/>
        </w:rPr>
        <w:t>⑥</w:t>
      </w:r>
      <w:r>
        <w:rPr>
          <w:rFonts w:cs="仿宋"/>
          <w:color w:val="000000"/>
        </w:rPr>
        <w:fldChar w:fldCharType="end"/>
      </w:r>
      <w:r>
        <w:rPr>
          <w:rFonts w:hint="eastAsia"/>
          <w:color w:val="000000"/>
        </w:rPr>
        <w:t>现场电焊作业人员，必须佩戴好护目镜。</w:t>
      </w:r>
    </w:p>
    <w:p w14:paraId="70165C67">
      <w:pPr>
        <w:ind w:firstLine="560"/>
        <w:rPr>
          <w:color w:val="000000"/>
        </w:rPr>
      </w:pPr>
      <w:r>
        <w:rPr>
          <w:color w:val="000000"/>
        </w:rPr>
        <w:fldChar w:fldCharType="begin"/>
      </w:r>
      <w:r>
        <w:rPr>
          <w:rFonts w:hint="eastAsia"/>
          <w:color w:val="000000"/>
        </w:rPr>
        <w:instrText xml:space="preserve">= 7 \* GB3</w:instrText>
      </w:r>
      <w:r>
        <w:rPr>
          <w:color w:val="000000"/>
        </w:rPr>
        <w:fldChar w:fldCharType="separate"/>
      </w:r>
      <w:r>
        <w:rPr>
          <w:rFonts w:hint="eastAsia"/>
          <w:color w:val="000000"/>
        </w:rPr>
        <w:t>⑦</w:t>
      </w:r>
      <w:r>
        <w:rPr>
          <w:color w:val="000000"/>
        </w:rPr>
        <w:fldChar w:fldCharType="end"/>
      </w:r>
      <w:r>
        <w:rPr>
          <w:rFonts w:hint="eastAsia"/>
          <w:color w:val="000000"/>
        </w:rPr>
        <w:t>劳动保护装备要符合以下要求：</w:t>
      </w:r>
    </w:p>
    <w:p w14:paraId="24E3C6B8">
      <w:pPr>
        <w:ind w:firstLine="560"/>
        <w:rPr>
          <w:color w:val="000000"/>
        </w:rPr>
      </w:pPr>
      <w:r>
        <w:rPr>
          <w:color w:val="000000"/>
        </w:rPr>
        <w:t>1</w:t>
      </w:r>
      <w:r>
        <w:rPr>
          <w:rFonts w:hint="eastAsia"/>
          <w:color w:val="000000"/>
        </w:rPr>
        <w:t>）采购劳动保护用品时，必须审核产品的生产许可证、产品合格证和安全鉴定证，确保产品的质量和使用安全；对于未列入国家生产许可证管理范围的劳动防护用品，按路用劳动防护用品许可证制度进行质量管理。</w:t>
      </w:r>
    </w:p>
    <w:p w14:paraId="514B4F98">
      <w:pPr>
        <w:ind w:firstLine="560"/>
        <w:rPr>
          <w:color w:val="000000"/>
        </w:rPr>
      </w:pPr>
      <w:r>
        <w:rPr>
          <w:rFonts w:ascii="宋体" w:hAnsi="宋体" w:eastAsia="宋体" w:cs="宋体"/>
          <w:color w:val="000000"/>
        </w:rPr>
        <w:t>2</w:t>
      </w:r>
      <w:r>
        <w:rPr>
          <w:rFonts w:hint="eastAsia" w:ascii="宋体" w:hAnsi="宋体" w:eastAsia="宋体" w:cs="宋体"/>
          <w:color w:val="000000"/>
        </w:rPr>
        <w:t>）</w:t>
      </w:r>
      <w:r>
        <w:rPr>
          <w:rFonts w:hint="eastAsia"/>
          <w:color w:val="000000"/>
        </w:rPr>
        <w:t>施工人员必须分工按规定配齐劳动保护用品，并配戴上岗。进入施工现场的其他人员必须配戴安全帽，闲杂人员不得出入施工现场；由安全领导小组负责对施工人员进行劳动保护方面的检查，对漏配、缺配劳动保护用品的施工人员，责令补发劳动保护用品；对不按规定配戴劳动保护用品上岗的人员，进行批评教育，并责令其改正，对累教不改的人员，将采取罚款、停岗等措施予以惩罚。</w:t>
      </w:r>
    </w:p>
    <w:p w14:paraId="51395063">
      <w:pPr>
        <w:ind w:firstLine="560"/>
        <w:rPr>
          <w:color w:val="000000"/>
        </w:rPr>
      </w:pPr>
      <w:r>
        <w:rPr>
          <w:rFonts w:hint="eastAsia"/>
          <w:color w:val="000000"/>
          <w:lang w:val="zh-CN"/>
        </w:rPr>
        <w:t>（2）</w:t>
      </w:r>
      <w:r>
        <w:rPr>
          <w:rFonts w:hint="eastAsia"/>
          <w:color w:val="000000"/>
        </w:rPr>
        <w:t xml:space="preserve">医疗保障措施  </w:t>
      </w:r>
    </w:p>
    <w:p w14:paraId="1ECDBB76">
      <w:pPr>
        <w:ind w:firstLine="560"/>
        <w:rPr>
          <w:color w:val="000000"/>
        </w:rPr>
      </w:pPr>
      <w:r>
        <w:rPr>
          <w:color w:val="000000"/>
        </w:rPr>
        <w:fldChar w:fldCharType="begin"/>
      </w:r>
      <w:r>
        <w:rPr>
          <w:rFonts w:hint="eastAsia"/>
          <w:color w:val="000000"/>
        </w:rPr>
        <w:instrText xml:space="preserve">= 1 \* GB3</w:instrText>
      </w:r>
      <w:r>
        <w:rPr>
          <w:color w:val="000000"/>
        </w:rPr>
        <w:fldChar w:fldCharType="separate"/>
      </w:r>
      <w:r>
        <w:rPr>
          <w:rFonts w:hint="eastAsia"/>
          <w:color w:val="000000"/>
        </w:rPr>
        <w:t>①</w:t>
      </w:r>
      <w:r>
        <w:rPr>
          <w:color w:val="000000"/>
        </w:rPr>
        <w:fldChar w:fldCharType="end"/>
      </w:r>
      <w:r>
        <w:rPr>
          <w:rFonts w:hint="eastAsia"/>
          <w:color w:val="000000"/>
        </w:rPr>
        <w:t>联系医院，全面负责医疗卫生和传染病、血吸虫病防治的监测监督工作，落实防治措施，做好职工的健康教育工作。对项目内出现的疫情信息，及时向上一级医疗卫生机构报告。对内规范管理、对外加强协调联系，营造一个良好的内外卫生防疫工作环境。</w:t>
      </w:r>
    </w:p>
    <w:p w14:paraId="559D5B02">
      <w:pPr>
        <w:ind w:firstLine="560"/>
        <w:rPr>
          <w:color w:val="000000"/>
        </w:rPr>
      </w:pPr>
      <w:r>
        <w:rPr>
          <w:color w:val="000000"/>
        </w:rPr>
        <w:fldChar w:fldCharType="begin"/>
      </w:r>
      <w:r>
        <w:rPr>
          <w:rFonts w:hint="eastAsia"/>
          <w:color w:val="000000"/>
        </w:rPr>
        <w:instrText xml:space="preserve">= 2 \* GB3</w:instrText>
      </w:r>
      <w:r>
        <w:rPr>
          <w:color w:val="000000"/>
        </w:rPr>
        <w:fldChar w:fldCharType="separate"/>
      </w:r>
      <w:r>
        <w:rPr>
          <w:rFonts w:hint="eastAsia"/>
          <w:color w:val="000000"/>
        </w:rPr>
        <w:t>②</w:t>
      </w:r>
      <w:r>
        <w:rPr>
          <w:color w:val="000000"/>
        </w:rPr>
        <w:fldChar w:fldCharType="end"/>
      </w:r>
      <w:r>
        <w:rPr>
          <w:rFonts w:hint="eastAsia"/>
          <w:color w:val="000000"/>
        </w:rPr>
        <w:t>夏季发放防暑药品，防止中暑。冬季发放防寒防冻药品，防止冻伤；春秋两季是传染病、病毒性疾病高发季节，医务人员将加强对职工的健康检查，做好预防接种工作，搞好环境卫生，切断蚊蝇等传媒生物孳生源，有效控制疾病的流行。</w:t>
      </w:r>
    </w:p>
    <w:p w14:paraId="10B93DF6">
      <w:pPr>
        <w:ind w:firstLine="560"/>
        <w:rPr>
          <w:color w:val="000000"/>
        </w:rPr>
      </w:pPr>
      <w:r>
        <w:rPr>
          <w:rFonts w:hint="eastAsia"/>
          <w:color w:val="000000"/>
        </w:rPr>
        <w:t>9、疫情防控安全保障措施</w:t>
      </w:r>
    </w:p>
    <w:p w14:paraId="2D8ABEDD">
      <w:pPr>
        <w:ind w:firstLine="560"/>
        <w:rPr>
          <w:color w:val="000000"/>
        </w:rPr>
      </w:pPr>
      <w:r>
        <w:rPr>
          <w:rFonts w:hint="eastAsia"/>
          <w:color w:val="000000"/>
          <w:lang w:val="zh-CN"/>
        </w:rPr>
        <w:t>（1）</w:t>
      </w:r>
      <w:r>
        <w:rPr>
          <w:rFonts w:hint="eastAsia"/>
          <w:color w:val="000000"/>
        </w:rPr>
        <w:t>进场人员管理</w:t>
      </w:r>
    </w:p>
    <w:p w14:paraId="3EC8FC7A">
      <w:pPr>
        <w:ind w:firstLine="560"/>
        <w:rPr>
          <w:color w:val="000000"/>
        </w:rPr>
      </w:pPr>
      <w:r>
        <w:rPr>
          <w:rFonts w:hint="eastAsia"/>
          <w:color w:val="000000"/>
        </w:rPr>
        <w:t>通过宣传栏、公告栏、专题讲座、线上培训、班前教育、技术交底等方式，加强对施工现场人员防疫政策、健康知识的宣传教育培训，引导施工现场人员养成勤洗手、常通风、科学佩戴口罩、使用公勺公筷等良好卫生习惯，着力提升从业人员的防范意识和防控能力。</w:t>
      </w:r>
    </w:p>
    <w:p w14:paraId="3F8AA624">
      <w:pPr>
        <w:ind w:firstLine="560"/>
        <w:rPr>
          <w:color w:val="000000"/>
        </w:rPr>
      </w:pPr>
      <w:r>
        <w:rPr>
          <w:rFonts w:hint="eastAsia"/>
          <w:color w:val="000000"/>
          <w:lang w:val="zh-CN"/>
        </w:rPr>
        <w:t>（2）</w:t>
      </w:r>
      <w:r>
        <w:rPr>
          <w:rFonts w:hint="eastAsia"/>
          <w:color w:val="000000"/>
        </w:rPr>
        <w:t>防疫消杀管理</w:t>
      </w:r>
    </w:p>
    <w:p w14:paraId="45149A67">
      <w:pPr>
        <w:ind w:firstLine="560"/>
        <w:rPr>
          <w:color w:val="000000"/>
        </w:rPr>
      </w:pPr>
      <w:r>
        <w:rPr>
          <w:color w:val="000000"/>
        </w:rPr>
        <w:t>1</w:t>
      </w:r>
      <w:r>
        <w:rPr>
          <w:rFonts w:hint="eastAsia"/>
          <w:color w:val="000000"/>
        </w:rPr>
        <w:t>）常态化管控期间，各部门、各单位每天早晨和中午上班后，请注意用消毒湿巾对办公时可能接触的物体表面进入擦拭（包括但不限于桌椅、电脑键盘、手机、文件夹、杯/茶具）。</w:t>
      </w:r>
    </w:p>
    <w:p w14:paraId="42744DC4">
      <w:pPr>
        <w:ind w:firstLine="560"/>
        <w:rPr>
          <w:color w:val="000000"/>
        </w:rPr>
      </w:pPr>
      <w:r>
        <w:rPr>
          <w:color w:val="000000"/>
        </w:rPr>
        <w:t>2</w:t>
      </w:r>
      <w:r>
        <w:rPr>
          <w:rFonts w:hint="eastAsia"/>
          <w:color w:val="000000"/>
        </w:rPr>
        <w:t>）公共区域消毒作业，由办公室安排相关人员组织实施并做好记录。包括食堂、卫生间、会议室、办公楼等聚集性地方，做到全方位、无死角消杀。</w:t>
      </w:r>
    </w:p>
    <w:p w14:paraId="02D824B5">
      <w:pPr>
        <w:ind w:firstLine="560"/>
        <w:rPr>
          <w:color w:val="000000"/>
        </w:rPr>
      </w:pPr>
      <w:r>
        <w:rPr>
          <w:rFonts w:hint="eastAsia"/>
          <w:color w:val="000000"/>
          <w:lang w:val="zh-CN"/>
        </w:rPr>
        <w:t>（3）</w:t>
      </w:r>
      <w:r>
        <w:rPr>
          <w:rFonts w:hint="eastAsia"/>
          <w:color w:val="000000"/>
        </w:rPr>
        <w:t>施工现场管控</w:t>
      </w:r>
    </w:p>
    <w:p w14:paraId="3904F8B0">
      <w:pPr>
        <w:ind w:firstLine="560"/>
        <w:rPr>
          <w:color w:val="000000"/>
        </w:rPr>
      </w:pPr>
      <w:r>
        <w:rPr>
          <w:rFonts w:hint="eastAsia"/>
          <w:color w:val="000000"/>
        </w:rPr>
        <w:t>必须储备充足的口罩、酒精、消毒液、防护服等物资，疫情防控工作小组要实时掌控物资储备情况，及时补充。</w:t>
      </w:r>
    </w:p>
    <w:p w14:paraId="0EC555FA">
      <w:pPr>
        <w:ind w:firstLine="560"/>
        <w:rPr>
          <w:color w:val="000000"/>
        </w:rPr>
      </w:pPr>
      <w:r>
        <w:rPr>
          <w:rFonts w:hint="eastAsia"/>
          <w:color w:val="000000"/>
          <w:lang w:val="zh-CN"/>
        </w:rPr>
        <w:t>（4）</w:t>
      </w:r>
      <w:r>
        <w:rPr>
          <w:rFonts w:hint="eastAsia"/>
          <w:color w:val="000000"/>
        </w:rPr>
        <w:t>教育培训</w:t>
      </w:r>
    </w:p>
    <w:p w14:paraId="438020BA">
      <w:pPr>
        <w:ind w:firstLine="560"/>
        <w:rPr>
          <w:color w:val="000000"/>
        </w:rPr>
      </w:pPr>
      <w:r>
        <w:rPr>
          <w:rFonts w:hint="eastAsia"/>
          <w:color w:val="000000"/>
        </w:rPr>
        <w:t>1）将新冠疫情防控教育纳入到每日岗前安全教育，创新教育和交底方式，减少人员聚集。</w:t>
      </w:r>
    </w:p>
    <w:p w14:paraId="25744F4C">
      <w:pPr>
        <w:ind w:firstLine="560"/>
        <w:rPr>
          <w:color w:val="000000"/>
        </w:rPr>
      </w:pPr>
      <w:r>
        <w:rPr>
          <w:rFonts w:hint="eastAsia"/>
          <w:color w:val="000000"/>
        </w:rPr>
        <w:t>2）指导从业人员注意个人卫生，保持勤洗手、多饮水，保持宿舍卫生整洁，多通风。</w:t>
      </w:r>
    </w:p>
    <w:p w14:paraId="7A12D446">
      <w:pPr>
        <w:pStyle w:val="3"/>
        <w:bidi w:val="0"/>
        <w:ind w:left="575" w:leftChars="0" w:hanging="575" w:firstLineChars="0"/>
      </w:pPr>
      <w:bookmarkStart w:id="493" w:name="_Toc30343"/>
      <w:bookmarkStart w:id="494" w:name="_Toc20956"/>
      <w:bookmarkStart w:id="495" w:name="_Toc2392"/>
      <w:bookmarkStart w:id="496" w:name="_Toc32679"/>
      <w:bookmarkStart w:id="497" w:name="_Toc13808"/>
      <w:bookmarkStart w:id="498" w:name="_Toc12160"/>
      <w:bookmarkStart w:id="499" w:name="_Toc28071"/>
      <w:bookmarkStart w:id="500" w:name="_Toc16910"/>
      <w:bookmarkStart w:id="501" w:name="_Toc12630"/>
      <w:bookmarkStart w:id="502" w:name="_Toc87114083"/>
      <w:bookmarkStart w:id="503" w:name="_Toc31375"/>
      <w:bookmarkStart w:id="504" w:name="_Toc30170"/>
      <w:bookmarkStart w:id="505" w:name="_Toc8948"/>
      <w:bookmarkStart w:id="506" w:name="_Toc12043"/>
      <w:bookmarkStart w:id="507" w:name="_Toc14949"/>
      <w:r>
        <w:t>高处作业及临边防护安全技术措施</w:t>
      </w:r>
      <w:bookmarkEnd w:id="493"/>
      <w:bookmarkEnd w:id="494"/>
      <w:bookmarkEnd w:id="495"/>
      <w:bookmarkEnd w:id="496"/>
      <w:bookmarkEnd w:id="497"/>
      <w:bookmarkEnd w:id="498"/>
    </w:p>
    <w:p w14:paraId="3F666E13">
      <w:pPr>
        <w:ind w:firstLine="560"/>
        <w:rPr>
          <w:color w:val="000000"/>
        </w:rPr>
      </w:pPr>
      <w:r>
        <w:rPr>
          <w:color w:val="000000"/>
        </w:rPr>
        <w:t>1．施工前,要对操作者进行安全交底，落实安全技术措施和人身防护用品，未经落实不得进行施工</w:t>
      </w:r>
      <w:r>
        <w:rPr>
          <w:rFonts w:hint="eastAsia"/>
          <w:color w:val="000000"/>
        </w:rPr>
        <w:t>。</w:t>
      </w:r>
    </w:p>
    <w:p w14:paraId="5799B76D">
      <w:pPr>
        <w:ind w:firstLine="560"/>
        <w:rPr>
          <w:color w:val="000000"/>
        </w:rPr>
      </w:pPr>
      <w:r>
        <w:rPr>
          <w:color w:val="000000"/>
        </w:rPr>
        <w:t>2．高空作业中的工具设备和电气设施，必须在施工前加以检查，确认其完好，方能使用</w:t>
      </w:r>
      <w:r>
        <w:rPr>
          <w:rFonts w:hint="eastAsia"/>
          <w:color w:val="000000"/>
        </w:rPr>
        <w:t>。</w:t>
      </w:r>
    </w:p>
    <w:p w14:paraId="3F1EB959">
      <w:pPr>
        <w:ind w:firstLine="560"/>
        <w:rPr>
          <w:color w:val="000000"/>
        </w:rPr>
      </w:pPr>
      <w:r>
        <w:rPr>
          <w:color w:val="000000"/>
        </w:rPr>
        <w:t>3．攀登和悬空高处作业人员以及搭设高处作业安全设施人员,必须经过专业技术培训考试合格持证上岗.高处作业人员必须佩带安全带</w:t>
      </w:r>
      <w:r>
        <w:rPr>
          <w:rFonts w:hint="eastAsia"/>
          <w:color w:val="000000"/>
        </w:rPr>
        <w:t>。</w:t>
      </w:r>
    </w:p>
    <w:p w14:paraId="18B962A0">
      <w:pPr>
        <w:ind w:firstLine="560"/>
        <w:rPr>
          <w:color w:val="000000"/>
        </w:rPr>
      </w:pPr>
      <w:r>
        <w:rPr>
          <w:color w:val="000000"/>
        </w:rPr>
        <w:t>4．施工现场使用的防高处坠落安全防护用品，必须是经国家质量鉴定、审验手续的合格产品</w:t>
      </w:r>
      <w:r>
        <w:rPr>
          <w:rFonts w:hint="eastAsia"/>
          <w:color w:val="000000"/>
        </w:rPr>
        <w:t>。</w:t>
      </w:r>
    </w:p>
    <w:p w14:paraId="1B095F0E">
      <w:pPr>
        <w:ind w:firstLine="560"/>
        <w:rPr>
          <w:color w:val="000000"/>
        </w:rPr>
      </w:pPr>
      <w:r>
        <w:rPr>
          <w:color w:val="000000"/>
        </w:rPr>
        <w:t xml:space="preserve">5．高处作业平台四周围应有防护栏,并挂密目网防护，平台底部设置18cm挡脚板，平台设爬梯供工作人员上下。 </w:t>
      </w:r>
    </w:p>
    <w:p w14:paraId="51906823">
      <w:pPr>
        <w:ind w:firstLine="560"/>
        <w:rPr>
          <w:color w:val="000000"/>
        </w:rPr>
      </w:pPr>
      <w:r>
        <w:rPr>
          <w:color w:val="000000"/>
        </w:rPr>
        <w:t xml:space="preserve">6．在交叉作业时,不允许在上下同一垂直区域内进行作业，下层作业时应在上层物体落地区域外作业。 </w:t>
      </w:r>
    </w:p>
    <w:p w14:paraId="2BF7EE91">
      <w:pPr>
        <w:ind w:firstLine="560"/>
        <w:rPr>
          <w:color w:val="000000"/>
        </w:rPr>
      </w:pPr>
      <w:r>
        <w:rPr>
          <w:color w:val="000000"/>
        </w:rPr>
        <w:t>7．临边防护必须超出作业面1</w:t>
      </w:r>
      <w:r>
        <w:rPr>
          <w:rFonts w:hint="eastAsia"/>
          <w:color w:val="000000"/>
        </w:rPr>
        <w:t>.</w:t>
      </w:r>
      <w:r>
        <w:rPr>
          <w:color w:val="000000"/>
        </w:rPr>
        <w:t>2m,作业人员必须按规定系挂安全带。临边作业必须设防护栏杆（要求0</w:t>
      </w:r>
      <w:r>
        <w:rPr>
          <w:rFonts w:hint="eastAsia"/>
          <w:color w:val="000000"/>
        </w:rPr>
        <w:t>.</w:t>
      </w:r>
      <w:r>
        <w:rPr>
          <w:color w:val="000000"/>
        </w:rPr>
        <w:t xml:space="preserve">6m、1.2m各设一道)。 </w:t>
      </w:r>
    </w:p>
    <w:p w14:paraId="61880112">
      <w:pPr>
        <w:ind w:firstLine="560"/>
        <w:rPr>
          <w:color w:val="000000"/>
        </w:rPr>
      </w:pPr>
      <w:r>
        <w:rPr>
          <w:color w:val="000000"/>
        </w:rPr>
        <w:t xml:space="preserve">8．高处作业中所用的物料应该堆放平稳,不可置放在临边或洞口附近，也不可妨碍通行和装卸。 </w:t>
      </w:r>
    </w:p>
    <w:p w14:paraId="399E0BEC">
      <w:pPr>
        <w:ind w:firstLine="560"/>
        <w:rPr>
          <w:color w:val="000000"/>
        </w:rPr>
      </w:pPr>
      <w:r>
        <w:rPr>
          <w:color w:val="000000"/>
        </w:rPr>
        <w:t xml:space="preserve">9．现场操作人员上下楼时必须走专门的通道,不得在非规定的通道进行攀登,更不得任意利用吊车臂等施工设备进行攀登。 </w:t>
      </w:r>
    </w:p>
    <w:p w14:paraId="7F3C244A">
      <w:pPr>
        <w:ind w:firstLine="560"/>
        <w:rPr>
          <w:color w:val="000000"/>
        </w:rPr>
      </w:pPr>
      <w:r>
        <w:rPr>
          <w:color w:val="000000"/>
        </w:rPr>
        <w:t>10．对脚手架的搭设、拆除，安全网的支挂,安全带的使用，”四口”、”五临边"的防护要进行量化检查验收，合格后方准施工</w:t>
      </w:r>
      <w:r>
        <w:rPr>
          <w:rFonts w:hint="eastAsia"/>
          <w:color w:val="000000"/>
        </w:rPr>
        <w:t>。</w:t>
      </w:r>
    </w:p>
    <w:p w14:paraId="414916A1">
      <w:pPr>
        <w:ind w:firstLine="560"/>
        <w:rPr>
          <w:color w:val="000000"/>
        </w:rPr>
      </w:pPr>
      <w:r>
        <w:rPr>
          <w:color w:val="000000"/>
        </w:rPr>
        <w:t xml:space="preserve">11．冬季进行高处作业,要用可靠的防滑、防寒和防冻措施。 </w:t>
      </w:r>
    </w:p>
    <w:p w14:paraId="2BF6001F">
      <w:pPr>
        <w:ind w:firstLine="560"/>
        <w:rPr>
          <w:color w:val="000000"/>
        </w:rPr>
      </w:pPr>
      <w:r>
        <w:rPr>
          <w:color w:val="000000"/>
        </w:rPr>
        <w:t>12．进行高处作业时，应事先设置避雷设施，遇五级以上强风，不得进行露天攀登与悬空高处作业，大风及大雨过后，应对高处作业安全设施逐一加以检查,发现有松动、变形、损坏或脱落等现象立即修理完善。</w:t>
      </w:r>
    </w:p>
    <w:p w14:paraId="176F72BE">
      <w:pPr>
        <w:pStyle w:val="3"/>
        <w:bidi w:val="0"/>
        <w:ind w:left="575" w:leftChars="0" w:hanging="575" w:firstLineChars="0"/>
      </w:pPr>
      <w:bookmarkStart w:id="508" w:name="_Toc24035"/>
      <w:bookmarkStart w:id="509" w:name="_Toc8552"/>
      <w:bookmarkStart w:id="510" w:name="_Toc23912"/>
      <w:bookmarkStart w:id="511" w:name="_Toc18276"/>
      <w:bookmarkStart w:id="512" w:name="_Toc3683"/>
      <w:bookmarkStart w:id="513" w:name="_Toc5051"/>
      <w:r>
        <w:rPr>
          <w:rFonts w:hint="eastAsia"/>
        </w:rPr>
        <w:t>绿色施工保证措施</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Start w:id="514" w:name="_Toc54548765"/>
    </w:p>
    <w:p w14:paraId="41BE0BE6">
      <w:pPr>
        <w:pStyle w:val="16"/>
      </w:pPr>
      <w:r>
        <w:t xml:space="preserve">表 </w:t>
      </w:r>
      <w:r>
        <w:fldChar w:fldCharType="begin"/>
      </w:r>
      <w:r>
        <w:instrText xml:space="preserve"> STYLEREF 2 \s </w:instrText>
      </w:r>
      <w:r>
        <w:fldChar w:fldCharType="separate"/>
      </w:r>
      <w:r>
        <w:t>13.5</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lang w:val="en-US" w:eastAsia="zh-CN"/>
        </w:rPr>
        <w:t xml:space="preserve"> </w:t>
      </w:r>
      <w:r>
        <w:rPr>
          <w:rFonts w:hint="eastAsia"/>
        </w:rPr>
        <w:t>环境敏感因素分析及防控措施表</w:t>
      </w:r>
    </w:p>
    <w:tbl>
      <w:tblPr>
        <w:tblStyle w:val="4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5"/>
        <w:gridCol w:w="1505"/>
        <w:gridCol w:w="6941"/>
      </w:tblGrid>
      <w:tr w14:paraId="44AE98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tblHeader/>
          <w:jc w:val="center"/>
        </w:trPr>
        <w:tc>
          <w:tcPr>
            <w:tcW w:w="425" w:type="pct"/>
            <w:vAlign w:val="center"/>
          </w:tcPr>
          <w:p w14:paraId="50394A54">
            <w:pPr>
              <w:pStyle w:val="148"/>
              <w:rPr>
                <w:rFonts w:ascii="仿宋" w:hAnsi="仿宋"/>
                <w:color w:val="000000"/>
                <w:kern w:val="2"/>
                <w:sz w:val="24"/>
                <w:szCs w:val="24"/>
              </w:rPr>
            </w:pPr>
            <w:r>
              <w:rPr>
                <w:rFonts w:hint="eastAsia" w:ascii="仿宋" w:hAnsi="仿宋"/>
                <w:color w:val="000000"/>
                <w:kern w:val="2"/>
                <w:sz w:val="24"/>
                <w:szCs w:val="24"/>
              </w:rPr>
              <w:t>序号</w:t>
            </w:r>
          </w:p>
        </w:tc>
        <w:tc>
          <w:tcPr>
            <w:tcW w:w="815" w:type="pct"/>
            <w:vAlign w:val="center"/>
          </w:tcPr>
          <w:p w14:paraId="40E555A7">
            <w:pPr>
              <w:pStyle w:val="148"/>
              <w:rPr>
                <w:rFonts w:ascii="仿宋" w:hAnsi="仿宋"/>
                <w:color w:val="000000"/>
                <w:kern w:val="2"/>
                <w:sz w:val="24"/>
                <w:szCs w:val="24"/>
              </w:rPr>
            </w:pPr>
            <w:r>
              <w:rPr>
                <w:rFonts w:hint="eastAsia" w:ascii="仿宋" w:hAnsi="仿宋"/>
                <w:color w:val="000000"/>
                <w:kern w:val="2"/>
                <w:sz w:val="24"/>
                <w:szCs w:val="24"/>
              </w:rPr>
              <w:t>因素</w:t>
            </w:r>
          </w:p>
        </w:tc>
        <w:tc>
          <w:tcPr>
            <w:tcW w:w="3759" w:type="pct"/>
            <w:vAlign w:val="center"/>
          </w:tcPr>
          <w:p w14:paraId="3913B90A">
            <w:pPr>
              <w:pStyle w:val="148"/>
              <w:rPr>
                <w:rFonts w:ascii="仿宋" w:hAnsi="仿宋"/>
                <w:color w:val="000000"/>
                <w:kern w:val="2"/>
                <w:sz w:val="24"/>
                <w:szCs w:val="24"/>
              </w:rPr>
            </w:pPr>
            <w:r>
              <w:rPr>
                <w:rFonts w:hint="eastAsia" w:ascii="仿宋" w:hAnsi="仿宋"/>
                <w:color w:val="000000"/>
                <w:kern w:val="2"/>
                <w:sz w:val="24"/>
                <w:szCs w:val="24"/>
              </w:rPr>
              <w:t>防控措施</w:t>
            </w:r>
          </w:p>
        </w:tc>
      </w:tr>
      <w:tr w14:paraId="15A726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5" w:type="pct"/>
            <w:vAlign w:val="center"/>
          </w:tcPr>
          <w:p w14:paraId="791DB84C">
            <w:pPr>
              <w:pStyle w:val="148"/>
              <w:rPr>
                <w:rFonts w:ascii="仿宋" w:hAnsi="仿宋"/>
                <w:color w:val="000000"/>
                <w:kern w:val="2"/>
                <w:sz w:val="24"/>
                <w:szCs w:val="24"/>
              </w:rPr>
            </w:pPr>
            <w:r>
              <w:rPr>
                <w:rFonts w:ascii="仿宋" w:hAnsi="仿宋"/>
                <w:color w:val="000000"/>
                <w:kern w:val="2"/>
                <w:sz w:val="24"/>
                <w:szCs w:val="24"/>
              </w:rPr>
              <w:t>1</w:t>
            </w:r>
          </w:p>
        </w:tc>
        <w:tc>
          <w:tcPr>
            <w:tcW w:w="815" w:type="pct"/>
            <w:vAlign w:val="center"/>
          </w:tcPr>
          <w:p w14:paraId="04342C3B">
            <w:pPr>
              <w:pStyle w:val="148"/>
              <w:rPr>
                <w:rFonts w:ascii="仿宋" w:hAnsi="仿宋"/>
                <w:color w:val="000000"/>
                <w:kern w:val="2"/>
                <w:sz w:val="24"/>
                <w:szCs w:val="24"/>
              </w:rPr>
            </w:pPr>
            <w:r>
              <w:rPr>
                <w:rFonts w:hint="eastAsia" w:ascii="仿宋" w:hAnsi="仿宋"/>
                <w:color w:val="000000"/>
                <w:kern w:val="2"/>
                <w:sz w:val="24"/>
                <w:szCs w:val="24"/>
              </w:rPr>
              <w:t>废气</w:t>
            </w:r>
          </w:p>
        </w:tc>
        <w:tc>
          <w:tcPr>
            <w:tcW w:w="3759" w:type="pct"/>
            <w:vAlign w:val="center"/>
          </w:tcPr>
          <w:p w14:paraId="60918735">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ascii="仿宋" w:hAnsi="仿宋"/>
                <w:color w:val="000000"/>
                <w:kern w:val="2"/>
                <w:sz w:val="24"/>
                <w:szCs w:val="24"/>
              </w:rPr>
              <w:instrText xml:space="preserve"> = 1 \* GB2 </w:instrText>
            </w:r>
            <w:r>
              <w:rPr>
                <w:rFonts w:ascii="仿宋" w:hAnsi="仿宋"/>
                <w:color w:val="000000"/>
                <w:kern w:val="2"/>
                <w:sz w:val="24"/>
                <w:szCs w:val="24"/>
              </w:rPr>
              <w:fldChar w:fldCharType="separate"/>
            </w:r>
            <w:r>
              <w:rPr>
                <w:rFonts w:ascii="仿宋" w:hAnsi="仿宋"/>
                <w:color w:val="000000"/>
                <w:kern w:val="2"/>
                <w:sz w:val="24"/>
                <w:szCs w:val="24"/>
              </w:rPr>
              <w:t>⑴</w:t>
            </w:r>
            <w:r>
              <w:rPr>
                <w:rFonts w:ascii="仿宋" w:hAnsi="仿宋"/>
                <w:color w:val="000000"/>
                <w:kern w:val="2"/>
                <w:sz w:val="24"/>
                <w:szCs w:val="24"/>
              </w:rPr>
              <w:fldChar w:fldCharType="end"/>
            </w:r>
            <w:r>
              <w:rPr>
                <w:rFonts w:hint="eastAsia" w:ascii="仿宋" w:hAnsi="仿宋"/>
                <w:color w:val="000000"/>
                <w:kern w:val="2"/>
                <w:sz w:val="24"/>
                <w:szCs w:val="24"/>
              </w:rPr>
              <w:t>施工车辆、机械设备的废气排放应符合国家现行标准规定；</w:t>
            </w:r>
          </w:p>
          <w:p w14:paraId="49FCE9CC">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ascii="仿宋" w:hAnsi="仿宋"/>
                <w:color w:val="000000"/>
                <w:kern w:val="2"/>
                <w:sz w:val="24"/>
                <w:szCs w:val="24"/>
              </w:rPr>
              <w:instrText xml:space="preserve"> = 2 \* GB2 </w:instrText>
            </w:r>
            <w:r>
              <w:rPr>
                <w:rFonts w:ascii="仿宋" w:hAnsi="仿宋"/>
                <w:color w:val="000000"/>
                <w:kern w:val="2"/>
                <w:sz w:val="24"/>
                <w:szCs w:val="24"/>
              </w:rPr>
              <w:fldChar w:fldCharType="separate"/>
            </w:r>
            <w:r>
              <w:rPr>
                <w:rFonts w:ascii="仿宋" w:hAnsi="仿宋"/>
                <w:color w:val="000000"/>
                <w:kern w:val="2"/>
                <w:sz w:val="24"/>
                <w:szCs w:val="24"/>
              </w:rPr>
              <w:t>⑵</w:t>
            </w:r>
            <w:r>
              <w:rPr>
                <w:rFonts w:ascii="仿宋" w:hAnsi="仿宋"/>
                <w:color w:val="000000"/>
                <w:kern w:val="2"/>
                <w:sz w:val="24"/>
                <w:szCs w:val="24"/>
              </w:rPr>
              <w:fldChar w:fldCharType="end"/>
            </w:r>
            <w:r>
              <w:rPr>
                <w:rFonts w:hint="eastAsia" w:ascii="仿宋" w:hAnsi="仿宋"/>
                <w:color w:val="000000"/>
                <w:kern w:val="2"/>
                <w:sz w:val="24"/>
                <w:szCs w:val="24"/>
              </w:rPr>
              <w:t>施工现场应用无烟尘或少烟尘焊接工艺，提高焊接机械化和自动化程度；</w:t>
            </w:r>
          </w:p>
          <w:p w14:paraId="06A22662">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ascii="仿宋" w:hAnsi="仿宋"/>
                <w:color w:val="000000"/>
                <w:kern w:val="2"/>
                <w:sz w:val="24"/>
                <w:szCs w:val="24"/>
              </w:rPr>
              <w:instrText xml:space="preserve"> = 3 \* GB2 </w:instrText>
            </w:r>
            <w:r>
              <w:rPr>
                <w:rFonts w:ascii="仿宋" w:hAnsi="仿宋"/>
                <w:color w:val="000000"/>
                <w:kern w:val="2"/>
                <w:sz w:val="24"/>
                <w:szCs w:val="24"/>
              </w:rPr>
              <w:fldChar w:fldCharType="separate"/>
            </w:r>
            <w:r>
              <w:rPr>
                <w:rFonts w:ascii="仿宋" w:hAnsi="仿宋"/>
                <w:color w:val="000000"/>
                <w:kern w:val="2"/>
                <w:sz w:val="24"/>
                <w:szCs w:val="24"/>
              </w:rPr>
              <w:t>⑶</w:t>
            </w:r>
            <w:r>
              <w:rPr>
                <w:rFonts w:ascii="仿宋" w:hAnsi="仿宋"/>
                <w:color w:val="000000"/>
                <w:kern w:val="2"/>
                <w:sz w:val="24"/>
                <w:szCs w:val="24"/>
              </w:rPr>
              <w:fldChar w:fldCharType="end"/>
            </w:r>
            <w:r>
              <w:rPr>
                <w:rFonts w:hint="eastAsia" w:ascii="仿宋" w:hAnsi="仿宋"/>
                <w:color w:val="000000"/>
                <w:kern w:val="2"/>
                <w:sz w:val="24"/>
                <w:szCs w:val="24"/>
              </w:rPr>
              <w:t>施工现场不得焚烧废弃物或橡胶制品。</w:t>
            </w:r>
          </w:p>
        </w:tc>
      </w:tr>
      <w:tr w14:paraId="61882F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5" w:type="pct"/>
            <w:vAlign w:val="center"/>
          </w:tcPr>
          <w:p w14:paraId="488E8F65">
            <w:pPr>
              <w:pStyle w:val="148"/>
              <w:rPr>
                <w:rFonts w:ascii="仿宋" w:hAnsi="仿宋"/>
                <w:color w:val="000000"/>
                <w:kern w:val="2"/>
                <w:sz w:val="24"/>
                <w:szCs w:val="24"/>
              </w:rPr>
            </w:pPr>
            <w:r>
              <w:rPr>
                <w:rFonts w:ascii="仿宋" w:hAnsi="仿宋"/>
                <w:color w:val="000000"/>
                <w:kern w:val="2"/>
                <w:sz w:val="24"/>
                <w:szCs w:val="24"/>
              </w:rPr>
              <w:t>2</w:t>
            </w:r>
          </w:p>
        </w:tc>
        <w:tc>
          <w:tcPr>
            <w:tcW w:w="815" w:type="pct"/>
            <w:vAlign w:val="center"/>
          </w:tcPr>
          <w:p w14:paraId="20200257">
            <w:pPr>
              <w:pStyle w:val="148"/>
              <w:rPr>
                <w:rFonts w:ascii="仿宋" w:hAnsi="仿宋"/>
                <w:color w:val="000000"/>
                <w:kern w:val="2"/>
                <w:sz w:val="24"/>
                <w:szCs w:val="24"/>
              </w:rPr>
            </w:pPr>
            <w:r>
              <w:rPr>
                <w:rFonts w:hint="eastAsia" w:ascii="仿宋" w:hAnsi="仿宋"/>
                <w:color w:val="000000"/>
                <w:kern w:val="2"/>
                <w:sz w:val="24"/>
                <w:szCs w:val="24"/>
              </w:rPr>
              <w:t>液体垃圾</w:t>
            </w:r>
          </w:p>
        </w:tc>
        <w:tc>
          <w:tcPr>
            <w:tcW w:w="3759" w:type="pct"/>
            <w:vAlign w:val="center"/>
          </w:tcPr>
          <w:p w14:paraId="0706859F">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hint="eastAsia" w:ascii="仿宋" w:hAnsi="仿宋"/>
                <w:color w:val="000000"/>
                <w:kern w:val="2"/>
                <w:sz w:val="24"/>
                <w:szCs w:val="24"/>
              </w:rPr>
              <w:instrText xml:space="preserve">= 1 \* GB2</w:instrText>
            </w:r>
            <w:r>
              <w:rPr>
                <w:rFonts w:ascii="仿宋" w:hAnsi="仿宋"/>
                <w:color w:val="000000"/>
                <w:kern w:val="2"/>
                <w:sz w:val="24"/>
                <w:szCs w:val="24"/>
              </w:rPr>
              <w:fldChar w:fldCharType="separate"/>
            </w:r>
            <w:r>
              <w:rPr>
                <w:rFonts w:hint="eastAsia" w:ascii="仿宋" w:hAnsi="仿宋"/>
                <w:color w:val="000000"/>
                <w:kern w:val="2"/>
                <w:sz w:val="24"/>
                <w:szCs w:val="24"/>
              </w:rPr>
              <w:t>⑴</w:t>
            </w:r>
            <w:r>
              <w:rPr>
                <w:rFonts w:ascii="仿宋" w:hAnsi="仿宋"/>
                <w:color w:val="000000"/>
                <w:kern w:val="2"/>
                <w:sz w:val="24"/>
                <w:szCs w:val="24"/>
              </w:rPr>
              <w:fldChar w:fldCharType="end"/>
            </w:r>
            <w:r>
              <w:rPr>
                <w:rFonts w:hint="eastAsia" w:ascii="仿宋" w:hAnsi="仿宋"/>
                <w:color w:val="000000"/>
                <w:kern w:val="2"/>
                <w:sz w:val="24"/>
                <w:szCs w:val="24"/>
              </w:rPr>
              <w:t>施工机械定期检修检查，防止漏油凿出污染；</w:t>
            </w:r>
          </w:p>
          <w:p w14:paraId="2040D937">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hint="eastAsia" w:ascii="仿宋" w:hAnsi="仿宋"/>
                <w:color w:val="000000"/>
                <w:kern w:val="2"/>
                <w:sz w:val="24"/>
                <w:szCs w:val="24"/>
              </w:rPr>
              <w:instrText xml:space="preserve">= 2 \* GB2</w:instrText>
            </w:r>
            <w:r>
              <w:rPr>
                <w:rFonts w:ascii="仿宋" w:hAnsi="仿宋"/>
                <w:color w:val="000000"/>
                <w:kern w:val="2"/>
                <w:sz w:val="24"/>
                <w:szCs w:val="24"/>
              </w:rPr>
              <w:fldChar w:fldCharType="separate"/>
            </w:r>
            <w:r>
              <w:rPr>
                <w:rFonts w:hint="eastAsia" w:ascii="仿宋" w:hAnsi="仿宋"/>
                <w:color w:val="000000"/>
                <w:kern w:val="2"/>
                <w:sz w:val="24"/>
                <w:szCs w:val="24"/>
              </w:rPr>
              <w:t>⑵</w:t>
            </w:r>
            <w:r>
              <w:rPr>
                <w:rFonts w:ascii="仿宋" w:hAnsi="仿宋"/>
                <w:color w:val="000000"/>
                <w:kern w:val="2"/>
                <w:sz w:val="24"/>
                <w:szCs w:val="24"/>
              </w:rPr>
              <w:fldChar w:fldCharType="end"/>
            </w:r>
            <w:r>
              <w:rPr>
                <w:rFonts w:hint="eastAsia" w:ascii="仿宋" w:hAnsi="仿宋"/>
                <w:color w:val="000000"/>
                <w:kern w:val="2"/>
                <w:sz w:val="24"/>
                <w:szCs w:val="24"/>
              </w:rPr>
              <w:t>所有的油品或危险的化学品，污染物品必须有防止泄露和防污染的措施；</w:t>
            </w:r>
          </w:p>
          <w:p w14:paraId="72D9CC26">
            <w:pPr>
              <w:pStyle w:val="148"/>
              <w:jc w:val="left"/>
              <w:rPr>
                <w:rFonts w:ascii="仿宋" w:hAnsi="仿宋"/>
                <w:color w:val="000000"/>
                <w:kern w:val="2"/>
                <w:sz w:val="24"/>
                <w:szCs w:val="24"/>
              </w:rPr>
            </w:pPr>
            <w:r>
              <w:rPr>
                <w:rFonts w:hint="eastAsia" w:ascii="仿宋" w:hAnsi="仿宋"/>
                <w:color w:val="000000"/>
                <w:kern w:val="2"/>
                <w:sz w:val="24"/>
                <w:szCs w:val="24"/>
              </w:rPr>
              <w:fldChar w:fldCharType="begin"/>
            </w:r>
            <w:r>
              <w:rPr>
                <w:rFonts w:ascii="仿宋" w:hAnsi="仿宋"/>
                <w:color w:val="000000"/>
                <w:kern w:val="2"/>
                <w:sz w:val="24"/>
                <w:szCs w:val="24"/>
              </w:rPr>
              <w:instrText xml:space="preserve"> = 4 \* GB2 \* MERGEFORMAT </w:instrText>
            </w:r>
            <w:r>
              <w:rPr>
                <w:rFonts w:hint="eastAsia" w:ascii="仿宋" w:hAnsi="仿宋"/>
                <w:color w:val="000000"/>
                <w:kern w:val="2"/>
                <w:sz w:val="24"/>
                <w:szCs w:val="24"/>
              </w:rPr>
              <w:fldChar w:fldCharType="separate"/>
            </w:r>
            <w:r>
              <w:rPr>
                <w:rFonts w:hint="eastAsia" w:ascii="仿宋" w:hAnsi="仿宋"/>
                <w:color w:val="000000"/>
                <w:kern w:val="2"/>
                <w:sz w:val="24"/>
                <w:szCs w:val="24"/>
              </w:rPr>
              <w:t>⑷</w:t>
            </w:r>
            <w:r>
              <w:rPr>
                <w:rFonts w:hint="eastAsia" w:ascii="仿宋" w:hAnsi="仿宋"/>
                <w:color w:val="000000"/>
                <w:kern w:val="2"/>
                <w:sz w:val="24"/>
                <w:szCs w:val="24"/>
              </w:rPr>
              <w:fldChar w:fldCharType="end"/>
            </w:r>
            <w:r>
              <w:rPr>
                <w:rFonts w:hint="eastAsia" w:ascii="仿宋" w:hAnsi="仿宋"/>
                <w:color w:val="000000"/>
                <w:kern w:val="2"/>
                <w:sz w:val="24"/>
                <w:szCs w:val="24"/>
              </w:rPr>
              <w:t>所有使用和存储油品的部位都必须要有防止溢油的围油托盘围挡；</w:t>
            </w:r>
          </w:p>
          <w:p w14:paraId="2879BE59">
            <w:pPr>
              <w:pStyle w:val="148"/>
              <w:jc w:val="left"/>
              <w:rPr>
                <w:rFonts w:ascii="仿宋" w:hAnsi="仿宋"/>
                <w:color w:val="000000"/>
                <w:kern w:val="2"/>
                <w:sz w:val="24"/>
                <w:szCs w:val="24"/>
              </w:rPr>
            </w:pPr>
            <w:r>
              <w:rPr>
                <w:rFonts w:hint="eastAsia" w:ascii="仿宋" w:hAnsi="仿宋"/>
                <w:color w:val="000000"/>
                <w:kern w:val="2"/>
                <w:sz w:val="24"/>
                <w:szCs w:val="24"/>
              </w:rPr>
              <w:fldChar w:fldCharType="begin"/>
            </w:r>
            <w:r>
              <w:rPr>
                <w:rFonts w:ascii="仿宋" w:hAnsi="仿宋"/>
                <w:color w:val="000000"/>
                <w:kern w:val="2"/>
                <w:sz w:val="24"/>
                <w:szCs w:val="24"/>
              </w:rPr>
              <w:instrText xml:space="preserve"> = 5 \* GB2 \* MERGEFORMAT </w:instrText>
            </w:r>
            <w:r>
              <w:rPr>
                <w:rFonts w:hint="eastAsia" w:ascii="仿宋" w:hAnsi="仿宋"/>
                <w:color w:val="000000"/>
                <w:kern w:val="2"/>
                <w:sz w:val="24"/>
                <w:szCs w:val="24"/>
              </w:rPr>
              <w:fldChar w:fldCharType="separate"/>
            </w:r>
            <w:r>
              <w:rPr>
                <w:rFonts w:hint="eastAsia" w:ascii="仿宋" w:hAnsi="仿宋"/>
                <w:color w:val="000000"/>
                <w:kern w:val="2"/>
                <w:sz w:val="24"/>
                <w:szCs w:val="24"/>
              </w:rPr>
              <w:t>⑸</w:t>
            </w:r>
            <w:r>
              <w:rPr>
                <w:rFonts w:hint="eastAsia" w:ascii="仿宋" w:hAnsi="仿宋"/>
                <w:color w:val="000000"/>
                <w:kern w:val="2"/>
                <w:sz w:val="24"/>
                <w:szCs w:val="24"/>
              </w:rPr>
              <w:fldChar w:fldCharType="end"/>
            </w:r>
            <w:r>
              <w:rPr>
                <w:rFonts w:hint="eastAsia" w:ascii="仿宋" w:hAnsi="仿宋"/>
                <w:color w:val="000000"/>
                <w:kern w:val="2"/>
                <w:sz w:val="24"/>
                <w:szCs w:val="24"/>
              </w:rPr>
              <w:t>所有设备都必须配备溢油应急物品，如围油索，吸油毡、干沙等。</w:t>
            </w:r>
          </w:p>
        </w:tc>
      </w:tr>
      <w:tr w14:paraId="4AFF6B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5" w:type="pct"/>
            <w:vAlign w:val="center"/>
          </w:tcPr>
          <w:p w14:paraId="4096130A">
            <w:pPr>
              <w:pStyle w:val="148"/>
              <w:rPr>
                <w:rFonts w:ascii="仿宋" w:hAnsi="仿宋"/>
                <w:color w:val="000000"/>
                <w:kern w:val="2"/>
                <w:sz w:val="24"/>
                <w:szCs w:val="24"/>
              </w:rPr>
            </w:pPr>
            <w:r>
              <w:rPr>
                <w:rFonts w:ascii="仿宋" w:hAnsi="仿宋"/>
                <w:color w:val="000000"/>
                <w:kern w:val="2"/>
                <w:sz w:val="24"/>
                <w:szCs w:val="24"/>
              </w:rPr>
              <w:t>3</w:t>
            </w:r>
          </w:p>
        </w:tc>
        <w:tc>
          <w:tcPr>
            <w:tcW w:w="815" w:type="pct"/>
            <w:vAlign w:val="center"/>
          </w:tcPr>
          <w:p w14:paraId="58652B0B">
            <w:pPr>
              <w:pStyle w:val="148"/>
              <w:rPr>
                <w:rFonts w:ascii="仿宋" w:hAnsi="仿宋"/>
                <w:color w:val="000000"/>
                <w:kern w:val="2"/>
                <w:sz w:val="24"/>
                <w:szCs w:val="24"/>
              </w:rPr>
            </w:pPr>
            <w:r>
              <w:rPr>
                <w:rFonts w:hint="eastAsia" w:ascii="仿宋" w:hAnsi="仿宋"/>
                <w:color w:val="000000"/>
                <w:kern w:val="2"/>
                <w:sz w:val="24"/>
                <w:szCs w:val="24"/>
              </w:rPr>
              <w:t>噪声</w:t>
            </w:r>
          </w:p>
        </w:tc>
        <w:tc>
          <w:tcPr>
            <w:tcW w:w="3759" w:type="pct"/>
            <w:vAlign w:val="center"/>
          </w:tcPr>
          <w:p w14:paraId="3C31189E">
            <w:pPr>
              <w:pStyle w:val="148"/>
              <w:jc w:val="left"/>
              <w:rPr>
                <w:rFonts w:ascii="仿宋" w:hAnsi="仿宋"/>
                <w:color w:val="000000"/>
                <w:kern w:val="2"/>
                <w:sz w:val="24"/>
                <w:szCs w:val="24"/>
              </w:rPr>
            </w:pPr>
            <w:r>
              <w:rPr>
                <w:rFonts w:hint="eastAsia" w:ascii="仿宋" w:hAnsi="仿宋"/>
                <w:color w:val="000000"/>
                <w:kern w:val="2"/>
                <w:sz w:val="24"/>
                <w:szCs w:val="24"/>
              </w:rPr>
              <w:fldChar w:fldCharType="begin"/>
            </w:r>
            <w:r>
              <w:rPr>
                <w:rFonts w:ascii="仿宋" w:hAnsi="仿宋"/>
                <w:color w:val="000000"/>
                <w:kern w:val="2"/>
                <w:sz w:val="24"/>
                <w:szCs w:val="24"/>
              </w:rPr>
              <w:instrText xml:space="preserve"> = 1 \* GB2 </w:instrText>
            </w:r>
            <w:r>
              <w:rPr>
                <w:rFonts w:hint="eastAsia" w:ascii="仿宋" w:hAnsi="仿宋"/>
                <w:color w:val="000000"/>
                <w:kern w:val="2"/>
                <w:sz w:val="24"/>
                <w:szCs w:val="24"/>
              </w:rPr>
              <w:fldChar w:fldCharType="separate"/>
            </w:r>
            <w:r>
              <w:rPr>
                <w:rFonts w:ascii="仿宋" w:hAnsi="仿宋"/>
                <w:color w:val="000000"/>
                <w:kern w:val="2"/>
                <w:sz w:val="24"/>
                <w:szCs w:val="24"/>
              </w:rPr>
              <w:t>⑴</w:t>
            </w:r>
            <w:r>
              <w:rPr>
                <w:rFonts w:hint="eastAsia" w:ascii="仿宋" w:hAnsi="仿宋"/>
                <w:color w:val="000000"/>
                <w:kern w:val="2"/>
                <w:sz w:val="24"/>
                <w:szCs w:val="24"/>
              </w:rPr>
              <w:fldChar w:fldCharType="end"/>
            </w:r>
            <w:r>
              <w:rPr>
                <w:rFonts w:hint="eastAsia" w:ascii="仿宋" w:hAnsi="仿宋"/>
                <w:color w:val="000000"/>
                <w:kern w:val="2"/>
                <w:sz w:val="24"/>
                <w:szCs w:val="24"/>
              </w:rPr>
              <w:t>针对现场噪声源，采取隔声、隔振、吸声、消音等措施；</w:t>
            </w:r>
          </w:p>
          <w:p w14:paraId="428A3426">
            <w:pPr>
              <w:pStyle w:val="148"/>
              <w:jc w:val="left"/>
              <w:rPr>
                <w:rFonts w:ascii="仿宋" w:hAnsi="仿宋"/>
                <w:color w:val="000000"/>
                <w:kern w:val="2"/>
                <w:sz w:val="24"/>
                <w:szCs w:val="24"/>
              </w:rPr>
            </w:pPr>
            <w:r>
              <w:rPr>
                <w:rFonts w:ascii="仿宋" w:hAnsi="仿宋"/>
                <w:color w:val="000000"/>
                <w:kern w:val="2"/>
                <w:sz w:val="24"/>
                <w:szCs w:val="24"/>
              </w:rPr>
              <w:fldChar w:fldCharType="begin"/>
            </w:r>
            <w:r>
              <w:rPr>
                <w:rFonts w:ascii="仿宋" w:hAnsi="仿宋"/>
                <w:color w:val="000000"/>
                <w:kern w:val="2"/>
                <w:sz w:val="24"/>
                <w:szCs w:val="24"/>
              </w:rPr>
              <w:instrText xml:space="preserve"> = 2 \* GB2 </w:instrText>
            </w:r>
            <w:r>
              <w:rPr>
                <w:rFonts w:ascii="仿宋" w:hAnsi="仿宋"/>
                <w:color w:val="000000"/>
                <w:kern w:val="2"/>
                <w:sz w:val="24"/>
                <w:szCs w:val="24"/>
              </w:rPr>
              <w:fldChar w:fldCharType="separate"/>
            </w:r>
            <w:r>
              <w:rPr>
                <w:rFonts w:ascii="仿宋" w:hAnsi="仿宋"/>
                <w:color w:val="000000"/>
                <w:kern w:val="2"/>
                <w:sz w:val="24"/>
                <w:szCs w:val="24"/>
              </w:rPr>
              <w:t>⑵</w:t>
            </w:r>
            <w:r>
              <w:rPr>
                <w:rFonts w:ascii="仿宋" w:hAnsi="仿宋"/>
                <w:color w:val="000000"/>
                <w:kern w:val="2"/>
                <w:sz w:val="24"/>
                <w:szCs w:val="24"/>
              </w:rPr>
              <w:fldChar w:fldCharType="end"/>
            </w:r>
            <w:r>
              <w:rPr>
                <w:rFonts w:hint="eastAsia" w:ascii="仿宋" w:hAnsi="仿宋"/>
                <w:color w:val="000000"/>
                <w:kern w:val="2"/>
                <w:sz w:val="24"/>
                <w:szCs w:val="24"/>
              </w:rPr>
              <w:t>施工机械作业时间尽量选择在</w:t>
            </w:r>
            <w:r>
              <w:rPr>
                <w:rFonts w:ascii="仿宋" w:hAnsi="仿宋"/>
                <w:color w:val="000000"/>
                <w:kern w:val="2"/>
                <w:sz w:val="24"/>
                <w:szCs w:val="24"/>
              </w:rPr>
              <w:t>6:00</w:t>
            </w:r>
            <w:r>
              <w:rPr>
                <w:rFonts w:hint="eastAsia" w:ascii="仿宋" w:hAnsi="仿宋"/>
                <w:color w:val="000000"/>
                <w:kern w:val="2"/>
                <w:sz w:val="24"/>
                <w:szCs w:val="24"/>
              </w:rPr>
              <w:t>～</w:t>
            </w:r>
            <w:r>
              <w:rPr>
                <w:rFonts w:ascii="仿宋" w:hAnsi="仿宋"/>
                <w:color w:val="000000"/>
                <w:kern w:val="2"/>
                <w:sz w:val="24"/>
                <w:szCs w:val="24"/>
              </w:rPr>
              <w:t>22:00</w:t>
            </w:r>
            <w:r>
              <w:rPr>
                <w:rFonts w:hint="eastAsia" w:ascii="仿宋" w:hAnsi="仿宋"/>
                <w:color w:val="000000"/>
                <w:kern w:val="2"/>
                <w:sz w:val="24"/>
                <w:szCs w:val="24"/>
              </w:rPr>
              <w:t>的时段内进行，昼间施工分贝不超过</w:t>
            </w:r>
            <w:r>
              <w:rPr>
                <w:rFonts w:ascii="仿宋" w:hAnsi="仿宋"/>
                <w:color w:val="000000"/>
                <w:kern w:val="2"/>
                <w:sz w:val="24"/>
                <w:szCs w:val="24"/>
              </w:rPr>
              <w:t>70</w:t>
            </w:r>
            <w:r>
              <w:rPr>
                <w:rFonts w:hint="eastAsia" w:ascii="仿宋" w:hAnsi="仿宋"/>
                <w:color w:val="000000"/>
                <w:kern w:val="2"/>
                <w:sz w:val="24"/>
                <w:szCs w:val="24"/>
              </w:rPr>
              <w:t>分贝，夜间（</w:t>
            </w:r>
            <w:r>
              <w:rPr>
                <w:rFonts w:ascii="仿宋" w:hAnsi="仿宋"/>
                <w:color w:val="000000"/>
                <w:kern w:val="2"/>
                <w:sz w:val="24"/>
                <w:szCs w:val="24"/>
              </w:rPr>
              <w:t>22:00</w:t>
            </w:r>
            <w:r>
              <w:rPr>
                <w:rFonts w:hint="eastAsia" w:ascii="仿宋" w:hAnsi="仿宋"/>
                <w:color w:val="000000"/>
                <w:kern w:val="2"/>
                <w:sz w:val="24"/>
                <w:szCs w:val="24"/>
              </w:rPr>
              <w:t>～</w:t>
            </w:r>
            <w:r>
              <w:rPr>
                <w:rFonts w:ascii="仿宋" w:hAnsi="仿宋"/>
                <w:color w:val="000000"/>
                <w:kern w:val="2"/>
                <w:sz w:val="24"/>
                <w:szCs w:val="24"/>
              </w:rPr>
              <w:t>6:00</w:t>
            </w:r>
            <w:r>
              <w:rPr>
                <w:rFonts w:hint="eastAsia" w:ascii="仿宋" w:hAnsi="仿宋"/>
                <w:color w:val="000000"/>
                <w:kern w:val="2"/>
                <w:sz w:val="24"/>
                <w:szCs w:val="24"/>
              </w:rPr>
              <w:t>）施工不超过</w:t>
            </w:r>
            <w:r>
              <w:rPr>
                <w:rFonts w:ascii="仿宋" w:hAnsi="仿宋"/>
                <w:color w:val="000000"/>
                <w:kern w:val="2"/>
                <w:sz w:val="24"/>
                <w:szCs w:val="24"/>
              </w:rPr>
              <w:t>55</w:t>
            </w:r>
            <w:r>
              <w:rPr>
                <w:rFonts w:hint="eastAsia" w:ascii="仿宋" w:hAnsi="仿宋"/>
                <w:color w:val="000000"/>
                <w:kern w:val="2"/>
                <w:sz w:val="24"/>
                <w:szCs w:val="24"/>
              </w:rPr>
              <w:t>分贝。</w:t>
            </w:r>
          </w:p>
        </w:tc>
      </w:tr>
      <w:tr w14:paraId="4D66AE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25" w:type="pct"/>
            <w:vAlign w:val="center"/>
          </w:tcPr>
          <w:p w14:paraId="43DE04F3">
            <w:pPr>
              <w:pStyle w:val="148"/>
              <w:rPr>
                <w:rFonts w:hint="eastAsia" w:ascii="仿宋" w:hAnsi="仿宋" w:eastAsia="仿宋"/>
                <w:color w:val="000000"/>
                <w:kern w:val="2"/>
                <w:sz w:val="24"/>
                <w:szCs w:val="24"/>
                <w:lang w:eastAsia="zh-CN"/>
              </w:rPr>
            </w:pPr>
            <w:r>
              <w:rPr>
                <w:rFonts w:hint="eastAsia" w:ascii="仿宋" w:hAnsi="仿宋"/>
                <w:color w:val="000000"/>
                <w:kern w:val="2"/>
                <w:sz w:val="24"/>
                <w:szCs w:val="24"/>
                <w:lang w:val="en-US" w:eastAsia="zh-CN"/>
              </w:rPr>
              <w:t>4</w:t>
            </w:r>
          </w:p>
        </w:tc>
        <w:tc>
          <w:tcPr>
            <w:tcW w:w="815" w:type="pct"/>
            <w:vAlign w:val="center"/>
          </w:tcPr>
          <w:p w14:paraId="3770C1C8">
            <w:pPr>
              <w:pStyle w:val="148"/>
              <w:rPr>
                <w:rFonts w:ascii="仿宋" w:hAnsi="仿宋"/>
                <w:color w:val="000000"/>
                <w:kern w:val="2"/>
                <w:sz w:val="24"/>
                <w:szCs w:val="24"/>
              </w:rPr>
            </w:pPr>
            <w:r>
              <w:rPr>
                <w:rFonts w:hint="eastAsia" w:ascii="仿宋" w:hAnsi="仿宋"/>
                <w:color w:val="000000"/>
                <w:kern w:val="2"/>
                <w:sz w:val="24"/>
                <w:szCs w:val="24"/>
              </w:rPr>
              <w:t>固体垃圾</w:t>
            </w:r>
          </w:p>
        </w:tc>
        <w:tc>
          <w:tcPr>
            <w:tcW w:w="3759" w:type="pct"/>
            <w:vAlign w:val="center"/>
          </w:tcPr>
          <w:p w14:paraId="7BC6F7E2">
            <w:pPr>
              <w:pStyle w:val="148"/>
              <w:jc w:val="left"/>
              <w:rPr>
                <w:rFonts w:ascii="仿宋" w:hAnsi="仿宋"/>
                <w:color w:val="000000"/>
                <w:kern w:val="2"/>
                <w:sz w:val="24"/>
                <w:szCs w:val="24"/>
              </w:rPr>
            </w:pPr>
            <w:r>
              <w:rPr>
                <w:rFonts w:hint="eastAsia" w:ascii="仿宋" w:hAnsi="仿宋"/>
                <w:color w:val="000000"/>
                <w:kern w:val="2"/>
                <w:sz w:val="24"/>
                <w:szCs w:val="24"/>
              </w:rPr>
              <w:fldChar w:fldCharType="begin"/>
            </w:r>
            <w:r>
              <w:rPr>
                <w:rFonts w:ascii="仿宋" w:hAnsi="仿宋"/>
                <w:color w:val="000000"/>
                <w:kern w:val="2"/>
                <w:sz w:val="24"/>
                <w:szCs w:val="24"/>
              </w:rPr>
              <w:instrText xml:space="preserve"> = 1 \* GB2 \* MERGEFORMAT </w:instrText>
            </w:r>
            <w:r>
              <w:rPr>
                <w:rFonts w:hint="eastAsia" w:ascii="仿宋" w:hAnsi="仿宋"/>
                <w:color w:val="000000"/>
                <w:kern w:val="2"/>
                <w:sz w:val="24"/>
                <w:szCs w:val="24"/>
              </w:rPr>
              <w:fldChar w:fldCharType="separate"/>
            </w:r>
            <w:r>
              <w:rPr>
                <w:rFonts w:hint="eastAsia" w:ascii="仿宋" w:hAnsi="仿宋"/>
                <w:color w:val="000000"/>
                <w:kern w:val="2"/>
                <w:sz w:val="24"/>
                <w:szCs w:val="24"/>
              </w:rPr>
              <w:t>⑴</w:t>
            </w:r>
            <w:r>
              <w:rPr>
                <w:rFonts w:hint="eastAsia" w:ascii="仿宋" w:hAnsi="仿宋"/>
                <w:color w:val="000000"/>
                <w:kern w:val="2"/>
                <w:sz w:val="24"/>
                <w:szCs w:val="24"/>
              </w:rPr>
              <w:fldChar w:fldCharType="end"/>
            </w:r>
            <w:r>
              <w:rPr>
                <w:rFonts w:hint="eastAsia" w:ascii="仿宋" w:hAnsi="仿宋"/>
                <w:color w:val="000000"/>
                <w:kern w:val="2"/>
                <w:sz w:val="24"/>
                <w:szCs w:val="24"/>
              </w:rPr>
              <w:t>施工过程中的小型机具设备有条件的按照防坠绳，其余钢结构边角料及时回收处理。</w:t>
            </w:r>
          </w:p>
          <w:p w14:paraId="1B209E54">
            <w:pPr>
              <w:pStyle w:val="148"/>
              <w:jc w:val="left"/>
              <w:rPr>
                <w:rFonts w:ascii="仿宋" w:hAnsi="仿宋"/>
                <w:color w:val="000000"/>
                <w:kern w:val="2"/>
                <w:sz w:val="24"/>
                <w:szCs w:val="24"/>
              </w:rPr>
            </w:pPr>
            <w:r>
              <w:rPr>
                <w:rFonts w:hint="eastAsia" w:ascii="仿宋" w:hAnsi="仿宋"/>
                <w:color w:val="000000"/>
                <w:kern w:val="2"/>
                <w:sz w:val="24"/>
                <w:szCs w:val="24"/>
              </w:rPr>
              <w:fldChar w:fldCharType="begin"/>
            </w:r>
            <w:r>
              <w:rPr>
                <w:rFonts w:ascii="仿宋" w:hAnsi="仿宋"/>
                <w:color w:val="000000"/>
                <w:kern w:val="2"/>
                <w:sz w:val="24"/>
                <w:szCs w:val="24"/>
              </w:rPr>
              <w:instrText xml:space="preserve"> = 2 \* GB2 \* MERGEFORMAT </w:instrText>
            </w:r>
            <w:r>
              <w:rPr>
                <w:rFonts w:hint="eastAsia" w:ascii="仿宋" w:hAnsi="仿宋"/>
                <w:color w:val="000000"/>
                <w:kern w:val="2"/>
                <w:sz w:val="24"/>
                <w:szCs w:val="24"/>
              </w:rPr>
              <w:fldChar w:fldCharType="separate"/>
            </w:r>
            <w:r>
              <w:rPr>
                <w:rFonts w:hint="eastAsia" w:ascii="仿宋" w:hAnsi="仿宋"/>
                <w:color w:val="000000"/>
                <w:kern w:val="2"/>
                <w:sz w:val="24"/>
                <w:szCs w:val="24"/>
              </w:rPr>
              <w:t>⑵</w:t>
            </w:r>
            <w:r>
              <w:rPr>
                <w:rFonts w:hint="eastAsia" w:ascii="仿宋" w:hAnsi="仿宋"/>
                <w:color w:val="000000"/>
                <w:kern w:val="2"/>
                <w:sz w:val="24"/>
                <w:szCs w:val="24"/>
              </w:rPr>
              <w:fldChar w:fldCharType="end"/>
            </w:r>
            <w:r>
              <w:rPr>
                <w:rFonts w:hint="eastAsia" w:ascii="仿宋" w:hAnsi="仿宋"/>
                <w:color w:val="000000"/>
                <w:kern w:val="2"/>
                <w:sz w:val="24"/>
                <w:szCs w:val="24"/>
              </w:rPr>
              <w:t>施工过程中人员产生的废物垃圾集中收集，定期处理。</w:t>
            </w:r>
          </w:p>
        </w:tc>
      </w:tr>
      <w:bookmarkEnd w:id="514"/>
    </w:tbl>
    <w:p w14:paraId="7740F787">
      <w:pPr>
        <w:pStyle w:val="3"/>
        <w:bidi w:val="0"/>
        <w:ind w:left="575" w:leftChars="0" w:hanging="575" w:firstLineChars="0"/>
      </w:pPr>
      <w:bookmarkStart w:id="515" w:name="_Toc7261"/>
      <w:bookmarkStart w:id="516" w:name="_Toc7696"/>
      <w:bookmarkStart w:id="517" w:name="_Toc13220"/>
      <w:bookmarkStart w:id="518" w:name="_Toc22151"/>
      <w:bookmarkStart w:id="519" w:name="_Toc30252"/>
      <w:bookmarkStart w:id="520" w:name="_Toc27508"/>
      <w:bookmarkStart w:id="521" w:name="_Toc32725"/>
      <w:bookmarkStart w:id="522" w:name="_Toc10738"/>
      <w:bookmarkStart w:id="523" w:name="_Toc1328"/>
      <w:bookmarkStart w:id="524" w:name="_Toc28125"/>
      <w:bookmarkStart w:id="525" w:name="_Toc1911"/>
      <w:bookmarkStart w:id="526" w:name="_Toc3116"/>
      <w:bookmarkStart w:id="527" w:name="_Toc4987"/>
      <w:bookmarkStart w:id="528" w:name="_Toc2309"/>
      <w:r>
        <w:rPr>
          <w:rFonts w:hint="eastAsia"/>
        </w:rPr>
        <w:t>验收及日常检查维保</w:t>
      </w:r>
      <w:bookmarkEnd w:id="515"/>
      <w:bookmarkEnd w:id="516"/>
      <w:bookmarkEnd w:id="517"/>
      <w:bookmarkEnd w:id="518"/>
      <w:bookmarkEnd w:id="519"/>
      <w:bookmarkEnd w:id="520"/>
      <w:bookmarkEnd w:id="521"/>
    </w:p>
    <w:p w14:paraId="1264FB7E">
      <w:pPr>
        <w:ind w:firstLine="560"/>
      </w:pPr>
      <w:r>
        <w:rPr>
          <w:rFonts w:hint="eastAsia"/>
        </w:rPr>
        <w:t>塔机需在安装完毕后进行一次验收。</w:t>
      </w:r>
    </w:p>
    <w:p w14:paraId="4710D795">
      <w:pPr>
        <w:ind w:firstLine="560"/>
      </w:pPr>
      <w:r>
        <w:rPr>
          <w:rFonts w:hint="eastAsia"/>
        </w:rPr>
        <w:t>1、验收内容和验收标准</w:t>
      </w:r>
    </w:p>
    <w:p w14:paraId="3FF3D4F5">
      <w:pPr>
        <w:pStyle w:val="16"/>
        <w:bidi w:val="0"/>
      </w:pPr>
      <w:r>
        <w:t xml:space="preserve">表 </w:t>
      </w:r>
      <w:r>
        <w:fldChar w:fldCharType="begin"/>
      </w:r>
      <w:r>
        <w:instrText xml:space="preserve"> STYLEREF 2 \s </w:instrText>
      </w:r>
      <w:r>
        <w:fldChar w:fldCharType="separate"/>
      </w:r>
      <w:r>
        <w:t>13.6</w:t>
      </w:r>
      <w:r>
        <w:fldChar w:fldCharType="end"/>
      </w:r>
      <w:r>
        <w:rPr>
          <w:rFonts w:hint="eastAsia"/>
          <w:lang w:eastAsia="zh-CN"/>
        </w:rPr>
        <w:t>-</w:t>
      </w:r>
      <w:r>
        <w:fldChar w:fldCharType="begin"/>
      </w:r>
      <w:r>
        <w:instrText xml:space="preserve"> SEQ 表 \* ARABIC \s 2 </w:instrText>
      </w:r>
      <w:r>
        <w:fldChar w:fldCharType="separate"/>
      </w:r>
      <w:r>
        <w:t>1</w:t>
      </w:r>
      <w:r>
        <w:fldChar w:fldCharType="end"/>
      </w:r>
      <w:r>
        <w:rPr>
          <w:rFonts w:hint="eastAsia"/>
        </w:rPr>
        <w:t>塔式起重机安装完成验收表</w:t>
      </w:r>
    </w:p>
    <w:tbl>
      <w:tblPr>
        <w:tblStyle w:val="44"/>
        <w:tblpPr w:leftFromText="180" w:rightFromText="180" w:vertAnchor="text" w:horzAnchor="page" w:tblpX="1618" w:tblpY="450"/>
        <w:tblOverlap w:val="never"/>
        <w:tblW w:w="891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6"/>
        <w:gridCol w:w="2731"/>
        <w:gridCol w:w="5349"/>
      </w:tblGrid>
      <w:tr w14:paraId="3F602A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667BE53D">
            <w:pPr>
              <w:spacing w:line="240" w:lineRule="auto"/>
              <w:ind w:firstLine="0" w:firstLineChars="0"/>
              <w:jc w:val="center"/>
              <w:rPr>
                <w:rFonts w:ascii="仿宋" w:hAnsi="仿宋"/>
                <w:bCs/>
                <w:sz w:val="24"/>
                <w:szCs w:val="24"/>
              </w:rPr>
            </w:pPr>
            <w:r>
              <w:rPr>
                <w:rFonts w:hint="eastAsia" w:ascii="仿宋" w:hAnsi="仿宋"/>
                <w:bCs/>
                <w:sz w:val="24"/>
                <w:szCs w:val="24"/>
              </w:rPr>
              <w:t>序号</w:t>
            </w:r>
          </w:p>
        </w:tc>
        <w:tc>
          <w:tcPr>
            <w:tcW w:w="2731" w:type="dxa"/>
            <w:vAlign w:val="center"/>
          </w:tcPr>
          <w:p w14:paraId="3A163405">
            <w:pPr>
              <w:spacing w:line="240" w:lineRule="auto"/>
              <w:ind w:firstLine="0" w:firstLineChars="0"/>
              <w:jc w:val="center"/>
              <w:rPr>
                <w:rFonts w:ascii="仿宋" w:hAnsi="仿宋"/>
                <w:bCs/>
                <w:sz w:val="24"/>
                <w:szCs w:val="24"/>
              </w:rPr>
            </w:pPr>
            <w:r>
              <w:rPr>
                <w:rFonts w:hint="eastAsia" w:ascii="仿宋" w:hAnsi="仿宋"/>
                <w:bCs/>
                <w:sz w:val="24"/>
                <w:szCs w:val="24"/>
              </w:rPr>
              <w:t>验收项目</w:t>
            </w:r>
          </w:p>
        </w:tc>
        <w:tc>
          <w:tcPr>
            <w:tcW w:w="5349" w:type="dxa"/>
            <w:vAlign w:val="center"/>
          </w:tcPr>
          <w:p w14:paraId="00D67C03">
            <w:pPr>
              <w:spacing w:line="240" w:lineRule="auto"/>
              <w:ind w:firstLine="0" w:firstLineChars="0"/>
              <w:jc w:val="center"/>
              <w:rPr>
                <w:rFonts w:ascii="仿宋" w:hAnsi="仿宋"/>
                <w:bCs/>
                <w:sz w:val="24"/>
                <w:szCs w:val="24"/>
              </w:rPr>
            </w:pPr>
            <w:r>
              <w:rPr>
                <w:rFonts w:hint="eastAsia" w:ascii="仿宋" w:hAnsi="仿宋"/>
                <w:bCs/>
                <w:sz w:val="24"/>
                <w:szCs w:val="24"/>
              </w:rPr>
              <w:t>验收标准</w:t>
            </w:r>
          </w:p>
        </w:tc>
      </w:tr>
      <w:tr w14:paraId="67B132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674D242F">
            <w:pPr>
              <w:spacing w:line="240" w:lineRule="auto"/>
              <w:ind w:firstLine="0" w:firstLineChars="0"/>
              <w:jc w:val="center"/>
              <w:rPr>
                <w:rFonts w:ascii="仿宋" w:hAnsi="仿宋"/>
                <w:sz w:val="24"/>
                <w:szCs w:val="24"/>
              </w:rPr>
            </w:pPr>
            <w:r>
              <w:rPr>
                <w:rFonts w:ascii="仿宋" w:hAnsi="仿宋"/>
                <w:sz w:val="24"/>
                <w:szCs w:val="24"/>
              </w:rPr>
              <w:t>1</w:t>
            </w:r>
          </w:p>
        </w:tc>
        <w:tc>
          <w:tcPr>
            <w:tcW w:w="2731" w:type="dxa"/>
            <w:vAlign w:val="center"/>
          </w:tcPr>
          <w:p w14:paraId="157216E3">
            <w:pPr>
              <w:spacing w:line="240" w:lineRule="auto"/>
              <w:ind w:firstLine="0" w:firstLineChars="0"/>
              <w:jc w:val="center"/>
              <w:rPr>
                <w:rFonts w:ascii="仿宋" w:hAnsi="仿宋"/>
                <w:sz w:val="24"/>
                <w:szCs w:val="24"/>
              </w:rPr>
            </w:pPr>
            <w:r>
              <w:rPr>
                <w:rFonts w:hint="eastAsia" w:ascii="仿宋" w:hAnsi="仿宋"/>
                <w:sz w:val="24"/>
                <w:szCs w:val="24"/>
              </w:rPr>
              <w:t>塔身垂直度</w:t>
            </w:r>
          </w:p>
        </w:tc>
        <w:tc>
          <w:tcPr>
            <w:tcW w:w="5349" w:type="dxa"/>
            <w:vAlign w:val="center"/>
          </w:tcPr>
          <w:p w14:paraId="54E4C6F3">
            <w:pPr>
              <w:spacing w:line="240" w:lineRule="auto"/>
              <w:ind w:firstLine="0" w:firstLineChars="0"/>
              <w:jc w:val="center"/>
              <w:rPr>
                <w:rFonts w:ascii="仿宋" w:hAnsi="仿宋"/>
                <w:sz w:val="24"/>
                <w:szCs w:val="24"/>
              </w:rPr>
            </w:pPr>
            <w:r>
              <w:rPr>
                <w:rFonts w:hint="eastAsia" w:ascii="仿宋" w:hAnsi="仿宋"/>
                <w:sz w:val="24"/>
                <w:szCs w:val="24"/>
              </w:rPr>
              <w:t>独立高度≤</w:t>
            </w:r>
            <w:r>
              <w:rPr>
                <w:rFonts w:ascii="仿宋" w:hAnsi="仿宋"/>
                <w:sz w:val="24"/>
                <w:szCs w:val="24"/>
              </w:rPr>
              <w:t>4</w:t>
            </w:r>
            <w:r>
              <w:rPr>
                <w:rFonts w:hint="eastAsia" w:ascii="仿宋" w:hAnsi="仿宋"/>
                <w:sz w:val="24"/>
                <w:szCs w:val="24"/>
              </w:rPr>
              <w:t>‰</w:t>
            </w:r>
          </w:p>
        </w:tc>
      </w:tr>
      <w:tr w14:paraId="7830B4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13F93948">
            <w:pPr>
              <w:spacing w:line="240" w:lineRule="auto"/>
              <w:ind w:firstLine="0" w:firstLineChars="0"/>
              <w:jc w:val="center"/>
              <w:rPr>
                <w:rFonts w:ascii="仿宋" w:hAnsi="仿宋"/>
                <w:sz w:val="24"/>
                <w:szCs w:val="24"/>
              </w:rPr>
            </w:pPr>
            <w:r>
              <w:rPr>
                <w:rFonts w:ascii="仿宋" w:hAnsi="仿宋"/>
                <w:sz w:val="24"/>
                <w:szCs w:val="24"/>
              </w:rPr>
              <w:t>2</w:t>
            </w:r>
          </w:p>
        </w:tc>
        <w:tc>
          <w:tcPr>
            <w:tcW w:w="2731" w:type="dxa"/>
            <w:vAlign w:val="center"/>
          </w:tcPr>
          <w:p w14:paraId="5B172F55">
            <w:pPr>
              <w:spacing w:line="240" w:lineRule="auto"/>
              <w:ind w:firstLine="0" w:firstLineChars="0"/>
              <w:jc w:val="center"/>
              <w:rPr>
                <w:rFonts w:ascii="仿宋" w:hAnsi="仿宋"/>
                <w:sz w:val="24"/>
                <w:szCs w:val="24"/>
              </w:rPr>
            </w:pPr>
            <w:r>
              <w:rPr>
                <w:rFonts w:hint="eastAsia" w:ascii="仿宋" w:hAnsi="仿宋"/>
                <w:sz w:val="24"/>
                <w:szCs w:val="24"/>
              </w:rPr>
              <w:t>结构件</w:t>
            </w:r>
          </w:p>
        </w:tc>
        <w:tc>
          <w:tcPr>
            <w:tcW w:w="5349" w:type="dxa"/>
            <w:vAlign w:val="center"/>
          </w:tcPr>
          <w:p w14:paraId="237FC837">
            <w:pPr>
              <w:spacing w:line="240" w:lineRule="auto"/>
              <w:ind w:firstLine="0" w:firstLineChars="0"/>
              <w:jc w:val="center"/>
              <w:rPr>
                <w:rFonts w:ascii="仿宋" w:hAnsi="仿宋"/>
                <w:sz w:val="24"/>
                <w:szCs w:val="24"/>
              </w:rPr>
            </w:pPr>
            <w:r>
              <w:rPr>
                <w:rFonts w:hint="eastAsia" w:ascii="仿宋" w:hAnsi="仿宋"/>
                <w:sz w:val="24"/>
                <w:szCs w:val="24"/>
              </w:rPr>
              <w:t>无扭曲、变形、裂纹和严重锈蚀</w:t>
            </w:r>
          </w:p>
        </w:tc>
      </w:tr>
      <w:tr w14:paraId="28D673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7F97FFD7">
            <w:pPr>
              <w:spacing w:line="240" w:lineRule="auto"/>
              <w:ind w:firstLine="0" w:firstLineChars="0"/>
              <w:jc w:val="center"/>
              <w:rPr>
                <w:rFonts w:ascii="仿宋" w:hAnsi="仿宋"/>
                <w:sz w:val="24"/>
                <w:szCs w:val="24"/>
              </w:rPr>
            </w:pPr>
            <w:r>
              <w:rPr>
                <w:rFonts w:ascii="仿宋" w:hAnsi="仿宋"/>
                <w:sz w:val="24"/>
                <w:szCs w:val="24"/>
              </w:rPr>
              <w:t>3</w:t>
            </w:r>
          </w:p>
        </w:tc>
        <w:tc>
          <w:tcPr>
            <w:tcW w:w="2731" w:type="dxa"/>
            <w:vAlign w:val="center"/>
          </w:tcPr>
          <w:p w14:paraId="053ECEB9">
            <w:pPr>
              <w:spacing w:line="240" w:lineRule="auto"/>
              <w:ind w:firstLine="0" w:firstLineChars="0"/>
              <w:jc w:val="center"/>
              <w:rPr>
                <w:rFonts w:ascii="仿宋" w:hAnsi="仿宋"/>
                <w:sz w:val="24"/>
                <w:szCs w:val="24"/>
              </w:rPr>
            </w:pPr>
            <w:r>
              <w:rPr>
                <w:rFonts w:hint="eastAsia" w:ascii="仿宋" w:hAnsi="仿宋"/>
                <w:sz w:val="24"/>
                <w:szCs w:val="24"/>
              </w:rPr>
              <w:t>连接件、紧固件</w:t>
            </w:r>
          </w:p>
        </w:tc>
        <w:tc>
          <w:tcPr>
            <w:tcW w:w="5349" w:type="dxa"/>
            <w:vAlign w:val="center"/>
          </w:tcPr>
          <w:p w14:paraId="558D4D2C">
            <w:pPr>
              <w:spacing w:line="240" w:lineRule="auto"/>
              <w:ind w:firstLine="0" w:firstLineChars="0"/>
              <w:jc w:val="center"/>
              <w:rPr>
                <w:rFonts w:ascii="仿宋" w:hAnsi="仿宋"/>
                <w:sz w:val="24"/>
                <w:szCs w:val="24"/>
              </w:rPr>
            </w:pPr>
            <w:r>
              <w:rPr>
                <w:rFonts w:hint="eastAsia" w:ascii="仿宋" w:hAnsi="仿宋"/>
                <w:sz w:val="24"/>
                <w:szCs w:val="24"/>
              </w:rPr>
              <w:t>销轴齐全到位，有可靠轴向止动，正确使用开口销。螺栓连接齐全、坚固牢靠，均有防松措施，</w:t>
            </w:r>
            <w:r>
              <w:rPr>
                <w:rFonts w:hint="eastAsia" w:ascii="仿宋" w:hAnsi="仿宋"/>
                <w:sz w:val="24"/>
                <w:szCs w:val="24"/>
                <w:lang w:eastAsia="zh-CN"/>
              </w:rPr>
              <w:t>销轴</w:t>
            </w:r>
            <w:r>
              <w:rPr>
                <w:rFonts w:hint="eastAsia" w:ascii="仿宋" w:hAnsi="仿宋"/>
                <w:sz w:val="24"/>
                <w:szCs w:val="24"/>
              </w:rPr>
              <w:t>按要求预紧，螺栓高于螺母</w:t>
            </w:r>
            <w:r>
              <w:rPr>
                <w:rFonts w:ascii="仿宋" w:hAnsi="仿宋"/>
                <w:sz w:val="24"/>
                <w:szCs w:val="24"/>
              </w:rPr>
              <w:t>0-3</w:t>
            </w:r>
            <w:r>
              <w:rPr>
                <w:rFonts w:hint="eastAsia" w:ascii="仿宋" w:hAnsi="仿宋"/>
                <w:sz w:val="24"/>
                <w:szCs w:val="24"/>
              </w:rPr>
              <w:t>扣</w:t>
            </w:r>
          </w:p>
        </w:tc>
      </w:tr>
      <w:tr w14:paraId="27F9CB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460C03F8">
            <w:pPr>
              <w:spacing w:line="240" w:lineRule="auto"/>
              <w:ind w:firstLine="0" w:firstLineChars="0"/>
              <w:jc w:val="center"/>
              <w:rPr>
                <w:rFonts w:ascii="仿宋" w:hAnsi="仿宋"/>
                <w:sz w:val="24"/>
                <w:szCs w:val="24"/>
              </w:rPr>
            </w:pPr>
            <w:r>
              <w:rPr>
                <w:rFonts w:ascii="仿宋" w:hAnsi="仿宋"/>
                <w:sz w:val="24"/>
                <w:szCs w:val="24"/>
              </w:rPr>
              <w:t>4</w:t>
            </w:r>
          </w:p>
        </w:tc>
        <w:tc>
          <w:tcPr>
            <w:tcW w:w="2731" w:type="dxa"/>
            <w:vAlign w:val="center"/>
          </w:tcPr>
          <w:p w14:paraId="56011D68">
            <w:pPr>
              <w:spacing w:line="240" w:lineRule="auto"/>
              <w:ind w:firstLine="0" w:firstLineChars="0"/>
              <w:jc w:val="center"/>
              <w:rPr>
                <w:rFonts w:ascii="仿宋" w:hAnsi="仿宋"/>
                <w:sz w:val="24"/>
                <w:szCs w:val="24"/>
              </w:rPr>
            </w:pPr>
            <w:r>
              <w:rPr>
                <w:rFonts w:hint="eastAsia" w:ascii="仿宋" w:hAnsi="仿宋"/>
                <w:sz w:val="24"/>
                <w:szCs w:val="24"/>
              </w:rPr>
              <w:t>配重</w:t>
            </w:r>
          </w:p>
        </w:tc>
        <w:tc>
          <w:tcPr>
            <w:tcW w:w="5349" w:type="dxa"/>
            <w:vAlign w:val="center"/>
          </w:tcPr>
          <w:p w14:paraId="03D1F03B">
            <w:pPr>
              <w:spacing w:line="240" w:lineRule="auto"/>
              <w:ind w:firstLine="0" w:firstLineChars="0"/>
              <w:jc w:val="center"/>
              <w:rPr>
                <w:rFonts w:ascii="仿宋" w:hAnsi="仿宋"/>
                <w:sz w:val="24"/>
                <w:szCs w:val="24"/>
              </w:rPr>
            </w:pPr>
            <w:r>
              <w:rPr>
                <w:rFonts w:hint="eastAsia" w:ascii="仿宋" w:hAnsi="仿宋"/>
                <w:sz w:val="24"/>
                <w:szCs w:val="24"/>
              </w:rPr>
              <w:t>按规定堆放、固定连接正确可靠、重量符合设计要求</w:t>
            </w:r>
          </w:p>
        </w:tc>
      </w:tr>
      <w:tr w14:paraId="47A89E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3510D0F6">
            <w:pPr>
              <w:spacing w:line="240" w:lineRule="auto"/>
              <w:ind w:firstLine="0" w:firstLineChars="0"/>
              <w:jc w:val="center"/>
              <w:rPr>
                <w:rFonts w:ascii="仿宋" w:hAnsi="仿宋"/>
                <w:sz w:val="24"/>
                <w:szCs w:val="24"/>
              </w:rPr>
            </w:pPr>
            <w:r>
              <w:rPr>
                <w:rFonts w:ascii="仿宋" w:hAnsi="仿宋"/>
                <w:sz w:val="24"/>
                <w:szCs w:val="24"/>
              </w:rPr>
              <w:t>5</w:t>
            </w:r>
          </w:p>
        </w:tc>
        <w:tc>
          <w:tcPr>
            <w:tcW w:w="2731" w:type="dxa"/>
            <w:vAlign w:val="center"/>
          </w:tcPr>
          <w:p w14:paraId="612D37FE">
            <w:pPr>
              <w:spacing w:line="240" w:lineRule="auto"/>
              <w:ind w:firstLine="0" w:firstLineChars="0"/>
              <w:jc w:val="center"/>
              <w:rPr>
                <w:rFonts w:ascii="仿宋" w:hAnsi="仿宋"/>
                <w:sz w:val="24"/>
                <w:szCs w:val="24"/>
              </w:rPr>
            </w:pPr>
            <w:r>
              <w:rPr>
                <w:rFonts w:hint="eastAsia" w:ascii="仿宋" w:hAnsi="仿宋"/>
                <w:sz w:val="24"/>
                <w:szCs w:val="24"/>
              </w:rPr>
              <w:t>钢丝绳及其固结</w:t>
            </w:r>
          </w:p>
        </w:tc>
        <w:tc>
          <w:tcPr>
            <w:tcW w:w="5349" w:type="dxa"/>
            <w:vAlign w:val="center"/>
          </w:tcPr>
          <w:p w14:paraId="1ECA082E">
            <w:pPr>
              <w:spacing w:line="240" w:lineRule="auto"/>
              <w:ind w:firstLine="0" w:firstLineChars="0"/>
              <w:jc w:val="center"/>
              <w:rPr>
                <w:rFonts w:ascii="仿宋" w:hAnsi="仿宋"/>
                <w:sz w:val="24"/>
                <w:szCs w:val="24"/>
              </w:rPr>
            </w:pPr>
            <w:r>
              <w:rPr>
                <w:rFonts w:hint="eastAsia" w:ascii="仿宋" w:hAnsi="仿宋"/>
                <w:sz w:val="24"/>
                <w:szCs w:val="24"/>
              </w:rPr>
              <w:t>无严重损伤、变形、固结合理，符合</w:t>
            </w:r>
            <w:r>
              <w:rPr>
                <w:rFonts w:ascii="仿宋" w:hAnsi="仿宋"/>
                <w:sz w:val="24"/>
                <w:szCs w:val="24"/>
              </w:rPr>
              <w:t>JGJ33-2001</w:t>
            </w:r>
            <w:r>
              <w:rPr>
                <w:rFonts w:hint="eastAsia" w:ascii="仿宋" w:hAnsi="仿宋"/>
                <w:sz w:val="24"/>
                <w:szCs w:val="24"/>
              </w:rPr>
              <w:t>、</w:t>
            </w:r>
            <w:r>
              <w:rPr>
                <w:rFonts w:ascii="仿宋" w:hAnsi="仿宋"/>
                <w:sz w:val="24"/>
                <w:szCs w:val="24"/>
              </w:rPr>
              <w:t>GB5972-86</w:t>
            </w:r>
            <w:r>
              <w:rPr>
                <w:rFonts w:hint="eastAsia" w:ascii="仿宋" w:hAnsi="仿宋"/>
                <w:sz w:val="24"/>
                <w:szCs w:val="24"/>
              </w:rPr>
              <w:t>有关要求</w:t>
            </w:r>
          </w:p>
        </w:tc>
      </w:tr>
      <w:tr w14:paraId="142EAD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2ADC6E7A">
            <w:pPr>
              <w:spacing w:line="240" w:lineRule="auto"/>
              <w:ind w:firstLine="0" w:firstLineChars="0"/>
              <w:jc w:val="center"/>
              <w:rPr>
                <w:rFonts w:ascii="仿宋" w:hAnsi="仿宋"/>
                <w:sz w:val="24"/>
                <w:szCs w:val="24"/>
              </w:rPr>
            </w:pPr>
            <w:r>
              <w:rPr>
                <w:rFonts w:ascii="仿宋" w:hAnsi="仿宋"/>
                <w:sz w:val="24"/>
                <w:szCs w:val="24"/>
              </w:rPr>
              <w:t>6</w:t>
            </w:r>
          </w:p>
        </w:tc>
        <w:tc>
          <w:tcPr>
            <w:tcW w:w="2731" w:type="dxa"/>
            <w:vAlign w:val="center"/>
          </w:tcPr>
          <w:p w14:paraId="6586FC0F">
            <w:pPr>
              <w:spacing w:line="240" w:lineRule="auto"/>
              <w:ind w:firstLine="0" w:firstLineChars="0"/>
              <w:jc w:val="center"/>
              <w:rPr>
                <w:rFonts w:ascii="仿宋" w:hAnsi="仿宋"/>
                <w:sz w:val="24"/>
                <w:szCs w:val="24"/>
              </w:rPr>
            </w:pPr>
            <w:r>
              <w:rPr>
                <w:rFonts w:hint="eastAsia" w:ascii="仿宋" w:hAnsi="仿宋"/>
                <w:sz w:val="24"/>
                <w:szCs w:val="24"/>
              </w:rPr>
              <w:t>钢丝绳绳端的固定及安装情况</w:t>
            </w:r>
          </w:p>
        </w:tc>
        <w:tc>
          <w:tcPr>
            <w:tcW w:w="5349" w:type="dxa"/>
            <w:vAlign w:val="center"/>
          </w:tcPr>
          <w:p w14:paraId="0680BF11">
            <w:pPr>
              <w:spacing w:line="240" w:lineRule="auto"/>
              <w:ind w:firstLine="0" w:firstLineChars="0"/>
              <w:jc w:val="center"/>
              <w:rPr>
                <w:rFonts w:ascii="仿宋" w:hAnsi="仿宋"/>
                <w:sz w:val="24"/>
                <w:szCs w:val="24"/>
              </w:rPr>
            </w:pPr>
            <w:r>
              <w:rPr>
                <w:rFonts w:hint="eastAsia" w:ascii="仿宋" w:hAnsi="仿宋"/>
                <w:sz w:val="24"/>
                <w:szCs w:val="24"/>
              </w:rPr>
              <w:t>固定应牢固，在卷筒、滑轮中的缠绕方向应．正确</w:t>
            </w:r>
          </w:p>
        </w:tc>
      </w:tr>
      <w:tr w14:paraId="478D3A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5DB2405D">
            <w:pPr>
              <w:spacing w:line="240" w:lineRule="auto"/>
              <w:ind w:firstLine="0" w:firstLineChars="0"/>
              <w:jc w:val="center"/>
              <w:rPr>
                <w:rFonts w:ascii="仿宋" w:hAnsi="仿宋"/>
                <w:sz w:val="24"/>
                <w:szCs w:val="24"/>
              </w:rPr>
            </w:pPr>
            <w:r>
              <w:rPr>
                <w:rFonts w:ascii="仿宋" w:hAnsi="仿宋"/>
                <w:sz w:val="24"/>
                <w:szCs w:val="24"/>
              </w:rPr>
              <w:t>7</w:t>
            </w:r>
          </w:p>
        </w:tc>
        <w:tc>
          <w:tcPr>
            <w:tcW w:w="2731" w:type="dxa"/>
            <w:vAlign w:val="center"/>
          </w:tcPr>
          <w:p w14:paraId="1A5C0BCD">
            <w:pPr>
              <w:spacing w:line="240" w:lineRule="auto"/>
              <w:ind w:firstLine="0" w:firstLineChars="0"/>
              <w:jc w:val="center"/>
              <w:rPr>
                <w:rFonts w:ascii="仿宋" w:hAnsi="仿宋"/>
                <w:sz w:val="24"/>
                <w:szCs w:val="24"/>
              </w:rPr>
            </w:pPr>
            <w:r>
              <w:rPr>
                <w:rFonts w:hint="eastAsia" w:ascii="仿宋" w:hAnsi="仿宋"/>
                <w:sz w:val="24"/>
                <w:szCs w:val="24"/>
              </w:rPr>
              <w:t>吊钩</w:t>
            </w:r>
          </w:p>
        </w:tc>
        <w:tc>
          <w:tcPr>
            <w:tcW w:w="5349" w:type="dxa"/>
            <w:vAlign w:val="center"/>
          </w:tcPr>
          <w:p w14:paraId="583D6D0C">
            <w:pPr>
              <w:spacing w:line="240" w:lineRule="auto"/>
              <w:ind w:firstLine="0" w:firstLineChars="0"/>
              <w:jc w:val="center"/>
              <w:rPr>
                <w:rFonts w:ascii="仿宋" w:hAnsi="仿宋"/>
                <w:sz w:val="24"/>
                <w:szCs w:val="24"/>
              </w:rPr>
            </w:pPr>
            <w:r>
              <w:rPr>
                <w:rFonts w:hint="eastAsia" w:ascii="仿宋" w:hAnsi="仿宋"/>
                <w:sz w:val="24"/>
                <w:szCs w:val="24"/>
              </w:rPr>
              <w:t>防脱钩装置完好。表面无破口、孔穴、裂纹、凹陷等，不得补焊，挂绳处断面磨损小于高度</w:t>
            </w:r>
            <w:r>
              <w:rPr>
                <w:rFonts w:ascii="仿宋" w:hAnsi="仿宋"/>
                <w:sz w:val="24"/>
                <w:szCs w:val="24"/>
              </w:rPr>
              <w:t>10%</w:t>
            </w:r>
            <w:r>
              <w:rPr>
                <w:rFonts w:hint="eastAsia" w:ascii="仿宋" w:hAnsi="仿宋"/>
                <w:sz w:val="24"/>
                <w:szCs w:val="24"/>
              </w:rPr>
              <w:t>，无永久变形。</w:t>
            </w:r>
          </w:p>
        </w:tc>
      </w:tr>
      <w:tr w14:paraId="781BBD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1003819C">
            <w:pPr>
              <w:spacing w:line="240" w:lineRule="auto"/>
              <w:ind w:firstLine="0" w:firstLineChars="0"/>
              <w:jc w:val="center"/>
              <w:rPr>
                <w:rFonts w:ascii="仿宋" w:hAnsi="仿宋"/>
                <w:sz w:val="24"/>
                <w:szCs w:val="24"/>
              </w:rPr>
            </w:pPr>
            <w:r>
              <w:rPr>
                <w:rFonts w:ascii="仿宋" w:hAnsi="仿宋"/>
                <w:sz w:val="24"/>
                <w:szCs w:val="24"/>
              </w:rPr>
              <w:t>8</w:t>
            </w:r>
          </w:p>
        </w:tc>
        <w:tc>
          <w:tcPr>
            <w:tcW w:w="2731" w:type="dxa"/>
            <w:vAlign w:val="center"/>
          </w:tcPr>
          <w:p w14:paraId="718FF005">
            <w:pPr>
              <w:spacing w:line="240" w:lineRule="auto"/>
              <w:ind w:firstLine="0" w:firstLineChars="0"/>
              <w:jc w:val="center"/>
              <w:rPr>
                <w:rFonts w:ascii="仿宋" w:hAnsi="仿宋"/>
                <w:sz w:val="24"/>
                <w:szCs w:val="24"/>
              </w:rPr>
            </w:pPr>
            <w:r>
              <w:rPr>
                <w:rFonts w:hint="eastAsia" w:ascii="仿宋" w:hAnsi="仿宋"/>
                <w:sz w:val="24"/>
                <w:szCs w:val="24"/>
              </w:rPr>
              <w:t>吊装钢丝绳、卡环、吊具</w:t>
            </w:r>
          </w:p>
        </w:tc>
        <w:tc>
          <w:tcPr>
            <w:tcW w:w="5349" w:type="dxa"/>
            <w:vAlign w:val="center"/>
          </w:tcPr>
          <w:p w14:paraId="39F7F26B">
            <w:pPr>
              <w:spacing w:line="240" w:lineRule="auto"/>
              <w:ind w:firstLine="0" w:firstLineChars="0"/>
              <w:jc w:val="center"/>
              <w:rPr>
                <w:rFonts w:ascii="仿宋" w:hAnsi="仿宋"/>
                <w:sz w:val="24"/>
                <w:szCs w:val="24"/>
              </w:rPr>
            </w:pPr>
            <w:r>
              <w:rPr>
                <w:rFonts w:hint="eastAsia" w:ascii="仿宋" w:hAnsi="仿宋"/>
                <w:sz w:val="24"/>
                <w:szCs w:val="24"/>
              </w:rPr>
              <w:t>钢丝绳、卡环符合国标要求、吊具无开焊和变形</w:t>
            </w:r>
          </w:p>
        </w:tc>
      </w:tr>
      <w:tr w14:paraId="7484DD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5B3ECE2C">
            <w:pPr>
              <w:spacing w:line="240" w:lineRule="auto"/>
              <w:ind w:firstLine="0" w:firstLineChars="0"/>
              <w:jc w:val="center"/>
              <w:rPr>
                <w:rFonts w:ascii="仿宋" w:hAnsi="仿宋"/>
                <w:sz w:val="24"/>
                <w:szCs w:val="24"/>
              </w:rPr>
            </w:pPr>
            <w:r>
              <w:rPr>
                <w:rFonts w:ascii="仿宋" w:hAnsi="仿宋"/>
                <w:sz w:val="24"/>
                <w:szCs w:val="24"/>
              </w:rPr>
              <w:t>9</w:t>
            </w:r>
          </w:p>
        </w:tc>
        <w:tc>
          <w:tcPr>
            <w:tcW w:w="2731" w:type="dxa"/>
            <w:vAlign w:val="center"/>
          </w:tcPr>
          <w:p w14:paraId="1378443B">
            <w:pPr>
              <w:spacing w:line="240" w:lineRule="auto"/>
              <w:ind w:firstLine="0" w:firstLineChars="0"/>
              <w:jc w:val="center"/>
              <w:rPr>
                <w:rFonts w:ascii="仿宋" w:hAnsi="仿宋"/>
                <w:sz w:val="24"/>
                <w:szCs w:val="24"/>
              </w:rPr>
            </w:pPr>
            <w:r>
              <w:rPr>
                <w:rFonts w:hint="eastAsia" w:ascii="仿宋" w:hAnsi="仿宋"/>
                <w:sz w:val="24"/>
                <w:szCs w:val="24"/>
              </w:rPr>
              <w:t>各工作机构、各保护装置、润滑系统及液压系统等的安装、注油情况</w:t>
            </w:r>
          </w:p>
        </w:tc>
        <w:tc>
          <w:tcPr>
            <w:tcW w:w="5349" w:type="dxa"/>
            <w:vAlign w:val="center"/>
          </w:tcPr>
          <w:p w14:paraId="07DE4189">
            <w:pPr>
              <w:spacing w:line="240" w:lineRule="auto"/>
              <w:ind w:firstLine="0" w:firstLineChars="0"/>
              <w:jc w:val="center"/>
              <w:rPr>
                <w:rFonts w:ascii="仿宋" w:hAnsi="仿宋"/>
                <w:sz w:val="24"/>
                <w:szCs w:val="24"/>
              </w:rPr>
            </w:pPr>
            <w:r>
              <w:rPr>
                <w:rFonts w:hint="eastAsia" w:ascii="仿宋" w:hAnsi="仿宋"/>
                <w:sz w:val="24"/>
                <w:szCs w:val="24"/>
              </w:rPr>
              <w:t>满足图纸及设计要求</w:t>
            </w:r>
          </w:p>
        </w:tc>
      </w:tr>
      <w:tr w14:paraId="3287C2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283D70FD">
            <w:pPr>
              <w:spacing w:line="240" w:lineRule="auto"/>
              <w:ind w:firstLine="0" w:firstLineChars="0"/>
              <w:jc w:val="center"/>
              <w:rPr>
                <w:rFonts w:ascii="仿宋" w:hAnsi="仿宋"/>
                <w:sz w:val="24"/>
                <w:szCs w:val="24"/>
              </w:rPr>
            </w:pPr>
            <w:r>
              <w:rPr>
                <w:rFonts w:ascii="仿宋" w:hAnsi="仿宋"/>
                <w:sz w:val="24"/>
                <w:szCs w:val="24"/>
              </w:rPr>
              <w:t>10</w:t>
            </w:r>
          </w:p>
        </w:tc>
        <w:tc>
          <w:tcPr>
            <w:tcW w:w="2731" w:type="dxa"/>
            <w:vAlign w:val="center"/>
          </w:tcPr>
          <w:p w14:paraId="5824753F">
            <w:pPr>
              <w:spacing w:line="240" w:lineRule="auto"/>
              <w:ind w:firstLine="0" w:firstLineChars="0"/>
              <w:jc w:val="center"/>
              <w:rPr>
                <w:rFonts w:ascii="仿宋" w:hAnsi="仿宋"/>
                <w:sz w:val="24"/>
                <w:szCs w:val="24"/>
              </w:rPr>
            </w:pPr>
            <w:r>
              <w:rPr>
                <w:rFonts w:hint="eastAsia" w:ascii="仿宋" w:hAnsi="仿宋"/>
                <w:sz w:val="24"/>
                <w:szCs w:val="24"/>
              </w:rPr>
              <w:t>电缆、电气元件、变压器及各电机的接线是否正确，接头是否有松动现象，接地是否良好</w:t>
            </w:r>
          </w:p>
        </w:tc>
        <w:tc>
          <w:tcPr>
            <w:tcW w:w="5349" w:type="dxa"/>
            <w:vAlign w:val="center"/>
          </w:tcPr>
          <w:p w14:paraId="09B2DBD7">
            <w:pPr>
              <w:spacing w:line="240" w:lineRule="auto"/>
              <w:ind w:firstLine="0" w:firstLineChars="0"/>
              <w:jc w:val="center"/>
              <w:rPr>
                <w:rFonts w:ascii="仿宋" w:hAnsi="仿宋"/>
                <w:sz w:val="24"/>
                <w:szCs w:val="24"/>
              </w:rPr>
            </w:pPr>
            <w:r>
              <w:rPr>
                <w:rFonts w:hint="eastAsia" w:ascii="仿宋" w:hAnsi="仿宋"/>
                <w:sz w:val="24"/>
                <w:szCs w:val="24"/>
              </w:rPr>
              <w:t>各接线位置接触良好，接线正确，接头无松动，接地良好，接地电阻小于</w:t>
            </w:r>
            <w:r>
              <w:rPr>
                <w:rFonts w:ascii="仿宋" w:hAnsi="仿宋"/>
                <w:sz w:val="24"/>
                <w:szCs w:val="24"/>
              </w:rPr>
              <w:t>4</w:t>
            </w:r>
            <w:r>
              <w:rPr>
                <w:rFonts w:hint="eastAsia" w:ascii="仿宋" w:hAnsi="仿宋"/>
                <w:sz w:val="24"/>
                <w:szCs w:val="24"/>
              </w:rPr>
              <w:t>Ω。</w:t>
            </w:r>
          </w:p>
          <w:p w14:paraId="2DA87470">
            <w:pPr>
              <w:spacing w:line="240" w:lineRule="auto"/>
              <w:ind w:firstLine="0" w:firstLineChars="0"/>
              <w:jc w:val="center"/>
              <w:rPr>
                <w:rFonts w:ascii="仿宋" w:hAnsi="仿宋"/>
                <w:sz w:val="24"/>
                <w:szCs w:val="24"/>
              </w:rPr>
            </w:pPr>
          </w:p>
        </w:tc>
      </w:tr>
      <w:tr w14:paraId="51DF6E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1D39E1D5">
            <w:pPr>
              <w:spacing w:line="240" w:lineRule="auto"/>
              <w:ind w:firstLine="0" w:firstLineChars="0"/>
              <w:jc w:val="center"/>
              <w:rPr>
                <w:rFonts w:ascii="仿宋" w:hAnsi="仿宋"/>
                <w:sz w:val="24"/>
                <w:szCs w:val="24"/>
              </w:rPr>
            </w:pPr>
            <w:r>
              <w:rPr>
                <w:rFonts w:ascii="仿宋" w:hAnsi="仿宋"/>
                <w:sz w:val="24"/>
                <w:szCs w:val="24"/>
              </w:rPr>
              <w:t>11</w:t>
            </w:r>
          </w:p>
        </w:tc>
        <w:tc>
          <w:tcPr>
            <w:tcW w:w="2731" w:type="dxa"/>
            <w:vAlign w:val="center"/>
          </w:tcPr>
          <w:p w14:paraId="509957E2">
            <w:pPr>
              <w:spacing w:line="240" w:lineRule="auto"/>
              <w:ind w:firstLine="0" w:firstLineChars="0"/>
              <w:jc w:val="center"/>
              <w:rPr>
                <w:rFonts w:ascii="仿宋" w:hAnsi="仿宋"/>
                <w:sz w:val="24"/>
                <w:szCs w:val="24"/>
              </w:rPr>
            </w:pPr>
            <w:r>
              <w:rPr>
                <w:rFonts w:hint="eastAsia" w:ascii="仿宋" w:hAnsi="仿宋"/>
                <w:sz w:val="24"/>
                <w:szCs w:val="24"/>
              </w:rPr>
              <w:t>各机构电机转向是否正确</w:t>
            </w:r>
          </w:p>
        </w:tc>
        <w:tc>
          <w:tcPr>
            <w:tcW w:w="5349" w:type="dxa"/>
            <w:vAlign w:val="center"/>
          </w:tcPr>
          <w:p w14:paraId="25CD5916">
            <w:pPr>
              <w:spacing w:line="240" w:lineRule="auto"/>
              <w:ind w:firstLine="0" w:firstLineChars="0"/>
              <w:jc w:val="center"/>
              <w:rPr>
                <w:rFonts w:ascii="仿宋" w:hAnsi="仿宋"/>
                <w:sz w:val="24"/>
                <w:szCs w:val="24"/>
              </w:rPr>
            </w:pPr>
            <w:r>
              <w:rPr>
                <w:rFonts w:hint="eastAsia" w:ascii="仿宋" w:hAnsi="仿宋"/>
                <w:sz w:val="24"/>
                <w:szCs w:val="24"/>
              </w:rPr>
              <w:t>转向正确</w:t>
            </w:r>
          </w:p>
        </w:tc>
      </w:tr>
      <w:tr w14:paraId="66EA2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Align w:val="center"/>
          </w:tcPr>
          <w:p w14:paraId="03A38423">
            <w:pPr>
              <w:spacing w:line="240" w:lineRule="auto"/>
              <w:ind w:firstLine="0" w:firstLineChars="0"/>
              <w:jc w:val="center"/>
              <w:rPr>
                <w:rFonts w:ascii="仿宋" w:hAnsi="仿宋"/>
                <w:sz w:val="24"/>
                <w:szCs w:val="24"/>
              </w:rPr>
            </w:pPr>
            <w:r>
              <w:rPr>
                <w:rFonts w:ascii="仿宋" w:hAnsi="仿宋"/>
                <w:sz w:val="24"/>
                <w:szCs w:val="24"/>
              </w:rPr>
              <w:t>12</w:t>
            </w:r>
          </w:p>
        </w:tc>
        <w:tc>
          <w:tcPr>
            <w:tcW w:w="2731" w:type="dxa"/>
            <w:vAlign w:val="center"/>
          </w:tcPr>
          <w:p w14:paraId="3310D2EF">
            <w:pPr>
              <w:spacing w:line="240" w:lineRule="auto"/>
              <w:ind w:firstLine="0" w:firstLineChars="0"/>
              <w:jc w:val="center"/>
              <w:rPr>
                <w:rFonts w:ascii="仿宋" w:hAnsi="仿宋"/>
                <w:sz w:val="24"/>
                <w:szCs w:val="24"/>
              </w:rPr>
            </w:pPr>
            <w:r>
              <w:rPr>
                <w:rFonts w:hint="eastAsia" w:ascii="仿宋" w:hAnsi="仿宋"/>
                <w:sz w:val="24"/>
                <w:szCs w:val="24"/>
              </w:rPr>
              <w:t>作业环境</w:t>
            </w:r>
          </w:p>
        </w:tc>
        <w:tc>
          <w:tcPr>
            <w:tcW w:w="5349" w:type="dxa"/>
            <w:vAlign w:val="center"/>
          </w:tcPr>
          <w:p w14:paraId="2778F8B6">
            <w:pPr>
              <w:spacing w:line="240" w:lineRule="auto"/>
              <w:ind w:firstLine="0" w:firstLineChars="0"/>
              <w:jc w:val="center"/>
              <w:rPr>
                <w:rFonts w:ascii="仿宋" w:hAnsi="仿宋"/>
                <w:sz w:val="24"/>
                <w:szCs w:val="24"/>
              </w:rPr>
            </w:pPr>
            <w:r>
              <w:rPr>
                <w:rFonts w:hint="eastAsia" w:ascii="仿宋" w:hAnsi="仿宋"/>
                <w:sz w:val="24"/>
                <w:szCs w:val="24"/>
              </w:rPr>
              <w:t>周边无障碍物</w:t>
            </w:r>
          </w:p>
        </w:tc>
      </w:tr>
      <w:tr w14:paraId="77216B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Merge w:val="restart"/>
            <w:vAlign w:val="center"/>
          </w:tcPr>
          <w:p w14:paraId="401E7E72">
            <w:pPr>
              <w:spacing w:line="240" w:lineRule="auto"/>
              <w:ind w:firstLine="0" w:firstLineChars="0"/>
              <w:jc w:val="center"/>
              <w:rPr>
                <w:rFonts w:ascii="仿宋" w:hAnsi="仿宋"/>
                <w:sz w:val="24"/>
                <w:szCs w:val="24"/>
              </w:rPr>
            </w:pPr>
            <w:r>
              <w:rPr>
                <w:rFonts w:ascii="仿宋" w:hAnsi="仿宋"/>
                <w:sz w:val="24"/>
                <w:szCs w:val="24"/>
              </w:rPr>
              <w:t>13</w:t>
            </w:r>
          </w:p>
        </w:tc>
        <w:tc>
          <w:tcPr>
            <w:tcW w:w="2731" w:type="dxa"/>
            <w:vMerge w:val="restart"/>
            <w:vAlign w:val="center"/>
          </w:tcPr>
          <w:p w14:paraId="6CE5BDDE">
            <w:pPr>
              <w:spacing w:line="240" w:lineRule="auto"/>
              <w:ind w:firstLine="0" w:firstLineChars="0"/>
              <w:jc w:val="center"/>
              <w:rPr>
                <w:rFonts w:ascii="仿宋" w:hAnsi="仿宋"/>
                <w:sz w:val="24"/>
                <w:szCs w:val="24"/>
              </w:rPr>
            </w:pPr>
            <w:r>
              <w:rPr>
                <w:rFonts w:hint="eastAsia" w:ascii="仿宋" w:hAnsi="仿宋"/>
                <w:sz w:val="24"/>
                <w:szCs w:val="24"/>
              </w:rPr>
              <w:t>各机构制动轮安装情况</w:t>
            </w:r>
          </w:p>
        </w:tc>
        <w:tc>
          <w:tcPr>
            <w:tcW w:w="5349" w:type="dxa"/>
            <w:vAlign w:val="center"/>
          </w:tcPr>
          <w:p w14:paraId="44B1E16A">
            <w:pPr>
              <w:spacing w:line="240" w:lineRule="auto"/>
              <w:ind w:firstLine="0" w:firstLineChars="0"/>
              <w:jc w:val="center"/>
              <w:rPr>
                <w:rFonts w:ascii="仿宋" w:hAnsi="仿宋"/>
                <w:sz w:val="24"/>
                <w:szCs w:val="24"/>
              </w:rPr>
            </w:pPr>
            <w:r>
              <w:rPr>
                <w:rFonts w:hint="eastAsia" w:ascii="仿宋" w:hAnsi="仿宋"/>
                <w:sz w:val="24"/>
                <w:szCs w:val="24"/>
              </w:rPr>
              <w:t>打开有间隙．无摩擦</w:t>
            </w:r>
          </w:p>
        </w:tc>
      </w:tr>
      <w:tr w14:paraId="393EB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36" w:type="dxa"/>
            <w:vMerge w:val="continue"/>
          </w:tcPr>
          <w:p w14:paraId="5822750F">
            <w:pPr>
              <w:spacing w:line="240" w:lineRule="auto"/>
              <w:ind w:firstLine="0" w:firstLineChars="0"/>
              <w:jc w:val="center"/>
              <w:rPr>
                <w:rFonts w:ascii="仿宋" w:hAnsi="仿宋"/>
                <w:sz w:val="24"/>
                <w:szCs w:val="24"/>
              </w:rPr>
            </w:pPr>
          </w:p>
        </w:tc>
        <w:tc>
          <w:tcPr>
            <w:tcW w:w="2731" w:type="dxa"/>
            <w:vMerge w:val="continue"/>
            <w:vAlign w:val="center"/>
          </w:tcPr>
          <w:p w14:paraId="3CF19917">
            <w:pPr>
              <w:spacing w:line="240" w:lineRule="auto"/>
              <w:ind w:firstLine="0" w:firstLineChars="0"/>
              <w:jc w:val="center"/>
              <w:rPr>
                <w:rFonts w:ascii="仿宋" w:hAnsi="仿宋"/>
                <w:sz w:val="24"/>
                <w:szCs w:val="24"/>
              </w:rPr>
            </w:pPr>
          </w:p>
        </w:tc>
        <w:tc>
          <w:tcPr>
            <w:tcW w:w="5349" w:type="dxa"/>
            <w:vAlign w:val="center"/>
          </w:tcPr>
          <w:p w14:paraId="1B8ADCA0">
            <w:pPr>
              <w:spacing w:line="240" w:lineRule="auto"/>
              <w:ind w:firstLine="0" w:firstLineChars="0"/>
              <w:jc w:val="center"/>
              <w:rPr>
                <w:rFonts w:ascii="仿宋" w:hAnsi="仿宋"/>
                <w:sz w:val="24"/>
                <w:szCs w:val="24"/>
              </w:rPr>
            </w:pPr>
            <w:r>
              <w:rPr>
                <w:rFonts w:hint="eastAsia" w:ascii="仿宋" w:hAnsi="仿宋"/>
                <w:sz w:val="24"/>
                <w:szCs w:val="24"/>
              </w:rPr>
              <w:t>制动接触面积≥</w:t>
            </w:r>
            <w:r>
              <w:rPr>
                <w:rFonts w:ascii="仿宋" w:hAnsi="仿宋"/>
                <w:sz w:val="24"/>
                <w:szCs w:val="24"/>
              </w:rPr>
              <w:t>70%</w:t>
            </w:r>
          </w:p>
        </w:tc>
      </w:tr>
    </w:tbl>
    <w:p w14:paraId="35A80BCD">
      <w:pPr>
        <w:ind w:firstLine="560"/>
      </w:pPr>
      <w:r>
        <w:rPr>
          <w:rFonts w:hint="eastAsia"/>
        </w:rPr>
        <w:t>2、验收</w:t>
      </w:r>
      <w:r>
        <w:t>程序流程</w:t>
      </w:r>
    </w:p>
    <w:p w14:paraId="0AD99536">
      <w:pPr>
        <w:ind w:firstLine="560"/>
      </w:pPr>
      <w:r>
        <w:rPr>
          <w:rFonts w:hint="eastAsia"/>
        </w:rPr>
        <w:t>调试完成后，将塔机的各种资料（包括出厂合格证、第三方检验证明、各部件安装验收记录、配重块强度报告、垂直度测量报告、接地电阻测量报告等）整理汇总，以备查验。</w:t>
      </w:r>
    </w:p>
    <w:p w14:paraId="583DF502">
      <w:pPr>
        <w:ind w:firstLine="560"/>
      </w:pPr>
      <w:r>
        <w:rPr>
          <w:rFonts w:hint="eastAsia"/>
        </w:rPr>
        <w:t>塔吊安装完毕各项技术指标自检查符合相关要求后通知机械部、安质部、其他业主相关部门等现场验收。</w:t>
      </w:r>
    </w:p>
    <w:p w14:paraId="5BED3700">
      <w:pPr>
        <w:ind w:firstLine="560"/>
      </w:pPr>
      <w:r>
        <w:rPr>
          <w:rFonts w:hint="eastAsia"/>
        </w:rPr>
        <w:t>内部自检合格后，报市级以上特种设备</w:t>
      </w:r>
      <w:r>
        <w:fldChar w:fldCharType="begin"/>
      </w:r>
      <w:r>
        <w:instrText xml:space="preserve"> HYPERLINK "http://www.sei.sd.cn/Init!linklist.action" \t "_blank" </w:instrText>
      </w:r>
      <w:r>
        <w:fldChar w:fldCharType="separate"/>
      </w:r>
      <w:r>
        <w:rPr>
          <w:rFonts w:hint="eastAsia"/>
        </w:rPr>
        <w:t>检验研究院</w:t>
      </w:r>
      <w:r>
        <w:rPr>
          <w:rFonts w:hint="eastAsia"/>
        </w:rPr>
        <w:fldChar w:fldCharType="end"/>
      </w:r>
      <w:r>
        <w:rPr>
          <w:rFonts w:hint="eastAsia"/>
        </w:rPr>
        <w:t>前来验收，验收合格后方可投入运营。</w:t>
      </w:r>
    </w:p>
    <w:p w14:paraId="3663DCB5">
      <w:pPr>
        <w:ind w:left="560" w:firstLine="0" w:firstLineChars="0"/>
      </w:pPr>
      <w:r>
        <w:rPr>
          <w:rFonts w:hint="eastAsia"/>
        </w:rPr>
        <w:t>3、</w:t>
      </w:r>
      <w:r>
        <w:t>验收人员</w:t>
      </w:r>
    </w:p>
    <w:p w14:paraId="3016E033">
      <w:pPr>
        <w:ind w:firstLine="560"/>
      </w:pPr>
      <w:r>
        <w:t>塔机安装后,</w:t>
      </w:r>
      <w:r>
        <w:rPr>
          <w:rFonts w:hint="eastAsia"/>
        </w:rPr>
        <w:t>应由</w:t>
      </w:r>
      <w:r>
        <w:t>使用单位应通知安装单位组织有关人员进行性能载荷等自检验收</w:t>
      </w:r>
      <w:r>
        <w:rPr>
          <w:rFonts w:hint="eastAsia"/>
        </w:rPr>
        <w:t>，</w:t>
      </w:r>
      <w:r>
        <w:t>验收合格双方签字盖章后方可投入使用。使用单位并将自检验收情况连同资料报当地安检部门申请检测。</w:t>
      </w:r>
      <w:r>
        <w:rPr>
          <w:rFonts w:hint="eastAsia"/>
        </w:rPr>
        <w:t>验收人员应包括使用单位及项目部机械部、现场负责人、安质部等相关人员。安装单位人员应包括塔机安装负责人、技术员、安全员、安拆施工队长等相关人员。</w:t>
      </w:r>
    </w:p>
    <w:p w14:paraId="78A3D333">
      <w:pPr>
        <w:ind w:firstLine="560"/>
      </w:pPr>
      <w:bookmarkStart w:id="529" w:name="_Toc31559"/>
      <w:bookmarkStart w:id="530" w:name="_Toc6210"/>
      <w:bookmarkStart w:id="531" w:name="_Toc7928"/>
      <w:bookmarkStart w:id="532" w:name="_Toc7041"/>
      <w:bookmarkStart w:id="533" w:name="_Toc11765"/>
    </w:p>
    <w:p w14:paraId="3FEA4117">
      <w:pPr>
        <w:ind w:firstLine="560"/>
      </w:pPr>
    </w:p>
    <w:p w14:paraId="18CFE90C">
      <w:pPr>
        <w:pStyle w:val="3"/>
        <w:bidi w:val="0"/>
        <w:ind w:left="575" w:leftChars="0" w:hanging="575" w:firstLineChars="0"/>
      </w:pPr>
      <w:bookmarkStart w:id="534" w:name="_Toc8905"/>
      <w:r>
        <w:rPr>
          <w:rFonts w:hint="eastAsia"/>
        </w:rPr>
        <w:t>塔机垂直度监控</w:t>
      </w:r>
      <w:bookmarkEnd w:id="529"/>
      <w:bookmarkEnd w:id="530"/>
      <w:bookmarkEnd w:id="531"/>
      <w:bookmarkEnd w:id="532"/>
      <w:bookmarkEnd w:id="533"/>
      <w:bookmarkEnd w:id="534"/>
    </w:p>
    <w:p w14:paraId="7B2C3517">
      <w:pPr>
        <w:ind w:firstLine="280" w:firstLineChars="100"/>
        <w:rPr>
          <w:color w:val="000000"/>
        </w:rPr>
      </w:pPr>
      <w:r>
        <w:rPr>
          <w:color w:val="000000"/>
        </w:rPr>
        <w:t>1.在空载状态下测量塔机垂直度；</w:t>
      </w:r>
    </w:p>
    <w:p w14:paraId="69FDBB59">
      <w:pPr>
        <w:ind w:firstLine="280" w:firstLineChars="100"/>
        <w:jc w:val="left"/>
        <w:rPr>
          <w:rFonts w:ascii="宋体" w:hAnsi="宋体" w:cs="宋体"/>
        </w:rPr>
      </w:pPr>
      <w:r>
        <w:rPr>
          <w:color w:val="000000"/>
        </w:rPr>
        <w:t>2.侧向垂直度臂架相对于塔身0°和90°时分别沿臂架方向测量，标尺贴靠在塔身结构中心的最低处和最高处，用经纬仪测量两处的值，要求误差≤4/1000；</w:t>
      </w:r>
    </w:p>
    <w:p w14:paraId="4609393F">
      <w:pPr>
        <w:ind w:firstLine="280" w:firstLineChars="100"/>
      </w:pPr>
      <w:r>
        <w:rPr>
          <w:color w:val="000000"/>
        </w:rPr>
        <w:t>3.应由项目部测量组专业人员使用经纬仪测量塔机垂直度，</w:t>
      </w:r>
      <w:r>
        <w:rPr>
          <w:rFonts w:hint="eastAsia"/>
          <w:color w:val="000000"/>
        </w:rPr>
        <w:t>两周一次测量塔机垂直度</w:t>
      </w:r>
      <w:r>
        <w:rPr>
          <w:color w:val="000000"/>
        </w:rPr>
        <w:t>，每次垂直度测量应测量三次取平均值。</w:t>
      </w:r>
    </w:p>
    <w:p w14:paraId="6AE5FFA6">
      <w:pPr>
        <w:pStyle w:val="2"/>
        <w:bidi w:val="0"/>
        <w:ind w:left="432" w:leftChars="0" w:hanging="432" w:firstLineChars="0"/>
      </w:pPr>
      <w:bookmarkStart w:id="535" w:name="_Toc4390"/>
      <w:bookmarkStart w:id="536" w:name="_Toc29256"/>
      <w:bookmarkStart w:id="537" w:name="_Toc10605"/>
      <w:bookmarkStart w:id="538" w:name="_Toc21885"/>
      <w:bookmarkStart w:id="539" w:name="_Toc7819"/>
      <w:bookmarkStart w:id="540" w:name="_Toc23830"/>
      <w:bookmarkStart w:id="541" w:name="_Toc17547"/>
      <w:r>
        <w:rPr>
          <w:rFonts w:hint="eastAsia"/>
        </w:rPr>
        <w:t>应急预案</w:t>
      </w:r>
      <w:bookmarkEnd w:id="522"/>
      <w:bookmarkEnd w:id="523"/>
      <w:bookmarkEnd w:id="524"/>
      <w:bookmarkEnd w:id="525"/>
      <w:bookmarkEnd w:id="526"/>
      <w:bookmarkEnd w:id="527"/>
      <w:bookmarkEnd w:id="535"/>
      <w:bookmarkEnd w:id="536"/>
      <w:bookmarkEnd w:id="537"/>
      <w:bookmarkEnd w:id="538"/>
      <w:bookmarkEnd w:id="539"/>
      <w:bookmarkEnd w:id="540"/>
      <w:bookmarkEnd w:id="541"/>
    </w:p>
    <w:p w14:paraId="3B24F340">
      <w:pPr>
        <w:pStyle w:val="3"/>
        <w:bidi w:val="0"/>
        <w:ind w:left="575" w:leftChars="0" w:hanging="575" w:firstLineChars="0"/>
      </w:pPr>
      <w:bookmarkStart w:id="542" w:name="_Toc31197"/>
      <w:bookmarkStart w:id="543" w:name="_Toc301216459"/>
      <w:bookmarkStart w:id="544" w:name="_Toc19108"/>
      <w:bookmarkStart w:id="545" w:name="_Toc5439"/>
      <w:bookmarkStart w:id="546" w:name="_Toc28470"/>
      <w:bookmarkStart w:id="547" w:name="_Toc25418"/>
      <w:bookmarkStart w:id="548" w:name="_Toc26730"/>
      <w:bookmarkStart w:id="549" w:name="_Toc19747"/>
      <w:bookmarkStart w:id="550" w:name="_Toc24686"/>
      <w:bookmarkStart w:id="551" w:name="_Toc22342"/>
      <w:bookmarkStart w:id="552" w:name="_Toc4508"/>
      <w:bookmarkStart w:id="553" w:name="_Toc2879"/>
      <w:bookmarkStart w:id="554" w:name="_Toc32153"/>
      <w:bookmarkStart w:id="555" w:name="_Toc96868129"/>
      <w:bookmarkStart w:id="556" w:name="_Toc11961"/>
      <w:r>
        <w:rPr>
          <w:rFonts w:hint="eastAsia"/>
        </w:rPr>
        <w:t>编制目的</w:t>
      </w:r>
      <w:bookmarkEnd w:id="542"/>
    </w:p>
    <w:p w14:paraId="33F085E0">
      <w:pPr>
        <w:ind w:firstLine="560"/>
      </w:pPr>
      <w:r>
        <w:rPr>
          <w:rFonts w:hint="eastAsia"/>
        </w:rPr>
        <w:t>塔吊安拆施工过程中，机械吊装等施工过程中需要严格按照操作规程施工，施工过程中存在很大的突然性和危险性，所以在施工前必须加强岗前学习培训，施工中采取正确的安全操作规程，并设立应急预案措施，尽可能降低安全事故的发生是编制本应急预案的目的。</w:t>
      </w:r>
    </w:p>
    <w:p w14:paraId="305D34CC">
      <w:pPr>
        <w:pStyle w:val="3"/>
        <w:bidi w:val="0"/>
        <w:ind w:left="575" w:leftChars="0" w:hanging="575" w:firstLineChars="0"/>
        <w:rPr>
          <w:rFonts w:hint="eastAsia"/>
        </w:rPr>
      </w:pPr>
      <w:bookmarkStart w:id="557" w:name="_Toc24817"/>
      <w:r>
        <w:rPr>
          <w:rFonts w:hint="eastAsia"/>
        </w:rPr>
        <w:t>应急组织机构</w:t>
      </w:r>
      <w:bookmarkEnd w:id="557"/>
    </w:p>
    <w:p w14:paraId="7EE6E068">
      <w:pPr>
        <w:ind w:firstLine="560"/>
        <w:rPr>
          <w:rFonts w:hint="eastAsia"/>
        </w:rPr>
      </w:pPr>
      <w:r>
        <w:rPr>
          <w:rFonts w:hint="eastAsia"/>
        </w:rPr>
        <w:t>项目成立项目经理为组长的项目部生产安全应急领导小组，成员由项目部领导班子、各部门负责人、各分部相关负责人组成，人员构成如下：</w:t>
      </w:r>
    </w:p>
    <w:p w14:paraId="7A3BE26D">
      <w:pPr>
        <w:ind w:firstLine="560"/>
        <w:rPr>
          <w:rFonts w:hint="eastAsia"/>
        </w:rPr>
      </w:pPr>
      <w:r>
        <w:rPr>
          <w:rFonts w:hint="eastAsia"/>
        </w:rPr>
        <w:t>组  长：汪芳进</w:t>
      </w:r>
    </w:p>
    <w:p w14:paraId="666A6F0C">
      <w:pPr>
        <w:ind w:firstLine="560"/>
        <w:rPr>
          <w:rFonts w:hint="eastAsia"/>
        </w:rPr>
      </w:pPr>
      <w:r>
        <w:rPr>
          <w:rFonts w:hint="eastAsia"/>
        </w:rPr>
        <w:t>副组长：李  航、李方峰、杨文涛、潘胜平、饶培红</w:t>
      </w:r>
    </w:p>
    <w:p w14:paraId="1C331E84">
      <w:pPr>
        <w:ind w:firstLine="560"/>
        <w:rPr>
          <w:rFonts w:hint="eastAsia"/>
        </w:rPr>
      </w:pPr>
      <w:r>
        <w:rPr>
          <w:rFonts w:hint="eastAsia"/>
        </w:rPr>
        <w:t xml:space="preserve">成  员：赵  俊、周燕飞、张  晶、赵  小、崔全福、程生伟、潘全胜、陈彦龙、谢  浩、刘军波、郑  杰、杨登辉、朱新郑。 </w:t>
      </w:r>
    </w:p>
    <w:p w14:paraId="06CE6467">
      <w:pPr>
        <w:ind w:firstLine="560"/>
        <w:rPr>
          <w:rFonts w:hint="eastAsia"/>
        </w:rPr>
      </w:pPr>
      <w:r>
        <w:rPr>
          <w:rFonts w:hint="eastAsia"/>
        </w:rPr>
        <w:t>应急领导小组办公室设在安环部，办公室主任：赵俊，负责日常工作。应急领导小组办公室电话：18971601217。</w:t>
      </w:r>
    </w:p>
    <w:p w14:paraId="6C679587">
      <w:pPr>
        <w:pStyle w:val="3"/>
        <w:bidi w:val="0"/>
        <w:ind w:left="575" w:leftChars="0" w:hanging="575" w:firstLineChars="0"/>
      </w:pPr>
      <w:bookmarkStart w:id="558" w:name="_Toc32494"/>
      <w:bookmarkStart w:id="559" w:name="_Toc3631"/>
      <w:bookmarkStart w:id="560" w:name="_Toc21036"/>
      <w:bookmarkStart w:id="561" w:name="_Toc12175"/>
      <w:bookmarkStart w:id="562" w:name="_Toc21225"/>
      <w:bookmarkStart w:id="563" w:name="_Toc301216458"/>
      <w:bookmarkStart w:id="564" w:name="_Toc836"/>
      <w:bookmarkStart w:id="565" w:name="_Toc4579"/>
      <w:bookmarkStart w:id="566" w:name="_Toc31613"/>
      <w:bookmarkStart w:id="567" w:name="_Toc19378"/>
      <w:r>
        <w:t>紧急事故救援小组成员分工</w:t>
      </w:r>
      <w:bookmarkEnd w:id="558"/>
      <w:bookmarkEnd w:id="559"/>
      <w:bookmarkEnd w:id="560"/>
      <w:bookmarkEnd w:id="561"/>
      <w:bookmarkEnd w:id="562"/>
      <w:bookmarkEnd w:id="563"/>
      <w:bookmarkEnd w:id="564"/>
      <w:bookmarkEnd w:id="565"/>
      <w:bookmarkEnd w:id="566"/>
      <w:bookmarkEnd w:id="567"/>
    </w:p>
    <w:p w14:paraId="5CE04A90">
      <w:pPr>
        <w:ind w:firstLine="560"/>
        <w:rPr>
          <w:szCs w:val="24"/>
        </w:rPr>
      </w:pPr>
      <w:r>
        <w:rPr>
          <w:szCs w:val="24"/>
        </w:rPr>
        <w:t>组长及组员</w:t>
      </w:r>
      <w:r>
        <w:rPr>
          <w:rFonts w:hint="eastAsia"/>
          <w:szCs w:val="24"/>
        </w:rPr>
        <w:t>均</w:t>
      </w:r>
      <w:r>
        <w:rPr>
          <w:szCs w:val="24"/>
        </w:rPr>
        <w:t>为通讯组，负责在施工现场发生意外或紧急事故时，及时电话报救，组长为电话报救第一责任人；如其有事不在现场，</w:t>
      </w:r>
      <w:r>
        <w:rPr>
          <w:rFonts w:hint="eastAsia"/>
          <w:szCs w:val="24"/>
        </w:rPr>
        <w:t>副组长</w:t>
      </w:r>
      <w:r>
        <w:rPr>
          <w:szCs w:val="24"/>
        </w:rPr>
        <w:t>则为电话报救第一责任人，如此类推。</w:t>
      </w:r>
    </w:p>
    <w:p w14:paraId="23994D28">
      <w:pPr>
        <w:ind w:firstLine="560"/>
        <w:rPr>
          <w:szCs w:val="24"/>
        </w:rPr>
      </w:pPr>
      <w:r>
        <w:rPr>
          <w:szCs w:val="24"/>
        </w:rPr>
        <w:t>副组长为紧急抢救组，负责在救护车到达之前，对伤员开展自救，使伤员的伤势不至于进一步恶化。</w:t>
      </w:r>
    </w:p>
    <w:p w14:paraId="4B31BF03">
      <w:pPr>
        <w:ind w:firstLine="560"/>
        <w:rPr>
          <w:szCs w:val="24"/>
        </w:rPr>
      </w:pPr>
      <w:r>
        <w:rPr>
          <w:szCs w:val="24"/>
        </w:rPr>
        <w:t>紧急疏导组</w:t>
      </w:r>
      <w:r>
        <w:rPr>
          <w:rFonts w:hint="eastAsia"/>
          <w:szCs w:val="24"/>
        </w:rPr>
        <w:t>为分部成员</w:t>
      </w:r>
      <w:r>
        <w:rPr>
          <w:szCs w:val="24"/>
        </w:rPr>
        <w:t>，负责清除现场阻碍救护车辆的道路，疏散围观群众到安全地点，确保道路畅通，加强警戒保证在调查人员到达之前，对发生事故的现场原始状态进行保护，待事故调查人员对事故现场调查取证完毕后，对现场进行清理，由副组长负责。</w:t>
      </w:r>
    </w:p>
    <w:p w14:paraId="4E79BADE">
      <w:pPr>
        <w:ind w:firstLine="560"/>
        <w:jc w:val="left"/>
        <w:rPr>
          <w:szCs w:val="24"/>
        </w:rPr>
      </w:pPr>
      <w:r>
        <w:rPr>
          <w:szCs w:val="24"/>
        </w:rPr>
        <w:t>紧急抢险组</w:t>
      </w:r>
      <w:r>
        <w:rPr>
          <w:rFonts w:hint="eastAsia"/>
          <w:szCs w:val="24"/>
        </w:rPr>
        <w:t>为项目部成员</w:t>
      </w:r>
      <w:r>
        <w:rPr>
          <w:szCs w:val="24"/>
        </w:rPr>
        <w:t>：应在副组长的负责下，对事故现场实施排险工作，提供紧急抢险物资、设备、应急照明。</w:t>
      </w:r>
    </w:p>
    <w:p w14:paraId="7853554C">
      <w:pPr>
        <w:pStyle w:val="3"/>
        <w:bidi w:val="0"/>
        <w:ind w:left="575" w:leftChars="0" w:hanging="575" w:firstLineChars="0"/>
      </w:pPr>
      <w:bookmarkStart w:id="568" w:name="_Toc18269"/>
      <w:bookmarkStart w:id="569" w:name="_Toc17677"/>
      <w:bookmarkStart w:id="570" w:name="_Toc27421"/>
      <w:bookmarkStart w:id="571" w:name="_Toc19798"/>
      <w:bookmarkStart w:id="572" w:name="_Toc26464"/>
      <w:bookmarkStart w:id="573" w:name="_Toc9737"/>
      <w:bookmarkStart w:id="574" w:name="_Toc12035"/>
      <w:bookmarkStart w:id="575" w:name="_Toc23204"/>
      <w:bookmarkStart w:id="576" w:name="_Toc13940"/>
      <w:r>
        <w:t>应急准备</w:t>
      </w:r>
      <w:bookmarkEnd w:id="543"/>
      <w:bookmarkEnd w:id="568"/>
      <w:bookmarkEnd w:id="569"/>
      <w:bookmarkEnd w:id="570"/>
      <w:bookmarkEnd w:id="571"/>
      <w:bookmarkEnd w:id="572"/>
      <w:bookmarkEnd w:id="573"/>
      <w:bookmarkEnd w:id="574"/>
      <w:bookmarkEnd w:id="575"/>
      <w:bookmarkEnd w:id="576"/>
    </w:p>
    <w:p w14:paraId="2FFC3C0C">
      <w:pPr>
        <w:ind w:firstLine="560"/>
        <w:rPr>
          <w:szCs w:val="24"/>
        </w:rPr>
      </w:pPr>
      <w:r>
        <w:rPr>
          <w:szCs w:val="24"/>
        </w:rPr>
        <w:t>（1）技术准备</w:t>
      </w:r>
    </w:p>
    <w:p w14:paraId="7A986083">
      <w:pPr>
        <w:ind w:firstLine="560"/>
        <w:rPr>
          <w:szCs w:val="24"/>
        </w:rPr>
      </w:pPr>
      <w:r>
        <w:rPr>
          <w:szCs w:val="24"/>
        </w:rPr>
        <w:t>根据本工程塔吊施工的全过程，针对各环节的每一步骤，按照安全生产技术规程和方案要求，对所有施工人员进行安全交底，要使全员对工作和安全注意事项心中有数。</w:t>
      </w:r>
    </w:p>
    <w:p w14:paraId="42BB7EB8">
      <w:pPr>
        <w:ind w:firstLine="560"/>
        <w:rPr>
          <w:szCs w:val="24"/>
        </w:rPr>
      </w:pPr>
      <w:r>
        <w:rPr>
          <w:szCs w:val="24"/>
        </w:rPr>
        <w:t>（2）物资准备</w:t>
      </w:r>
    </w:p>
    <w:p w14:paraId="2DF93FDF">
      <w:pPr>
        <w:ind w:firstLine="560"/>
        <w:rPr>
          <w:szCs w:val="24"/>
        </w:rPr>
      </w:pPr>
      <w:r>
        <w:rPr>
          <w:szCs w:val="24"/>
        </w:rPr>
        <w:t>对进场需使用的所有机械设备、机具必须按照国家、地区规定要求进行核定和检验，确保其牢固可靠、适用。</w:t>
      </w:r>
    </w:p>
    <w:p w14:paraId="4E141E7C">
      <w:pPr>
        <w:ind w:firstLine="560"/>
        <w:rPr>
          <w:szCs w:val="24"/>
        </w:rPr>
      </w:pPr>
      <w:r>
        <w:rPr>
          <w:szCs w:val="24"/>
        </w:rPr>
        <w:t>（3）防护设施准备</w:t>
      </w:r>
    </w:p>
    <w:p w14:paraId="74E25808">
      <w:pPr>
        <w:ind w:firstLine="560"/>
        <w:rPr>
          <w:szCs w:val="24"/>
        </w:rPr>
      </w:pPr>
      <w:r>
        <w:rPr>
          <w:szCs w:val="24"/>
        </w:rPr>
        <w:t>对施工工作范围危险区进行警戒、设警戒线、挂安全警示牌，并安排专人看护；对需动火的作业，充分准备好干粉灭火器备用；对于光线弱的情况，备全照明应急设备。</w:t>
      </w:r>
      <w:bookmarkStart w:id="577" w:name="_Toc301216460"/>
    </w:p>
    <w:p w14:paraId="2A5814B5">
      <w:pPr>
        <w:pStyle w:val="3"/>
        <w:bidi w:val="0"/>
        <w:ind w:left="575" w:leftChars="0" w:hanging="575" w:firstLineChars="0"/>
      </w:pPr>
      <w:bookmarkStart w:id="578" w:name="_Toc12397"/>
      <w:bookmarkStart w:id="579" w:name="_Toc27467"/>
      <w:bookmarkStart w:id="580" w:name="_Toc8928"/>
      <w:bookmarkStart w:id="581" w:name="_Toc31255"/>
      <w:bookmarkStart w:id="582" w:name="_Toc21049"/>
      <w:bookmarkStart w:id="583" w:name="_Toc28477"/>
      <w:bookmarkStart w:id="584" w:name="_Toc15541"/>
      <w:bookmarkStart w:id="585" w:name="_Toc9255"/>
      <w:bookmarkStart w:id="586" w:name="_Toc23322"/>
      <w:r>
        <w:t>施工现场的急救步骤</w:t>
      </w:r>
      <w:bookmarkEnd w:id="577"/>
      <w:bookmarkEnd w:id="578"/>
      <w:bookmarkEnd w:id="579"/>
      <w:bookmarkEnd w:id="580"/>
      <w:bookmarkEnd w:id="581"/>
      <w:bookmarkEnd w:id="582"/>
      <w:bookmarkEnd w:id="583"/>
      <w:bookmarkEnd w:id="584"/>
      <w:bookmarkEnd w:id="585"/>
      <w:bookmarkEnd w:id="586"/>
    </w:p>
    <w:p w14:paraId="101F2984">
      <w:pPr>
        <w:ind w:firstLine="560"/>
        <w:rPr>
          <w:szCs w:val="24"/>
        </w:rPr>
      </w:pPr>
      <w:r>
        <w:rPr>
          <w:szCs w:val="24"/>
        </w:rPr>
        <w:t>（1）电话报警</w:t>
      </w:r>
    </w:p>
    <w:p w14:paraId="1688648E">
      <w:pPr>
        <w:ind w:firstLine="560"/>
        <w:rPr>
          <w:szCs w:val="24"/>
        </w:rPr>
      </w:pPr>
      <w:r>
        <w:rPr>
          <w:szCs w:val="24"/>
        </w:rPr>
        <w:t>事故发生第一时间，要立即报告，救护小组迅速采取有效急救措施，同时报警求救，拨打电话报告时，不要惊慌，必须讲清事故情况和已采取的措施，让救护人员做好急救准备，讲清事故发生地点、附近特征，单位名称，负责人姓名、电话；报告程序：逐级也可越级。</w:t>
      </w:r>
    </w:p>
    <w:p w14:paraId="09864686">
      <w:pPr>
        <w:ind w:firstLine="560"/>
        <w:rPr>
          <w:szCs w:val="24"/>
        </w:rPr>
      </w:pPr>
      <w:r>
        <w:rPr>
          <w:szCs w:val="24"/>
        </w:rPr>
        <w:t>（2）现场疏导、自救</w:t>
      </w:r>
    </w:p>
    <w:p w14:paraId="7F4C3939">
      <w:pPr>
        <w:ind w:firstLine="560"/>
        <w:rPr>
          <w:szCs w:val="24"/>
        </w:rPr>
      </w:pPr>
      <w:r>
        <w:rPr>
          <w:szCs w:val="24"/>
        </w:rPr>
        <w:t>在电话报救的同时，由各小组紧急就位，根据现场实际情况对伤员或财物进行救护，有次序地组织人员安全撤离，疏散群众，清理救护通道。</w:t>
      </w:r>
      <w:bookmarkStart w:id="587" w:name="_Toc301216461"/>
    </w:p>
    <w:p w14:paraId="2A3C48E7">
      <w:pPr>
        <w:pStyle w:val="3"/>
        <w:bidi w:val="0"/>
        <w:ind w:left="575" w:leftChars="0" w:hanging="575" w:firstLineChars="0"/>
      </w:pPr>
      <w:bookmarkStart w:id="588" w:name="_Toc18184"/>
      <w:bookmarkStart w:id="589" w:name="_Toc21110"/>
      <w:bookmarkStart w:id="590" w:name="_Toc31401"/>
      <w:bookmarkStart w:id="591" w:name="_Toc1649"/>
      <w:bookmarkStart w:id="592" w:name="_Toc30118"/>
      <w:bookmarkStart w:id="593" w:name="_Toc23718"/>
      <w:bookmarkStart w:id="594" w:name="_Toc24215"/>
      <w:bookmarkStart w:id="595" w:name="_Toc12894"/>
      <w:bookmarkStart w:id="596" w:name="_Toc30542"/>
      <w:r>
        <w:t>现场</w:t>
      </w:r>
      <w:bookmarkEnd w:id="587"/>
      <w:r>
        <w:t>预案及措施</w:t>
      </w:r>
      <w:bookmarkEnd w:id="588"/>
      <w:bookmarkEnd w:id="589"/>
      <w:bookmarkEnd w:id="590"/>
      <w:bookmarkEnd w:id="591"/>
      <w:bookmarkEnd w:id="592"/>
      <w:bookmarkEnd w:id="593"/>
      <w:bookmarkEnd w:id="594"/>
      <w:bookmarkEnd w:id="595"/>
      <w:bookmarkEnd w:id="596"/>
    </w:p>
    <w:p w14:paraId="65C58FDF">
      <w:pPr>
        <w:pStyle w:val="4"/>
        <w:bidi w:val="0"/>
        <w:ind w:left="720" w:leftChars="0" w:hanging="720" w:firstLineChars="0"/>
      </w:pPr>
      <w:bookmarkStart w:id="597" w:name="_Toc27599"/>
      <w:bookmarkStart w:id="598" w:name="_Toc2793"/>
      <w:bookmarkStart w:id="599" w:name="_Toc32288"/>
      <w:bookmarkStart w:id="600" w:name="_Toc20837"/>
      <w:r>
        <w:t>高空坠落应急处置措施</w:t>
      </w:r>
    </w:p>
    <w:p w14:paraId="672D4290">
      <w:pPr>
        <w:ind w:firstLine="560"/>
      </w:pPr>
      <w:r>
        <w:t>1、目击者发现事故发生要第一时间进行高声呼救，同时拨打或要求其他目击者拨打应急电话，向应急指挥小组报告事故的相关信息。并在确保安全的前提下，开展前期的应急处置工作。</w:t>
      </w:r>
    </w:p>
    <w:p w14:paraId="4E5F855F">
      <w:pPr>
        <w:ind w:firstLine="560"/>
      </w:pPr>
      <w:r>
        <w:t>2、临边处掉到地面，要对当事者进行及时的必要治疗，现场抢救的重点应放在对休克、骨折和出血等几种情形上，现场救治困难或无效，应尽快送医院进行抢救治疗，避免延误抢救的时间。</w:t>
      </w:r>
    </w:p>
    <w:p w14:paraId="418C7F67">
      <w:pPr>
        <w:ind w:firstLine="560"/>
      </w:pPr>
      <w:r>
        <w:t>3、掉到地面的，出事地点的20米范围要停止作业，迅速对现场进行警戒、疏散人员、维持秩序，并不得有无关人员围观，特别是要防止临边的其它作业人员的围观。</w:t>
      </w:r>
    </w:p>
    <w:p w14:paraId="46006FDA">
      <w:pPr>
        <w:ind w:firstLine="560"/>
      </w:pPr>
      <w:r>
        <w:t>4、如掉落地点抢救难度大，首先应转至平台上才方便进行救治，必须召集在现场医务人员和抢险抢救组一起确定转移方案。</w:t>
      </w:r>
    </w:p>
    <w:p w14:paraId="19CFEB72">
      <w:pPr>
        <w:pStyle w:val="4"/>
        <w:bidi w:val="0"/>
        <w:ind w:left="720" w:leftChars="0" w:hanging="720" w:firstLineChars="0"/>
      </w:pPr>
      <w:r>
        <w:t>起重吊装应急处置措施</w:t>
      </w:r>
    </w:p>
    <w:p w14:paraId="58882172">
      <w:pPr>
        <w:ind w:firstLine="560"/>
      </w:pPr>
      <w:r>
        <w:t>1、施工现场发生一般起重事故，无人员受伤，起重司机应保持冷静，立即停止起重作业，如重物悬空应在保证安全的情况下，落下重物，停掉电源，立即向上级汇报。</w:t>
      </w:r>
    </w:p>
    <w:p w14:paraId="7977F29E">
      <w:pPr>
        <w:ind w:firstLine="560"/>
      </w:pPr>
      <w:r>
        <w:t>2、在施工作业过程中一旦发生起重伤害事故，应立即组织救援工作，同时要采取有效措施防止事故进一步扩大，有效减少人员伤亡和财产损失。</w:t>
      </w:r>
    </w:p>
    <w:p w14:paraId="09A3A04C">
      <w:pPr>
        <w:ind w:firstLine="560"/>
      </w:pPr>
      <w:r>
        <w:t>3、现场指挥应根据事态，迅速调动人员、设备进行现场救援，并做好现场警戒工作，以防事态扩大，同时向上级汇报。</w:t>
      </w:r>
    </w:p>
    <w:p w14:paraId="654931B0">
      <w:pPr>
        <w:ind w:firstLine="560"/>
      </w:pPr>
      <w:r>
        <w:t>4、应急小组成员到达事故现场后，对较轻的受伤人员，视伤情及时进行止血、包扎、固定等措施，送往医院治疗，并组织人员封锁事故现场，做好警示标志，等待专业人员进行处理。</w:t>
      </w:r>
    </w:p>
    <w:p w14:paraId="440421FA">
      <w:pPr>
        <w:ind w:firstLine="560"/>
      </w:pPr>
      <w:r>
        <w:t>5、若受伤人员被压在重物下面，立即采取搬开重物或使用起重工具吊起重物等措施，将受伤人员转移到安全地带，进行抢救。</w:t>
      </w:r>
    </w:p>
    <w:p w14:paraId="6D984304">
      <w:pPr>
        <w:ind w:firstLine="560"/>
      </w:pPr>
      <w:r>
        <w:t>6、当现场救援力量控制不了现场事态的发展，应立即启动上一级应急响应，并根据实际情况借助于社会救援力量。现场应急救援指挥人员应充分听取专家和专业救援人员的意见，做好救援人员、设备、物资、器材的统一调配。</w:t>
      </w:r>
    </w:p>
    <w:p w14:paraId="054FF06F">
      <w:pPr>
        <w:ind w:firstLine="560"/>
      </w:pPr>
      <w:r>
        <w:t>7、做好事故现场的清理和恢复工作，防止次生或滋生的事故。</w:t>
      </w:r>
    </w:p>
    <w:p w14:paraId="66C78F17">
      <w:pPr>
        <w:pStyle w:val="4"/>
        <w:bidi w:val="0"/>
        <w:ind w:left="720" w:leftChars="0" w:hanging="720" w:firstLineChars="0"/>
      </w:pPr>
      <w:r>
        <w:t>坍塌应急处置措施</w:t>
      </w:r>
    </w:p>
    <w:p w14:paraId="10C94B1C">
      <w:pPr>
        <w:ind w:firstLine="560"/>
      </w:pPr>
      <w:r>
        <w:t>1、发生坍塌事故时，事故发现人员高声呼救，同时拨打或要求其他目击者拨打应急电话，向应急指挥小组报告事故的相关信息。</w:t>
      </w:r>
    </w:p>
    <w:p w14:paraId="15533E47">
      <w:pPr>
        <w:ind w:firstLine="560"/>
      </w:pPr>
      <w:r>
        <w:t>2、首先落实是否有人员和设备被掩埋，如果有人员设备被掩埋要判明被埋人员、设备的方位，迅速调集吊车等设备进行抢救。</w:t>
      </w:r>
    </w:p>
    <w:p w14:paraId="3588D9BF">
      <w:pPr>
        <w:ind w:firstLine="560"/>
      </w:pPr>
      <w:r>
        <w:t>3、紧急救援时，应先救被埋或被困在设备内的人员，尽快设法使其脱离危险。</w:t>
      </w:r>
    </w:p>
    <w:p w14:paraId="5E1657D1">
      <w:pPr>
        <w:ind w:firstLine="560"/>
      </w:pPr>
      <w:r>
        <w:t>4、若用电设备被埋，应设法先切断电源，然后进行救援。</w:t>
      </w:r>
    </w:p>
    <w:p w14:paraId="1A33C831">
      <w:pPr>
        <w:ind w:firstLine="560"/>
      </w:pPr>
      <w:r>
        <w:t>5、及时疏散人群，并在危险区域设置明显的标志。</w:t>
      </w:r>
    </w:p>
    <w:p w14:paraId="4F93BC6B">
      <w:pPr>
        <w:ind w:firstLine="560"/>
      </w:pPr>
      <w:r>
        <w:t>6、调离危险区域内与救援工作无关的设备，防止再次事故发生。</w:t>
      </w:r>
    </w:p>
    <w:p w14:paraId="7C6C184B">
      <w:pPr>
        <w:pStyle w:val="4"/>
        <w:bidi w:val="0"/>
        <w:ind w:left="720" w:leftChars="0" w:hanging="720" w:firstLineChars="0"/>
      </w:pPr>
      <w:r>
        <w:t>物体打击应急处置措施</w:t>
      </w:r>
    </w:p>
    <w:p w14:paraId="59ECF273">
      <w:pPr>
        <w:ind w:firstLine="560"/>
      </w:pPr>
      <w:r>
        <w:t>1、施工区发生物体打击事故，最早发现事故的人迅速向应急领导小组报告，进一步了解事故伤害程度。</w:t>
      </w:r>
    </w:p>
    <w:p w14:paraId="721E13B2">
      <w:pPr>
        <w:ind w:firstLine="560"/>
      </w:pPr>
      <w:r>
        <w:t>2、及时疏散现场闲杂人员，并保护事故现场，同时避免其他人员靠近现场。</w:t>
      </w:r>
    </w:p>
    <w:p w14:paraId="06E67F6A">
      <w:pPr>
        <w:ind w:firstLine="560"/>
      </w:pPr>
      <w:r>
        <w:t>3、急救员立即通知现场应急小组组长，说明伤者受伤情况，并根据现场实际施行必要的医疗处理，在伤情允许情况下，抢救组负责组织人员搬运受伤人员，转移到安全地方。</w:t>
      </w:r>
    </w:p>
    <w:p w14:paraId="53B2C0C6">
      <w:pPr>
        <w:ind w:firstLine="560"/>
      </w:pPr>
      <w:r>
        <w:t>4、由组长根据汇报，决定是否拨打120医疗急救电话，并说明伤员情况，行车路线，快速联系项目部值班车到场，随时待命。</w:t>
      </w:r>
    </w:p>
    <w:p w14:paraId="0B9A5FC6">
      <w:pPr>
        <w:ind w:firstLine="560"/>
      </w:pPr>
      <w:r>
        <w:t>5、如果处在不宜施工的场所时必须将患者搬运到能够安全施救的地方，搬运时应尽量多找一些人来搬运，观察患者呼吸和脸色的变化，如果是脊柱骨折，不要弯曲、扭动患者的颈部和身体，不要接触患者的伤口，要使患者身体放松，尽量将患者放到担架或平板上进行搬运。</w:t>
      </w:r>
    </w:p>
    <w:p w14:paraId="3C58DB5D">
      <w:pPr>
        <w:pStyle w:val="4"/>
        <w:bidi w:val="0"/>
        <w:ind w:left="720" w:leftChars="0" w:hanging="720" w:firstLineChars="0"/>
      </w:pPr>
      <w:r>
        <w:t>触电应急处置措施</w:t>
      </w:r>
    </w:p>
    <w:p w14:paraId="37E44D9C">
      <w:pPr>
        <w:ind w:firstLine="560"/>
      </w:pPr>
      <w:r>
        <w:t>1、如果触电地点附近有电源开关或电源插销，可立即拉开开关拨出插销，断开电源，但应注意平时检查，防止单线开关断零而未断电源。</w:t>
      </w:r>
    </w:p>
    <w:p w14:paraId="4C8236CF">
      <w:pPr>
        <w:ind w:firstLine="560"/>
      </w:pPr>
      <w:r>
        <w:t>2、如果触电者附近没有电源开关或插销，可由电工用绝缘钳或有干燥木柄的斧头、立即切断电缆、断开电源。或用干燥木板等，绝缘物插到触电者身下，以隔离电源。</w:t>
      </w:r>
    </w:p>
    <w:p w14:paraId="3A7D7492">
      <w:pPr>
        <w:ind w:firstLine="560"/>
      </w:pPr>
      <w:r>
        <w:t>3、当电线搭落在触电者身上或压在身下时，用干燥的衣服，手套，绳索，木板，木棒等绝缘物作为工具，拉开触电者或拉开电线，使触电者脱离电源。切忌徒手抢救触电者。</w:t>
      </w:r>
    </w:p>
    <w:p w14:paraId="79EDE8EA">
      <w:pPr>
        <w:ind w:firstLine="560"/>
      </w:pPr>
      <w:r>
        <w:t>4、发生触电事故时，现场突发事件应急组织立即赶赴现场，由负责人安排抢险人员按进行现场抢险，由医疗急救组对触电者进行救治。</w:t>
      </w:r>
    </w:p>
    <w:p w14:paraId="370D5E15">
      <w:pPr>
        <w:pStyle w:val="4"/>
        <w:bidi w:val="0"/>
        <w:ind w:left="720" w:leftChars="0" w:hanging="720" w:firstLineChars="0"/>
      </w:pPr>
      <w:r>
        <w:t>车辆伤害应急处置措施</w:t>
      </w:r>
    </w:p>
    <w:p w14:paraId="16DF15E3">
      <w:pPr>
        <w:ind w:firstLine="560"/>
      </w:pPr>
      <w:r>
        <w:t>1、发生车辆倾翻事故时，应及时通知有关部门和维修单位维保人员到达现场，进行施救。当有人员被压埋在倾倒车下面或驾驶室内时，应立即采取千斤顶、起吊设备、切割等措施,将被压人员救出,在实施处置时，必须指定1名有经验的人员进行现场指挥,并采取警戒措施，防止车辆倾倒、挤压事故的再次发生。发生汽油、柴油等易燃易爆品和有毒物质泄漏时，应采取措施堵塞泄漏和冲释爆炸性物质或有毒物质混合浓度，避免发生爆炸或中毒事故。</w:t>
      </w:r>
    </w:p>
    <w:p w14:paraId="0757592B">
      <w:pPr>
        <w:ind w:firstLine="560"/>
      </w:pPr>
      <w:r>
        <w:t>2、发生火灾时，应采取措施救出被困在车厢内或驾驶室内无法逃生的人员，并应立即使机车熄火，防止电气火灾的蔓延扩大灭火时，应防止二氧化碳等中毒窒息事故的发生，发生汽油、柴油等易燃易爆品和有毒物质泄漏时，应采取措施堵塞泄漏和冲释爆炸性物质或有毒物质混合浓度，避免发生爆炸或中毒事故。</w:t>
      </w:r>
    </w:p>
    <w:p w14:paraId="3D0486D6">
      <w:pPr>
        <w:ind w:firstLine="560"/>
      </w:pPr>
      <w:r>
        <w:t>3、在救助行动中，救助人员应严格执行安全操作规程，配齐安全设施和防护工具，加强自我保护，确保抢救行动过程中的人身安全和财产安全。</w:t>
      </w:r>
    </w:p>
    <w:p w14:paraId="71B58CC4">
      <w:pPr>
        <w:ind w:firstLine="560"/>
      </w:pPr>
      <w:r>
        <w:t>4、车辆伤害事故发生后，采取车辆专业维修人员的一般救援措施，通过车辆专业维修人与对车辆的人工操作，完成救援活动。</w:t>
      </w:r>
    </w:p>
    <w:p w14:paraId="5CE630EA">
      <w:pPr>
        <w:pStyle w:val="4"/>
        <w:bidi w:val="0"/>
        <w:ind w:left="720" w:leftChars="0" w:hanging="720" w:firstLineChars="0"/>
      </w:pPr>
      <w:r>
        <w:t>机械伤害应急处置措施</w:t>
      </w:r>
    </w:p>
    <w:p w14:paraId="05EF68A3">
      <w:pPr>
        <w:ind w:firstLine="560"/>
      </w:pPr>
      <w:r>
        <w:t>1、遇有创伤性出血的伤员，应迅速包扎止血，使伤员保持头低脚高的卧位，并注意保暖。正确的现场止血处理措施：一般伤口小的止血，先用生理盐水冲洗伤口，涂上红汞水，然后盖上消毒纱布，用绷带较紧的包扎，来增强压力而达到止血，止血带止血，选择弹性好的橡皮管，橡皮带或三角巾、毛巾，带状布条等，上肢出血结扎在上臂上1/2处(靠近心脏位置)。下肢出血结扎在大脚上1/3处，结扎时，在止血带与皮肤之间垫上消毒纱布棉垫，每隔25～40分钟放松一次，每次放松0.5～1分钟。</w:t>
      </w:r>
    </w:p>
    <w:p w14:paraId="4C8DF0B5">
      <w:pPr>
        <w:ind w:firstLine="560"/>
      </w:pPr>
      <w:r>
        <w:t>2、动用最快的交通工具或其他措施，及时把伤者送往邻近医院抢救，运送途中应尽量减少颠簸。</w:t>
      </w:r>
    </w:p>
    <w:p w14:paraId="7C583222">
      <w:pPr>
        <w:ind w:firstLine="560"/>
      </w:pPr>
      <w:r>
        <w:t>3、消除不安全因素，如机械处于危险状态，应立即采用措施进行稳定，防止事故扩大，避免更大的人身伤害及财产损失。</w:t>
      </w:r>
    </w:p>
    <w:p w14:paraId="5E882F25">
      <w:pPr>
        <w:ind w:firstLine="560"/>
      </w:pPr>
      <w:r>
        <w:t>4、在不影响安全的前提下，切断机器的电源。</w:t>
      </w:r>
    </w:p>
    <w:p w14:paraId="298594C1">
      <w:pPr>
        <w:ind w:firstLine="560"/>
      </w:pPr>
      <w:r>
        <w:t>5、注意保护现场，因抢救伤员和防止事故扩大，需要移动现场物件时，应做出标志，拍照，详细记录和绘制事故现场图。</w:t>
      </w:r>
    </w:p>
    <w:p w14:paraId="04A882B0">
      <w:pPr>
        <w:pStyle w:val="4"/>
        <w:bidi w:val="0"/>
        <w:ind w:left="720" w:leftChars="0" w:hanging="720" w:firstLineChars="0"/>
      </w:pPr>
      <w:r>
        <w:t>火灾爆炸应急处置措施</w:t>
      </w:r>
    </w:p>
    <w:p w14:paraId="4FAA53DB">
      <w:pPr>
        <w:ind w:firstLine="560"/>
      </w:pPr>
      <w:r>
        <w:t>1、发生火情后，现场人员应保持冷静，明辨方向和火势大小，迅速使用起火现场的灭火器、消防栓等各种消防器材第一时间灭火，力争把火控制、扑灭在初期节段。同时呼喊周围人员参与到灭火和报警，并将事故报告给班组长或现场主管人员。</w:t>
      </w:r>
    </w:p>
    <w:p w14:paraId="545FE20F">
      <w:pPr>
        <w:ind w:firstLine="560"/>
      </w:pPr>
      <w:r>
        <w:t>2、现场人员断开着火区电源，现场安全负责人或班组长立即组织人员迅速展开初期火灾的扑救工作，切断易燃物输送源或迅速隔离易燃物等。</w:t>
      </w:r>
    </w:p>
    <w:p w14:paraId="7D7029B2">
      <w:pPr>
        <w:ind w:firstLine="560"/>
      </w:pPr>
      <w:r>
        <w:t>3、立即组织营救受害人员，组织撤离或者采取其他措施，保护危害区域的其他人，迅速控制危险火源。</w:t>
      </w:r>
    </w:p>
    <w:p w14:paraId="52FC801C">
      <w:pPr>
        <w:ind w:firstLine="560"/>
      </w:pPr>
      <w:r>
        <w:t>4、若衣服着火又不能及时扑灭时，应立即脱掉衣服，如来不及或无法脱掉应就地打滚，用身体压灭火种或就地用水灭火，切勿跑动。</w:t>
      </w:r>
    </w:p>
    <w:p w14:paraId="3BCB821F">
      <w:pPr>
        <w:ind w:firstLine="560"/>
      </w:pPr>
      <w:r>
        <w:t>5、发生爆炸事故时，现场负责人根据现场情况，立即致电“11</w:t>
      </w:r>
      <w:r>
        <w:rPr>
          <w:rFonts w:hint="eastAsia"/>
        </w:rPr>
        <w:t>0</w:t>
      </w:r>
      <w:r>
        <w:t>”和“120”急救中心，详细报告事发地址、人员伤害的情况和可能需要配合救援的设备。</w:t>
      </w:r>
    </w:p>
    <w:p w14:paraId="094BB1D6">
      <w:pPr>
        <w:ind w:firstLine="560"/>
      </w:pPr>
      <w:r>
        <w:t>6、根据爆炸后所产生的危险性，立即疏散人员和封锁事故现场。</w:t>
      </w:r>
    </w:p>
    <w:p w14:paraId="37F218AA">
      <w:pPr>
        <w:ind w:firstLine="560"/>
      </w:pPr>
      <w:r>
        <w:t>7、撤离爆炸现场附近的可燃物，避免火灾区域扩大。</w:t>
      </w:r>
    </w:p>
    <w:p w14:paraId="5DA8F4E4">
      <w:pPr>
        <w:ind w:firstLine="560"/>
      </w:pPr>
      <w:r>
        <w:t>8、做好事故现场的清理和恢复工作，防止次生或滋生的事故。</w:t>
      </w:r>
    </w:p>
    <w:p w14:paraId="35C7C571">
      <w:pPr>
        <w:pStyle w:val="4"/>
        <w:bidi w:val="0"/>
        <w:ind w:left="720" w:leftChars="0" w:hanging="720" w:firstLineChars="0"/>
      </w:pPr>
      <w:r>
        <w:t>恶劣天气应急处置措施</w:t>
      </w:r>
    </w:p>
    <w:p w14:paraId="4BEE4822">
      <w:pPr>
        <w:ind w:firstLine="560"/>
      </w:pPr>
      <w:r>
        <w:t>为保证施工机械、设备和人员的安全，确保现场施工能顺利进行，雷电雨</w:t>
      </w:r>
      <w:r>
        <w:rPr>
          <w:rFonts w:hint="eastAsia"/>
        </w:rPr>
        <w:t>台风</w:t>
      </w:r>
      <w:r>
        <w:t>天气应采取下列应急措施：</w:t>
      </w:r>
    </w:p>
    <w:p w14:paraId="0F521027">
      <w:pPr>
        <w:ind w:firstLine="560"/>
      </w:pPr>
      <w:r>
        <w:t>1、突遇恶劣雷电天气时，现场组织施工作业人员转移到安全区域。</w:t>
      </w:r>
    </w:p>
    <w:p w14:paraId="5A426CCD">
      <w:pPr>
        <w:ind w:firstLine="560"/>
      </w:pPr>
      <w:r>
        <w:t>2、注意观察是否出现雷电导致施工现场发生火灾、设备损坏和人员伤亡。</w:t>
      </w:r>
    </w:p>
    <w:p w14:paraId="4154DCFF">
      <w:pPr>
        <w:ind w:firstLine="560"/>
      </w:pPr>
      <w:r>
        <w:t>3、应注意各工点的施工情况，遇异常情况应及时向应急领导小组汇报。</w:t>
      </w:r>
    </w:p>
    <w:p w14:paraId="5DA97362">
      <w:pPr>
        <w:ind w:firstLine="560"/>
        <w:rPr>
          <w:rFonts w:hint="eastAsia" w:eastAsia="仿宋"/>
          <w:lang w:val="en-US" w:eastAsia="zh-CN"/>
        </w:rPr>
      </w:pPr>
      <w:r>
        <w:rPr>
          <w:rFonts w:hint="eastAsia"/>
          <w:lang w:val="en-US" w:eastAsia="zh-CN"/>
        </w:rPr>
        <w:t>4、恶劣天气或夜间严禁进行塔式起重机安拆或吊装作业</w:t>
      </w:r>
    </w:p>
    <w:p w14:paraId="6FAF0B62">
      <w:pPr>
        <w:pStyle w:val="3"/>
        <w:bidi w:val="0"/>
        <w:ind w:left="575" w:leftChars="0" w:hanging="575" w:firstLineChars="0"/>
        <w:rPr>
          <w:lang w:val="zh-CN"/>
        </w:rPr>
      </w:pPr>
      <w:bookmarkStart w:id="601" w:name="_Toc28461"/>
      <w:bookmarkStart w:id="602" w:name="_Toc19736"/>
      <w:bookmarkStart w:id="603" w:name="_Toc18473"/>
      <w:bookmarkStart w:id="604" w:name="_Toc816"/>
      <w:bookmarkStart w:id="605" w:name="_Toc10246"/>
      <w:bookmarkStart w:id="606" w:name="_Toc17569"/>
      <w:bookmarkStart w:id="607" w:name="_Toc5166"/>
      <w:bookmarkStart w:id="608" w:name="_Toc31662"/>
      <w:r>
        <w:rPr>
          <w:lang w:val="zh-CN"/>
        </w:rPr>
        <w:t>应急响应</w:t>
      </w:r>
      <w:bookmarkEnd w:id="597"/>
      <w:bookmarkEnd w:id="598"/>
      <w:bookmarkEnd w:id="599"/>
      <w:bookmarkEnd w:id="600"/>
      <w:bookmarkEnd w:id="601"/>
      <w:bookmarkEnd w:id="602"/>
      <w:bookmarkEnd w:id="603"/>
      <w:bookmarkEnd w:id="604"/>
      <w:bookmarkEnd w:id="605"/>
      <w:bookmarkEnd w:id="606"/>
      <w:bookmarkEnd w:id="607"/>
      <w:bookmarkEnd w:id="608"/>
    </w:p>
    <w:p w14:paraId="2954AC42">
      <w:pPr>
        <w:ind w:firstLine="560"/>
        <w:rPr>
          <w:szCs w:val="24"/>
          <w:lang w:val="zh-CN"/>
        </w:rPr>
      </w:pPr>
      <w:r>
        <w:rPr>
          <w:szCs w:val="24"/>
          <w:lang w:val="zh-CN"/>
        </w:rPr>
        <w:t>施工过程中施工现场或驻地发生无法预料的需要紧急抢救处理的危险时，应迅速逐级上报，次序为现场、办公室、抢险领导小组、上级主管部门。由项目部</w:t>
      </w:r>
      <w:r>
        <w:rPr>
          <w:rFonts w:hint="eastAsia"/>
          <w:szCs w:val="24"/>
          <w:lang w:val="zh-CN"/>
        </w:rPr>
        <w:t>安环</w:t>
      </w:r>
      <w:r>
        <w:rPr>
          <w:szCs w:val="24"/>
          <w:lang w:val="zh-CN"/>
        </w:rPr>
        <w:t>部收集、记录、整理紧急情况信息并向小组及时传递，由小组组长或副组长主持紧急情况处理会议，协调、派遣和统一指挥所有车辆、设备、人员、物资等实施紧急抢救和向上级汇报。</w:t>
      </w:r>
    </w:p>
    <w:p w14:paraId="30612AFB">
      <w:pPr>
        <w:spacing w:line="240" w:lineRule="auto"/>
        <w:ind w:firstLine="560"/>
        <w:jc w:val="center"/>
        <w:rPr>
          <w:szCs w:val="24"/>
          <w:lang w:val="zh-CN"/>
        </w:rPr>
      </w:pPr>
      <w:r>
        <w:drawing>
          <wp:inline distT="0" distB="0" distL="114300" distR="114300">
            <wp:extent cx="4418965" cy="3280410"/>
            <wp:effectExtent l="0" t="0" r="635" b="11430"/>
            <wp:docPr id="228" name="Picture 28" descr="QQ截图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8" descr="QQ截图未命名"/>
                    <pic:cNvPicPr>
                      <a:picLocks noChangeAspect="1"/>
                    </pic:cNvPicPr>
                  </pic:nvPicPr>
                  <pic:blipFill>
                    <a:blip r:embed="rId166"/>
                    <a:stretch>
                      <a:fillRect/>
                    </a:stretch>
                  </pic:blipFill>
                  <pic:spPr>
                    <a:xfrm>
                      <a:off x="0" y="0"/>
                      <a:ext cx="4418965" cy="3280410"/>
                    </a:xfrm>
                    <a:prstGeom prst="rect">
                      <a:avLst/>
                    </a:prstGeom>
                    <a:noFill/>
                    <a:ln>
                      <a:noFill/>
                    </a:ln>
                  </pic:spPr>
                </pic:pic>
              </a:graphicData>
            </a:graphic>
          </wp:inline>
        </w:drawing>
      </w:r>
    </w:p>
    <w:p w14:paraId="1ABAB235">
      <w:pPr>
        <w:ind w:firstLine="560"/>
        <w:rPr>
          <w:szCs w:val="24"/>
          <w:lang w:val="zh-CN"/>
        </w:rPr>
      </w:pPr>
      <w:r>
        <w:rPr>
          <w:szCs w:val="24"/>
          <w:lang w:val="zh-CN"/>
        </w:rPr>
        <w:t>（1）紧急情况发生后，现场要做好警戒和疏散工作，保护现场，及时抢救伤员和财产，并由在现场的项目部最高级别负责人指挥，在3分钟内电话通报到值班人员，主要说明紧急情况性质、地点、发生时间、有无伤亡、是否需要派救护车、消防车或警力支援到现场实施抢救，如需可直接拨打120、110等求救电话。</w:t>
      </w:r>
    </w:p>
    <w:p w14:paraId="075358A0">
      <w:pPr>
        <w:ind w:firstLine="560"/>
        <w:rPr>
          <w:szCs w:val="24"/>
          <w:lang w:val="zh-CN"/>
        </w:rPr>
      </w:pPr>
      <w:r>
        <w:rPr>
          <w:szCs w:val="24"/>
          <w:lang w:val="zh-CN"/>
        </w:rPr>
        <w:t>（2）值班人员在接到紧急情况报告后必须在2分钟内将情况报告到紧急情况领导小组组长和副组长。小组组长组织讨论后在最短的时间内发出如何进行现场处置的指令。分派人员车辆等到现场进行抢救、警戒、疏散和保护现场等。由项目部安质部在30分钟内以小组名义打电话向上一级有关部门报告。</w:t>
      </w:r>
    </w:p>
    <w:p w14:paraId="237B9C89">
      <w:pPr>
        <w:ind w:firstLine="560"/>
        <w:rPr>
          <w:szCs w:val="24"/>
          <w:lang w:val="zh-CN"/>
        </w:rPr>
      </w:pPr>
      <w:r>
        <w:rPr>
          <w:szCs w:val="24"/>
          <w:lang w:val="zh-CN"/>
        </w:rPr>
        <w:t>（3）遇到紧急情况，全体职工应特事特办、急事急办，主动积极地投身到紧急情况的处理中去。各种设备、车辆、器材、物资等应统一调遣，各类人员必须坚决无条件服从组长或副组长的命令和安排，不得拖延、推诿、阻碍紧急情况的处理。</w:t>
      </w:r>
      <w:bookmarkStart w:id="609" w:name="_Toc28668"/>
      <w:bookmarkStart w:id="610" w:name="_Toc10402"/>
      <w:bookmarkStart w:id="611" w:name="_Toc11266"/>
    </w:p>
    <w:p w14:paraId="58310644">
      <w:pPr>
        <w:pStyle w:val="3"/>
        <w:bidi w:val="0"/>
        <w:ind w:left="575" w:leftChars="0" w:hanging="575" w:firstLineChars="0"/>
      </w:pPr>
      <w:bookmarkStart w:id="612" w:name="_Toc8422"/>
      <w:bookmarkStart w:id="613" w:name="_Toc26436"/>
      <w:bookmarkStart w:id="614" w:name="_Toc28731"/>
      <w:bookmarkStart w:id="615" w:name="_Toc28566"/>
      <w:bookmarkStart w:id="616" w:name="_Toc7514"/>
      <w:bookmarkStart w:id="617" w:name="_Toc1391"/>
      <w:bookmarkStart w:id="618" w:name="_Toc12964"/>
      <w:bookmarkStart w:id="619" w:name="_Toc6213"/>
      <w:bookmarkStart w:id="620" w:name="_Toc29083"/>
      <w:r>
        <w:rPr>
          <w:lang w:val="zh-CN"/>
        </w:rPr>
        <w:t>应急电话</w:t>
      </w:r>
      <w:bookmarkEnd w:id="609"/>
      <w:bookmarkEnd w:id="610"/>
      <w:bookmarkEnd w:id="611"/>
      <w:bookmarkEnd w:id="612"/>
      <w:bookmarkEnd w:id="613"/>
      <w:bookmarkEnd w:id="614"/>
      <w:bookmarkEnd w:id="615"/>
      <w:bookmarkEnd w:id="616"/>
      <w:bookmarkEnd w:id="617"/>
      <w:bookmarkEnd w:id="618"/>
      <w:bookmarkEnd w:id="619"/>
      <w:bookmarkEnd w:id="620"/>
    </w:p>
    <w:p w14:paraId="6BCA3804">
      <w:pPr>
        <w:autoSpaceDE w:val="0"/>
        <w:autoSpaceDN w:val="0"/>
        <w:adjustRightInd w:val="0"/>
        <w:ind w:firstLine="560"/>
        <w:rPr>
          <w:szCs w:val="24"/>
          <w:lang w:val="zh-CN"/>
        </w:rPr>
      </w:pPr>
      <w:r>
        <w:rPr>
          <w:szCs w:val="24"/>
          <w:lang w:val="zh-CN"/>
        </w:rPr>
        <w:t>火警电话：11</w:t>
      </w:r>
      <w:r>
        <w:rPr>
          <w:rFonts w:hint="eastAsia"/>
          <w:szCs w:val="24"/>
        </w:rPr>
        <w:t>9</w:t>
      </w:r>
      <w:r>
        <w:rPr>
          <w:szCs w:val="24"/>
          <w:lang w:val="zh-CN"/>
        </w:rPr>
        <w:t xml:space="preserve"> 医疗救护：120</w:t>
      </w:r>
    </w:p>
    <w:p w14:paraId="47D3DF13">
      <w:pPr>
        <w:autoSpaceDE w:val="0"/>
        <w:autoSpaceDN w:val="0"/>
        <w:adjustRightInd w:val="0"/>
        <w:ind w:firstLine="560"/>
        <w:rPr>
          <w:lang w:val="zh-CN"/>
        </w:rPr>
      </w:pPr>
      <w:r>
        <w:rPr>
          <w:lang w:val="zh-CN"/>
        </w:rPr>
        <w:t>交通报警电话：122  匪警电话：110</w:t>
      </w:r>
    </w:p>
    <w:p w14:paraId="2621ABDA">
      <w:pPr>
        <w:pStyle w:val="15"/>
        <w:ind w:firstLine="560"/>
        <w:rPr>
          <w:rFonts w:hint="default" w:ascii="Times New Roman" w:hAnsi="Times New Roman"/>
          <w:szCs w:val="24"/>
          <w:lang w:val="zh-CN"/>
        </w:rPr>
      </w:pPr>
    </w:p>
    <w:p w14:paraId="74CA9CC3">
      <w:pPr>
        <w:ind w:firstLine="560"/>
        <w:rPr>
          <w:szCs w:val="24"/>
          <w:lang w:val="zh-CN"/>
        </w:rPr>
      </w:pPr>
    </w:p>
    <w:p w14:paraId="1BECEB7D">
      <w:pPr>
        <w:pStyle w:val="15"/>
        <w:ind w:firstLine="560"/>
        <w:rPr>
          <w:rFonts w:hint="default" w:ascii="Times New Roman" w:hAnsi="Times New Roman"/>
          <w:szCs w:val="24"/>
          <w:lang w:val="zh-CN"/>
        </w:rPr>
      </w:pPr>
    </w:p>
    <w:bookmarkEnd w:id="528"/>
    <w:bookmarkEnd w:id="544"/>
    <w:bookmarkEnd w:id="545"/>
    <w:bookmarkEnd w:id="546"/>
    <w:bookmarkEnd w:id="547"/>
    <w:bookmarkEnd w:id="548"/>
    <w:bookmarkEnd w:id="549"/>
    <w:bookmarkEnd w:id="550"/>
    <w:bookmarkEnd w:id="551"/>
    <w:bookmarkEnd w:id="552"/>
    <w:bookmarkEnd w:id="553"/>
    <w:bookmarkEnd w:id="554"/>
    <w:bookmarkEnd w:id="555"/>
    <w:bookmarkEnd w:id="556"/>
    <w:p w14:paraId="513C41CC">
      <w:pPr>
        <w:pStyle w:val="3"/>
        <w:numPr>
          <w:numId w:val="0"/>
        </w:numPr>
        <w:bidi w:val="0"/>
        <w:ind w:leftChars="0"/>
        <w:rPr>
          <w:rFonts w:hint="default"/>
        </w:rPr>
      </w:pPr>
      <w:bookmarkStart w:id="621" w:name="_GoBack"/>
      <w:bookmarkEnd w:id="621"/>
    </w:p>
    <w:sectPr>
      <w:headerReference r:id="rId5" w:type="default"/>
      <w:footerReference r:id="rId6" w:type="default"/>
      <w:pgSz w:w="11906" w:h="16838"/>
      <w:pgMar w:top="1417" w:right="1304" w:bottom="1417" w:left="1587" w:header="850" w:footer="992" w:gutter="0"/>
      <w:pgNumType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51AE8C7-CDDA-4802-8EAD-E1D9E4EFD686}"/>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2" w:fontKey="{50C2196A-06E8-484B-97A1-8DAC1DB66609}"/>
  </w:font>
  <w:font w:name="仿宋">
    <w:panose1 w:val="02010609060101010101"/>
    <w:charset w:val="86"/>
    <w:family w:val="modern"/>
    <w:pitch w:val="default"/>
    <w:sig w:usb0="800002BF" w:usb1="38CF7CFA" w:usb2="00000016" w:usb3="00000000" w:csb0="00040001" w:csb1="00000000"/>
    <w:embedRegular r:id="rId3" w:fontKey="{AC255C45-37A5-45E3-A013-F370ED2DA337}"/>
  </w:font>
  <w:font w:name="Cambria">
    <w:panose1 w:val="02040503050406030204"/>
    <w:charset w:val="00"/>
    <w:family w:val="roman"/>
    <w:pitch w:val="default"/>
    <w:sig w:usb0="E00002FF" w:usb1="400004FF" w:usb2="00000000" w:usb3="00000000" w:csb0="2000019F" w:csb1="00000000"/>
    <w:embedRegular r:id="rId4" w:fontKey="{F98E28CE-820D-48DB-9822-CD47A45F0A18}"/>
  </w:font>
  <w:font w:name="等线">
    <w:altName w:val="微软雅黑"/>
    <w:panose1 w:val="02010600030101010101"/>
    <w:charset w:val="86"/>
    <w:family w:val="auto"/>
    <w:pitch w:val="default"/>
    <w:sig w:usb0="00000000" w:usb1="00000000" w:usb2="00000016" w:usb3="00000000" w:csb0="0004000F" w:csb1="00000000"/>
  </w:font>
  <w:font w:name="方正小标宋简体">
    <w:altName w:val="仿宋_GB2312"/>
    <w:panose1 w:val="02000000000000000000"/>
    <w:charset w:val="86"/>
    <w:family w:val="script"/>
    <w:pitch w:val="default"/>
    <w:sig w:usb0="00000000" w:usb1="0000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5" w:fontKey="{2E349652-B23C-45F6-867D-A3559511E860}"/>
  </w:font>
  <w:font w:name="Dutch801 Rm BT">
    <w:altName w:val="Times New Roman"/>
    <w:panose1 w:val="02020603060505020304"/>
    <w:charset w:val="00"/>
    <w:family w:val="roman"/>
    <w:pitch w:val="default"/>
    <w:sig w:usb0="00000000" w:usb1="00000000" w:usb2="00000000" w:usb3="00000000" w:csb0="00000000" w:csb1="00000000"/>
  </w:font>
  <w:font w:name="Cambria Math">
    <w:panose1 w:val="02040503050406030204"/>
    <w:charset w:val="00"/>
    <w:family w:val="auto"/>
    <w:pitch w:val="default"/>
    <w:sig w:usb0="E00002FF" w:usb1="420024FF" w:usb2="00000000" w:usb3="00000000" w:csb0="2000019F" w:csb1="00000000"/>
    <w:embedRegular r:id="rId6" w:fontKey="{1EF40AC7-A2C2-43E4-B37E-45A407E77D44}"/>
  </w:font>
  <w:font w:name="Tahoma">
    <w:panose1 w:val="020B0604030504040204"/>
    <w:charset w:val="00"/>
    <w:family w:val="swiss"/>
    <w:pitch w:val="default"/>
    <w:sig w:usb0="E1002EFF" w:usb1="C000605B" w:usb2="00000029" w:usb3="00000000" w:csb0="200101FF" w:csb1="20280000"/>
    <w:embedRegular r:id="rId7" w:fontKey="{1A09640C-B67F-43A5-B5CE-7D41B30289C7}"/>
  </w:font>
  <w:font w:name="微软雅黑">
    <w:panose1 w:val="020B0503020204020204"/>
    <w:charset w:val="86"/>
    <w:family w:val="swiss"/>
    <w:pitch w:val="default"/>
    <w:sig w:usb0="80000287" w:usb1="280F3C52" w:usb2="00000016" w:usb3="00000000" w:csb0="0004001F" w:csb1="00000000"/>
    <w:embedRegular r:id="rId8" w:fontKey="{798BF694-C704-4865-8A4E-42D71A6F47D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017EA">
    <w:pPr>
      <w:pStyle w:val="29"/>
    </w:pPr>
    <w:r>
      <mc:AlternateContent>
        <mc:Choice Requires="wps">
          <w:drawing>
            <wp:anchor distT="0" distB="0" distL="114300" distR="114300" simplePos="0" relativeHeight="251659264" behindDoc="0" locked="0" layoutInCell="1" allowOverlap="1">
              <wp:simplePos x="0" y="0"/>
              <wp:positionH relativeFrom="margin">
                <wp:posOffset>2714625</wp:posOffset>
              </wp:positionH>
              <wp:positionV relativeFrom="paragraph">
                <wp:posOffset>-1905</wp:posOffset>
              </wp:positionV>
              <wp:extent cx="685800" cy="5334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685800" cy="533400"/>
                      </a:xfrm>
                      <a:prstGeom prst="rect">
                        <a:avLst/>
                      </a:prstGeom>
                      <a:noFill/>
                      <a:ln w="6350">
                        <a:noFill/>
                      </a:ln>
                      <a:effectLst/>
                    </wps:spPr>
                    <wps:txbx>
                      <w:txbxContent>
                        <w:sdt>
                          <w:sdtPr>
                            <w:id w:val="-2017679504"/>
                          </w:sdtPr>
                          <w:sdtContent>
                            <w:p w14:paraId="17641CC0">
                              <w:pPr>
                                <w:pStyle w:val="29"/>
                              </w:pPr>
                              <w:r>
                                <w:fldChar w:fldCharType="begin"/>
                              </w:r>
                              <w:r>
                                <w:instrText xml:space="preserve">PAGE   \* MERGEFORMAT</w:instrText>
                              </w:r>
                              <w:r>
                                <w:fldChar w:fldCharType="separate"/>
                              </w:r>
                              <w:r>
                                <w:rPr>
                                  <w:lang w:val="zh-CN"/>
                                </w:rPr>
                                <w:t>36</w:t>
                              </w:r>
                              <w:r>
                                <w:rPr>
                                  <w:lang w:val="zh-CN"/>
                                </w:rPr>
                                <w:fldChar w:fldCharType="end"/>
                              </w:r>
                            </w:p>
                          </w:sdtContent>
                        </w:sdt>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13.75pt;margin-top:-0.15pt;height:42pt;width:54pt;mso-position-horizontal-relative:margin;z-index:251659264;mso-width-relative:page;mso-height-relative:page;" filled="f" stroked="f" coordsize="21600,21600" o:gfxdata="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MzfWV1wAAAAgBAAAPAAAAAAAAAAEAIAAAACIAAABkcnMvZG93bnJl&#10;di54bWxQSwECFAAUAAAACACHTuJAKwxx1jcCAABlBAAADgAAAAAAAAABACAAAAAmAQAAZHJzL2Uy&#10;b0RvYy54bWxQSwUGAAAAAAYABgBZAQAAzwUAAAAA&#10;">
              <v:fill on="f" focussize="0,0"/>
              <v:stroke on="f" weight="0.5pt"/>
              <v:imagedata o:title=""/>
              <o:lock v:ext="edit" aspectratio="f"/>
              <v:textbox inset="0mm,0mm,0mm,0mm">
                <w:txbxContent>
                  <w:sdt>
                    <w:sdtPr>
                      <w:id w:val="-2017679504"/>
                    </w:sdtPr>
                    <w:sdtContent>
                      <w:p w14:paraId="17641CC0">
                        <w:pPr>
                          <w:pStyle w:val="29"/>
                        </w:pPr>
                        <w:r>
                          <w:fldChar w:fldCharType="begin"/>
                        </w:r>
                        <w:r>
                          <w:instrText xml:space="preserve">PAGE   \* MERGEFORMAT</w:instrText>
                        </w:r>
                        <w:r>
                          <w:fldChar w:fldCharType="separate"/>
                        </w:r>
                        <w:r>
                          <w:rPr>
                            <w:lang w:val="zh-CN"/>
                          </w:rPr>
                          <w:t>36</w:t>
                        </w:r>
                        <w:r>
                          <w:rPr>
                            <w:lang w:val="zh-CN"/>
                          </w:rPr>
                          <w:fldChar w:fldCharType="end"/>
                        </w:r>
                      </w:p>
                    </w:sdtContent>
                  </w:sdt>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9EC71D">
    <w:pPr>
      <w:pStyle w:val="30"/>
      <w:pBdr>
        <w:bottom w:val="none" w:color="auto" w:sz="0"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BDE8E9"/>
    <w:multiLevelType w:val="singleLevel"/>
    <w:tmpl w:val="80BDE8E9"/>
    <w:lvl w:ilvl="0" w:tentative="0">
      <w:start w:val="1"/>
      <w:numFmt w:val="decimal"/>
      <w:suff w:val="nothing"/>
      <w:lvlText w:val="%1、"/>
      <w:lvlJc w:val="left"/>
    </w:lvl>
  </w:abstractNum>
  <w:abstractNum w:abstractNumId="1">
    <w:nsid w:val="8155EB9A"/>
    <w:multiLevelType w:val="multilevel"/>
    <w:tmpl w:val="8155EB9A"/>
    <w:lvl w:ilvl="0" w:tentative="0">
      <w:start w:val="1"/>
      <w:numFmt w:val="chineseCounting"/>
      <w:pStyle w:val="2"/>
      <w:suff w:val="nothing"/>
      <w:lvlText w:val="第%1章 "/>
      <w:lvlJc w:val="left"/>
      <w:pPr>
        <w:ind w:left="432" w:hanging="432"/>
      </w:pPr>
      <w:rPr>
        <w:rFonts w:hint="eastAsia"/>
      </w:rPr>
    </w:lvl>
    <w:lvl w:ilvl="1" w:tentative="0">
      <w:start w:val="1"/>
      <w:numFmt w:val="decimal"/>
      <w:pStyle w:val="3"/>
      <w:isLgl/>
      <w:suff w:val="nothing"/>
      <w:lvlText w:val="%1.%2."/>
      <w:lvlJc w:val="left"/>
      <w:pPr>
        <w:ind w:left="575" w:hanging="575"/>
      </w:pPr>
      <w:rPr>
        <w:rFonts w:hint="eastAsia"/>
      </w:rPr>
    </w:lvl>
    <w:lvl w:ilvl="2" w:tentative="0">
      <w:start w:val="1"/>
      <w:numFmt w:val="decimal"/>
      <w:pStyle w:val="4"/>
      <w:isLgl/>
      <w:lvlText w:val="%1.%2.%3."/>
      <w:lvlJc w:val="left"/>
      <w:pPr>
        <w:ind w:left="720" w:hanging="720"/>
      </w:pPr>
      <w:rPr>
        <w:rFonts w:hint="eastAsia"/>
      </w:rPr>
    </w:lvl>
    <w:lvl w:ilvl="3" w:tentative="0">
      <w:start w:val="1"/>
      <w:numFmt w:val="decimal"/>
      <w:pStyle w:val="5"/>
      <w:isLgl/>
      <w:suff w:val="space"/>
      <w:lvlText w:val="%1.%2.%3.%4."/>
      <w:lvlJc w:val="left"/>
      <w:pPr>
        <w:ind w:left="864" w:hanging="864"/>
      </w:pPr>
      <w:rPr>
        <w:rFonts w:hint="eastAsia"/>
      </w:rPr>
    </w:lvl>
    <w:lvl w:ilvl="4" w:tentative="0">
      <w:start w:val="1"/>
      <w:numFmt w:val="decimal"/>
      <w:pStyle w:val="7"/>
      <w:isLgl/>
      <w:lvlText w:val="%1.%2.%3.%4.%5."/>
      <w:lvlJc w:val="left"/>
      <w:pPr>
        <w:ind w:left="1008" w:hanging="1008"/>
      </w:pPr>
      <w:rPr>
        <w:rFonts w:hint="eastAsia"/>
      </w:rPr>
    </w:lvl>
    <w:lvl w:ilvl="5" w:tentative="0">
      <w:start w:val="1"/>
      <w:numFmt w:val="decimal"/>
      <w:pStyle w:val="8"/>
      <w:isLgl/>
      <w:lvlText w:val="%1.%2.%3.%4.%5.%6."/>
      <w:lvlJc w:val="left"/>
      <w:pPr>
        <w:ind w:left="1151" w:hanging="1151"/>
      </w:pPr>
      <w:rPr>
        <w:rFonts w:hint="eastAsia"/>
      </w:rPr>
    </w:lvl>
    <w:lvl w:ilvl="6" w:tentative="0">
      <w:start w:val="1"/>
      <w:numFmt w:val="decimal"/>
      <w:pStyle w:val="9"/>
      <w:isLgl/>
      <w:lvlText w:val="%1.%2.%3.%4.%5.%6.%7."/>
      <w:lvlJc w:val="left"/>
      <w:pPr>
        <w:ind w:left="1296" w:hanging="1296"/>
      </w:pPr>
      <w:rPr>
        <w:rFonts w:hint="eastAsia"/>
      </w:rPr>
    </w:lvl>
    <w:lvl w:ilvl="7" w:tentative="0">
      <w:start w:val="1"/>
      <w:numFmt w:val="decimal"/>
      <w:pStyle w:val="10"/>
      <w:isLgl/>
      <w:lvlText w:val="%1.%2.%3.%4.%5.%6.%7.%8."/>
      <w:lvlJc w:val="left"/>
      <w:pPr>
        <w:ind w:left="1440" w:hanging="1440"/>
      </w:pPr>
      <w:rPr>
        <w:rFonts w:hint="eastAsia"/>
      </w:rPr>
    </w:lvl>
    <w:lvl w:ilvl="8" w:tentative="0">
      <w:start w:val="1"/>
      <w:numFmt w:val="decimal"/>
      <w:pStyle w:val="11"/>
      <w:isLgl/>
      <w:lvlText w:val="%1.%2.%3.%4.%5.%6.%7.%8.%9."/>
      <w:lvlJc w:val="left"/>
      <w:pPr>
        <w:ind w:left="1583" w:hanging="1583"/>
      </w:pPr>
      <w:rPr>
        <w:rFonts w:hint="eastAsia"/>
      </w:rPr>
    </w:lvl>
  </w:abstractNum>
  <w:abstractNum w:abstractNumId="2">
    <w:nsid w:val="8BC4EC0C"/>
    <w:multiLevelType w:val="singleLevel"/>
    <w:tmpl w:val="8BC4EC0C"/>
    <w:lvl w:ilvl="0" w:tentative="0">
      <w:start w:val="1"/>
      <w:numFmt w:val="decimal"/>
      <w:suff w:val="nothing"/>
      <w:lvlText w:val="%1"/>
      <w:lvlJc w:val="left"/>
      <w:pPr>
        <w:ind w:left="425" w:leftChars="0" w:hanging="425" w:firstLineChars="0"/>
      </w:pPr>
      <w:rPr>
        <w:rFonts w:hint="default"/>
      </w:rPr>
    </w:lvl>
  </w:abstractNum>
  <w:abstractNum w:abstractNumId="3">
    <w:nsid w:val="97CC510F"/>
    <w:multiLevelType w:val="singleLevel"/>
    <w:tmpl w:val="97CC510F"/>
    <w:lvl w:ilvl="0" w:tentative="0">
      <w:start w:val="1"/>
      <w:numFmt w:val="decimal"/>
      <w:suff w:val="nothing"/>
      <w:lvlText w:val="%1"/>
      <w:lvlJc w:val="left"/>
      <w:pPr>
        <w:ind w:left="0" w:leftChars="0" w:firstLine="0" w:firstLineChars="0"/>
      </w:pPr>
      <w:rPr>
        <w:rFonts w:hint="default"/>
      </w:rPr>
    </w:lvl>
  </w:abstractNum>
  <w:abstractNum w:abstractNumId="4">
    <w:nsid w:val="E9B52FF4"/>
    <w:multiLevelType w:val="singleLevel"/>
    <w:tmpl w:val="E9B52FF4"/>
    <w:lvl w:ilvl="0" w:tentative="0">
      <w:start w:val="1"/>
      <w:numFmt w:val="decimal"/>
      <w:lvlText w:val="[%1]"/>
      <w:lvlJc w:val="left"/>
      <w:pPr>
        <w:tabs>
          <w:tab w:val="left" w:pos="420"/>
        </w:tabs>
        <w:ind w:left="425" w:leftChars="0" w:hanging="425" w:firstLineChars="0"/>
      </w:pPr>
      <w:rPr>
        <w:rFonts w:hint="default"/>
      </w:rPr>
    </w:lvl>
  </w:abstractNum>
  <w:abstractNum w:abstractNumId="5">
    <w:nsid w:val="FBD9EEC9"/>
    <w:multiLevelType w:val="singleLevel"/>
    <w:tmpl w:val="FBD9EEC9"/>
    <w:lvl w:ilvl="0" w:tentative="0">
      <w:start w:val="1"/>
      <w:numFmt w:val="decimal"/>
      <w:lvlText w:val="%1)"/>
      <w:lvlJc w:val="left"/>
      <w:pPr>
        <w:ind w:left="425" w:hanging="425"/>
      </w:pPr>
      <w:rPr>
        <w:rFonts w:hint="default"/>
      </w:rPr>
    </w:lvl>
  </w:abstractNum>
  <w:abstractNum w:abstractNumId="6">
    <w:nsid w:val="109E9A60"/>
    <w:multiLevelType w:val="singleLevel"/>
    <w:tmpl w:val="109E9A60"/>
    <w:lvl w:ilvl="0" w:tentative="0">
      <w:start w:val="1"/>
      <w:numFmt w:val="decimal"/>
      <w:lvlText w:val="(%1)"/>
      <w:lvlJc w:val="left"/>
      <w:pPr>
        <w:ind w:left="425" w:hanging="425"/>
      </w:pPr>
      <w:rPr>
        <w:rFonts w:hint="default"/>
      </w:rPr>
    </w:lvl>
  </w:abstractNum>
  <w:abstractNum w:abstractNumId="7">
    <w:nsid w:val="1FC6B92C"/>
    <w:multiLevelType w:val="singleLevel"/>
    <w:tmpl w:val="1FC6B92C"/>
    <w:lvl w:ilvl="0" w:tentative="0">
      <w:start w:val="1"/>
      <w:numFmt w:val="decimal"/>
      <w:suff w:val="nothing"/>
      <w:lvlText w:val="（%1）"/>
      <w:lvlJc w:val="left"/>
    </w:lvl>
  </w:abstractNum>
  <w:abstractNum w:abstractNumId="8">
    <w:nsid w:val="22303B1A"/>
    <w:multiLevelType w:val="multilevel"/>
    <w:tmpl w:val="22303B1A"/>
    <w:lvl w:ilvl="0" w:tentative="0">
      <w:start w:val="1"/>
      <w:numFmt w:val="decimal"/>
      <w:lvlText w:val="%1."/>
      <w:lvlJc w:val="left"/>
      <w:pPr>
        <w:ind w:left="425" w:hanging="425"/>
      </w:pPr>
      <w:rPr>
        <w:rFonts w:hint="eastAsia"/>
      </w:rPr>
    </w:lvl>
    <w:lvl w:ilvl="1" w:tentative="0">
      <w:start w:val="1"/>
      <w:numFmt w:val="decimal"/>
      <w:lvlText w:val="%1.%2."/>
      <w:lvlJc w:val="left"/>
      <w:pPr>
        <w:ind w:left="284" w:firstLine="0"/>
      </w:pPr>
      <w:rPr>
        <w:rFonts w:hint="eastAsia"/>
      </w:rPr>
    </w:lvl>
    <w:lvl w:ilvl="2" w:tentative="0">
      <w:start w:val="1"/>
      <w:numFmt w:val="decimal"/>
      <w:pStyle w:val="164"/>
      <w:lvlText w:val="%1.%2.%3."/>
      <w:lvlJc w:val="left"/>
      <w:pPr>
        <w:ind w:left="993"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9">
    <w:nsid w:val="2C1E2400"/>
    <w:multiLevelType w:val="multilevel"/>
    <w:tmpl w:val="2C1E2400"/>
    <w:lvl w:ilvl="0" w:tentative="0">
      <w:start w:val="1"/>
      <w:numFmt w:val="decimal"/>
      <w:pStyle w:val="163"/>
      <w:lvlText w:val="表%1"/>
      <w:lvlJc w:val="left"/>
      <w:pPr>
        <w:ind w:left="704" w:hanging="420"/>
      </w:pPr>
      <w:rPr>
        <w:rFonts w:hint="default" w:ascii="Times New Roman" w:hAnsi="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5F0736A5"/>
    <w:multiLevelType w:val="singleLevel"/>
    <w:tmpl w:val="5F0736A5"/>
    <w:lvl w:ilvl="0" w:tentative="0">
      <w:start w:val="1"/>
      <w:numFmt w:val="decimal"/>
      <w:suff w:val="nothing"/>
      <w:lvlText w:val="%1、"/>
      <w:lvlJc w:val="left"/>
    </w:lvl>
  </w:abstractNum>
  <w:abstractNum w:abstractNumId="11">
    <w:nsid w:val="72522A17"/>
    <w:multiLevelType w:val="singleLevel"/>
    <w:tmpl w:val="72522A17"/>
    <w:lvl w:ilvl="0" w:tentative="0">
      <w:start w:val="1"/>
      <w:numFmt w:val="decimal"/>
      <w:suff w:val="nothing"/>
      <w:lvlText w:val="%1、"/>
      <w:lvlJc w:val="left"/>
    </w:lvl>
  </w:abstractNum>
  <w:num w:numId="1">
    <w:abstractNumId w:val="1"/>
  </w:num>
  <w:num w:numId="2">
    <w:abstractNumId w:val="9"/>
  </w:num>
  <w:num w:numId="3">
    <w:abstractNumId w:val="8"/>
  </w:num>
  <w:num w:numId="4">
    <w:abstractNumId w:val="4"/>
  </w:num>
  <w:num w:numId="5">
    <w:abstractNumId w:val="3"/>
  </w:num>
  <w:num w:numId="6">
    <w:abstractNumId w:val="2"/>
  </w:num>
  <w:num w:numId="7">
    <w:abstractNumId w:val="7"/>
  </w:num>
  <w:num w:numId="8">
    <w:abstractNumId w:val="11"/>
  </w:num>
  <w:num w:numId="9">
    <w:abstractNumId w:val="10"/>
  </w:num>
  <w:num w:numId="10">
    <w:abstractNumId w:val="5"/>
  </w:num>
  <w:num w:numId="11">
    <w:abstractNumId w:val="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0"/>
  <w:drawingGridHorizontalSpacing w:val="140"/>
  <w:drawingGridVerticalSpacing w:val="381"/>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jNTQxMzI5N2U2YmJmZjM0ZmIzYTE2OWQ0MTYxNjAifQ=="/>
  </w:docVars>
  <w:rsids>
    <w:rsidRoot w:val="00724879"/>
    <w:rsid w:val="00000644"/>
    <w:rsid w:val="00000883"/>
    <w:rsid w:val="00001995"/>
    <w:rsid w:val="000041D0"/>
    <w:rsid w:val="000049C8"/>
    <w:rsid w:val="00005368"/>
    <w:rsid w:val="00005715"/>
    <w:rsid w:val="000138A4"/>
    <w:rsid w:val="00016781"/>
    <w:rsid w:val="000218F7"/>
    <w:rsid w:val="00023935"/>
    <w:rsid w:val="00031268"/>
    <w:rsid w:val="00031A13"/>
    <w:rsid w:val="000328CC"/>
    <w:rsid w:val="00035F91"/>
    <w:rsid w:val="00040D97"/>
    <w:rsid w:val="00042B3D"/>
    <w:rsid w:val="00046330"/>
    <w:rsid w:val="00052C6F"/>
    <w:rsid w:val="00054923"/>
    <w:rsid w:val="00055C5B"/>
    <w:rsid w:val="000563C8"/>
    <w:rsid w:val="00056E79"/>
    <w:rsid w:val="00062E21"/>
    <w:rsid w:val="000632D6"/>
    <w:rsid w:val="0006478A"/>
    <w:rsid w:val="00066A76"/>
    <w:rsid w:val="000713A0"/>
    <w:rsid w:val="00073B9A"/>
    <w:rsid w:val="00075508"/>
    <w:rsid w:val="000900E7"/>
    <w:rsid w:val="000944D7"/>
    <w:rsid w:val="000955A2"/>
    <w:rsid w:val="0009641E"/>
    <w:rsid w:val="00096567"/>
    <w:rsid w:val="000978EB"/>
    <w:rsid w:val="000A0062"/>
    <w:rsid w:val="000A0BBC"/>
    <w:rsid w:val="000A2A98"/>
    <w:rsid w:val="000A3315"/>
    <w:rsid w:val="000A3388"/>
    <w:rsid w:val="000A540E"/>
    <w:rsid w:val="000A5B84"/>
    <w:rsid w:val="000B4B88"/>
    <w:rsid w:val="000B745B"/>
    <w:rsid w:val="000C02C3"/>
    <w:rsid w:val="000C0CC4"/>
    <w:rsid w:val="000C4320"/>
    <w:rsid w:val="000C469C"/>
    <w:rsid w:val="000D0E12"/>
    <w:rsid w:val="000D3A0B"/>
    <w:rsid w:val="000D3D42"/>
    <w:rsid w:val="000D470F"/>
    <w:rsid w:val="000D608B"/>
    <w:rsid w:val="000D6872"/>
    <w:rsid w:val="000D6A7A"/>
    <w:rsid w:val="000D7C1D"/>
    <w:rsid w:val="000D7D75"/>
    <w:rsid w:val="000E110C"/>
    <w:rsid w:val="000F2B67"/>
    <w:rsid w:val="000F514B"/>
    <w:rsid w:val="000F517C"/>
    <w:rsid w:val="00100878"/>
    <w:rsid w:val="001010B6"/>
    <w:rsid w:val="00104DA4"/>
    <w:rsid w:val="00106683"/>
    <w:rsid w:val="00106744"/>
    <w:rsid w:val="00115AC3"/>
    <w:rsid w:val="0011643E"/>
    <w:rsid w:val="0012049D"/>
    <w:rsid w:val="001243E5"/>
    <w:rsid w:val="0012520E"/>
    <w:rsid w:val="00127581"/>
    <w:rsid w:val="001277B7"/>
    <w:rsid w:val="00127B91"/>
    <w:rsid w:val="00134AB0"/>
    <w:rsid w:val="00136186"/>
    <w:rsid w:val="001377C9"/>
    <w:rsid w:val="00140FF8"/>
    <w:rsid w:val="001414B6"/>
    <w:rsid w:val="00147584"/>
    <w:rsid w:val="00147C64"/>
    <w:rsid w:val="00150A98"/>
    <w:rsid w:val="00155273"/>
    <w:rsid w:val="0016081B"/>
    <w:rsid w:val="001609F7"/>
    <w:rsid w:val="00160AAD"/>
    <w:rsid w:val="00160B4F"/>
    <w:rsid w:val="0016210B"/>
    <w:rsid w:val="0016581B"/>
    <w:rsid w:val="001704B2"/>
    <w:rsid w:val="00170B51"/>
    <w:rsid w:val="00171B6B"/>
    <w:rsid w:val="00172913"/>
    <w:rsid w:val="00174392"/>
    <w:rsid w:val="00174799"/>
    <w:rsid w:val="00182FF9"/>
    <w:rsid w:val="001864E1"/>
    <w:rsid w:val="00187856"/>
    <w:rsid w:val="00193EA5"/>
    <w:rsid w:val="00195848"/>
    <w:rsid w:val="001A2D6D"/>
    <w:rsid w:val="001A3340"/>
    <w:rsid w:val="001A483D"/>
    <w:rsid w:val="001A57CD"/>
    <w:rsid w:val="001A6938"/>
    <w:rsid w:val="001A7B9E"/>
    <w:rsid w:val="001B0482"/>
    <w:rsid w:val="001B266A"/>
    <w:rsid w:val="001B3166"/>
    <w:rsid w:val="001B5472"/>
    <w:rsid w:val="001B6005"/>
    <w:rsid w:val="001C0475"/>
    <w:rsid w:val="001C3FFC"/>
    <w:rsid w:val="001C53C8"/>
    <w:rsid w:val="001C5CF7"/>
    <w:rsid w:val="001D1894"/>
    <w:rsid w:val="001D2C3E"/>
    <w:rsid w:val="001D3611"/>
    <w:rsid w:val="001E0782"/>
    <w:rsid w:val="001E15EE"/>
    <w:rsid w:val="001E16CA"/>
    <w:rsid w:val="001E4A16"/>
    <w:rsid w:val="002022D1"/>
    <w:rsid w:val="00203D3A"/>
    <w:rsid w:val="002050D8"/>
    <w:rsid w:val="00210400"/>
    <w:rsid w:val="00211465"/>
    <w:rsid w:val="00211A06"/>
    <w:rsid w:val="00211FE7"/>
    <w:rsid w:val="00214CD6"/>
    <w:rsid w:val="002151C6"/>
    <w:rsid w:val="00216FE5"/>
    <w:rsid w:val="00222EAA"/>
    <w:rsid w:val="00224618"/>
    <w:rsid w:val="002257DC"/>
    <w:rsid w:val="00233B57"/>
    <w:rsid w:val="00240C6B"/>
    <w:rsid w:val="00243502"/>
    <w:rsid w:val="00243895"/>
    <w:rsid w:val="002468D6"/>
    <w:rsid w:val="00252075"/>
    <w:rsid w:val="00252982"/>
    <w:rsid w:val="00252F7F"/>
    <w:rsid w:val="00254E40"/>
    <w:rsid w:val="0025717E"/>
    <w:rsid w:val="00261890"/>
    <w:rsid w:val="0026526D"/>
    <w:rsid w:val="00266A5C"/>
    <w:rsid w:val="002718A5"/>
    <w:rsid w:val="00274D2A"/>
    <w:rsid w:val="002818FC"/>
    <w:rsid w:val="0028232B"/>
    <w:rsid w:val="00282F04"/>
    <w:rsid w:val="00282F83"/>
    <w:rsid w:val="002879C4"/>
    <w:rsid w:val="00287B95"/>
    <w:rsid w:val="00287E0C"/>
    <w:rsid w:val="0029104B"/>
    <w:rsid w:val="00293D75"/>
    <w:rsid w:val="002A1E4D"/>
    <w:rsid w:val="002A2102"/>
    <w:rsid w:val="002A2300"/>
    <w:rsid w:val="002A2651"/>
    <w:rsid w:val="002A5A7B"/>
    <w:rsid w:val="002B0703"/>
    <w:rsid w:val="002B0DFE"/>
    <w:rsid w:val="002B0F24"/>
    <w:rsid w:val="002B3948"/>
    <w:rsid w:val="002B584E"/>
    <w:rsid w:val="002B5EEC"/>
    <w:rsid w:val="002B6755"/>
    <w:rsid w:val="002B7B60"/>
    <w:rsid w:val="002C2AE0"/>
    <w:rsid w:val="002C7EC9"/>
    <w:rsid w:val="002D2191"/>
    <w:rsid w:val="002D231D"/>
    <w:rsid w:val="002D4493"/>
    <w:rsid w:val="002E0C65"/>
    <w:rsid w:val="002E1AC1"/>
    <w:rsid w:val="002E23B5"/>
    <w:rsid w:val="002E24A3"/>
    <w:rsid w:val="002E3579"/>
    <w:rsid w:val="002E7986"/>
    <w:rsid w:val="002F18A9"/>
    <w:rsid w:val="002F484B"/>
    <w:rsid w:val="002F77BE"/>
    <w:rsid w:val="00310125"/>
    <w:rsid w:val="0031131E"/>
    <w:rsid w:val="00312CEC"/>
    <w:rsid w:val="00315B02"/>
    <w:rsid w:val="00317074"/>
    <w:rsid w:val="00317CA1"/>
    <w:rsid w:val="00322BBE"/>
    <w:rsid w:val="003251E1"/>
    <w:rsid w:val="00325BD7"/>
    <w:rsid w:val="003261DE"/>
    <w:rsid w:val="0032627E"/>
    <w:rsid w:val="003266F0"/>
    <w:rsid w:val="003274C9"/>
    <w:rsid w:val="00327D16"/>
    <w:rsid w:val="00335CB9"/>
    <w:rsid w:val="00337508"/>
    <w:rsid w:val="003417F9"/>
    <w:rsid w:val="00343737"/>
    <w:rsid w:val="003439DA"/>
    <w:rsid w:val="00344FFF"/>
    <w:rsid w:val="00346ACF"/>
    <w:rsid w:val="00347C6F"/>
    <w:rsid w:val="00351898"/>
    <w:rsid w:val="003522F3"/>
    <w:rsid w:val="00352A46"/>
    <w:rsid w:val="00352D2E"/>
    <w:rsid w:val="00353F25"/>
    <w:rsid w:val="003557D5"/>
    <w:rsid w:val="0035754C"/>
    <w:rsid w:val="00360F54"/>
    <w:rsid w:val="0036192F"/>
    <w:rsid w:val="00364EE0"/>
    <w:rsid w:val="003653EF"/>
    <w:rsid w:val="003655F2"/>
    <w:rsid w:val="00371095"/>
    <w:rsid w:val="00374B25"/>
    <w:rsid w:val="003813F8"/>
    <w:rsid w:val="00384114"/>
    <w:rsid w:val="00384594"/>
    <w:rsid w:val="00384668"/>
    <w:rsid w:val="00386FCB"/>
    <w:rsid w:val="003905A6"/>
    <w:rsid w:val="00393210"/>
    <w:rsid w:val="0039362D"/>
    <w:rsid w:val="003936F6"/>
    <w:rsid w:val="00395549"/>
    <w:rsid w:val="00395A1D"/>
    <w:rsid w:val="00395CBE"/>
    <w:rsid w:val="00397A60"/>
    <w:rsid w:val="00397C8A"/>
    <w:rsid w:val="00397F10"/>
    <w:rsid w:val="003A1B3B"/>
    <w:rsid w:val="003A2344"/>
    <w:rsid w:val="003A2DFE"/>
    <w:rsid w:val="003A4EAC"/>
    <w:rsid w:val="003A6519"/>
    <w:rsid w:val="003A6902"/>
    <w:rsid w:val="003B1B71"/>
    <w:rsid w:val="003B7062"/>
    <w:rsid w:val="003C095E"/>
    <w:rsid w:val="003C44F5"/>
    <w:rsid w:val="003C5CB7"/>
    <w:rsid w:val="003C6403"/>
    <w:rsid w:val="003C796D"/>
    <w:rsid w:val="003D168F"/>
    <w:rsid w:val="003E0314"/>
    <w:rsid w:val="003E0E43"/>
    <w:rsid w:val="003E22FC"/>
    <w:rsid w:val="003E33D1"/>
    <w:rsid w:val="003E566B"/>
    <w:rsid w:val="003E6B53"/>
    <w:rsid w:val="003F3E44"/>
    <w:rsid w:val="003F444E"/>
    <w:rsid w:val="003F452B"/>
    <w:rsid w:val="003F4DDB"/>
    <w:rsid w:val="003F578C"/>
    <w:rsid w:val="003F6641"/>
    <w:rsid w:val="00401A81"/>
    <w:rsid w:val="004025BB"/>
    <w:rsid w:val="00403E93"/>
    <w:rsid w:val="00405934"/>
    <w:rsid w:val="00405F3A"/>
    <w:rsid w:val="004108F5"/>
    <w:rsid w:val="00411BFC"/>
    <w:rsid w:val="00415470"/>
    <w:rsid w:val="00415DC1"/>
    <w:rsid w:val="00417FBD"/>
    <w:rsid w:val="004221D8"/>
    <w:rsid w:val="0042275D"/>
    <w:rsid w:val="00425D69"/>
    <w:rsid w:val="00427B0D"/>
    <w:rsid w:val="00434580"/>
    <w:rsid w:val="00436F64"/>
    <w:rsid w:val="004427AA"/>
    <w:rsid w:val="00444185"/>
    <w:rsid w:val="00444D07"/>
    <w:rsid w:val="0044725B"/>
    <w:rsid w:val="00447E9A"/>
    <w:rsid w:val="00453FCA"/>
    <w:rsid w:val="0045480C"/>
    <w:rsid w:val="0046206F"/>
    <w:rsid w:val="004666D1"/>
    <w:rsid w:val="004750F6"/>
    <w:rsid w:val="00475404"/>
    <w:rsid w:val="00481AD8"/>
    <w:rsid w:val="00482871"/>
    <w:rsid w:val="0048509A"/>
    <w:rsid w:val="004873BB"/>
    <w:rsid w:val="00487BF3"/>
    <w:rsid w:val="00487D57"/>
    <w:rsid w:val="00487F19"/>
    <w:rsid w:val="0049181D"/>
    <w:rsid w:val="004931D0"/>
    <w:rsid w:val="00494386"/>
    <w:rsid w:val="00494DAA"/>
    <w:rsid w:val="00494DF0"/>
    <w:rsid w:val="00494EC4"/>
    <w:rsid w:val="00494F18"/>
    <w:rsid w:val="004A1008"/>
    <w:rsid w:val="004A2FB4"/>
    <w:rsid w:val="004A4EA8"/>
    <w:rsid w:val="004B1800"/>
    <w:rsid w:val="004C01EC"/>
    <w:rsid w:val="004C1D84"/>
    <w:rsid w:val="004C78D4"/>
    <w:rsid w:val="004D1CFD"/>
    <w:rsid w:val="004E0C35"/>
    <w:rsid w:val="004E2CCA"/>
    <w:rsid w:val="004E44E8"/>
    <w:rsid w:val="004E4675"/>
    <w:rsid w:val="004E7DA2"/>
    <w:rsid w:val="004F1233"/>
    <w:rsid w:val="004F4266"/>
    <w:rsid w:val="00503C16"/>
    <w:rsid w:val="00503C79"/>
    <w:rsid w:val="00511163"/>
    <w:rsid w:val="00523D95"/>
    <w:rsid w:val="00524330"/>
    <w:rsid w:val="005245AA"/>
    <w:rsid w:val="0052586D"/>
    <w:rsid w:val="00526CB5"/>
    <w:rsid w:val="0053001E"/>
    <w:rsid w:val="0053126E"/>
    <w:rsid w:val="00531F9D"/>
    <w:rsid w:val="00532A55"/>
    <w:rsid w:val="00533D4F"/>
    <w:rsid w:val="00535727"/>
    <w:rsid w:val="00546652"/>
    <w:rsid w:val="0055351C"/>
    <w:rsid w:val="00554787"/>
    <w:rsid w:val="00561AE1"/>
    <w:rsid w:val="005721A3"/>
    <w:rsid w:val="00572459"/>
    <w:rsid w:val="0057451A"/>
    <w:rsid w:val="00574661"/>
    <w:rsid w:val="005749D7"/>
    <w:rsid w:val="0058230B"/>
    <w:rsid w:val="00584743"/>
    <w:rsid w:val="00584F68"/>
    <w:rsid w:val="005900ED"/>
    <w:rsid w:val="00591870"/>
    <w:rsid w:val="00592654"/>
    <w:rsid w:val="00596D4D"/>
    <w:rsid w:val="005A096A"/>
    <w:rsid w:val="005A1854"/>
    <w:rsid w:val="005A240A"/>
    <w:rsid w:val="005A39B6"/>
    <w:rsid w:val="005A3C17"/>
    <w:rsid w:val="005A4FE6"/>
    <w:rsid w:val="005B0C6A"/>
    <w:rsid w:val="005B17D7"/>
    <w:rsid w:val="005B3796"/>
    <w:rsid w:val="005B3CC8"/>
    <w:rsid w:val="005B5D65"/>
    <w:rsid w:val="005C16C4"/>
    <w:rsid w:val="005C3AF7"/>
    <w:rsid w:val="005C61B2"/>
    <w:rsid w:val="005C7EF8"/>
    <w:rsid w:val="005D08C6"/>
    <w:rsid w:val="005D0B80"/>
    <w:rsid w:val="005D2BC7"/>
    <w:rsid w:val="005D2FB3"/>
    <w:rsid w:val="005D7EA9"/>
    <w:rsid w:val="005E4F19"/>
    <w:rsid w:val="005F0331"/>
    <w:rsid w:val="005F082D"/>
    <w:rsid w:val="005F3A13"/>
    <w:rsid w:val="00600E39"/>
    <w:rsid w:val="006033F0"/>
    <w:rsid w:val="006036D7"/>
    <w:rsid w:val="00604E1A"/>
    <w:rsid w:val="006052B0"/>
    <w:rsid w:val="00607D2A"/>
    <w:rsid w:val="00610A45"/>
    <w:rsid w:val="00611596"/>
    <w:rsid w:val="00611911"/>
    <w:rsid w:val="00616542"/>
    <w:rsid w:val="00616BEC"/>
    <w:rsid w:val="006173A6"/>
    <w:rsid w:val="00620F88"/>
    <w:rsid w:val="00621869"/>
    <w:rsid w:val="00623438"/>
    <w:rsid w:val="00624C09"/>
    <w:rsid w:val="00624F9C"/>
    <w:rsid w:val="006257CF"/>
    <w:rsid w:val="00626F18"/>
    <w:rsid w:val="00626FD0"/>
    <w:rsid w:val="00635413"/>
    <w:rsid w:val="00636542"/>
    <w:rsid w:val="0064498E"/>
    <w:rsid w:val="00647AE5"/>
    <w:rsid w:val="00647BD7"/>
    <w:rsid w:val="006507D4"/>
    <w:rsid w:val="00652AD7"/>
    <w:rsid w:val="00652B59"/>
    <w:rsid w:val="00654C7C"/>
    <w:rsid w:val="00657B0D"/>
    <w:rsid w:val="00660E55"/>
    <w:rsid w:val="006721EE"/>
    <w:rsid w:val="0067448F"/>
    <w:rsid w:val="00675491"/>
    <w:rsid w:val="00677B0F"/>
    <w:rsid w:val="00682617"/>
    <w:rsid w:val="00684627"/>
    <w:rsid w:val="00687066"/>
    <w:rsid w:val="00687E02"/>
    <w:rsid w:val="006919C4"/>
    <w:rsid w:val="0069372B"/>
    <w:rsid w:val="00697D3E"/>
    <w:rsid w:val="006A123D"/>
    <w:rsid w:val="006A3F1D"/>
    <w:rsid w:val="006A532D"/>
    <w:rsid w:val="006B01F6"/>
    <w:rsid w:val="006B1CB8"/>
    <w:rsid w:val="006B5391"/>
    <w:rsid w:val="006B6712"/>
    <w:rsid w:val="006C1774"/>
    <w:rsid w:val="006C237C"/>
    <w:rsid w:val="006C24BB"/>
    <w:rsid w:val="006C4780"/>
    <w:rsid w:val="006C7395"/>
    <w:rsid w:val="006D2FE9"/>
    <w:rsid w:val="006D3A56"/>
    <w:rsid w:val="006D4005"/>
    <w:rsid w:val="006D6F93"/>
    <w:rsid w:val="006E03C6"/>
    <w:rsid w:val="006E0B56"/>
    <w:rsid w:val="006E31D5"/>
    <w:rsid w:val="006E3274"/>
    <w:rsid w:val="006E376B"/>
    <w:rsid w:val="006E4292"/>
    <w:rsid w:val="006E4822"/>
    <w:rsid w:val="006E4A0C"/>
    <w:rsid w:val="006E6537"/>
    <w:rsid w:val="006F0E82"/>
    <w:rsid w:val="006F79EF"/>
    <w:rsid w:val="007024CD"/>
    <w:rsid w:val="007028FC"/>
    <w:rsid w:val="00704473"/>
    <w:rsid w:val="00715A7C"/>
    <w:rsid w:val="0072028F"/>
    <w:rsid w:val="00723B11"/>
    <w:rsid w:val="00724879"/>
    <w:rsid w:val="00726856"/>
    <w:rsid w:val="00726C9B"/>
    <w:rsid w:val="00727A79"/>
    <w:rsid w:val="007331E0"/>
    <w:rsid w:val="00734C1D"/>
    <w:rsid w:val="007402E7"/>
    <w:rsid w:val="00742050"/>
    <w:rsid w:val="0074483C"/>
    <w:rsid w:val="00747CE8"/>
    <w:rsid w:val="00754FEB"/>
    <w:rsid w:val="007628AE"/>
    <w:rsid w:val="00763741"/>
    <w:rsid w:val="007648A9"/>
    <w:rsid w:val="0076595A"/>
    <w:rsid w:val="00773355"/>
    <w:rsid w:val="0077381D"/>
    <w:rsid w:val="0077391D"/>
    <w:rsid w:val="007747FB"/>
    <w:rsid w:val="00776A4F"/>
    <w:rsid w:val="00782EC7"/>
    <w:rsid w:val="007837A2"/>
    <w:rsid w:val="00787337"/>
    <w:rsid w:val="0078752C"/>
    <w:rsid w:val="00787ED5"/>
    <w:rsid w:val="0079676F"/>
    <w:rsid w:val="0079767C"/>
    <w:rsid w:val="00797D6E"/>
    <w:rsid w:val="007A11D4"/>
    <w:rsid w:val="007B209A"/>
    <w:rsid w:val="007B2E06"/>
    <w:rsid w:val="007B44D8"/>
    <w:rsid w:val="007B5353"/>
    <w:rsid w:val="007C7E63"/>
    <w:rsid w:val="007D061B"/>
    <w:rsid w:val="007D1470"/>
    <w:rsid w:val="007D23AC"/>
    <w:rsid w:val="007D2A22"/>
    <w:rsid w:val="007E1248"/>
    <w:rsid w:val="007E64B4"/>
    <w:rsid w:val="007E6C38"/>
    <w:rsid w:val="007E7B97"/>
    <w:rsid w:val="007F1D95"/>
    <w:rsid w:val="007F67D9"/>
    <w:rsid w:val="0080188F"/>
    <w:rsid w:val="008034CF"/>
    <w:rsid w:val="00805644"/>
    <w:rsid w:val="0081186C"/>
    <w:rsid w:val="008122EB"/>
    <w:rsid w:val="008127E8"/>
    <w:rsid w:val="0081339A"/>
    <w:rsid w:val="0081424F"/>
    <w:rsid w:val="00820AB5"/>
    <w:rsid w:val="008213C9"/>
    <w:rsid w:val="00822F94"/>
    <w:rsid w:val="00824008"/>
    <w:rsid w:val="0082716C"/>
    <w:rsid w:val="008273CB"/>
    <w:rsid w:val="00830543"/>
    <w:rsid w:val="008308F8"/>
    <w:rsid w:val="008319EC"/>
    <w:rsid w:val="0083295E"/>
    <w:rsid w:val="00832CC4"/>
    <w:rsid w:val="00833E49"/>
    <w:rsid w:val="008357B3"/>
    <w:rsid w:val="00837876"/>
    <w:rsid w:val="0083796F"/>
    <w:rsid w:val="00837F0C"/>
    <w:rsid w:val="00840308"/>
    <w:rsid w:val="00844FFF"/>
    <w:rsid w:val="008465C6"/>
    <w:rsid w:val="00850C2B"/>
    <w:rsid w:val="0085243F"/>
    <w:rsid w:val="0085280E"/>
    <w:rsid w:val="00853E23"/>
    <w:rsid w:val="00856679"/>
    <w:rsid w:val="0085696C"/>
    <w:rsid w:val="00860B4F"/>
    <w:rsid w:val="00861F6F"/>
    <w:rsid w:val="00862570"/>
    <w:rsid w:val="00862C03"/>
    <w:rsid w:val="008657CD"/>
    <w:rsid w:val="00871092"/>
    <w:rsid w:val="00871331"/>
    <w:rsid w:val="00874034"/>
    <w:rsid w:val="00876B1C"/>
    <w:rsid w:val="00876C9D"/>
    <w:rsid w:val="008827AA"/>
    <w:rsid w:val="00884337"/>
    <w:rsid w:val="00886334"/>
    <w:rsid w:val="0089091E"/>
    <w:rsid w:val="00890E52"/>
    <w:rsid w:val="008917C3"/>
    <w:rsid w:val="0089437A"/>
    <w:rsid w:val="008971A0"/>
    <w:rsid w:val="008A068B"/>
    <w:rsid w:val="008B1629"/>
    <w:rsid w:val="008B7D73"/>
    <w:rsid w:val="008C185C"/>
    <w:rsid w:val="008C4321"/>
    <w:rsid w:val="008C6815"/>
    <w:rsid w:val="008D11C6"/>
    <w:rsid w:val="008D501F"/>
    <w:rsid w:val="008D7A9A"/>
    <w:rsid w:val="008E1768"/>
    <w:rsid w:val="008E5D4B"/>
    <w:rsid w:val="008F08B2"/>
    <w:rsid w:val="008F3FCB"/>
    <w:rsid w:val="0090087D"/>
    <w:rsid w:val="00900C09"/>
    <w:rsid w:val="00906AD5"/>
    <w:rsid w:val="00907D61"/>
    <w:rsid w:val="00911741"/>
    <w:rsid w:val="00912200"/>
    <w:rsid w:val="0091411A"/>
    <w:rsid w:val="00915428"/>
    <w:rsid w:val="009163EA"/>
    <w:rsid w:val="00916561"/>
    <w:rsid w:val="009172A8"/>
    <w:rsid w:val="00921AD7"/>
    <w:rsid w:val="00925181"/>
    <w:rsid w:val="00925531"/>
    <w:rsid w:val="009259D6"/>
    <w:rsid w:val="00927722"/>
    <w:rsid w:val="00934A79"/>
    <w:rsid w:val="00934B61"/>
    <w:rsid w:val="00940801"/>
    <w:rsid w:val="00942125"/>
    <w:rsid w:val="009433E1"/>
    <w:rsid w:val="00950176"/>
    <w:rsid w:val="0095019A"/>
    <w:rsid w:val="00953378"/>
    <w:rsid w:val="00954F16"/>
    <w:rsid w:val="00957456"/>
    <w:rsid w:val="00957E4D"/>
    <w:rsid w:val="009611EB"/>
    <w:rsid w:val="00962121"/>
    <w:rsid w:val="00962B7B"/>
    <w:rsid w:val="009639FC"/>
    <w:rsid w:val="00964761"/>
    <w:rsid w:val="00964A6D"/>
    <w:rsid w:val="0097246F"/>
    <w:rsid w:val="00975C0F"/>
    <w:rsid w:val="00976A0F"/>
    <w:rsid w:val="0098323A"/>
    <w:rsid w:val="00993E38"/>
    <w:rsid w:val="00994B56"/>
    <w:rsid w:val="00994BC9"/>
    <w:rsid w:val="009958BE"/>
    <w:rsid w:val="00997B69"/>
    <w:rsid w:val="009A1B32"/>
    <w:rsid w:val="009A4569"/>
    <w:rsid w:val="009A6B9F"/>
    <w:rsid w:val="009A6C2B"/>
    <w:rsid w:val="009B461C"/>
    <w:rsid w:val="009B4A15"/>
    <w:rsid w:val="009B4A33"/>
    <w:rsid w:val="009B5FAA"/>
    <w:rsid w:val="009B6442"/>
    <w:rsid w:val="009B7970"/>
    <w:rsid w:val="009D226B"/>
    <w:rsid w:val="009D59A2"/>
    <w:rsid w:val="009E48CE"/>
    <w:rsid w:val="009E61F0"/>
    <w:rsid w:val="009E7CBC"/>
    <w:rsid w:val="009F050D"/>
    <w:rsid w:val="009F674C"/>
    <w:rsid w:val="009F67BF"/>
    <w:rsid w:val="009F70B5"/>
    <w:rsid w:val="00A01E68"/>
    <w:rsid w:val="00A03439"/>
    <w:rsid w:val="00A0425A"/>
    <w:rsid w:val="00A0512F"/>
    <w:rsid w:val="00A128F9"/>
    <w:rsid w:val="00A12911"/>
    <w:rsid w:val="00A12919"/>
    <w:rsid w:val="00A12B09"/>
    <w:rsid w:val="00A17F20"/>
    <w:rsid w:val="00A205AF"/>
    <w:rsid w:val="00A21799"/>
    <w:rsid w:val="00A22979"/>
    <w:rsid w:val="00A234F0"/>
    <w:rsid w:val="00A24381"/>
    <w:rsid w:val="00A26074"/>
    <w:rsid w:val="00A31C7A"/>
    <w:rsid w:val="00A33FA1"/>
    <w:rsid w:val="00A40403"/>
    <w:rsid w:val="00A44F1D"/>
    <w:rsid w:val="00A45F19"/>
    <w:rsid w:val="00A46715"/>
    <w:rsid w:val="00A46748"/>
    <w:rsid w:val="00A46BB3"/>
    <w:rsid w:val="00A50FC9"/>
    <w:rsid w:val="00A62BEF"/>
    <w:rsid w:val="00A63A7B"/>
    <w:rsid w:val="00A70B92"/>
    <w:rsid w:val="00A8020D"/>
    <w:rsid w:val="00A807DB"/>
    <w:rsid w:val="00A8133B"/>
    <w:rsid w:val="00A82AA2"/>
    <w:rsid w:val="00A83413"/>
    <w:rsid w:val="00A84609"/>
    <w:rsid w:val="00A8525F"/>
    <w:rsid w:val="00A85505"/>
    <w:rsid w:val="00A92ACF"/>
    <w:rsid w:val="00A94AB6"/>
    <w:rsid w:val="00A94C30"/>
    <w:rsid w:val="00A94E0E"/>
    <w:rsid w:val="00A95152"/>
    <w:rsid w:val="00A96D46"/>
    <w:rsid w:val="00AA08AA"/>
    <w:rsid w:val="00AA0B54"/>
    <w:rsid w:val="00AA23D6"/>
    <w:rsid w:val="00AA2D91"/>
    <w:rsid w:val="00AA5FD5"/>
    <w:rsid w:val="00AA7408"/>
    <w:rsid w:val="00AB268E"/>
    <w:rsid w:val="00AB5AC6"/>
    <w:rsid w:val="00AB70BD"/>
    <w:rsid w:val="00AB73F7"/>
    <w:rsid w:val="00AC461A"/>
    <w:rsid w:val="00AD2CF8"/>
    <w:rsid w:val="00AD47A2"/>
    <w:rsid w:val="00AD4BD8"/>
    <w:rsid w:val="00AD4CC5"/>
    <w:rsid w:val="00AD5AB3"/>
    <w:rsid w:val="00AD5C3B"/>
    <w:rsid w:val="00AD7338"/>
    <w:rsid w:val="00AE2350"/>
    <w:rsid w:val="00AE242F"/>
    <w:rsid w:val="00AE43B9"/>
    <w:rsid w:val="00AE5BDD"/>
    <w:rsid w:val="00AE6837"/>
    <w:rsid w:val="00AE766F"/>
    <w:rsid w:val="00AF3DA7"/>
    <w:rsid w:val="00AF5BC0"/>
    <w:rsid w:val="00B04845"/>
    <w:rsid w:val="00B051FA"/>
    <w:rsid w:val="00B05BD1"/>
    <w:rsid w:val="00B069DF"/>
    <w:rsid w:val="00B11BBB"/>
    <w:rsid w:val="00B142BD"/>
    <w:rsid w:val="00B15848"/>
    <w:rsid w:val="00B15AB1"/>
    <w:rsid w:val="00B23845"/>
    <w:rsid w:val="00B23D27"/>
    <w:rsid w:val="00B24E6A"/>
    <w:rsid w:val="00B2520F"/>
    <w:rsid w:val="00B26B3F"/>
    <w:rsid w:val="00B33114"/>
    <w:rsid w:val="00B33EEA"/>
    <w:rsid w:val="00B34445"/>
    <w:rsid w:val="00B35253"/>
    <w:rsid w:val="00B35C33"/>
    <w:rsid w:val="00B3687F"/>
    <w:rsid w:val="00B4045B"/>
    <w:rsid w:val="00B454B4"/>
    <w:rsid w:val="00B454C6"/>
    <w:rsid w:val="00B45541"/>
    <w:rsid w:val="00B637D3"/>
    <w:rsid w:val="00B663EC"/>
    <w:rsid w:val="00B70479"/>
    <w:rsid w:val="00B70A11"/>
    <w:rsid w:val="00B720EB"/>
    <w:rsid w:val="00B74B03"/>
    <w:rsid w:val="00B80E41"/>
    <w:rsid w:val="00B81DA4"/>
    <w:rsid w:val="00B82651"/>
    <w:rsid w:val="00B84C85"/>
    <w:rsid w:val="00B92CF8"/>
    <w:rsid w:val="00B92D1A"/>
    <w:rsid w:val="00B9563B"/>
    <w:rsid w:val="00B95FD1"/>
    <w:rsid w:val="00BA1F6B"/>
    <w:rsid w:val="00BA48D0"/>
    <w:rsid w:val="00BB0517"/>
    <w:rsid w:val="00BB495E"/>
    <w:rsid w:val="00BC37B6"/>
    <w:rsid w:val="00BC5130"/>
    <w:rsid w:val="00BD0869"/>
    <w:rsid w:val="00BD2C35"/>
    <w:rsid w:val="00BD4133"/>
    <w:rsid w:val="00BD4185"/>
    <w:rsid w:val="00BD4507"/>
    <w:rsid w:val="00BD5B66"/>
    <w:rsid w:val="00BD642C"/>
    <w:rsid w:val="00BD7EDB"/>
    <w:rsid w:val="00BE2D25"/>
    <w:rsid w:val="00BE3250"/>
    <w:rsid w:val="00BE4547"/>
    <w:rsid w:val="00BE5D37"/>
    <w:rsid w:val="00BE761C"/>
    <w:rsid w:val="00BE793A"/>
    <w:rsid w:val="00BF1588"/>
    <w:rsid w:val="00BF3BDE"/>
    <w:rsid w:val="00C01396"/>
    <w:rsid w:val="00C03B9C"/>
    <w:rsid w:val="00C1398C"/>
    <w:rsid w:val="00C16A76"/>
    <w:rsid w:val="00C17D7A"/>
    <w:rsid w:val="00C20904"/>
    <w:rsid w:val="00C22E00"/>
    <w:rsid w:val="00C26261"/>
    <w:rsid w:val="00C3241B"/>
    <w:rsid w:val="00C33ECE"/>
    <w:rsid w:val="00C3698C"/>
    <w:rsid w:val="00C407E6"/>
    <w:rsid w:val="00C40DCA"/>
    <w:rsid w:val="00C42AAE"/>
    <w:rsid w:val="00C449B7"/>
    <w:rsid w:val="00C45545"/>
    <w:rsid w:val="00C466CC"/>
    <w:rsid w:val="00C47225"/>
    <w:rsid w:val="00C509CB"/>
    <w:rsid w:val="00C51045"/>
    <w:rsid w:val="00C52E8E"/>
    <w:rsid w:val="00C548A1"/>
    <w:rsid w:val="00C55083"/>
    <w:rsid w:val="00C55ECA"/>
    <w:rsid w:val="00C61073"/>
    <w:rsid w:val="00C634F7"/>
    <w:rsid w:val="00C63E92"/>
    <w:rsid w:val="00C6590B"/>
    <w:rsid w:val="00C677EE"/>
    <w:rsid w:val="00C7019B"/>
    <w:rsid w:val="00C70B4C"/>
    <w:rsid w:val="00C74D76"/>
    <w:rsid w:val="00C75BF7"/>
    <w:rsid w:val="00C773EC"/>
    <w:rsid w:val="00C778FE"/>
    <w:rsid w:val="00C7792C"/>
    <w:rsid w:val="00C86C5C"/>
    <w:rsid w:val="00C87F97"/>
    <w:rsid w:val="00C902AF"/>
    <w:rsid w:val="00C929F5"/>
    <w:rsid w:val="00C96955"/>
    <w:rsid w:val="00CA0D76"/>
    <w:rsid w:val="00CA1F65"/>
    <w:rsid w:val="00CA5623"/>
    <w:rsid w:val="00CB0821"/>
    <w:rsid w:val="00CB0E1C"/>
    <w:rsid w:val="00CB27AC"/>
    <w:rsid w:val="00CB6139"/>
    <w:rsid w:val="00CC1A1C"/>
    <w:rsid w:val="00CC27CF"/>
    <w:rsid w:val="00CC621C"/>
    <w:rsid w:val="00CC6D0B"/>
    <w:rsid w:val="00CD1456"/>
    <w:rsid w:val="00CD2580"/>
    <w:rsid w:val="00CD2815"/>
    <w:rsid w:val="00CE2845"/>
    <w:rsid w:val="00CF02F5"/>
    <w:rsid w:val="00CF7315"/>
    <w:rsid w:val="00CF7C15"/>
    <w:rsid w:val="00D03387"/>
    <w:rsid w:val="00D041ED"/>
    <w:rsid w:val="00D05A81"/>
    <w:rsid w:val="00D06432"/>
    <w:rsid w:val="00D07670"/>
    <w:rsid w:val="00D10473"/>
    <w:rsid w:val="00D11220"/>
    <w:rsid w:val="00D20906"/>
    <w:rsid w:val="00D21731"/>
    <w:rsid w:val="00D24304"/>
    <w:rsid w:val="00D27503"/>
    <w:rsid w:val="00D27707"/>
    <w:rsid w:val="00D3125E"/>
    <w:rsid w:val="00D36B1E"/>
    <w:rsid w:val="00D36C00"/>
    <w:rsid w:val="00D37B04"/>
    <w:rsid w:val="00D41FEC"/>
    <w:rsid w:val="00D45078"/>
    <w:rsid w:val="00D45929"/>
    <w:rsid w:val="00D4760E"/>
    <w:rsid w:val="00D47B69"/>
    <w:rsid w:val="00D51E50"/>
    <w:rsid w:val="00D51F61"/>
    <w:rsid w:val="00D52560"/>
    <w:rsid w:val="00D54E77"/>
    <w:rsid w:val="00D55BBF"/>
    <w:rsid w:val="00D55F10"/>
    <w:rsid w:val="00D57F0E"/>
    <w:rsid w:val="00D618EF"/>
    <w:rsid w:val="00D65365"/>
    <w:rsid w:val="00D70B4D"/>
    <w:rsid w:val="00D81425"/>
    <w:rsid w:val="00D83E26"/>
    <w:rsid w:val="00D86771"/>
    <w:rsid w:val="00D8724C"/>
    <w:rsid w:val="00D90AE7"/>
    <w:rsid w:val="00D9271B"/>
    <w:rsid w:val="00D929E5"/>
    <w:rsid w:val="00D944FD"/>
    <w:rsid w:val="00D94A95"/>
    <w:rsid w:val="00D94B49"/>
    <w:rsid w:val="00DA164A"/>
    <w:rsid w:val="00DB35C0"/>
    <w:rsid w:val="00DB4118"/>
    <w:rsid w:val="00DC3B71"/>
    <w:rsid w:val="00DC4283"/>
    <w:rsid w:val="00DD2105"/>
    <w:rsid w:val="00DD3DC9"/>
    <w:rsid w:val="00DD5C8B"/>
    <w:rsid w:val="00DD6015"/>
    <w:rsid w:val="00DD6197"/>
    <w:rsid w:val="00DD7531"/>
    <w:rsid w:val="00DE0D83"/>
    <w:rsid w:val="00DE57D3"/>
    <w:rsid w:val="00DE6151"/>
    <w:rsid w:val="00DE7C2E"/>
    <w:rsid w:val="00DF215B"/>
    <w:rsid w:val="00DF438C"/>
    <w:rsid w:val="00E015F1"/>
    <w:rsid w:val="00E03E55"/>
    <w:rsid w:val="00E07AE0"/>
    <w:rsid w:val="00E11BA8"/>
    <w:rsid w:val="00E1261D"/>
    <w:rsid w:val="00E144CB"/>
    <w:rsid w:val="00E16D1D"/>
    <w:rsid w:val="00E20353"/>
    <w:rsid w:val="00E2526F"/>
    <w:rsid w:val="00E26F57"/>
    <w:rsid w:val="00E30169"/>
    <w:rsid w:val="00E31F44"/>
    <w:rsid w:val="00E32FA0"/>
    <w:rsid w:val="00E331F5"/>
    <w:rsid w:val="00E3641E"/>
    <w:rsid w:val="00E417AA"/>
    <w:rsid w:val="00E42A06"/>
    <w:rsid w:val="00E45AAB"/>
    <w:rsid w:val="00E45BFF"/>
    <w:rsid w:val="00E604BC"/>
    <w:rsid w:val="00E67991"/>
    <w:rsid w:val="00E7141E"/>
    <w:rsid w:val="00E731C3"/>
    <w:rsid w:val="00E80908"/>
    <w:rsid w:val="00E80AD9"/>
    <w:rsid w:val="00E82984"/>
    <w:rsid w:val="00E82D03"/>
    <w:rsid w:val="00E84ECD"/>
    <w:rsid w:val="00E84FD4"/>
    <w:rsid w:val="00E86014"/>
    <w:rsid w:val="00E8714C"/>
    <w:rsid w:val="00E958EB"/>
    <w:rsid w:val="00EA023F"/>
    <w:rsid w:val="00EA0A16"/>
    <w:rsid w:val="00EA30F0"/>
    <w:rsid w:val="00EA4CC3"/>
    <w:rsid w:val="00EA67E4"/>
    <w:rsid w:val="00EB4008"/>
    <w:rsid w:val="00EB4572"/>
    <w:rsid w:val="00EB51A1"/>
    <w:rsid w:val="00EB6C63"/>
    <w:rsid w:val="00EC3C6E"/>
    <w:rsid w:val="00EC45C3"/>
    <w:rsid w:val="00EC74F2"/>
    <w:rsid w:val="00ED5395"/>
    <w:rsid w:val="00ED675C"/>
    <w:rsid w:val="00EF229C"/>
    <w:rsid w:val="00EF27EB"/>
    <w:rsid w:val="00EF35AA"/>
    <w:rsid w:val="00EF4EDF"/>
    <w:rsid w:val="00EF5035"/>
    <w:rsid w:val="00EF74D1"/>
    <w:rsid w:val="00EF76A0"/>
    <w:rsid w:val="00F0074B"/>
    <w:rsid w:val="00F01443"/>
    <w:rsid w:val="00F0696D"/>
    <w:rsid w:val="00F07415"/>
    <w:rsid w:val="00F10A21"/>
    <w:rsid w:val="00F13BFD"/>
    <w:rsid w:val="00F13E34"/>
    <w:rsid w:val="00F15658"/>
    <w:rsid w:val="00F17CD4"/>
    <w:rsid w:val="00F20AA1"/>
    <w:rsid w:val="00F2164B"/>
    <w:rsid w:val="00F312DC"/>
    <w:rsid w:val="00F3314F"/>
    <w:rsid w:val="00F37D6B"/>
    <w:rsid w:val="00F40E7F"/>
    <w:rsid w:val="00F41BB0"/>
    <w:rsid w:val="00F465C3"/>
    <w:rsid w:val="00F50C13"/>
    <w:rsid w:val="00F526AB"/>
    <w:rsid w:val="00F53040"/>
    <w:rsid w:val="00F53ECE"/>
    <w:rsid w:val="00F56946"/>
    <w:rsid w:val="00F60B14"/>
    <w:rsid w:val="00F651BB"/>
    <w:rsid w:val="00F65862"/>
    <w:rsid w:val="00F661C8"/>
    <w:rsid w:val="00F667A0"/>
    <w:rsid w:val="00F66E9F"/>
    <w:rsid w:val="00F70EB9"/>
    <w:rsid w:val="00F72341"/>
    <w:rsid w:val="00F72949"/>
    <w:rsid w:val="00F766CD"/>
    <w:rsid w:val="00F77FBF"/>
    <w:rsid w:val="00F87CD1"/>
    <w:rsid w:val="00F911FA"/>
    <w:rsid w:val="00F93E04"/>
    <w:rsid w:val="00F94E1C"/>
    <w:rsid w:val="00F9704C"/>
    <w:rsid w:val="00FA032E"/>
    <w:rsid w:val="00FA098F"/>
    <w:rsid w:val="00FA1EF9"/>
    <w:rsid w:val="00FA34D8"/>
    <w:rsid w:val="00FA78F0"/>
    <w:rsid w:val="00FA7E4E"/>
    <w:rsid w:val="00FB464E"/>
    <w:rsid w:val="00FC23D5"/>
    <w:rsid w:val="00FC3131"/>
    <w:rsid w:val="00FC31F3"/>
    <w:rsid w:val="00FC49A2"/>
    <w:rsid w:val="00FC790D"/>
    <w:rsid w:val="00FD0316"/>
    <w:rsid w:val="00FD0910"/>
    <w:rsid w:val="00FD0C6D"/>
    <w:rsid w:val="00FD124D"/>
    <w:rsid w:val="00FD4CEB"/>
    <w:rsid w:val="00FD7F63"/>
    <w:rsid w:val="00FE0ABD"/>
    <w:rsid w:val="00FE1CCB"/>
    <w:rsid w:val="00FE2D1F"/>
    <w:rsid w:val="00FE3AB9"/>
    <w:rsid w:val="00FE48F7"/>
    <w:rsid w:val="00FE4A59"/>
    <w:rsid w:val="00FE4CFB"/>
    <w:rsid w:val="00FE5073"/>
    <w:rsid w:val="00FE7167"/>
    <w:rsid w:val="00FF27B0"/>
    <w:rsid w:val="00FF51D9"/>
    <w:rsid w:val="01050F22"/>
    <w:rsid w:val="011F7B62"/>
    <w:rsid w:val="012449C1"/>
    <w:rsid w:val="013E3C69"/>
    <w:rsid w:val="016B3AB9"/>
    <w:rsid w:val="017309C2"/>
    <w:rsid w:val="01804A4C"/>
    <w:rsid w:val="01842DFD"/>
    <w:rsid w:val="019D6AB9"/>
    <w:rsid w:val="01B70159"/>
    <w:rsid w:val="01EE7C08"/>
    <w:rsid w:val="021E71A1"/>
    <w:rsid w:val="022B147B"/>
    <w:rsid w:val="02473B64"/>
    <w:rsid w:val="024E68F9"/>
    <w:rsid w:val="026034A4"/>
    <w:rsid w:val="026B1259"/>
    <w:rsid w:val="027F559A"/>
    <w:rsid w:val="028D07AE"/>
    <w:rsid w:val="029F19F6"/>
    <w:rsid w:val="02A82A5A"/>
    <w:rsid w:val="02AA3C0C"/>
    <w:rsid w:val="03013B6D"/>
    <w:rsid w:val="03065668"/>
    <w:rsid w:val="031C1E88"/>
    <w:rsid w:val="033406EF"/>
    <w:rsid w:val="034A66A9"/>
    <w:rsid w:val="035954C6"/>
    <w:rsid w:val="036C58F1"/>
    <w:rsid w:val="037C3925"/>
    <w:rsid w:val="038D16A3"/>
    <w:rsid w:val="03921B3D"/>
    <w:rsid w:val="03A04F32"/>
    <w:rsid w:val="03B35954"/>
    <w:rsid w:val="03D754CE"/>
    <w:rsid w:val="03F77431"/>
    <w:rsid w:val="04310077"/>
    <w:rsid w:val="04B10BD0"/>
    <w:rsid w:val="04B75C12"/>
    <w:rsid w:val="04C17856"/>
    <w:rsid w:val="055F14B1"/>
    <w:rsid w:val="05621708"/>
    <w:rsid w:val="057463BE"/>
    <w:rsid w:val="05B747B5"/>
    <w:rsid w:val="05E80E12"/>
    <w:rsid w:val="05F257ED"/>
    <w:rsid w:val="06077EDF"/>
    <w:rsid w:val="0635782E"/>
    <w:rsid w:val="064B74FA"/>
    <w:rsid w:val="06687665"/>
    <w:rsid w:val="066E1B3F"/>
    <w:rsid w:val="069F5975"/>
    <w:rsid w:val="06AB702E"/>
    <w:rsid w:val="06C638F9"/>
    <w:rsid w:val="06C63DCA"/>
    <w:rsid w:val="06E72E78"/>
    <w:rsid w:val="06ED4932"/>
    <w:rsid w:val="06FE57E9"/>
    <w:rsid w:val="0722574C"/>
    <w:rsid w:val="074B6EE2"/>
    <w:rsid w:val="07635FCF"/>
    <w:rsid w:val="07952355"/>
    <w:rsid w:val="07993CD2"/>
    <w:rsid w:val="079B438E"/>
    <w:rsid w:val="07C00E4E"/>
    <w:rsid w:val="07E15B19"/>
    <w:rsid w:val="07E21FBD"/>
    <w:rsid w:val="07F05134"/>
    <w:rsid w:val="07F43A9E"/>
    <w:rsid w:val="080413FB"/>
    <w:rsid w:val="08236132"/>
    <w:rsid w:val="082A7B12"/>
    <w:rsid w:val="082D13CD"/>
    <w:rsid w:val="08910D3A"/>
    <w:rsid w:val="08D518AC"/>
    <w:rsid w:val="08EB55E1"/>
    <w:rsid w:val="092E38AA"/>
    <w:rsid w:val="094840A2"/>
    <w:rsid w:val="09AB2883"/>
    <w:rsid w:val="09C5548B"/>
    <w:rsid w:val="09D956DD"/>
    <w:rsid w:val="0A144128"/>
    <w:rsid w:val="0A740EC6"/>
    <w:rsid w:val="0A93759F"/>
    <w:rsid w:val="0A94204F"/>
    <w:rsid w:val="0A952C46"/>
    <w:rsid w:val="0ACF4261"/>
    <w:rsid w:val="0AE1405A"/>
    <w:rsid w:val="0B094001"/>
    <w:rsid w:val="0B1129A9"/>
    <w:rsid w:val="0B226094"/>
    <w:rsid w:val="0B3348DE"/>
    <w:rsid w:val="0B51492D"/>
    <w:rsid w:val="0B5F6C33"/>
    <w:rsid w:val="0B6A29E8"/>
    <w:rsid w:val="0BEB6927"/>
    <w:rsid w:val="0BF441D0"/>
    <w:rsid w:val="0C0555AD"/>
    <w:rsid w:val="0C1B7CB9"/>
    <w:rsid w:val="0C627450"/>
    <w:rsid w:val="0C6A5DB6"/>
    <w:rsid w:val="0CA5180B"/>
    <w:rsid w:val="0CB44F3B"/>
    <w:rsid w:val="0D042A38"/>
    <w:rsid w:val="0D06420C"/>
    <w:rsid w:val="0D265531"/>
    <w:rsid w:val="0D411DDA"/>
    <w:rsid w:val="0D5B63A5"/>
    <w:rsid w:val="0D5F5E5E"/>
    <w:rsid w:val="0D6C6250"/>
    <w:rsid w:val="0D7039A8"/>
    <w:rsid w:val="0D76383F"/>
    <w:rsid w:val="0D8C4BF5"/>
    <w:rsid w:val="0D95362E"/>
    <w:rsid w:val="0DAA6A9C"/>
    <w:rsid w:val="0E76520D"/>
    <w:rsid w:val="0F11511A"/>
    <w:rsid w:val="0F742663"/>
    <w:rsid w:val="0F744163"/>
    <w:rsid w:val="0F87270E"/>
    <w:rsid w:val="0F8E47D8"/>
    <w:rsid w:val="0FD35905"/>
    <w:rsid w:val="1016261D"/>
    <w:rsid w:val="101A5DC2"/>
    <w:rsid w:val="102137F8"/>
    <w:rsid w:val="102742DA"/>
    <w:rsid w:val="10421E41"/>
    <w:rsid w:val="10A1053B"/>
    <w:rsid w:val="10A569D5"/>
    <w:rsid w:val="10CC24D4"/>
    <w:rsid w:val="10E13477"/>
    <w:rsid w:val="10ED236B"/>
    <w:rsid w:val="11005262"/>
    <w:rsid w:val="11082369"/>
    <w:rsid w:val="110E3A9D"/>
    <w:rsid w:val="11401B02"/>
    <w:rsid w:val="116A526D"/>
    <w:rsid w:val="118F09DB"/>
    <w:rsid w:val="11977F42"/>
    <w:rsid w:val="11DE5657"/>
    <w:rsid w:val="11E63867"/>
    <w:rsid w:val="12107727"/>
    <w:rsid w:val="121C431D"/>
    <w:rsid w:val="123D3828"/>
    <w:rsid w:val="126729B3"/>
    <w:rsid w:val="12702CBF"/>
    <w:rsid w:val="1286695D"/>
    <w:rsid w:val="12D645A8"/>
    <w:rsid w:val="135C6EE1"/>
    <w:rsid w:val="13815D2A"/>
    <w:rsid w:val="13A02D2C"/>
    <w:rsid w:val="13EB21F9"/>
    <w:rsid w:val="141334FE"/>
    <w:rsid w:val="141718F3"/>
    <w:rsid w:val="14367166"/>
    <w:rsid w:val="14384B85"/>
    <w:rsid w:val="147B7EA8"/>
    <w:rsid w:val="14912DB8"/>
    <w:rsid w:val="14D33FD6"/>
    <w:rsid w:val="15083B80"/>
    <w:rsid w:val="15545B8D"/>
    <w:rsid w:val="15661F5F"/>
    <w:rsid w:val="15704420"/>
    <w:rsid w:val="1573694A"/>
    <w:rsid w:val="159A73CA"/>
    <w:rsid w:val="159B37AB"/>
    <w:rsid w:val="15AE0893"/>
    <w:rsid w:val="15C3541D"/>
    <w:rsid w:val="15E0299E"/>
    <w:rsid w:val="16092F9E"/>
    <w:rsid w:val="161902B1"/>
    <w:rsid w:val="16265A17"/>
    <w:rsid w:val="163E343B"/>
    <w:rsid w:val="16C87BC4"/>
    <w:rsid w:val="172A3808"/>
    <w:rsid w:val="172B36E3"/>
    <w:rsid w:val="178B5123"/>
    <w:rsid w:val="17BF29C5"/>
    <w:rsid w:val="17DC3B1F"/>
    <w:rsid w:val="18626607"/>
    <w:rsid w:val="186D5E50"/>
    <w:rsid w:val="18740854"/>
    <w:rsid w:val="188D0F93"/>
    <w:rsid w:val="18B41B21"/>
    <w:rsid w:val="18CE050C"/>
    <w:rsid w:val="18D6083C"/>
    <w:rsid w:val="18DE39CE"/>
    <w:rsid w:val="18EC0018"/>
    <w:rsid w:val="19170A30"/>
    <w:rsid w:val="197E58BE"/>
    <w:rsid w:val="19B25CAA"/>
    <w:rsid w:val="19B74495"/>
    <w:rsid w:val="1A67563F"/>
    <w:rsid w:val="1A6F5517"/>
    <w:rsid w:val="1A84767D"/>
    <w:rsid w:val="1AA40DB0"/>
    <w:rsid w:val="1ABB2312"/>
    <w:rsid w:val="1ABB4B41"/>
    <w:rsid w:val="1AD532F2"/>
    <w:rsid w:val="1ADF3AB2"/>
    <w:rsid w:val="1B1E1106"/>
    <w:rsid w:val="1B3754CA"/>
    <w:rsid w:val="1B431D5E"/>
    <w:rsid w:val="1B675B6A"/>
    <w:rsid w:val="1B753136"/>
    <w:rsid w:val="1B917C60"/>
    <w:rsid w:val="1BC4186F"/>
    <w:rsid w:val="1BD712B5"/>
    <w:rsid w:val="1BDF5B2E"/>
    <w:rsid w:val="1BF1662C"/>
    <w:rsid w:val="1C18527A"/>
    <w:rsid w:val="1C533032"/>
    <w:rsid w:val="1C750D55"/>
    <w:rsid w:val="1C9F6B22"/>
    <w:rsid w:val="1CD92ABF"/>
    <w:rsid w:val="1CEA0A84"/>
    <w:rsid w:val="1CF278EF"/>
    <w:rsid w:val="1D1502E7"/>
    <w:rsid w:val="1D5200E6"/>
    <w:rsid w:val="1D6F5C49"/>
    <w:rsid w:val="1D77357B"/>
    <w:rsid w:val="1D81629F"/>
    <w:rsid w:val="1D8334A3"/>
    <w:rsid w:val="1DB037B1"/>
    <w:rsid w:val="1E384765"/>
    <w:rsid w:val="1E6037E4"/>
    <w:rsid w:val="1E6E5F01"/>
    <w:rsid w:val="1E747140"/>
    <w:rsid w:val="1EC31060"/>
    <w:rsid w:val="1EC66636"/>
    <w:rsid w:val="1EE53480"/>
    <w:rsid w:val="1F09750E"/>
    <w:rsid w:val="1F0B14D8"/>
    <w:rsid w:val="1F4E7AE0"/>
    <w:rsid w:val="1F777037"/>
    <w:rsid w:val="1FA22A40"/>
    <w:rsid w:val="1FED6F19"/>
    <w:rsid w:val="203F51A4"/>
    <w:rsid w:val="20675EC0"/>
    <w:rsid w:val="20A151FA"/>
    <w:rsid w:val="20BE0430"/>
    <w:rsid w:val="20DF4E94"/>
    <w:rsid w:val="211F7121"/>
    <w:rsid w:val="21343AEF"/>
    <w:rsid w:val="21441968"/>
    <w:rsid w:val="21630098"/>
    <w:rsid w:val="21650DA9"/>
    <w:rsid w:val="21806D02"/>
    <w:rsid w:val="218E1CF5"/>
    <w:rsid w:val="21915410"/>
    <w:rsid w:val="21932099"/>
    <w:rsid w:val="21A41C3A"/>
    <w:rsid w:val="21E77118"/>
    <w:rsid w:val="220C13A1"/>
    <w:rsid w:val="22162FAB"/>
    <w:rsid w:val="22317971"/>
    <w:rsid w:val="2245212B"/>
    <w:rsid w:val="22AB2C71"/>
    <w:rsid w:val="22AD1941"/>
    <w:rsid w:val="22BC6E8E"/>
    <w:rsid w:val="22D0011A"/>
    <w:rsid w:val="22F909E6"/>
    <w:rsid w:val="22FC3C77"/>
    <w:rsid w:val="230A659F"/>
    <w:rsid w:val="233A4603"/>
    <w:rsid w:val="23751ADF"/>
    <w:rsid w:val="23E353C7"/>
    <w:rsid w:val="23E54F04"/>
    <w:rsid w:val="23EF186F"/>
    <w:rsid w:val="23F46D37"/>
    <w:rsid w:val="240D3AC6"/>
    <w:rsid w:val="24285418"/>
    <w:rsid w:val="2446347C"/>
    <w:rsid w:val="24975A86"/>
    <w:rsid w:val="24C8172F"/>
    <w:rsid w:val="25210786"/>
    <w:rsid w:val="2521226E"/>
    <w:rsid w:val="25380364"/>
    <w:rsid w:val="255114C8"/>
    <w:rsid w:val="25A85A48"/>
    <w:rsid w:val="25E550B1"/>
    <w:rsid w:val="26063582"/>
    <w:rsid w:val="26127823"/>
    <w:rsid w:val="26355609"/>
    <w:rsid w:val="26761685"/>
    <w:rsid w:val="26BF7019"/>
    <w:rsid w:val="26C87581"/>
    <w:rsid w:val="271D1426"/>
    <w:rsid w:val="27373A96"/>
    <w:rsid w:val="277038E5"/>
    <w:rsid w:val="277C422A"/>
    <w:rsid w:val="279C1684"/>
    <w:rsid w:val="279F537D"/>
    <w:rsid w:val="27A7133F"/>
    <w:rsid w:val="28942A08"/>
    <w:rsid w:val="289D35C5"/>
    <w:rsid w:val="289E3630"/>
    <w:rsid w:val="28D50016"/>
    <w:rsid w:val="28E74583"/>
    <w:rsid w:val="28E74668"/>
    <w:rsid w:val="290A11FB"/>
    <w:rsid w:val="292D7DED"/>
    <w:rsid w:val="295C08D5"/>
    <w:rsid w:val="296C5733"/>
    <w:rsid w:val="2978116E"/>
    <w:rsid w:val="29822F1A"/>
    <w:rsid w:val="2998076B"/>
    <w:rsid w:val="29F902F0"/>
    <w:rsid w:val="29F94BCD"/>
    <w:rsid w:val="2A001015"/>
    <w:rsid w:val="2A17569E"/>
    <w:rsid w:val="2A341386"/>
    <w:rsid w:val="2A3C0E89"/>
    <w:rsid w:val="2A7F3515"/>
    <w:rsid w:val="2ACD2201"/>
    <w:rsid w:val="2AF14141"/>
    <w:rsid w:val="2B255788"/>
    <w:rsid w:val="2B34402E"/>
    <w:rsid w:val="2B3844C7"/>
    <w:rsid w:val="2B4D50F0"/>
    <w:rsid w:val="2B7D3C27"/>
    <w:rsid w:val="2BC6774D"/>
    <w:rsid w:val="2BD15B8F"/>
    <w:rsid w:val="2BEC7C7F"/>
    <w:rsid w:val="2BF57C61"/>
    <w:rsid w:val="2BF7102B"/>
    <w:rsid w:val="2C191714"/>
    <w:rsid w:val="2C347E8F"/>
    <w:rsid w:val="2C471B3F"/>
    <w:rsid w:val="2C5002AE"/>
    <w:rsid w:val="2C864D5D"/>
    <w:rsid w:val="2CA857B3"/>
    <w:rsid w:val="2CC40B2B"/>
    <w:rsid w:val="2CEA065B"/>
    <w:rsid w:val="2D3D6F20"/>
    <w:rsid w:val="2D656E6C"/>
    <w:rsid w:val="2D823CB1"/>
    <w:rsid w:val="2D8477E3"/>
    <w:rsid w:val="2DE127F3"/>
    <w:rsid w:val="2E3A5DFF"/>
    <w:rsid w:val="2E81053F"/>
    <w:rsid w:val="2E861045"/>
    <w:rsid w:val="2E9F2A9A"/>
    <w:rsid w:val="2EAE5763"/>
    <w:rsid w:val="2EF2089D"/>
    <w:rsid w:val="2F0A1F67"/>
    <w:rsid w:val="2F624FE4"/>
    <w:rsid w:val="2F682CE1"/>
    <w:rsid w:val="2F6B528D"/>
    <w:rsid w:val="2F755393"/>
    <w:rsid w:val="2F9F0DA0"/>
    <w:rsid w:val="2FE33874"/>
    <w:rsid w:val="300470CD"/>
    <w:rsid w:val="30123FFF"/>
    <w:rsid w:val="30295295"/>
    <w:rsid w:val="302E7063"/>
    <w:rsid w:val="30302CF0"/>
    <w:rsid w:val="30527173"/>
    <w:rsid w:val="307C27A2"/>
    <w:rsid w:val="30A026C7"/>
    <w:rsid w:val="30C45E54"/>
    <w:rsid w:val="30D13D5C"/>
    <w:rsid w:val="30E468D3"/>
    <w:rsid w:val="30ED453E"/>
    <w:rsid w:val="31240E7F"/>
    <w:rsid w:val="31A66B54"/>
    <w:rsid w:val="31AC317A"/>
    <w:rsid w:val="31D45137"/>
    <w:rsid w:val="31DF77E5"/>
    <w:rsid w:val="31F938DC"/>
    <w:rsid w:val="32014E85"/>
    <w:rsid w:val="325102FD"/>
    <w:rsid w:val="325A65CE"/>
    <w:rsid w:val="325F4087"/>
    <w:rsid w:val="32672F3B"/>
    <w:rsid w:val="328861ED"/>
    <w:rsid w:val="32AF07F2"/>
    <w:rsid w:val="32D17C89"/>
    <w:rsid w:val="32DD33F0"/>
    <w:rsid w:val="32DE0457"/>
    <w:rsid w:val="32ED7014"/>
    <w:rsid w:val="32F03C6A"/>
    <w:rsid w:val="33022814"/>
    <w:rsid w:val="33207530"/>
    <w:rsid w:val="33365593"/>
    <w:rsid w:val="336B3B2C"/>
    <w:rsid w:val="337D36DE"/>
    <w:rsid w:val="33AD7BD2"/>
    <w:rsid w:val="33B62270"/>
    <w:rsid w:val="33C61EE3"/>
    <w:rsid w:val="33D4727F"/>
    <w:rsid w:val="33E81E5A"/>
    <w:rsid w:val="33F23FBB"/>
    <w:rsid w:val="34357FFF"/>
    <w:rsid w:val="34612644"/>
    <w:rsid w:val="346B34F2"/>
    <w:rsid w:val="34A34596"/>
    <w:rsid w:val="34B025C2"/>
    <w:rsid w:val="34CE6CB1"/>
    <w:rsid w:val="34D262F0"/>
    <w:rsid w:val="34DB7DEB"/>
    <w:rsid w:val="34DC42B0"/>
    <w:rsid w:val="351E5DA3"/>
    <w:rsid w:val="352D194B"/>
    <w:rsid w:val="35371F6A"/>
    <w:rsid w:val="353D23CD"/>
    <w:rsid w:val="357E0051"/>
    <w:rsid w:val="3588021D"/>
    <w:rsid w:val="35EE60E8"/>
    <w:rsid w:val="35FC0F9C"/>
    <w:rsid w:val="36397E1F"/>
    <w:rsid w:val="36730100"/>
    <w:rsid w:val="368D01D3"/>
    <w:rsid w:val="36CB5494"/>
    <w:rsid w:val="36D14E27"/>
    <w:rsid w:val="36F668DB"/>
    <w:rsid w:val="36F71EED"/>
    <w:rsid w:val="37327D18"/>
    <w:rsid w:val="374C2700"/>
    <w:rsid w:val="37591E60"/>
    <w:rsid w:val="37702892"/>
    <w:rsid w:val="377F2AD5"/>
    <w:rsid w:val="377F3076"/>
    <w:rsid w:val="379F3BC9"/>
    <w:rsid w:val="37BD0825"/>
    <w:rsid w:val="37C2777B"/>
    <w:rsid w:val="37D41C80"/>
    <w:rsid w:val="37D927A8"/>
    <w:rsid w:val="380213A2"/>
    <w:rsid w:val="38077B76"/>
    <w:rsid w:val="385374D9"/>
    <w:rsid w:val="38DD6884"/>
    <w:rsid w:val="392C7F2E"/>
    <w:rsid w:val="39392D21"/>
    <w:rsid w:val="394549EE"/>
    <w:rsid w:val="39785A2E"/>
    <w:rsid w:val="3980674F"/>
    <w:rsid w:val="39BA3337"/>
    <w:rsid w:val="39DA69A4"/>
    <w:rsid w:val="39E53F50"/>
    <w:rsid w:val="39E76710"/>
    <w:rsid w:val="39F11255"/>
    <w:rsid w:val="39F974B6"/>
    <w:rsid w:val="3A351B95"/>
    <w:rsid w:val="3A385B75"/>
    <w:rsid w:val="3A711E44"/>
    <w:rsid w:val="3AAF0705"/>
    <w:rsid w:val="3AD21575"/>
    <w:rsid w:val="3AD257FB"/>
    <w:rsid w:val="3B05678F"/>
    <w:rsid w:val="3B381CFE"/>
    <w:rsid w:val="3B426075"/>
    <w:rsid w:val="3B781DA2"/>
    <w:rsid w:val="3BC339AE"/>
    <w:rsid w:val="3BC433C4"/>
    <w:rsid w:val="3BCA7C0B"/>
    <w:rsid w:val="3BCF3250"/>
    <w:rsid w:val="3BD1255F"/>
    <w:rsid w:val="3C0356A1"/>
    <w:rsid w:val="3C086CF8"/>
    <w:rsid w:val="3C245D0D"/>
    <w:rsid w:val="3C365228"/>
    <w:rsid w:val="3C7D6FA4"/>
    <w:rsid w:val="3CA1672C"/>
    <w:rsid w:val="3CD75A09"/>
    <w:rsid w:val="3D023F8C"/>
    <w:rsid w:val="3D685AD3"/>
    <w:rsid w:val="3D7546D4"/>
    <w:rsid w:val="3D7E75D8"/>
    <w:rsid w:val="3D883804"/>
    <w:rsid w:val="3E183655"/>
    <w:rsid w:val="3E323201"/>
    <w:rsid w:val="3E6776D1"/>
    <w:rsid w:val="3E6B0E07"/>
    <w:rsid w:val="3EA679BB"/>
    <w:rsid w:val="3F2A5A1C"/>
    <w:rsid w:val="3F2D2E17"/>
    <w:rsid w:val="3F3B64B9"/>
    <w:rsid w:val="3F4D5D5C"/>
    <w:rsid w:val="3F600A17"/>
    <w:rsid w:val="3F987513"/>
    <w:rsid w:val="3FB12FC1"/>
    <w:rsid w:val="3FCC2AB9"/>
    <w:rsid w:val="4002670D"/>
    <w:rsid w:val="400B3B35"/>
    <w:rsid w:val="400D3374"/>
    <w:rsid w:val="404D19C2"/>
    <w:rsid w:val="4059705C"/>
    <w:rsid w:val="40620A2E"/>
    <w:rsid w:val="40B05AAD"/>
    <w:rsid w:val="40B97638"/>
    <w:rsid w:val="40BE1B43"/>
    <w:rsid w:val="40CF687B"/>
    <w:rsid w:val="40E124A7"/>
    <w:rsid w:val="40F7781A"/>
    <w:rsid w:val="40FF08CA"/>
    <w:rsid w:val="411B4789"/>
    <w:rsid w:val="412A2C1A"/>
    <w:rsid w:val="41330769"/>
    <w:rsid w:val="4136266A"/>
    <w:rsid w:val="416A5251"/>
    <w:rsid w:val="41931657"/>
    <w:rsid w:val="41CB7F5F"/>
    <w:rsid w:val="41E03269"/>
    <w:rsid w:val="41E87BA7"/>
    <w:rsid w:val="41EA3241"/>
    <w:rsid w:val="41EB0411"/>
    <w:rsid w:val="41F94E5F"/>
    <w:rsid w:val="41FA52CC"/>
    <w:rsid w:val="42280188"/>
    <w:rsid w:val="42480AAB"/>
    <w:rsid w:val="425E443E"/>
    <w:rsid w:val="429D17C3"/>
    <w:rsid w:val="42D8208A"/>
    <w:rsid w:val="42D83AB5"/>
    <w:rsid w:val="42DA0EF4"/>
    <w:rsid w:val="42E3660E"/>
    <w:rsid w:val="430361AE"/>
    <w:rsid w:val="431E1EAC"/>
    <w:rsid w:val="433230F1"/>
    <w:rsid w:val="4381008F"/>
    <w:rsid w:val="43B81900"/>
    <w:rsid w:val="43BB2059"/>
    <w:rsid w:val="43CD640F"/>
    <w:rsid w:val="43E043E7"/>
    <w:rsid w:val="43EE4A68"/>
    <w:rsid w:val="441B3B85"/>
    <w:rsid w:val="44516656"/>
    <w:rsid w:val="44581532"/>
    <w:rsid w:val="44770E38"/>
    <w:rsid w:val="450B3BFA"/>
    <w:rsid w:val="453815E9"/>
    <w:rsid w:val="454327B4"/>
    <w:rsid w:val="4550160D"/>
    <w:rsid w:val="45640D96"/>
    <w:rsid w:val="456865A2"/>
    <w:rsid w:val="45904030"/>
    <w:rsid w:val="459C5C4D"/>
    <w:rsid w:val="45B54A90"/>
    <w:rsid w:val="45C156DD"/>
    <w:rsid w:val="45D85916"/>
    <w:rsid w:val="460014D0"/>
    <w:rsid w:val="46040D75"/>
    <w:rsid w:val="46120993"/>
    <w:rsid w:val="462207C0"/>
    <w:rsid w:val="463217D3"/>
    <w:rsid w:val="4645703E"/>
    <w:rsid w:val="467C7431"/>
    <w:rsid w:val="469A3487"/>
    <w:rsid w:val="46B170F3"/>
    <w:rsid w:val="46BB0903"/>
    <w:rsid w:val="474169EC"/>
    <w:rsid w:val="47676E22"/>
    <w:rsid w:val="47A85730"/>
    <w:rsid w:val="47B910FD"/>
    <w:rsid w:val="47D00388"/>
    <w:rsid w:val="47EB386F"/>
    <w:rsid w:val="47F82D44"/>
    <w:rsid w:val="481728B6"/>
    <w:rsid w:val="484E555F"/>
    <w:rsid w:val="485C05C3"/>
    <w:rsid w:val="4904108C"/>
    <w:rsid w:val="49542C5D"/>
    <w:rsid w:val="4969702A"/>
    <w:rsid w:val="49A02D6D"/>
    <w:rsid w:val="4A0330F2"/>
    <w:rsid w:val="4A2F3EE7"/>
    <w:rsid w:val="4A5139D3"/>
    <w:rsid w:val="4A5C53EB"/>
    <w:rsid w:val="4AB668F2"/>
    <w:rsid w:val="4AE5006C"/>
    <w:rsid w:val="4AF1415C"/>
    <w:rsid w:val="4B0215FB"/>
    <w:rsid w:val="4B054C48"/>
    <w:rsid w:val="4B9C55AC"/>
    <w:rsid w:val="4B9F6E4A"/>
    <w:rsid w:val="4BB027A9"/>
    <w:rsid w:val="4BC13264"/>
    <w:rsid w:val="4BC17910"/>
    <w:rsid w:val="4BC475A2"/>
    <w:rsid w:val="4BD25472"/>
    <w:rsid w:val="4C1866D1"/>
    <w:rsid w:val="4C2C2DD4"/>
    <w:rsid w:val="4C3B7D39"/>
    <w:rsid w:val="4CB2063E"/>
    <w:rsid w:val="4CB24DE4"/>
    <w:rsid w:val="4CCF2069"/>
    <w:rsid w:val="4CF53C2B"/>
    <w:rsid w:val="4D0D1214"/>
    <w:rsid w:val="4D7A36CB"/>
    <w:rsid w:val="4D7C3C3B"/>
    <w:rsid w:val="4D7F0CE1"/>
    <w:rsid w:val="4DE2147D"/>
    <w:rsid w:val="4E0B39B2"/>
    <w:rsid w:val="4E5C70C5"/>
    <w:rsid w:val="4E9F0072"/>
    <w:rsid w:val="4EC51267"/>
    <w:rsid w:val="4EC71589"/>
    <w:rsid w:val="4EC76DE4"/>
    <w:rsid w:val="4EF1052E"/>
    <w:rsid w:val="4EFB1495"/>
    <w:rsid w:val="4F195165"/>
    <w:rsid w:val="4F205884"/>
    <w:rsid w:val="4F2B78F1"/>
    <w:rsid w:val="4F710579"/>
    <w:rsid w:val="4F974A08"/>
    <w:rsid w:val="4FA806FF"/>
    <w:rsid w:val="50250266"/>
    <w:rsid w:val="504B6577"/>
    <w:rsid w:val="507C59AC"/>
    <w:rsid w:val="50973D80"/>
    <w:rsid w:val="509F3025"/>
    <w:rsid w:val="50A14AF6"/>
    <w:rsid w:val="50AF1599"/>
    <w:rsid w:val="50BC51A5"/>
    <w:rsid w:val="50F32B6A"/>
    <w:rsid w:val="5108372E"/>
    <w:rsid w:val="511B1FB9"/>
    <w:rsid w:val="5137401E"/>
    <w:rsid w:val="51387B25"/>
    <w:rsid w:val="51477D68"/>
    <w:rsid w:val="51B7313F"/>
    <w:rsid w:val="51B80C66"/>
    <w:rsid w:val="51C13FBE"/>
    <w:rsid w:val="51D80B5D"/>
    <w:rsid w:val="51E101BC"/>
    <w:rsid w:val="51EF032B"/>
    <w:rsid w:val="51F2372E"/>
    <w:rsid w:val="51F83955"/>
    <w:rsid w:val="523825AC"/>
    <w:rsid w:val="52666914"/>
    <w:rsid w:val="52724976"/>
    <w:rsid w:val="527D1264"/>
    <w:rsid w:val="52940ADB"/>
    <w:rsid w:val="529C2335"/>
    <w:rsid w:val="52A03BD4"/>
    <w:rsid w:val="52A90D4F"/>
    <w:rsid w:val="52AB58C1"/>
    <w:rsid w:val="52C8137C"/>
    <w:rsid w:val="53020733"/>
    <w:rsid w:val="532205E6"/>
    <w:rsid w:val="532B3B64"/>
    <w:rsid w:val="534E193B"/>
    <w:rsid w:val="53755D12"/>
    <w:rsid w:val="539A63C4"/>
    <w:rsid w:val="53A91FD7"/>
    <w:rsid w:val="53A92F73"/>
    <w:rsid w:val="544133ED"/>
    <w:rsid w:val="54792C9E"/>
    <w:rsid w:val="54831971"/>
    <w:rsid w:val="54A30B71"/>
    <w:rsid w:val="551075ED"/>
    <w:rsid w:val="551408A9"/>
    <w:rsid w:val="55394C0C"/>
    <w:rsid w:val="5550126A"/>
    <w:rsid w:val="556E7FB9"/>
    <w:rsid w:val="55741347"/>
    <w:rsid w:val="55802B56"/>
    <w:rsid w:val="55986E84"/>
    <w:rsid w:val="559C7E4A"/>
    <w:rsid w:val="55CA4BAF"/>
    <w:rsid w:val="55DB2097"/>
    <w:rsid w:val="55F2570C"/>
    <w:rsid w:val="56016EF5"/>
    <w:rsid w:val="5602396B"/>
    <w:rsid w:val="56033C16"/>
    <w:rsid w:val="56550F9C"/>
    <w:rsid w:val="565B702F"/>
    <w:rsid w:val="56693043"/>
    <w:rsid w:val="567D01B0"/>
    <w:rsid w:val="56BA4761"/>
    <w:rsid w:val="56C71FF0"/>
    <w:rsid w:val="56D007FF"/>
    <w:rsid w:val="56DA167E"/>
    <w:rsid w:val="56F62496"/>
    <w:rsid w:val="571A0B7B"/>
    <w:rsid w:val="577B0FB6"/>
    <w:rsid w:val="577B2EC4"/>
    <w:rsid w:val="577D4447"/>
    <w:rsid w:val="578223FB"/>
    <w:rsid w:val="578A700B"/>
    <w:rsid w:val="5798756F"/>
    <w:rsid w:val="579E7811"/>
    <w:rsid w:val="57BE3253"/>
    <w:rsid w:val="57E26A3C"/>
    <w:rsid w:val="583F5C3D"/>
    <w:rsid w:val="58704048"/>
    <w:rsid w:val="589A030F"/>
    <w:rsid w:val="58C051FD"/>
    <w:rsid w:val="58E97E41"/>
    <w:rsid w:val="58EB2142"/>
    <w:rsid w:val="59307226"/>
    <w:rsid w:val="59543905"/>
    <w:rsid w:val="597A559E"/>
    <w:rsid w:val="599B4D17"/>
    <w:rsid w:val="59AA6FA9"/>
    <w:rsid w:val="59D658C2"/>
    <w:rsid w:val="59F829AE"/>
    <w:rsid w:val="5A4A2677"/>
    <w:rsid w:val="5A601268"/>
    <w:rsid w:val="5AA83147"/>
    <w:rsid w:val="5AF357FA"/>
    <w:rsid w:val="5B1A473F"/>
    <w:rsid w:val="5B5F7C32"/>
    <w:rsid w:val="5B882075"/>
    <w:rsid w:val="5BA842F6"/>
    <w:rsid w:val="5BA87DC4"/>
    <w:rsid w:val="5BBE1C1E"/>
    <w:rsid w:val="5C0257BE"/>
    <w:rsid w:val="5C7A36E7"/>
    <w:rsid w:val="5C904B4E"/>
    <w:rsid w:val="5C9B7CEB"/>
    <w:rsid w:val="5CD220E1"/>
    <w:rsid w:val="5CDF79EE"/>
    <w:rsid w:val="5D02548B"/>
    <w:rsid w:val="5D2C4E28"/>
    <w:rsid w:val="5DBE19F4"/>
    <w:rsid w:val="5DD07EC1"/>
    <w:rsid w:val="5DD26970"/>
    <w:rsid w:val="5DF534E4"/>
    <w:rsid w:val="5E153E1E"/>
    <w:rsid w:val="5E2F4E1C"/>
    <w:rsid w:val="5E4203B1"/>
    <w:rsid w:val="5E503FE7"/>
    <w:rsid w:val="5E5A241C"/>
    <w:rsid w:val="5E713C9A"/>
    <w:rsid w:val="5EA45CB3"/>
    <w:rsid w:val="5EAC538E"/>
    <w:rsid w:val="5EE344C5"/>
    <w:rsid w:val="5EF105BD"/>
    <w:rsid w:val="5EF552A7"/>
    <w:rsid w:val="5EF5694A"/>
    <w:rsid w:val="5EFF2CC1"/>
    <w:rsid w:val="5F010AFA"/>
    <w:rsid w:val="5F092790"/>
    <w:rsid w:val="5F0B0A36"/>
    <w:rsid w:val="5F2B0CC9"/>
    <w:rsid w:val="5F417AF8"/>
    <w:rsid w:val="5F4E7745"/>
    <w:rsid w:val="5F525B95"/>
    <w:rsid w:val="5FAB3156"/>
    <w:rsid w:val="5FC35F7B"/>
    <w:rsid w:val="5FF91DDC"/>
    <w:rsid w:val="60063D12"/>
    <w:rsid w:val="60123C37"/>
    <w:rsid w:val="603D3843"/>
    <w:rsid w:val="60583159"/>
    <w:rsid w:val="607E307A"/>
    <w:rsid w:val="61161505"/>
    <w:rsid w:val="613208D9"/>
    <w:rsid w:val="61377FE2"/>
    <w:rsid w:val="6160437C"/>
    <w:rsid w:val="61911D4A"/>
    <w:rsid w:val="619A3EE4"/>
    <w:rsid w:val="62277716"/>
    <w:rsid w:val="63001DEA"/>
    <w:rsid w:val="6328604A"/>
    <w:rsid w:val="6333639E"/>
    <w:rsid w:val="63360FCC"/>
    <w:rsid w:val="63407666"/>
    <w:rsid w:val="63586C4E"/>
    <w:rsid w:val="636069F3"/>
    <w:rsid w:val="637A1B2F"/>
    <w:rsid w:val="64091D58"/>
    <w:rsid w:val="643A6F15"/>
    <w:rsid w:val="64462101"/>
    <w:rsid w:val="64566C6D"/>
    <w:rsid w:val="64685FFD"/>
    <w:rsid w:val="64741836"/>
    <w:rsid w:val="64A80F6D"/>
    <w:rsid w:val="64D82FC8"/>
    <w:rsid w:val="65302769"/>
    <w:rsid w:val="654151AE"/>
    <w:rsid w:val="655A40B6"/>
    <w:rsid w:val="657C13D6"/>
    <w:rsid w:val="65934AA6"/>
    <w:rsid w:val="65FD1678"/>
    <w:rsid w:val="66190CA1"/>
    <w:rsid w:val="66230554"/>
    <w:rsid w:val="667016B7"/>
    <w:rsid w:val="66CE5350"/>
    <w:rsid w:val="66CF4630"/>
    <w:rsid w:val="66E06A6A"/>
    <w:rsid w:val="66E17344"/>
    <w:rsid w:val="67301F33"/>
    <w:rsid w:val="67371F87"/>
    <w:rsid w:val="675E48A3"/>
    <w:rsid w:val="67746F85"/>
    <w:rsid w:val="67A01A6C"/>
    <w:rsid w:val="67C34C57"/>
    <w:rsid w:val="67C4640D"/>
    <w:rsid w:val="67D14257"/>
    <w:rsid w:val="67E05EFA"/>
    <w:rsid w:val="67F578D6"/>
    <w:rsid w:val="682A34D4"/>
    <w:rsid w:val="68624A44"/>
    <w:rsid w:val="68660C16"/>
    <w:rsid w:val="68920E84"/>
    <w:rsid w:val="6899502D"/>
    <w:rsid w:val="68FC7232"/>
    <w:rsid w:val="690A799D"/>
    <w:rsid w:val="69593A03"/>
    <w:rsid w:val="697E6745"/>
    <w:rsid w:val="698D42DB"/>
    <w:rsid w:val="698F00A6"/>
    <w:rsid w:val="69977538"/>
    <w:rsid w:val="69C443F5"/>
    <w:rsid w:val="69C753A4"/>
    <w:rsid w:val="69D17CBF"/>
    <w:rsid w:val="69F30A14"/>
    <w:rsid w:val="69FD3B5B"/>
    <w:rsid w:val="69FD5DCB"/>
    <w:rsid w:val="6A33233D"/>
    <w:rsid w:val="6A336057"/>
    <w:rsid w:val="6A4924BB"/>
    <w:rsid w:val="6A9E0AB3"/>
    <w:rsid w:val="6AC97095"/>
    <w:rsid w:val="6AED6227"/>
    <w:rsid w:val="6AF6662F"/>
    <w:rsid w:val="6B122370"/>
    <w:rsid w:val="6B1C1E0E"/>
    <w:rsid w:val="6B1D067B"/>
    <w:rsid w:val="6B361121"/>
    <w:rsid w:val="6B3F371F"/>
    <w:rsid w:val="6B9765C4"/>
    <w:rsid w:val="6B9C0022"/>
    <w:rsid w:val="6C4405BB"/>
    <w:rsid w:val="6C775F53"/>
    <w:rsid w:val="6C7F08A6"/>
    <w:rsid w:val="6C90660F"/>
    <w:rsid w:val="6CAF0778"/>
    <w:rsid w:val="6CBA65FD"/>
    <w:rsid w:val="6CC22541"/>
    <w:rsid w:val="6CF5456C"/>
    <w:rsid w:val="6D0449A2"/>
    <w:rsid w:val="6D7E0B5E"/>
    <w:rsid w:val="6D8D384D"/>
    <w:rsid w:val="6D9503C4"/>
    <w:rsid w:val="6D9F3AE8"/>
    <w:rsid w:val="6DA0787D"/>
    <w:rsid w:val="6DB874E1"/>
    <w:rsid w:val="6DCD749D"/>
    <w:rsid w:val="6DED6479"/>
    <w:rsid w:val="6E2A06EA"/>
    <w:rsid w:val="6E4A7F11"/>
    <w:rsid w:val="6E597B85"/>
    <w:rsid w:val="6E85086A"/>
    <w:rsid w:val="6F4D2493"/>
    <w:rsid w:val="6F547DC8"/>
    <w:rsid w:val="6F5E1D4C"/>
    <w:rsid w:val="6F5F72BB"/>
    <w:rsid w:val="6F712728"/>
    <w:rsid w:val="6F7447ED"/>
    <w:rsid w:val="6F8C4DB8"/>
    <w:rsid w:val="6FCA73BC"/>
    <w:rsid w:val="6FD25F15"/>
    <w:rsid w:val="702A612A"/>
    <w:rsid w:val="7038392F"/>
    <w:rsid w:val="7042692B"/>
    <w:rsid w:val="707C6F9A"/>
    <w:rsid w:val="707D5C10"/>
    <w:rsid w:val="709A5B0D"/>
    <w:rsid w:val="70A1528F"/>
    <w:rsid w:val="70B83290"/>
    <w:rsid w:val="70C51FBD"/>
    <w:rsid w:val="70CE7706"/>
    <w:rsid w:val="710A4633"/>
    <w:rsid w:val="71173E25"/>
    <w:rsid w:val="711D243B"/>
    <w:rsid w:val="712612F0"/>
    <w:rsid w:val="712C1933"/>
    <w:rsid w:val="71651E9F"/>
    <w:rsid w:val="71692481"/>
    <w:rsid w:val="71BB31C5"/>
    <w:rsid w:val="71D74D30"/>
    <w:rsid w:val="71F16AFB"/>
    <w:rsid w:val="722E2F6D"/>
    <w:rsid w:val="723807EA"/>
    <w:rsid w:val="72A41061"/>
    <w:rsid w:val="72BC0FCB"/>
    <w:rsid w:val="72BD72B5"/>
    <w:rsid w:val="72E370B9"/>
    <w:rsid w:val="733C4DFB"/>
    <w:rsid w:val="73443CF7"/>
    <w:rsid w:val="73497518"/>
    <w:rsid w:val="736B5B4D"/>
    <w:rsid w:val="737064CF"/>
    <w:rsid w:val="73883693"/>
    <w:rsid w:val="73DF029A"/>
    <w:rsid w:val="73EB6821"/>
    <w:rsid w:val="73EF4854"/>
    <w:rsid w:val="740110D9"/>
    <w:rsid w:val="743C01A9"/>
    <w:rsid w:val="743D707D"/>
    <w:rsid w:val="745769FE"/>
    <w:rsid w:val="748E226B"/>
    <w:rsid w:val="74A518E1"/>
    <w:rsid w:val="74CF090A"/>
    <w:rsid w:val="74D437E0"/>
    <w:rsid w:val="74DA48CB"/>
    <w:rsid w:val="74E21F0E"/>
    <w:rsid w:val="74E602FA"/>
    <w:rsid w:val="750000AA"/>
    <w:rsid w:val="75427FD2"/>
    <w:rsid w:val="759D030E"/>
    <w:rsid w:val="75A60C51"/>
    <w:rsid w:val="75CF7CEC"/>
    <w:rsid w:val="75DB4D9F"/>
    <w:rsid w:val="760957C3"/>
    <w:rsid w:val="76142BC8"/>
    <w:rsid w:val="764A5A81"/>
    <w:rsid w:val="76D01393"/>
    <w:rsid w:val="77016B13"/>
    <w:rsid w:val="772B5562"/>
    <w:rsid w:val="773072B2"/>
    <w:rsid w:val="773B361B"/>
    <w:rsid w:val="775070C7"/>
    <w:rsid w:val="77650DC8"/>
    <w:rsid w:val="77BE31C2"/>
    <w:rsid w:val="77EE3B00"/>
    <w:rsid w:val="77FC7D26"/>
    <w:rsid w:val="780962C6"/>
    <w:rsid w:val="780C16CD"/>
    <w:rsid w:val="78300CA6"/>
    <w:rsid w:val="78515BD6"/>
    <w:rsid w:val="785D4FB4"/>
    <w:rsid w:val="78732FE4"/>
    <w:rsid w:val="78876C1E"/>
    <w:rsid w:val="789631FF"/>
    <w:rsid w:val="78A6518B"/>
    <w:rsid w:val="78B57E42"/>
    <w:rsid w:val="78C074D3"/>
    <w:rsid w:val="78F135EE"/>
    <w:rsid w:val="79090B02"/>
    <w:rsid w:val="79122E8B"/>
    <w:rsid w:val="7929789D"/>
    <w:rsid w:val="795F3441"/>
    <w:rsid w:val="797A48CF"/>
    <w:rsid w:val="79A427DF"/>
    <w:rsid w:val="79AD6A52"/>
    <w:rsid w:val="79B6033E"/>
    <w:rsid w:val="79E01D6F"/>
    <w:rsid w:val="7A077BBF"/>
    <w:rsid w:val="7A2219DF"/>
    <w:rsid w:val="7A3B0E99"/>
    <w:rsid w:val="7A8201B2"/>
    <w:rsid w:val="7A9329E8"/>
    <w:rsid w:val="7AB12451"/>
    <w:rsid w:val="7AD45B3A"/>
    <w:rsid w:val="7AF81F4F"/>
    <w:rsid w:val="7AFF1AF2"/>
    <w:rsid w:val="7B191935"/>
    <w:rsid w:val="7B32794C"/>
    <w:rsid w:val="7B3A7913"/>
    <w:rsid w:val="7B83241F"/>
    <w:rsid w:val="7B915F00"/>
    <w:rsid w:val="7B9478D9"/>
    <w:rsid w:val="7B9642BA"/>
    <w:rsid w:val="7BBD6CF5"/>
    <w:rsid w:val="7C0C6AF1"/>
    <w:rsid w:val="7C2823C0"/>
    <w:rsid w:val="7C7C5310"/>
    <w:rsid w:val="7C8C63C5"/>
    <w:rsid w:val="7CAD0B17"/>
    <w:rsid w:val="7CB623A6"/>
    <w:rsid w:val="7CD275C3"/>
    <w:rsid w:val="7CE85E9D"/>
    <w:rsid w:val="7D6514FE"/>
    <w:rsid w:val="7DC30630"/>
    <w:rsid w:val="7E106B8E"/>
    <w:rsid w:val="7E2708CC"/>
    <w:rsid w:val="7E3B205A"/>
    <w:rsid w:val="7E645664"/>
    <w:rsid w:val="7EF55F93"/>
    <w:rsid w:val="7F1C356D"/>
    <w:rsid w:val="7F1F72C5"/>
    <w:rsid w:val="7F440FF9"/>
    <w:rsid w:val="7F65289F"/>
    <w:rsid w:val="7F7D7E4C"/>
    <w:rsid w:val="7FA94EF3"/>
    <w:rsid w:val="7FCC7507"/>
    <w:rsid w:val="7FFE7AD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nhideWhenUsed="0" w:uiPriority="9" w:semiHidden="0" w:name="heading 4"/>
    <w:lsdException w:qFormat="1" w:uiPriority="9" w:semiHidden="0" w:name="heading 5"/>
    <w:lsdException w:qFormat="1" w:uiPriority="9" w:name="heading 6"/>
    <w:lsdException w:qFormat="1" w:uiPriority="9" w:name="heading 7"/>
    <w:lsdException w:qFormat="1" w:unhideWhenUsed="0" w:uiPriority="9" w:semiHidden="0"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iPriority="0" w:semiHidden="0" w:name="Body Text Indent 2"/>
    <w:lsdException w:qFormat="1" w:unhideWhenUsed="0" w:uiPriority="0" w:semiHidden="0" w:name="Body Text Indent 3"/>
    <w:lsdException w:qFormat="1" w:uiPriority="99" w:semiHidden="0"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qFormat="1"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0"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qFormat="1"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qFormat="1" w:unhideWhenUsed="0" w:uiPriority="69" w:semiHidden="0" w:name="Medium Grid 3 Accent 5"/>
    <w:lsdException w:unhideWhenUsed="0" w:uiPriority="70" w:semiHidden="0" w:name="Dark List Accent 5"/>
    <w:lsdException w:unhideWhenUsed="0" w:uiPriority="71" w:semiHidden="0" w:name="Colorful Shading Accent 5"/>
    <w:lsdException w:qFormat="1"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qFormat="1"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qFormat="1"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00" w:lineRule="exact"/>
      <w:ind w:firstLine="1080" w:firstLineChars="200"/>
      <w:jc w:val="both"/>
    </w:pPr>
    <w:rPr>
      <w:rFonts w:ascii="Times New Roman" w:hAnsi="Times New Roman" w:eastAsia="仿宋" w:cs="Times New Roman"/>
      <w:kern w:val="2"/>
      <w:sz w:val="28"/>
      <w:szCs w:val="21"/>
      <w:lang w:val="en-US" w:eastAsia="zh-CN" w:bidi="ar-SA"/>
    </w:rPr>
  </w:style>
  <w:style w:type="paragraph" w:styleId="2">
    <w:name w:val="heading 1"/>
    <w:basedOn w:val="1"/>
    <w:next w:val="1"/>
    <w:link w:val="181"/>
    <w:qFormat/>
    <w:uiPriority w:val="0"/>
    <w:pPr>
      <w:keepNext/>
      <w:keepLines/>
      <w:pageBreakBefore/>
      <w:numPr>
        <w:ilvl w:val="0"/>
        <w:numId w:val="1"/>
      </w:numPr>
      <w:ind w:left="432" w:hanging="432" w:firstLineChars="0"/>
      <w:jc w:val="center"/>
      <w:outlineLvl w:val="0"/>
    </w:pPr>
    <w:rPr>
      <w:rFonts w:ascii="黑体" w:hAnsi="黑体" w:eastAsia="黑体" w:cs="仿宋"/>
      <w:kern w:val="44"/>
      <w:sz w:val="32"/>
      <w:szCs w:val="28"/>
    </w:rPr>
  </w:style>
  <w:style w:type="paragraph" w:styleId="3">
    <w:name w:val="heading 2"/>
    <w:basedOn w:val="1"/>
    <w:next w:val="1"/>
    <w:link w:val="62"/>
    <w:autoRedefine/>
    <w:unhideWhenUsed/>
    <w:qFormat/>
    <w:uiPriority w:val="0"/>
    <w:pPr>
      <w:keepLines/>
      <w:numPr>
        <w:ilvl w:val="1"/>
        <w:numId w:val="1"/>
      </w:numPr>
      <w:ind w:hanging="575" w:firstLineChars="0"/>
      <w:outlineLvl w:val="1"/>
    </w:pPr>
    <w:rPr>
      <w:rFonts w:ascii="黑体" w:hAnsi="黑体" w:eastAsia="黑体"/>
      <w:bCs/>
      <w:sz w:val="30"/>
      <w:szCs w:val="32"/>
    </w:rPr>
  </w:style>
  <w:style w:type="paragraph" w:styleId="4">
    <w:name w:val="heading 3"/>
    <w:basedOn w:val="1"/>
    <w:next w:val="1"/>
    <w:link w:val="63"/>
    <w:autoRedefine/>
    <w:unhideWhenUsed/>
    <w:qFormat/>
    <w:uiPriority w:val="9"/>
    <w:pPr>
      <w:keepNext/>
      <w:numPr>
        <w:ilvl w:val="2"/>
        <w:numId w:val="1"/>
      </w:numPr>
      <w:ind w:left="720" w:hanging="720" w:firstLineChars="0"/>
      <w:outlineLvl w:val="2"/>
    </w:pPr>
    <w:rPr>
      <w:rFonts w:ascii="Times New Roman" w:hAnsi="Times New Roman" w:eastAsia="黑体" w:cs="仿宋"/>
      <w:szCs w:val="28"/>
    </w:rPr>
  </w:style>
  <w:style w:type="paragraph" w:styleId="5">
    <w:name w:val="heading 4"/>
    <w:basedOn w:val="6"/>
    <w:next w:val="1"/>
    <w:link w:val="64"/>
    <w:autoRedefine/>
    <w:qFormat/>
    <w:uiPriority w:val="9"/>
    <w:pPr>
      <w:numPr>
        <w:ilvl w:val="3"/>
        <w:numId w:val="1"/>
      </w:numPr>
      <w:tabs>
        <w:tab w:val="left" w:pos="0"/>
      </w:tabs>
      <w:spacing w:line="240" w:lineRule="auto"/>
      <w:ind w:left="864" w:hanging="864" w:firstLineChars="0"/>
      <w:outlineLvl w:val="3"/>
    </w:pPr>
    <w:rPr>
      <w:b/>
      <w:szCs w:val="28"/>
    </w:rPr>
  </w:style>
  <w:style w:type="paragraph" w:styleId="7">
    <w:name w:val="heading 5"/>
    <w:basedOn w:val="1"/>
    <w:next w:val="1"/>
    <w:link w:val="65"/>
    <w:autoRedefine/>
    <w:unhideWhenUsed/>
    <w:qFormat/>
    <w:uiPriority w:val="9"/>
    <w:pPr>
      <w:keepNext/>
      <w:keepLines/>
      <w:numPr>
        <w:ilvl w:val="4"/>
        <w:numId w:val="1"/>
      </w:numPr>
      <w:spacing w:before="280" w:after="290" w:line="376" w:lineRule="atLeast"/>
      <w:ind w:left="1008" w:hanging="1008" w:firstLineChars="0"/>
      <w:outlineLvl w:val="4"/>
    </w:pPr>
    <w:rPr>
      <w:b/>
      <w:bCs/>
      <w:szCs w:val="28"/>
    </w:rPr>
  </w:style>
  <w:style w:type="paragraph" w:styleId="8">
    <w:name w:val="heading 6"/>
    <w:basedOn w:val="1"/>
    <w:next w:val="1"/>
    <w:semiHidden/>
    <w:unhideWhenUsed/>
    <w:qFormat/>
    <w:uiPriority w:val="9"/>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9">
    <w:name w:val="heading 7"/>
    <w:basedOn w:val="1"/>
    <w:next w:val="1"/>
    <w:semiHidden/>
    <w:unhideWhenUsed/>
    <w:qFormat/>
    <w:uiPriority w:val="9"/>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10">
    <w:name w:val="heading 8"/>
    <w:basedOn w:val="1"/>
    <w:next w:val="1"/>
    <w:autoRedefine/>
    <w:qFormat/>
    <w:uiPriority w:val="9"/>
    <w:pPr>
      <w:keepNext/>
      <w:keepLines/>
      <w:numPr>
        <w:ilvl w:val="7"/>
        <w:numId w:val="1"/>
      </w:numPr>
      <w:adjustRightInd w:val="0"/>
      <w:ind w:left="1440" w:hanging="1440" w:firstLineChars="0"/>
      <w:jc w:val="center"/>
      <w:outlineLvl w:val="7"/>
    </w:pPr>
    <w:rPr>
      <w:rFonts w:ascii="Cambria" w:hAnsi="Cambria"/>
      <w:b/>
      <w:sz w:val="21"/>
      <w:szCs w:val="24"/>
    </w:rPr>
  </w:style>
  <w:style w:type="paragraph" w:styleId="11">
    <w:name w:val="heading 9"/>
    <w:basedOn w:val="1"/>
    <w:next w:val="1"/>
    <w:semiHidden/>
    <w:unhideWhenUsed/>
    <w:qFormat/>
    <w:uiPriority w:val="9"/>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51">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customStyle="1" w:styleId="6">
    <w:name w:val="基准-无缩进"/>
    <w:basedOn w:val="4"/>
    <w:autoRedefine/>
    <w:qFormat/>
    <w:uiPriority w:val="0"/>
    <w:pPr>
      <w:numPr>
        <w:ilvl w:val="0"/>
        <w:numId w:val="0"/>
      </w:numPr>
      <w:tabs>
        <w:tab w:val="left" w:pos="0"/>
      </w:tabs>
    </w:pPr>
  </w:style>
  <w:style w:type="paragraph" w:styleId="12">
    <w:name w:val="toc 7"/>
    <w:basedOn w:val="1"/>
    <w:next w:val="1"/>
    <w:link w:val="66"/>
    <w:autoRedefine/>
    <w:unhideWhenUsed/>
    <w:qFormat/>
    <w:uiPriority w:val="39"/>
    <w:pPr>
      <w:spacing w:line="240" w:lineRule="auto"/>
      <w:ind w:left="2520" w:leftChars="1200" w:firstLine="0" w:firstLineChars="0"/>
    </w:pPr>
    <w:rPr>
      <w:rFonts w:ascii="等线" w:hAnsi="等线" w:eastAsia="等线"/>
      <w:sz w:val="21"/>
      <w:szCs w:val="28"/>
    </w:rPr>
  </w:style>
  <w:style w:type="paragraph" w:styleId="13">
    <w:name w:val="Normal Indent"/>
    <w:basedOn w:val="1"/>
    <w:next w:val="14"/>
    <w:autoRedefine/>
    <w:qFormat/>
    <w:uiPriority w:val="0"/>
    <w:pPr>
      <w:tabs>
        <w:tab w:val="left" w:pos="630"/>
      </w:tabs>
      <w:adjustRightInd w:val="0"/>
      <w:snapToGrid w:val="0"/>
      <w:spacing w:line="360" w:lineRule="auto"/>
      <w:ind w:firstLine="442"/>
    </w:pPr>
    <w:rPr>
      <w:sz w:val="24"/>
      <w:szCs w:val="20"/>
    </w:rPr>
  </w:style>
  <w:style w:type="paragraph" w:styleId="14">
    <w:name w:val="Body Text First Indent"/>
    <w:basedOn w:val="15"/>
    <w:next w:val="1"/>
    <w:autoRedefine/>
    <w:unhideWhenUsed/>
    <w:qFormat/>
    <w:uiPriority w:val="99"/>
    <w:pPr>
      <w:spacing w:before="154"/>
      <w:ind w:left="121" w:firstLine="420" w:firstLineChars="100"/>
    </w:pPr>
    <w:rPr>
      <w:rFonts w:ascii="仿宋" w:hAnsi="仿宋"/>
      <w:szCs w:val="21"/>
    </w:rPr>
  </w:style>
  <w:style w:type="paragraph" w:styleId="15">
    <w:name w:val="Body Text"/>
    <w:basedOn w:val="1"/>
    <w:link w:val="60"/>
    <w:autoRedefine/>
    <w:qFormat/>
    <w:uiPriority w:val="0"/>
    <w:pPr>
      <w:spacing w:after="120"/>
      <w:ind w:firstLine="200"/>
    </w:pPr>
    <w:rPr>
      <w:rFonts w:hint="eastAsia" w:ascii="宋体" w:hAnsi="Courier New"/>
      <w:szCs w:val="20"/>
    </w:rPr>
  </w:style>
  <w:style w:type="paragraph" w:styleId="16">
    <w:name w:val="caption"/>
    <w:basedOn w:val="1"/>
    <w:next w:val="1"/>
    <w:link w:val="194"/>
    <w:autoRedefine/>
    <w:qFormat/>
    <w:uiPriority w:val="35"/>
    <w:pPr>
      <w:ind w:firstLine="200"/>
      <w:jc w:val="center"/>
    </w:pPr>
    <w:rPr>
      <w:rFonts w:ascii="Cambria" w:hAnsi="Cambria" w:eastAsia="黑体"/>
      <w:sz w:val="20"/>
      <w:szCs w:val="20"/>
    </w:rPr>
  </w:style>
  <w:style w:type="paragraph" w:styleId="17">
    <w:name w:val="Document Map"/>
    <w:basedOn w:val="1"/>
    <w:link w:val="67"/>
    <w:autoRedefine/>
    <w:unhideWhenUsed/>
    <w:qFormat/>
    <w:uiPriority w:val="0"/>
    <w:rPr>
      <w:rFonts w:ascii="宋体" w:eastAsia="宋体"/>
      <w:sz w:val="18"/>
      <w:szCs w:val="18"/>
    </w:rPr>
  </w:style>
  <w:style w:type="paragraph" w:styleId="18">
    <w:name w:val="annotation text"/>
    <w:basedOn w:val="1"/>
    <w:link w:val="68"/>
    <w:autoRedefine/>
    <w:unhideWhenUsed/>
    <w:qFormat/>
    <w:uiPriority w:val="0"/>
    <w:pPr>
      <w:jc w:val="left"/>
    </w:pPr>
  </w:style>
  <w:style w:type="paragraph" w:styleId="19">
    <w:name w:val="Body Text 3"/>
    <w:basedOn w:val="1"/>
    <w:link w:val="69"/>
    <w:autoRedefine/>
    <w:qFormat/>
    <w:uiPriority w:val="0"/>
    <w:pPr>
      <w:spacing w:after="120"/>
      <w:ind w:firstLine="200"/>
    </w:pPr>
    <w:rPr>
      <w:sz w:val="16"/>
      <w:szCs w:val="16"/>
    </w:rPr>
  </w:style>
  <w:style w:type="paragraph" w:styleId="20">
    <w:name w:val="Body Text Indent"/>
    <w:basedOn w:val="1"/>
    <w:link w:val="70"/>
    <w:qFormat/>
    <w:uiPriority w:val="99"/>
    <w:pPr>
      <w:spacing w:before="120" w:beforeLines="50" w:line="240" w:lineRule="auto"/>
      <w:ind w:firstLine="0" w:firstLineChars="0"/>
      <w:jc w:val="center"/>
    </w:pPr>
    <w:rPr>
      <w:rFonts w:ascii="宋体" w:hAnsi="宋体" w:eastAsia="宋体"/>
      <w:b/>
      <w:kern w:val="0"/>
      <w:sz w:val="52"/>
      <w:szCs w:val="52"/>
    </w:rPr>
  </w:style>
  <w:style w:type="paragraph" w:styleId="21">
    <w:name w:val="Block Text"/>
    <w:basedOn w:val="1"/>
    <w:autoRedefine/>
    <w:unhideWhenUsed/>
    <w:qFormat/>
    <w:uiPriority w:val="99"/>
    <w:pPr>
      <w:spacing w:after="120"/>
      <w:ind w:left="1440" w:leftChars="700" w:right="700" w:rightChars="700"/>
    </w:pPr>
  </w:style>
  <w:style w:type="paragraph" w:styleId="22">
    <w:name w:val="toc 5"/>
    <w:basedOn w:val="1"/>
    <w:next w:val="1"/>
    <w:autoRedefine/>
    <w:unhideWhenUsed/>
    <w:qFormat/>
    <w:uiPriority w:val="39"/>
    <w:pPr>
      <w:spacing w:line="240" w:lineRule="auto"/>
      <w:ind w:left="1680" w:leftChars="800" w:firstLine="0" w:firstLineChars="0"/>
    </w:pPr>
    <w:rPr>
      <w:rFonts w:ascii="等线" w:hAnsi="等线" w:eastAsia="等线"/>
      <w:sz w:val="21"/>
      <w:szCs w:val="28"/>
    </w:rPr>
  </w:style>
  <w:style w:type="paragraph" w:styleId="23">
    <w:name w:val="toc 3"/>
    <w:basedOn w:val="1"/>
    <w:next w:val="1"/>
    <w:autoRedefine/>
    <w:unhideWhenUsed/>
    <w:qFormat/>
    <w:uiPriority w:val="39"/>
    <w:pPr>
      <w:ind w:left="840" w:leftChars="400"/>
    </w:pPr>
  </w:style>
  <w:style w:type="paragraph" w:styleId="24">
    <w:name w:val="Plain Text"/>
    <w:basedOn w:val="1"/>
    <w:link w:val="71"/>
    <w:autoRedefine/>
    <w:qFormat/>
    <w:uiPriority w:val="0"/>
    <w:pPr>
      <w:spacing w:line="360" w:lineRule="auto"/>
      <w:ind w:firstLine="480"/>
    </w:pPr>
    <w:rPr>
      <w:rFonts w:ascii="宋体" w:hAnsi="Courier New"/>
      <w:sz w:val="21"/>
    </w:rPr>
  </w:style>
  <w:style w:type="paragraph" w:styleId="25">
    <w:name w:val="toc 8"/>
    <w:basedOn w:val="1"/>
    <w:next w:val="1"/>
    <w:autoRedefine/>
    <w:unhideWhenUsed/>
    <w:qFormat/>
    <w:uiPriority w:val="39"/>
    <w:pPr>
      <w:spacing w:line="240" w:lineRule="auto"/>
      <w:ind w:left="2940" w:leftChars="1400" w:firstLine="0" w:firstLineChars="0"/>
    </w:pPr>
    <w:rPr>
      <w:rFonts w:ascii="等线" w:hAnsi="等线" w:eastAsia="等线"/>
      <w:sz w:val="21"/>
      <w:szCs w:val="28"/>
    </w:rPr>
  </w:style>
  <w:style w:type="paragraph" w:styleId="26">
    <w:name w:val="Date"/>
    <w:basedOn w:val="1"/>
    <w:next w:val="1"/>
    <w:link w:val="72"/>
    <w:autoRedefine/>
    <w:qFormat/>
    <w:uiPriority w:val="0"/>
    <w:pPr>
      <w:ind w:left="100" w:leftChars="2500" w:firstLine="200"/>
    </w:pPr>
    <w:rPr>
      <w:szCs w:val="28"/>
    </w:rPr>
  </w:style>
  <w:style w:type="paragraph" w:styleId="27">
    <w:name w:val="Body Text Indent 2"/>
    <w:basedOn w:val="1"/>
    <w:link w:val="73"/>
    <w:autoRedefine/>
    <w:unhideWhenUsed/>
    <w:qFormat/>
    <w:uiPriority w:val="0"/>
    <w:pPr>
      <w:spacing w:line="560" w:lineRule="exact"/>
      <w:ind w:firstLine="557" w:firstLineChars="199"/>
    </w:pPr>
  </w:style>
  <w:style w:type="paragraph" w:styleId="28">
    <w:name w:val="Balloon Text"/>
    <w:basedOn w:val="1"/>
    <w:link w:val="74"/>
    <w:autoRedefine/>
    <w:unhideWhenUsed/>
    <w:qFormat/>
    <w:uiPriority w:val="0"/>
    <w:rPr>
      <w:sz w:val="18"/>
      <w:szCs w:val="18"/>
    </w:rPr>
  </w:style>
  <w:style w:type="paragraph" w:styleId="29">
    <w:name w:val="footer"/>
    <w:basedOn w:val="1"/>
    <w:link w:val="75"/>
    <w:autoRedefine/>
    <w:unhideWhenUsed/>
    <w:qFormat/>
    <w:uiPriority w:val="99"/>
    <w:pPr>
      <w:tabs>
        <w:tab w:val="center" w:pos="4153"/>
        <w:tab w:val="right" w:pos="8306"/>
      </w:tabs>
      <w:snapToGrid w:val="0"/>
      <w:ind w:firstLine="360"/>
    </w:pPr>
    <w:rPr>
      <w:sz w:val="18"/>
      <w:szCs w:val="18"/>
    </w:rPr>
  </w:style>
  <w:style w:type="paragraph" w:styleId="30">
    <w:name w:val="header"/>
    <w:basedOn w:val="1"/>
    <w:link w:val="7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31">
    <w:name w:val="toc 1"/>
    <w:basedOn w:val="1"/>
    <w:next w:val="1"/>
    <w:autoRedefine/>
    <w:unhideWhenUsed/>
    <w:qFormat/>
    <w:uiPriority w:val="39"/>
  </w:style>
  <w:style w:type="paragraph" w:styleId="32">
    <w:name w:val="toc 4"/>
    <w:basedOn w:val="1"/>
    <w:next w:val="1"/>
    <w:autoRedefine/>
    <w:unhideWhenUsed/>
    <w:qFormat/>
    <w:uiPriority w:val="39"/>
    <w:pPr>
      <w:spacing w:line="240" w:lineRule="auto"/>
      <w:ind w:left="1260" w:leftChars="600" w:firstLine="0" w:firstLineChars="0"/>
    </w:pPr>
    <w:rPr>
      <w:rFonts w:ascii="等线" w:hAnsi="等线" w:eastAsia="等线"/>
      <w:sz w:val="21"/>
      <w:szCs w:val="28"/>
    </w:rPr>
  </w:style>
  <w:style w:type="paragraph" w:styleId="33">
    <w:name w:val="Subtitle"/>
    <w:basedOn w:val="1"/>
    <w:next w:val="1"/>
    <w:link w:val="77"/>
    <w:autoRedefine/>
    <w:qFormat/>
    <w:uiPriority w:val="11"/>
    <w:pPr>
      <w:spacing w:line="240" w:lineRule="auto"/>
      <w:ind w:firstLine="0" w:firstLineChars="0"/>
      <w:jc w:val="center"/>
      <w:outlineLvl w:val="4"/>
    </w:pPr>
    <w:rPr>
      <w:rFonts w:ascii="Cambria" w:hAnsi="Cambria" w:eastAsia="黑体"/>
      <w:b/>
      <w:bCs/>
      <w:kern w:val="28"/>
      <w:sz w:val="24"/>
      <w:szCs w:val="32"/>
    </w:rPr>
  </w:style>
  <w:style w:type="paragraph" w:styleId="34">
    <w:name w:val="toc 6"/>
    <w:basedOn w:val="1"/>
    <w:next w:val="1"/>
    <w:autoRedefine/>
    <w:unhideWhenUsed/>
    <w:qFormat/>
    <w:uiPriority w:val="39"/>
    <w:pPr>
      <w:spacing w:line="240" w:lineRule="auto"/>
      <w:ind w:left="2100" w:leftChars="1000" w:firstLine="0" w:firstLineChars="0"/>
    </w:pPr>
    <w:rPr>
      <w:rFonts w:ascii="等线" w:hAnsi="等线" w:eastAsia="等线"/>
      <w:sz w:val="21"/>
      <w:szCs w:val="28"/>
    </w:rPr>
  </w:style>
  <w:style w:type="paragraph" w:styleId="35">
    <w:name w:val="Body Text Indent 3"/>
    <w:basedOn w:val="1"/>
    <w:link w:val="78"/>
    <w:autoRedefine/>
    <w:qFormat/>
    <w:uiPriority w:val="0"/>
    <w:pPr>
      <w:spacing w:after="120" w:line="360" w:lineRule="auto"/>
      <w:ind w:left="420" w:leftChars="200" w:firstLine="480"/>
    </w:pPr>
    <w:rPr>
      <w:rFonts w:ascii="Arial" w:hAnsi="Arial"/>
      <w:sz w:val="16"/>
      <w:szCs w:val="16"/>
    </w:rPr>
  </w:style>
  <w:style w:type="paragraph" w:styleId="36">
    <w:name w:val="toc 2"/>
    <w:basedOn w:val="1"/>
    <w:next w:val="1"/>
    <w:autoRedefine/>
    <w:unhideWhenUsed/>
    <w:qFormat/>
    <w:uiPriority w:val="39"/>
    <w:pPr>
      <w:ind w:left="420" w:leftChars="200"/>
    </w:pPr>
  </w:style>
  <w:style w:type="paragraph" w:styleId="37">
    <w:name w:val="toc 9"/>
    <w:basedOn w:val="1"/>
    <w:next w:val="1"/>
    <w:autoRedefine/>
    <w:unhideWhenUsed/>
    <w:qFormat/>
    <w:uiPriority w:val="39"/>
    <w:pPr>
      <w:spacing w:line="240" w:lineRule="auto"/>
      <w:ind w:left="3360" w:leftChars="1600" w:firstLine="0" w:firstLineChars="0"/>
    </w:pPr>
    <w:rPr>
      <w:rFonts w:ascii="等线" w:hAnsi="等线" w:eastAsia="等线"/>
      <w:sz w:val="21"/>
      <w:szCs w:val="28"/>
    </w:rPr>
  </w:style>
  <w:style w:type="paragraph" w:styleId="38">
    <w:name w:val="Body Text 2"/>
    <w:basedOn w:val="1"/>
    <w:link w:val="79"/>
    <w:autoRedefine/>
    <w:qFormat/>
    <w:uiPriority w:val="0"/>
    <w:pPr>
      <w:ind w:firstLine="200"/>
    </w:pPr>
    <w:rPr>
      <w:rFonts w:eastAsia="宋体"/>
      <w:sz w:val="24"/>
      <w:szCs w:val="24"/>
    </w:rPr>
  </w:style>
  <w:style w:type="paragraph" w:styleId="39">
    <w:name w:val="Normal (Web)"/>
    <w:basedOn w:val="1"/>
    <w:link w:val="80"/>
    <w:autoRedefine/>
    <w:unhideWhenUsed/>
    <w:qFormat/>
    <w:uiPriority w:val="0"/>
    <w:pPr>
      <w:spacing w:beforeAutospacing="1" w:afterAutospacing="1"/>
      <w:jc w:val="left"/>
    </w:pPr>
    <w:rPr>
      <w:rFonts w:ascii="仿宋" w:hAnsi="仿宋"/>
      <w:kern w:val="0"/>
      <w:sz w:val="24"/>
    </w:rPr>
  </w:style>
  <w:style w:type="paragraph" w:styleId="40">
    <w:name w:val="index 1"/>
    <w:basedOn w:val="1"/>
    <w:next w:val="1"/>
    <w:autoRedefine/>
    <w:qFormat/>
    <w:uiPriority w:val="0"/>
  </w:style>
  <w:style w:type="paragraph" w:styleId="41">
    <w:name w:val="Title"/>
    <w:basedOn w:val="1"/>
    <w:next w:val="1"/>
    <w:link w:val="81"/>
    <w:autoRedefine/>
    <w:qFormat/>
    <w:uiPriority w:val="10"/>
    <w:pPr>
      <w:spacing w:before="240" w:after="60"/>
      <w:ind w:firstLine="200"/>
      <w:jc w:val="center"/>
      <w:outlineLvl w:val="0"/>
    </w:pPr>
    <w:rPr>
      <w:rFonts w:ascii="Cambria" w:hAnsi="Cambria"/>
      <w:b/>
      <w:bCs/>
      <w:kern w:val="0"/>
      <w:sz w:val="32"/>
      <w:szCs w:val="32"/>
    </w:rPr>
  </w:style>
  <w:style w:type="paragraph" w:styleId="42">
    <w:name w:val="annotation subject"/>
    <w:basedOn w:val="18"/>
    <w:next w:val="18"/>
    <w:link w:val="82"/>
    <w:autoRedefine/>
    <w:qFormat/>
    <w:uiPriority w:val="0"/>
    <w:pPr>
      <w:ind w:firstLine="200"/>
    </w:pPr>
    <w:rPr>
      <w:b/>
      <w:bCs/>
      <w:szCs w:val="28"/>
    </w:rPr>
  </w:style>
  <w:style w:type="paragraph" w:styleId="43">
    <w:name w:val="Body Text First Indent 2"/>
    <w:basedOn w:val="15"/>
    <w:next w:val="15"/>
    <w:link w:val="83"/>
    <w:autoRedefine/>
    <w:qFormat/>
    <w:uiPriority w:val="0"/>
    <w:pPr>
      <w:widowControl/>
      <w:spacing w:after="120" w:line="240" w:lineRule="exact"/>
      <w:ind w:left="420" w:leftChars="200" w:firstLine="420"/>
      <w:textAlignment w:val="baseline"/>
    </w:pPr>
    <w:rPr>
      <w:snapToGrid w:val="0"/>
      <w:szCs w:val="20"/>
    </w:rPr>
  </w:style>
  <w:style w:type="table" w:styleId="45">
    <w:name w:val="Table Grid"/>
    <w:basedOn w:val="4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6">
    <w:name w:val="Medium Shading 1 Accent 6"/>
    <w:basedOn w:val="44"/>
    <w:autoRedefine/>
    <w:qFormat/>
    <w:uiPriority w:val="63"/>
    <w:tblPr>
      <w:tblBorders>
        <w:top w:val="single" w:color="93C571" w:sz="8" w:space="0"/>
        <w:left w:val="single" w:color="93C571" w:sz="8" w:space="0"/>
        <w:bottom w:val="single" w:color="93C571" w:sz="8" w:space="0"/>
        <w:right w:val="single" w:color="93C571" w:sz="8" w:space="0"/>
        <w:insideH w:val="single" w:color="93C571" w:sz="8" w:space="0"/>
      </w:tblBorders>
    </w:tblPr>
    <w:tblStylePr w:type="firstRow">
      <w:pPr>
        <w:spacing w:before="0" w:after="0" w:line="240" w:lineRule="auto"/>
      </w:pPr>
      <w:rPr>
        <w:b/>
        <w:bCs/>
        <w:color w:val="FFFFFF"/>
      </w:rPr>
      <w:tblPr/>
      <w:tcPr>
        <w:tcBorders>
          <w:top w:val="single" w:color="93C571" w:sz="8" w:space="0"/>
          <w:left w:val="single" w:color="93C571" w:sz="8" w:space="0"/>
          <w:bottom w:val="single" w:color="93C571" w:sz="8" w:space="0"/>
          <w:right w:val="single" w:color="93C571" w:sz="8" w:space="0"/>
          <w:insideH w:val="nil"/>
          <w:insideV w:val="nil"/>
          <w:tl2br w:val="nil"/>
          <w:tr2bl w:val="nil"/>
        </w:tcBorders>
        <w:shd w:val="clear" w:color="auto" w:fill="70AD47"/>
      </w:tcPr>
    </w:tblStylePr>
    <w:tblStylePr w:type="lastRow">
      <w:pPr>
        <w:spacing w:before="0" w:after="0" w:line="240" w:lineRule="auto"/>
      </w:pPr>
      <w:rPr>
        <w:b/>
        <w:bCs/>
      </w:rPr>
      <w:tblPr/>
      <w:tcPr>
        <w:tcBorders>
          <w:top w:val="double" w:color="93C571" w:sz="6" w:space="0"/>
          <w:left w:val="single" w:color="93C571" w:sz="8" w:space="0"/>
          <w:bottom w:val="single" w:color="93C571" w:sz="8" w:space="0"/>
          <w:right w:val="single" w:color="93C571" w:sz="8" w:space="0"/>
          <w:insideH w:val="nil"/>
          <w:insideV w:val="nil"/>
          <w:tl2br w:val="nil"/>
          <w:tr2bl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top w:val="nil"/>
          <w:left w:val="nil"/>
          <w:bottom w:val="nil"/>
          <w:right w:val="nil"/>
          <w:insideH w:val="nil"/>
          <w:insideV w:val="nil"/>
          <w:tl2br w:val="nil"/>
          <w:tr2bl w:val="nil"/>
        </w:tcBorders>
        <w:shd w:val="clear" w:color="auto" w:fill="DBEBD0"/>
      </w:tcPr>
    </w:tblStylePr>
    <w:tblStylePr w:type="band2Horz">
      <w:tblPr/>
      <w:tcPr>
        <w:tcBorders>
          <w:top w:val="nil"/>
          <w:left w:val="nil"/>
          <w:bottom w:val="nil"/>
          <w:right w:val="nil"/>
          <w:insideH w:val="nil"/>
          <w:insideV w:val="nil"/>
          <w:tl2br w:val="nil"/>
          <w:tr2bl w:val="nil"/>
        </w:tcBorders>
      </w:tcPr>
    </w:tblStylePr>
  </w:style>
  <w:style w:type="table" w:styleId="47">
    <w:name w:val="Medium Grid 3 Accent 5"/>
    <w:basedOn w:val="44"/>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6E6F4"/>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l2br w:val="nil"/>
          <w:tr2bl w:val="nil"/>
        </w:tcBorders>
        <w:shd w:val="clear" w:color="auto" w:fill="5B9BD5"/>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l2br w:val="nil"/>
          <w:tr2bl w:val="nil"/>
        </w:tcBorders>
        <w:shd w:val="clear" w:color="auto" w:fill="5B9BD5"/>
      </w:tcPr>
    </w:tblStylePr>
    <w:tblStylePr w:type="firstCol">
      <w:rPr>
        <w:b/>
        <w:bCs/>
        <w:i w:val="0"/>
        <w:iCs w:val="0"/>
        <w:color w:val="FFFFFF"/>
      </w:rPr>
      <w:tblPr/>
      <w:tcPr>
        <w:tcBorders>
          <w:top w:val="nil"/>
          <w:left w:val="nil"/>
          <w:bottom w:val="single" w:color="FFFFFF" w:sz="8" w:space="0"/>
          <w:right w:val="single" w:color="FFFFFF" w:sz="24" w:space="0"/>
          <w:insideH w:val="nil"/>
          <w:insideV w:val="nil"/>
          <w:tl2br w:val="nil"/>
          <w:tr2bl w:val="nil"/>
        </w:tcBorders>
        <w:shd w:val="clear" w:color="auto" w:fill="5B9BD5"/>
      </w:tcPr>
    </w:tblStylePr>
    <w:tblStylePr w:type="lastCol">
      <w:rPr>
        <w:b/>
        <w:bCs/>
        <w:i w:val="0"/>
        <w:iCs w:val="0"/>
        <w:color w:val="FFFFFF"/>
      </w:rPr>
      <w:tblPr/>
      <w:tcPr>
        <w:tcBorders>
          <w:top w:val="nil"/>
          <w:left w:val="nil"/>
          <w:bottom w:val="single" w:color="FFFFFF" w:sz="24" w:space="0"/>
          <w:right w:val="nil"/>
          <w:insideH w:val="nil"/>
          <w:insideV w:val="nil"/>
          <w:tl2br w:val="nil"/>
          <w:tr2bl w:val="nil"/>
        </w:tcBorders>
        <w:shd w:val="clear" w:color="auto" w:fill="5B9BD5"/>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l2br w:val="nil"/>
          <w:tr2bl w:val="nil"/>
        </w:tcBorders>
        <w:shd w:val="clear" w:color="auto" w:fill="ADCCEA"/>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l2br w:val="nil"/>
          <w:tr2bl w:val="nil"/>
        </w:tcBorders>
        <w:shd w:val="clear" w:color="auto" w:fill="ADCCEA"/>
      </w:tcPr>
    </w:tblStylePr>
  </w:style>
  <w:style w:type="table" w:styleId="48">
    <w:name w:val="Medium Grid 3 Accent 6"/>
    <w:basedOn w:val="44"/>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BEB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l2br w:val="nil"/>
          <w:tr2bl w:val="nil"/>
        </w:tcBorders>
        <w:shd w:val="clear" w:color="auto" w:fill="70AD47"/>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l2br w:val="nil"/>
          <w:tr2bl w:val="nil"/>
        </w:tcBorders>
        <w:shd w:val="clear" w:color="auto" w:fill="70AD47"/>
      </w:tcPr>
    </w:tblStylePr>
    <w:tblStylePr w:type="firstCol">
      <w:rPr>
        <w:b/>
        <w:bCs/>
        <w:i w:val="0"/>
        <w:iCs w:val="0"/>
        <w:color w:val="FFFFFF"/>
      </w:rPr>
      <w:tblPr/>
      <w:tcPr>
        <w:tcBorders>
          <w:top w:val="nil"/>
          <w:left w:val="nil"/>
          <w:bottom w:val="single" w:color="FFFFFF" w:sz="8" w:space="0"/>
          <w:right w:val="single" w:color="FFFFFF" w:sz="24" w:space="0"/>
          <w:insideH w:val="nil"/>
          <w:insideV w:val="nil"/>
          <w:tl2br w:val="nil"/>
          <w:tr2bl w:val="nil"/>
        </w:tcBorders>
        <w:shd w:val="clear" w:color="auto" w:fill="70AD47"/>
      </w:tcPr>
    </w:tblStylePr>
    <w:tblStylePr w:type="lastCol">
      <w:rPr>
        <w:b/>
        <w:bCs/>
        <w:i w:val="0"/>
        <w:iCs w:val="0"/>
        <w:color w:val="FFFFFF"/>
      </w:rPr>
      <w:tblPr/>
      <w:tcPr>
        <w:tcBorders>
          <w:top w:val="nil"/>
          <w:left w:val="nil"/>
          <w:bottom w:val="single" w:color="FFFFFF" w:sz="24" w:space="0"/>
          <w:right w:val="nil"/>
          <w:insideH w:val="nil"/>
          <w:insideV w:val="nil"/>
          <w:tl2br w:val="nil"/>
          <w:tr2bl w:val="nil"/>
        </w:tcBorders>
        <w:shd w:val="clear" w:color="auto" w:fill="70AD47"/>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l2br w:val="nil"/>
          <w:tr2bl w:val="nil"/>
        </w:tcBorders>
        <w:shd w:val="clear" w:color="auto" w:fill="B7D8A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l2br w:val="nil"/>
          <w:tr2bl w:val="nil"/>
        </w:tcBorders>
        <w:shd w:val="clear" w:color="auto" w:fill="B7D8A0"/>
      </w:tcPr>
    </w:tblStylePr>
  </w:style>
  <w:style w:type="table" w:styleId="49">
    <w:name w:val="Colorful Shading Accent 3"/>
    <w:basedOn w:val="44"/>
    <w:autoRedefine/>
    <w:qFormat/>
    <w:uiPriority w:val="71"/>
    <w:rPr>
      <w:color w:val="000000"/>
    </w:rPr>
    <w:tblPr>
      <w:tblBorders>
        <w:top w:val="single" w:color="FFC000" w:sz="24" w:space="0"/>
        <w:left w:val="single" w:color="A5A5A5" w:sz="4" w:space="0"/>
        <w:bottom w:val="single" w:color="A5A5A5" w:sz="4" w:space="0"/>
        <w:right w:val="single" w:color="A5A5A5" w:sz="4" w:space="0"/>
        <w:insideH w:val="single" w:color="FFFFFF" w:sz="4" w:space="0"/>
        <w:insideV w:val="single" w:color="FFFFFF" w:sz="4" w:space="0"/>
      </w:tblBorders>
    </w:tblPr>
    <w:tcPr>
      <w:shd w:val="clear" w:color="auto" w:fill="F6F6F6"/>
    </w:tcPr>
    <w:tblStylePr w:type="firstRow">
      <w:rPr>
        <w:b/>
        <w:bCs/>
      </w:rPr>
      <w:tblPr/>
      <w:tcPr>
        <w:tcBorders>
          <w:top w:val="nil"/>
          <w:left w:val="single" w:color="FFC000" w:sz="24" w:space="0"/>
          <w:bottom w:val="nil"/>
          <w:right w:val="nil"/>
          <w:insideH w:val="nil"/>
          <w:insideV w:val="nil"/>
          <w:tl2br w:val="nil"/>
          <w:tr2bl w:val="nil"/>
        </w:tcBorders>
        <w:shd w:val="clear" w:color="auto" w:fill="FFFFFF"/>
      </w:tcPr>
    </w:tblStylePr>
    <w:tblStylePr w:type="lastRow">
      <w:rPr>
        <w:b/>
        <w:bCs/>
        <w:color w:val="FFFFFF"/>
      </w:rPr>
      <w:tblPr/>
      <w:tcPr>
        <w:tcBorders>
          <w:top w:val="single" w:color="FFFFFF" w:sz="6" w:space="0"/>
          <w:left w:val="nil"/>
          <w:bottom w:val="nil"/>
          <w:right w:val="nil"/>
          <w:insideH w:val="nil"/>
          <w:insideV w:val="nil"/>
          <w:tl2br w:val="nil"/>
          <w:tr2bl w:val="nil"/>
        </w:tcBorders>
        <w:shd w:val="clear" w:color="auto" w:fill="636363"/>
      </w:tcPr>
    </w:tblStylePr>
    <w:tblStylePr w:type="firstCol">
      <w:rPr>
        <w:color w:val="FFFFFF"/>
      </w:rPr>
      <w:tblPr/>
      <w:tcPr>
        <w:tcBorders>
          <w:top w:val="nil"/>
          <w:left w:val="nil"/>
          <w:bottom w:val="nil"/>
          <w:right w:val="nil"/>
          <w:insideH w:val="single" w:sz="4" w:space="0"/>
          <w:insideV w:val="nil"/>
          <w:tl2br w:val="nil"/>
          <w:tr2bl w:val="nil"/>
        </w:tcBorders>
        <w:shd w:val="clear" w:color="auto" w:fill="636363"/>
      </w:tcPr>
    </w:tblStylePr>
    <w:tblStylePr w:type="lastCol">
      <w:rPr>
        <w:color w:val="FFFFFF"/>
      </w:rPr>
      <w:tblPr/>
      <w:tcPr>
        <w:tcBorders>
          <w:top w:val="nil"/>
          <w:left w:val="nil"/>
          <w:bottom w:val="nil"/>
          <w:right w:val="nil"/>
          <w:insideH w:val="nil"/>
          <w:insideV w:val="nil"/>
          <w:tl2br w:val="nil"/>
          <w:tr2bl w:val="nil"/>
        </w:tcBorders>
        <w:shd w:val="clear" w:color="auto" w:fill="636363"/>
      </w:tcPr>
    </w:tblStylePr>
    <w:tblStylePr w:type="band1Vert">
      <w:tblPr/>
      <w:tcPr>
        <w:shd w:val="clear" w:color="auto" w:fill="DBDBDB"/>
      </w:tcPr>
    </w:tblStylePr>
    <w:tblStylePr w:type="band1Horz">
      <w:tblPr/>
      <w:tcPr>
        <w:shd w:val="clear" w:color="auto" w:fill="D2D2D2"/>
      </w:tcPr>
    </w:tblStylePr>
  </w:style>
  <w:style w:type="table" w:styleId="50">
    <w:name w:val="Colorful List Accent 5"/>
    <w:basedOn w:val="44"/>
    <w:autoRedefine/>
    <w:qFormat/>
    <w:uiPriority w:val="72"/>
    <w:rPr>
      <w:color w:val="000000"/>
    </w:rPr>
    <w:tblPr>
      <w:tblStyleRowBandSize w:val="1"/>
      <w:tblStyleColBandSize w:val="1"/>
    </w:tblPr>
    <w:tcPr>
      <w:shd w:val="clear" w:color="auto" w:fill="EEF5FB"/>
    </w:tcPr>
    <w:tblStylePr w:type="firstRow">
      <w:rPr>
        <w:b/>
        <w:bCs/>
        <w:color w:val="FFFFFF"/>
      </w:rPr>
      <w:tblPr/>
      <w:tcPr>
        <w:tcBorders>
          <w:top w:val="nil"/>
          <w:left w:val="single" w:color="FFFFFF" w:sz="12" w:space="0"/>
          <w:bottom w:val="nil"/>
          <w:right w:val="nil"/>
          <w:insideH w:val="nil"/>
          <w:insideV w:val="nil"/>
          <w:tl2br w:val="nil"/>
          <w:tr2bl w:val="nil"/>
        </w:tcBorders>
        <w:shd w:val="clear" w:color="auto" w:fill="598A38"/>
      </w:tcPr>
    </w:tblStylePr>
    <w:tblStylePr w:type="lastRow">
      <w:rPr>
        <w:b/>
        <w:bCs/>
        <w:color w:val="598A38"/>
      </w:rPr>
      <w:tblPr/>
      <w:tcPr>
        <w:tcBorders>
          <w:top w:val="single" w:color="000000" w:sz="12" w:space="0"/>
          <w:left w:val="nil"/>
          <w:bottom w:val="nil"/>
          <w:right w:val="nil"/>
          <w:insideH w:val="nil"/>
          <w:insideV w:val="nil"/>
          <w:tl2br w:val="nil"/>
          <w:tr2bl w:val="nil"/>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6E6F4"/>
      </w:tcPr>
    </w:tblStylePr>
    <w:tblStylePr w:type="band1Horz">
      <w:tblPr/>
      <w:tcPr>
        <w:shd w:val="clear" w:color="auto" w:fill="DEEAF6"/>
      </w:tcPr>
    </w:tblStylePr>
  </w:style>
  <w:style w:type="character" w:styleId="52">
    <w:name w:val="Strong"/>
    <w:autoRedefine/>
    <w:qFormat/>
    <w:uiPriority w:val="22"/>
    <w:rPr>
      <w:b/>
      <w:bCs/>
    </w:rPr>
  </w:style>
  <w:style w:type="character" w:styleId="53">
    <w:name w:val="page number"/>
    <w:autoRedefine/>
    <w:qFormat/>
    <w:uiPriority w:val="0"/>
  </w:style>
  <w:style w:type="character" w:styleId="54">
    <w:name w:val="Emphasis"/>
    <w:autoRedefine/>
    <w:qFormat/>
    <w:uiPriority w:val="0"/>
    <w:rPr>
      <w:rFonts w:ascii="Cambria" w:hAnsi="Cambria" w:eastAsia="黑体"/>
      <w:b/>
      <w:iCs/>
      <w:sz w:val="24"/>
    </w:rPr>
  </w:style>
  <w:style w:type="character" w:styleId="55">
    <w:name w:val="line number"/>
    <w:autoRedefine/>
    <w:qFormat/>
    <w:uiPriority w:val="0"/>
  </w:style>
  <w:style w:type="character" w:styleId="56">
    <w:name w:val="Hyperlink"/>
    <w:basedOn w:val="51"/>
    <w:autoRedefine/>
    <w:unhideWhenUsed/>
    <w:qFormat/>
    <w:uiPriority w:val="99"/>
    <w:rPr>
      <w:color w:val="0563C1"/>
      <w:u w:val="single"/>
    </w:rPr>
  </w:style>
  <w:style w:type="character" w:styleId="57">
    <w:name w:val="annotation reference"/>
    <w:basedOn w:val="51"/>
    <w:autoRedefine/>
    <w:unhideWhenUsed/>
    <w:qFormat/>
    <w:uiPriority w:val="0"/>
    <w:rPr>
      <w:sz w:val="21"/>
      <w:szCs w:val="21"/>
    </w:rPr>
  </w:style>
  <w:style w:type="paragraph" w:customStyle="1" w:styleId="58">
    <w:name w:val="表内文字"/>
    <w:basedOn w:val="59"/>
    <w:next w:val="1"/>
    <w:link w:val="96"/>
    <w:autoRedefine/>
    <w:qFormat/>
    <w:uiPriority w:val="0"/>
    <w:rPr>
      <w:rFonts w:ascii="Times New Roman" w:hAnsi="Times New Roman" w:cs="Times New Roman"/>
      <w:b w:val="0"/>
      <w:sz w:val="20"/>
      <w:szCs w:val="20"/>
    </w:rPr>
  </w:style>
  <w:style w:type="paragraph" w:customStyle="1" w:styleId="59">
    <w:name w:val="图表名称"/>
    <w:basedOn w:val="1"/>
    <w:autoRedefine/>
    <w:qFormat/>
    <w:uiPriority w:val="0"/>
    <w:pPr>
      <w:ind w:firstLine="0" w:firstLineChars="0"/>
      <w:jc w:val="center"/>
    </w:pPr>
    <w:rPr>
      <w:b/>
      <w:bCs/>
      <w:color w:val="000000" w:themeColor="text1"/>
      <w:sz w:val="21"/>
      <w14:textFill>
        <w14:solidFill>
          <w14:schemeClr w14:val="tx1"/>
        </w14:solidFill>
      </w14:textFill>
    </w:rPr>
  </w:style>
  <w:style w:type="character" w:customStyle="1" w:styleId="60">
    <w:name w:val="正文文本 字符"/>
    <w:basedOn w:val="51"/>
    <w:link w:val="15"/>
    <w:autoRedefine/>
    <w:qFormat/>
    <w:uiPriority w:val="0"/>
    <w:rPr>
      <w:rFonts w:ascii="宋体" w:hAnsi="Courier New" w:eastAsia="仿宋" w:cs="Times New Roman"/>
      <w:sz w:val="28"/>
      <w:szCs w:val="20"/>
    </w:rPr>
  </w:style>
  <w:style w:type="character" w:customStyle="1" w:styleId="61">
    <w:name w:val="标题 1 字符"/>
    <w:basedOn w:val="51"/>
    <w:autoRedefine/>
    <w:qFormat/>
    <w:uiPriority w:val="0"/>
    <w:rPr>
      <w:rFonts w:ascii="黑体" w:hAnsi="黑体" w:eastAsia="黑体" w:cs="仿宋"/>
      <w:kern w:val="44"/>
      <w:sz w:val="32"/>
      <w:szCs w:val="28"/>
    </w:rPr>
  </w:style>
  <w:style w:type="character" w:customStyle="1" w:styleId="62">
    <w:name w:val="标题 2 字符"/>
    <w:basedOn w:val="51"/>
    <w:link w:val="3"/>
    <w:autoRedefine/>
    <w:qFormat/>
    <w:uiPriority w:val="0"/>
    <w:rPr>
      <w:rFonts w:ascii="黑体" w:hAnsi="黑体" w:eastAsia="黑体" w:cs="Times New Roman"/>
      <w:bCs/>
      <w:sz w:val="30"/>
      <w:szCs w:val="32"/>
    </w:rPr>
  </w:style>
  <w:style w:type="character" w:customStyle="1" w:styleId="63">
    <w:name w:val="标题 3 字符"/>
    <w:basedOn w:val="51"/>
    <w:link w:val="4"/>
    <w:autoRedefine/>
    <w:qFormat/>
    <w:uiPriority w:val="9"/>
    <w:rPr>
      <w:rFonts w:ascii="Times New Roman" w:hAnsi="Times New Roman" w:eastAsia="黑体" w:cs="仿宋"/>
      <w:kern w:val="2"/>
      <w:sz w:val="28"/>
      <w:szCs w:val="28"/>
    </w:rPr>
  </w:style>
  <w:style w:type="character" w:customStyle="1" w:styleId="64">
    <w:name w:val="标题 4 字符"/>
    <w:basedOn w:val="51"/>
    <w:link w:val="5"/>
    <w:autoRedefine/>
    <w:qFormat/>
    <w:uiPriority w:val="9"/>
    <w:rPr>
      <w:rFonts w:eastAsia="仿宋" w:cs="Times New Roman"/>
      <w:b/>
      <w:bCs/>
      <w:kern w:val="2"/>
      <w:sz w:val="28"/>
      <w:szCs w:val="28"/>
    </w:rPr>
  </w:style>
  <w:style w:type="character" w:customStyle="1" w:styleId="65">
    <w:name w:val="标题 5 字符"/>
    <w:basedOn w:val="51"/>
    <w:link w:val="7"/>
    <w:autoRedefine/>
    <w:qFormat/>
    <w:uiPriority w:val="9"/>
    <w:rPr>
      <w:rFonts w:ascii="仿宋" w:hAnsi="仿宋" w:eastAsia="仿宋"/>
      <w:b/>
      <w:bCs/>
      <w:sz w:val="28"/>
      <w:szCs w:val="28"/>
    </w:rPr>
  </w:style>
  <w:style w:type="character" w:customStyle="1" w:styleId="66">
    <w:name w:val="TOC 7 字符"/>
    <w:link w:val="12"/>
    <w:autoRedefine/>
    <w:qFormat/>
    <w:uiPriority w:val="39"/>
    <w:rPr>
      <w:rFonts w:ascii="等线" w:hAnsi="等线" w:eastAsia="等线" w:cs="Times New Roman"/>
      <w:sz w:val="21"/>
      <w:szCs w:val="28"/>
    </w:rPr>
  </w:style>
  <w:style w:type="character" w:customStyle="1" w:styleId="67">
    <w:name w:val="文档结构图 字符"/>
    <w:basedOn w:val="51"/>
    <w:link w:val="17"/>
    <w:autoRedefine/>
    <w:qFormat/>
    <w:uiPriority w:val="0"/>
    <w:rPr>
      <w:rFonts w:ascii="宋体" w:hAnsi="仿宋" w:eastAsia="宋体"/>
      <w:sz w:val="18"/>
      <w:szCs w:val="18"/>
    </w:rPr>
  </w:style>
  <w:style w:type="character" w:customStyle="1" w:styleId="68">
    <w:name w:val="批注文字 字符"/>
    <w:basedOn w:val="51"/>
    <w:link w:val="18"/>
    <w:autoRedefine/>
    <w:qFormat/>
    <w:uiPriority w:val="0"/>
    <w:rPr>
      <w:rFonts w:ascii="仿宋" w:hAnsi="仿宋" w:eastAsia="仿宋"/>
      <w:sz w:val="28"/>
      <w:szCs w:val="21"/>
    </w:rPr>
  </w:style>
  <w:style w:type="character" w:customStyle="1" w:styleId="69">
    <w:name w:val="正文文本 3 字符"/>
    <w:basedOn w:val="51"/>
    <w:link w:val="19"/>
    <w:autoRedefine/>
    <w:qFormat/>
    <w:uiPriority w:val="0"/>
    <w:rPr>
      <w:rFonts w:ascii="Times New Roman" w:hAnsi="Times New Roman" w:eastAsia="仿宋" w:cs="Times New Roman"/>
      <w:sz w:val="16"/>
      <w:szCs w:val="16"/>
    </w:rPr>
  </w:style>
  <w:style w:type="character" w:customStyle="1" w:styleId="70">
    <w:name w:val="正文文本缩进 字符"/>
    <w:basedOn w:val="51"/>
    <w:link w:val="20"/>
    <w:autoRedefine/>
    <w:qFormat/>
    <w:uiPriority w:val="99"/>
    <w:rPr>
      <w:rFonts w:ascii="宋体" w:hAnsi="宋体"/>
      <w:b/>
      <w:sz w:val="52"/>
      <w:szCs w:val="52"/>
    </w:rPr>
  </w:style>
  <w:style w:type="character" w:customStyle="1" w:styleId="71">
    <w:name w:val="纯文本 字符"/>
    <w:basedOn w:val="51"/>
    <w:link w:val="24"/>
    <w:autoRedefine/>
    <w:qFormat/>
    <w:uiPriority w:val="0"/>
    <w:rPr>
      <w:rFonts w:ascii="宋体" w:hAnsi="Courier New" w:eastAsia="仿宋" w:cs="Times New Roman"/>
      <w:szCs w:val="21"/>
    </w:rPr>
  </w:style>
  <w:style w:type="character" w:customStyle="1" w:styleId="72">
    <w:name w:val="日期 字符"/>
    <w:basedOn w:val="51"/>
    <w:link w:val="26"/>
    <w:autoRedefine/>
    <w:qFormat/>
    <w:uiPriority w:val="0"/>
    <w:rPr>
      <w:rFonts w:ascii="Times New Roman" w:hAnsi="Times New Roman" w:eastAsia="仿宋" w:cs="Times New Roman"/>
      <w:sz w:val="28"/>
      <w:szCs w:val="28"/>
    </w:rPr>
  </w:style>
  <w:style w:type="character" w:customStyle="1" w:styleId="73">
    <w:name w:val="正文文本缩进 2 字符"/>
    <w:basedOn w:val="51"/>
    <w:link w:val="27"/>
    <w:autoRedefine/>
    <w:qFormat/>
    <w:uiPriority w:val="0"/>
    <w:rPr>
      <w:rFonts w:ascii="仿宋" w:hAnsi="仿宋" w:eastAsia="仿宋"/>
      <w:sz w:val="28"/>
      <w:szCs w:val="21"/>
    </w:rPr>
  </w:style>
  <w:style w:type="character" w:customStyle="1" w:styleId="74">
    <w:name w:val="批注框文本 字符"/>
    <w:basedOn w:val="51"/>
    <w:link w:val="28"/>
    <w:autoRedefine/>
    <w:qFormat/>
    <w:uiPriority w:val="0"/>
    <w:rPr>
      <w:rFonts w:ascii="仿宋" w:hAnsi="仿宋" w:eastAsia="仿宋"/>
      <w:sz w:val="18"/>
      <w:szCs w:val="18"/>
    </w:rPr>
  </w:style>
  <w:style w:type="character" w:customStyle="1" w:styleId="75">
    <w:name w:val="页脚 字符"/>
    <w:basedOn w:val="51"/>
    <w:link w:val="29"/>
    <w:autoRedefine/>
    <w:qFormat/>
    <w:uiPriority w:val="99"/>
    <w:rPr>
      <w:rFonts w:eastAsia="仿宋"/>
      <w:kern w:val="2"/>
      <w:sz w:val="18"/>
      <w:szCs w:val="18"/>
    </w:rPr>
  </w:style>
  <w:style w:type="character" w:customStyle="1" w:styleId="76">
    <w:name w:val="页眉 字符"/>
    <w:basedOn w:val="51"/>
    <w:link w:val="30"/>
    <w:autoRedefine/>
    <w:qFormat/>
    <w:uiPriority w:val="99"/>
    <w:rPr>
      <w:rFonts w:ascii="仿宋" w:hAnsi="仿宋" w:eastAsia="仿宋"/>
      <w:sz w:val="18"/>
      <w:szCs w:val="18"/>
    </w:rPr>
  </w:style>
  <w:style w:type="character" w:customStyle="1" w:styleId="77">
    <w:name w:val="副标题 字符1"/>
    <w:link w:val="33"/>
    <w:autoRedefine/>
    <w:qFormat/>
    <w:uiPriority w:val="11"/>
    <w:rPr>
      <w:rFonts w:ascii="Cambria" w:hAnsi="Cambria" w:eastAsia="黑体"/>
      <w:b/>
      <w:bCs/>
      <w:kern w:val="28"/>
      <w:sz w:val="24"/>
      <w:szCs w:val="32"/>
    </w:rPr>
  </w:style>
  <w:style w:type="character" w:customStyle="1" w:styleId="78">
    <w:name w:val="正文文本缩进 3 字符"/>
    <w:basedOn w:val="51"/>
    <w:link w:val="35"/>
    <w:autoRedefine/>
    <w:qFormat/>
    <w:uiPriority w:val="0"/>
    <w:rPr>
      <w:rFonts w:ascii="Arial" w:hAnsi="Arial" w:eastAsia="仿宋" w:cs="Times New Roman"/>
      <w:sz w:val="16"/>
      <w:szCs w:val="16"/>
    </w:rPr>
  </w:style>
  <w:style w:type="character" w:customStyle="1" w:styleId="79">
    <w:name w:val="正文文本 2 字符"/>
    <w:basedOn w:val="51"/>
    <w:link w:val="38"/>
    <w:autoRedefine/>
    <w:qFormat/>
    <w:uiPriority w:val="0"/>
    <w:rPr>
      <w:rFonts w:ascii="Times New Roman" w:hAnsi="Times New Roman" w:eastAsia="宋体" w:cs="Times New Roman"/>
      <w:sz w:val="24"/>
      <w:szCs w:val="24"/>
    </w:rPr>
  </w:style>
  <w:style w:type="character" w:customStyle="1" w:styleId="80">
    <w:name w:val="普通(网站) 字符"/>
    <w:link w:val="39"/>
    <w:autoRedefine/>
    <w:qFormat/>
    <w:uiPriority w:val="0"/>
    <w:rPr>
      <w:rFonts w:ascii="仿宋" w:hAnsi="仿宋" w:eastAsia="仿宋"/>
      <w:sz w:val="24"/>
      <w:szCs w:val="21"/>
    </w:rPr>
  </w:style>
  <w:style w:type="character" w:customStyle="1" w:styleId="81">
    <w:name w:val="标题 字符"/>
    <w:basedOn w:val="51"/>
    <w:link w:val="41"/>
    <w:autoRedefine/>
    <w:qFormat/>
    <w:uiPriority w:val="10"/>
    <w:rPr>
      <w:rFonts w:ascii="Cambria" w:hAnsi="Cambria" w:eastAsia="仿宋" w:cs="Times New Roman"/>
      <w:b/>
      <w:bCs/>
      <w:kern w:val="0"/>
      <w:sz w:val="32"/>
      <w:szCs w:val="32"/>
    </w:rPr>
  </w:style>
  <w:style w:type="character" w:customStyle="1" w:styleId="82">
    <w:name w:val="批注主题 字符"/>
    <w:basedOn w:val="68"/>
    <w:link w:val="42"/>
    <w:autoRedefine/>
    <w:qFormat/>
    <w:uiPriority w:val="0"/>
    <w:rPr>
      <w:rFonts w:ascii="Times New Roman" w:hAnsi="Times New Roman" w:eastAsia="仿宋" w:cs="Times New Roman"/>
      <w:b/>
      <w:bCs/>
      <w:sz w:val="28"/>
      <w:szCs w:val="28"/>
    </w:rPr>
  </w:style>
  <w:style w:type="character" w:customStyle="1" w:styleId="83">
    <w:name w:val="正文文本首行缩进 2 字符"/>
    <w:basedOn w:val="70"/>
    <w:link w:val="43"/>
    <w:autoRedefine/>
    <w:qFormat/>
    <w:uiPriority w:val="0"/>
    <w:rPr>
      <w:rFonts w:ascii="Times New Roman" w:hAnsi="Times New Roman" w:eastAsia="仿宋" w:cs="Times New Roman"/>
      <w:snapToGrid w:val="0"/>
      <w:kern w:val="0"/>
      <w:sz w:val="28"/>
      <w:szCs w:val="20"/>
    </w:rPr>
  </w:style>
  <w:style w:type="table" w:customStyle="1" w:styleId="84">
    <w:name w:val="浅色列表 - 强调文字颜色 11"/>
    <w:basedOn w:val="44"/>
    <w:autoRedefine/>
    <w:qFormat/>
    <w:uiPriority w:val="61"/>
    <w:tblPr>
      <w:tblBorders>
        <w:top w:val="single" w:color="4472C4" w:sz="8" w:space="0"/>
        <w:left w:val="single" w:color="4472C4" w:sz="8" w:space="0"/>
        <w:bottom w:val="single" w:color="4472C4" w:sz="8" w:space="0"/>
        <w:right w:val="single" w:color="4472C4" w:sz="8" w:space="0"/>
      </w:tblBorders>
    </w:tblPr>
    <w:tblStylePr w:type="firstRow">
      <w:pPr>
        <w:spacing w:before="0" w:after="0" w:line="240" w:lineRule="auto"/>
      </w:pPr>
      <w:rPr>
        <w:b/>
        <w:bCs/>
        <w:color w:val="FFFFFF"/>
      </w:rPr>
      <w:tcPr>
        <w:shd w:val="clear" w:color="auto" w:fill="4472C4"/>
      </w:tcPr>
    </w:tblStylePr>
    <w:tblStylePr w:type="lastRow">
      <w:pPr>
        <w:spacing w:before="0" w:after="0" w:line="240" w:lineRule="auto"/>
      </w:pPr>
      <w:rPr>
        <w:b/>
        <w:bCs/>
      </w:rPr>
      <w:tcPr>
        <w:tcBorders>
          <w:top w:val="double" w:color="4472C4" w:sz="6" w:space="0"/>
          <w:left w:val="single" w:color="4472C4" w:sz="8" w:space="0"/>
          <w:bottom w:val="single" w:color="4472C4" w:sz="8" w:space="0"/>
          <w:right w:val="single" w:color="4472C4" w:sz="8" w:space="0"/>
          <w:insideH w:val="nil"/>
          <w:insideV w:val="nil"/>
          <w:tl2br w:val="nil"/>
          <w:tr2bl w:val="nil"/>
        </w:tcBorders>
      </w:tcPr>
    </w:tblStylePr>
    <w:tblStylePr w:type="firstCol">
      <w:rPr>
        <w:b/>
        <w:bCs/>
      </w:rPr>
    </w:tblStylePr>
    <w:tblStylePr w:type="lastCol">
      <w:rPr>
        <w:b/>
        <w:bCs/>
      </w:rPr>
    </w:tblStylePr>
    <w:tblStylePr w:type="band1Vert">
      <w:tcPr>
        <w:tcBorders>
          <w:top w:val="single" w:color="4472C4" w:sz="8" w:space="0"/>
          <w:left w:val="single" w:color="4472C4" w:sz="8" w:space="0"/>
          <w:bottom w:val="single" w:color="4472C4" w:sz="8" w:space="0"/>
          <w:right w:val="single" w:color="4472C4" w:sz="8" w:space="0"/>
          <w:insideH w:val="nil"/>
          <w:insideV w:val="nil"/>
          <w:tl2br w:val="nil"/>
          <w:tr2bl w:val="nil"/>
        </w:tcBorders>
      </w:tcPr>
    </w:tblStylePr>
    <w:tblStylePr w:type="band1Horz">
      <w:tcPr>
        <w:tcBorders>
          <w:top w:val="single" w:color="4472C4" w:sz="8" w:space="0"/>
          <w:left w:val="single" w:color="4472C4" w:sz="8" w:space="0"/>
          <w:bottom w:val="single" w:color="4472C4" w:sz="8" w:space="0"/>
          <w:right w:val="single" w:color="4472C4" w:sz="8" w:space="0"/>
          <w:insideH w:val="nil"/>
          <w:insideV w:val="nil"/>
          <w:tl2br w:val="nil"/>
          <w:tr2bl w:val="nil"/>
        </w:tcBorders>
      </w:tcPr>
    </w:tblStylePr>
  </w:style>
  <w:style w:type="paragraph" w:customStyle="1" w:styleId="85">
    <w:name w:val="正文缩进两字符"/>
    <w:basedOn w:val="1"/>
    <w:autoRedefine/>
    <w:unhideWhenUsed/>
    <w:qFormat/>
    <w:uiPriority w:val="0"/>
    <w:pPr>
      <w:spacing w:line="280" w:lineRule="exact"/>
    </w:pPr>
    <w:rPr>
      <w:sz w:val="18"/>
    </w:rPr>
  </w:style>
  <w:style w:type="paragraph" w:customStyle="1" w:styleId="86">
    <w:name w:val="图名表名"/>
    <w:basedOn w:val="87"/>
    <w:link w:val="88"/>
    <w:autoRedefine/>
    <w:qFormat/>
    <w:uiPriority w:val="0"/>
    <w:pPr>
      <w:spacing w:after="0" w:line="240" w:lineRule="auto"/>
      <w:outlineLvl w:val="3"/>
    </w:pPr>
    <w:rPr>
      <w:rFonts w:ascii="仿宋" w:hAnsi="仿宋"/>
      <w:kern w:val="0"/>
    </w:rPr>
  </w:style>
  <w:style w:type="paragraph" w:customStyle="1" w:styleId="87">
    <w:name w:val="02图名"/>
    <w:basedOn w:val="1"/>
    <w:autoRedefine/>
    <w:qFormat/>
    <w:uiPriority w:val="0"/>
    <w:pPr>
      <w:autoSpaceDE w:val="0"/>
      <w:spacing w:after="120"/>
      <w:ind w:firstLine="0" w:firstLineChars="0"/>
      <w:jc w:val="center"/>
    </w:pPr>
    <w:rPr>
      <w:rFonts w:ascii="宋体" w:hAnsi="宋体"/>
      <w:b/>
      <w:szCs w:val="30"/>
    </w:rPr>
  </w:style>
  <w:style w:type="character" w:customStyle="1" w:styleId="88">
    <w:name w:val="图名表名 Char"/>
    <w:link w:val="86"/>
    <w:autoRedefine/>
    <w:qFormat/>
    <w:uiPriority w:val="0"/>
    <w:rPr>
      <w:rFonts w:ascii="仿宋" w:hAnsi="仿宋" w:eastAsia="仿宋"/>
      <w:b/>
      <w:sz w:val="28"/>
      <w:szCs w:val="30"/>
    </w:rPr>
  </w:style>
  <w:style w:type="paragraph" w:customStyle="1" w:styleId="89">
    <w:name w:val="图表小标题"/>
    <w:basedOn w:val="1"/>
    <w:next w:val="17"/>
    <w:link w:val="90"/>
    <w:autoRedefine/>
    <w:qFormat/>
    <w:uiPriority w:val="99"/>
    <w:pPr>
      <w:ind w:firstLine="0" w:firstLineChars="0"/>
      <w:jc w:val="center"/>
    </w:pPr>
    <w:rPr>
      <w:rFonts w:ascii="黑体" w:hAnsi="仿宋" w:eastAsia="黑体"/>
      <w:b/>
      <w:kern w:val="0"/>
      <w:sz w:val="20"/>
    </w:rPr>
  </w:style>
  <w:style w:type="character" w:customStyle="1" w:styleId="90">
    <w:name w:val="图表小标题 Char"/>
    <w:link w:val="89"/>
    <w:autoRedefine/>
    <w:qFormat/>
    <w:uiPriority w:val="99"/>
    <w:rPr>
      <w:rFonts w:ascii="黑体" w:hAnsi="仿宋" w:eastAsia="黑体"/>
      <w:b/>
      <w:szCs w:val="21"/>
    </w:rPr>
  </w:style>
  <w:style w:type="paragraph" w:customStyle="1" w:styleId="91">
    <w:name w:val="一级"/>
    <w:basedOn w:val="2"/>
    <w:autoRedefine/>
    <w:qFormat/>
    <w:uiPriority w:val="0"/>
    <w:pPr>
      <w:keepNext w:val="0"/>
    </w:pPr>
  </w:style>
  <w:style w:type="paragraph" w:styleId="92">
    <w:name w:val="List Paragraph"/>
    <w:basedOn w:val="1"/>
    <w:autoRedefine/>
    <w:qFormat/>
    <w:uiPriority w:val="34"/>
    <w:pPr>
      <w:ind w:firstLine="420"/>
    </w:pPr>
  </w:style>
  <w:style w:type="paragraph" w:customStyle="1" w:styleId="93">
    <w:name w:val="表格内容-1"/>
    <w:next w:val="1"/>
    <w:link w:val="94"/>
    <w:autoRedefine/>
    <w:qFormat/>
    <w:uiPriority w:val="0"/>
    <w:pPr>
      <w:jc w:val="center"/>
    </w:pPr>
    <w:rPr>
      <w:rFonts w:ascii="仿宋" w:hAnsi="仿宋" w:eastAsia="仿宋" w:cs="Times New Roman"/>
      <w:bCs/>
      <w:sz w:val="24"/>
      <w:szCs w:val="21"/>
      <w:lang w:val="en-US" w:eastAsia="zh-CN" w:bidi="ar-SA"/>
    </w:rPr>
  </w:style>
  <w:style w:type="character" w:customStyle="1" w:styleId="94">
    <w:name w:val="表格内容-1 Char"/>
    <w:link w:val="93"/>
    <w:autoRedefine/>
    <w:qFormat/>
    <w:uiPriority w:val="0"/>
    <w:rPr>
      <w:rFonts w:ascii="仿宋" w:hAnsi="仿宋" w:eastAsia="仿宋"/>
      <w:bCs/>
      <w:sz w:val="24"/>
      <w:szCs w:val="21"/>
      <w:lang w:bidi="ar-SA"/>
    </w:rPr>
  </w:style>
  <w:style w:type="paragraph" w:customStyle="1" w:styleId="95">
    <w:name w:val="图表 Char"/>
    <w:autoRedefine/>
    <w:semiHidden/>
    <w:qFormat/>
    <w:uiPriority w:val="0"/>
    <w:pPr>
      <w:adjustRightInd w:val="0"/>
      <w:spacing w:line="360" w:lineRule="auto"/>
      <w:jc w:val="center"/>
      <w:textAlignment w:val="center"/>
    </w:pPr>
    <w:rPr>
      <w:rFonts w:ascii="宋体" w:hAnsi="宋体" w:eastAsia="宋体" w:cs="Calibri"/>
      <w:b/>
      <w:sz w:val="21"/>
      <w:szCs w:val="10"/>
      <w:lang w:val="en-US" w:eastAsia="zh-CN" w:bidi="ar-SA"/>
    </w:rPr>
  </w:style>
  <w:style w:type="character" w:customStyle="1" w:styleId="96">
    <w:name w:val="表内文字 Char Char"/>
    <w:link w:val="58"/>
    <w:autoRedefine/>
    <w:qFormat/>
    <w:uiPriority w:val="0"/>
    <w:rPr>
      <w:rFonts w:ascii="Times New Roman" w:hAnsi="Times New Roman" w:eastAsia="宋体" w:cs="Times New Roman"/>
      <w:kern w:val="0"/>
      <w:szCs w:val="20"/>
    </w:rPr>
  </w:style>
  <w:style w:type="paragraph" w:customStyle="1" w:styleId="97">
    <w:name w:val="图名图表"/>
    <w:basedOn w:val="1"/>
    <w:next w:val="1"/>
    <w:link w:val="98"/>
    <w:autoRedefine/>
    <w:qFormat/>
    <w:uiPriority w:val="0"/>
    <w:pPr>
      <w:ind w:firstLine="0" w:firstLineChars="0"/>
      <w:jc w:val="center"/>
      <w:outlineLvl w:val="3"/>
    </w:pPr>
    <w:rPr>
      <w:rFonts w:ascii="仿宋" w:hAnsi="仿宋"/>
      <w:b/>
      <w:kern w:val="0"/>
    </w:rPr>
  </w:style>
  <w:style w:type="character" w:customStyle="1" w:styleId="98">
    <w:name w:val="图名图表 Char"/>
    <w:link w:val="97"/>
    <w:autoRedefine/>
    <w:qFormat/>
    <w:uiPriority w:val="0"/>
    <w:rPr>
      <w:rFonts w:ascii="仿宋" w:hAnsi="仿宋" w:eastAsia="仿宋"/>
      <w:b/>
      <w:sz w:val="28"/>
      <w:szCs w:val="21"/>
    </w:rPr>
  </w:style>
  <w:style w:type="paragraph" w:customStyle="1" w:styleId="99">
    <w:name w:val="表格内文字"/>
    <w:basedOn w:val="1"/>
    <w:autoRedefine/>
    <w:qFormat/>
    <w:uiPriority w:val="0"/>
    <w:pPr>
      <w:widowControl/>
      <w:spacing w:line="240" w:lineRule="auto"/>
      <w:ind w:firstLine="0" w:firstLineChars="0"/>
      <w:contextualSpacing/>
      <w:jc w:val="center"/>
    </w:pPr>
    <w:rPr>
      <w:sz w:val="24"/>
      <w:szCs w:val="20"/>
    </w:rPr>
  </w:style>
  <w:style w:type="paragraph" w:customStyle="1" w:styleId="100">
    <w:name w:val="正文02"/>
    <w:basedOn w:val="2"/>
    <w:next w:val="1"/>
    <w:link w:val="101"/>
    <w:autoRedefine/>
    <w:qFormat/>
    <w:uiPriority w:val="0"/>
    <w:pPr>
      <w:ind w:firstLine="1080" w:firstLineChars="200"/>
      <w:jc w:val="left"/>
    </w:pPr>
    <w:rPr>
      <w:rFonts w:ascii="仿宋" w:hAnsi="仿宋" w:eastAsia="仿宋" w:cs="Times New Roman"/>
      <w:sz w:val="28"/>
    </w:rPr>
  </w:style>
  <w:style w:type="character" w:customStyle="1" w:styleId="101">
    <w:name w:val="正文02 Char"/>
    <w:link w:val="100"/>
    <w:autoRedefine/>
    <w:qFormat/>
    <w:uiPriority w:val="0"/>
    <w:rPr>
      <w:rFonts w:ascii="仿宋" w:hAnsi="仿宋" w:eastAsia="仿宋" w:cs="仿宋"/>
      <w:kern w:val="44"/>
      <w:sz w:val="28"/>
      <w:szCs w:val="28"/>
    </w:rPr>
  </w:style>
  <w:style w:type="paragraph" w:customStyle="1" w:styleId="102">
    <w:name w:val="WPSOffice手动目录 1"/>
    <w:autoRedefine/>
    <w:qFormat/>
    <w:uiPriority w:val="0"/>
    <w:rPr>
      <w:rFonts w:ascii="方正小标宋简体" w:hAnsi="等线" w:eastAsia="方正小标宋简体" w:cs="Times New Roman"/>
      <w:lang w:val="en-US" w:eastAsia="zh-CN" w:bidi="ar-SA"/>
    </w:rPr>
  </w:style>
  <w:style w:type="paragraph" w:customStyle="1" w:styleId="103">
    <w:name w:val="WPSOffice手动目录 2"/>
    <w:autoRedefine/>
    <w:qFormat/>
    <w:uiPriority w:val="0"/>
    <w:pPr>
      <w:ind w:left="200" w:leftChars="200"/>
    </w:pPr>
    <w:rPr>
      <w:rFonts w:ascii="方正小标宋简体" w:hAnsi="等线" w:eastAsia="方正小标宋简体" w:cs="Times New Roman"/>
      <w:lang w:val="en-US" w:eastAsia="zh-CN" w:bidi="ar-SA"/>
    </w:rPr>
  </w:style>
  <w:style w:type="character" w:customStyle="1" w:styleId="104">
    <w:name w:val="表内文字 Char"/>
    <w:autoRedefine/>
    <w:qFormat/>
    <w:uiPriority w:val="0"/>
    <w:rPr>
      <w:rFonts w:hAnsi="仿宋_GB2312" w:eastAsia="仿宋"/>
      <w:sz w:val="24"/>
      <w:szCs w:val="22"/>
    </w:rPr>
  </w:style>
  <w:style w:type="paragraph" w:styleId="105">
    <w:name w:val="No Spacing"/>
    <w:link w:val="106"/>
    <w:autoRedefine/>
    <w:qFormat/>
    <w:uiPriority w:val="0"/>
    <w:pPr>
      <w:widowControl w:val="0"/>
      <w:jc w:val="both"/>
    </w:pPr>
    <w:rPr>
      <w:rFonts w:ascii="宋体" w:hAnsi="Calibri" w:eastAsia="仿宋_GB2312" w:cs="Times New Roman"/>
      <w:szCs w:val="28"/>
      <w:lang w:val="en-US" w:eastAsia="zh-CN" w:bidi="ar-SA"/>
    </w:rPr>
  </w:style>
  <w:style w:type="character" w:customStyle="1" w:styleId="106">
    <w:name w:val="无间隔 字符"/>
    <w:link w:val="105"/>
    <w:autoRedefine/>
    <w:qFormat/>
    <w:uiPriority w:val="0"/>
    <w:rPr>
      <w:rFonts w:ascii="宋体" w:hAnsi="Calibri" w:eastAsia="仿宋_GB2312"/>
      <w:szCs w:val="28"/>
      <w:lang w:bidi="ar-SA"/>
    </w:rPr>
  </w:style>
  <w:style w:type="paragraph" w:customStyle="1" w:styleId="107">
    <w:name w:val="01正文"/>
    <w:basedOn w:val="1"/>
    <w:autoRedefine/>
    <w:qFormat/>
    <w:uiPriority w:val="0"/>
    <w:pPr>
      <w:snapToGrid w:val="0"/>
      <w:ind w:firstLine="420"/>
      <w:jc w:val="left"/>
    </w:pPr>
    <w:rPr>
      <w:rFonts w:ascii="宋体" w:hAnsi="宋体"/>
      <w:sz w:val="24"/>
    </w:rPr>
  </w:style>
  <w:style w:type="paragraph" w:customStyle="1" w:styleId="108">
    <w:name w:val="岳阳正文"/>
    <w:basedOn w:val="1"/>
    <w:autoRedefine/>
    <w:qFormat/>
    <w:uiPriority w:val="0"/>
    <w:pPr>
      <w:spacing w:line="460" w:lineRule="exact"/>
      <w:ind w:firstLine="560"/>
    </w:pPr>
    <w:rPr>
      <w:rFonts w:ascii="黑体" w:hAnsi="黑体" w:eastAsia="仿宋_GB2312"/>
      <w:kern w:val="32"/>
      <w:szCs w:val="30"/>
    </w:rPr>
  </w:style>
  <w:style w:type="paragraph" w:customStyle="1" w:styleId="109">
    <w:name w:val="表头"/>
    <w:basedOn w:val="1"/>
    <w:autoRedefine/>
    <w:qFormat/>
    <w:uiPriority w:val="0"/>
    <w:pPr>
      <w:spacing w:line="480" w:lineRule="exact"/>
      <w:ind w:firstLine="0" w:firstLineChars="0"/>
      <w:jc w:val="center"/>
    </w:pPr>
    <w:rPr>
      <w:rFonts w:hint="eastAsia" w:ascii="黑体" w:hAnsi="黑体" w:eastAsia="黑体"/>
      <w:b/>
      <w:kern w:val="0"/>
      <w:sz w:val="21"/>
    </w:rPr>
  </w:style>
  <w:style w:type="paragraph" w:customStyle="1" w:styleId="110">
    <w:name w:val="插图插表名称"/>
    <w:basedOn w:val="1"/>
    <w:autoRedefine/>
    <w:qFormat/>
    <w:uiPriority w:val="0"/>
    <w:pPr>
      <w:spacing w:line="240" w:lineRule="auto"/>
      <w:ind w:firstLine="0" w:firstLineChars="0"/>
      <w:jc w:val="center"/>
    </w:pPr>
    <w:rPr>
      <w:rFonts w:cs="宋体"/>
      <w:b/>
    </w:rPr>
  </w:style>
  <w:style w:type="paragraph" w:customStyle="1" w:styleId="111">
    <w:name w:val="插图、插表名称"/>
    <w:basedOn w:val="1"/>
    <w:link w:val="112"/>
    <w:autoRedefine/>
    <w:qFormat/>
    <w:uiPriority w:val="0"/>
    <w:pPr>
      <w:spacing w:line="240" w:lineRule="auto"/>
      <w:ind w:firstLine="0" w:firstLineChars="0"/>
      <w:jc w:val="center"/>
    </w:pPr>
    <w:rPr>
      <w:b/>
      <w:sz w:val="21"/>
    </w:rPr>
  </w:style>
  <w:style w:type="character" w:customStyle="1" w:styleId="112">
    <w:name w:val="插图、插表名称 Char"/>
    <w:link w:val="111"/>
    <w:autoRedefine/>
    <w:qFormat/>
    <w:uiPriority w:val="0"/>
    <w:rPr>
      <w:rFonts w:eastAsia="仿宋" w:cs="Times New Roman"/>
      <w:b/>
      <w:kern w:val="2"/>
      <w:sz w:val="21"/>
      <w:szCs w:val="21"/>
    </w:rPr>
  </w:style>
  <w:style w:type="paragraph" w:customStyle="1" w:styleId="113">
    <w:name w:val="图表标题"/>
    <w:link w:val="114"/>
    <w:autoRedefine/>
    <w:qFormat/>
    <w:uiPriority w:val="11"/>
    <w:pPr>
      <w:widowControl w:val="0"/>
      <w:spacing w:line="360" w:lineRule="auto"/>
      <w:jc w:val="center"/>
      <w:outlineLvl w:val="3"/>
    </w:pPr>
    <w:rPr>
      <w:rFonts w:ascii="仿宋" w:hAnsi="仿宋" w:eastAsia="仿宋" w:cs="Times New Roman"/>
      <w:b/>
      <w:bCs/>
      <w:color w:val="000000"/>
      <w:sz w:val="24"/>
      <w:szCs w:val="28"/>
      <w:lang w:val="en-US" w:eastAsia="zh-CN" w:bidi="ar-SA"/>
    </w:rPr>
  </w:style>
  <w:style w:type="character" w:customStyle="1" w:styleId="114">
    <w:name w:val="图表标题 Char"/>
    <w:link w:val="113"/>
    <w:autoRedefine/>
    <w:qFormat/>
    <w:uiPriority w:val="11"/>
    <w:rPr>
      <w:rFonts w:ascii="仿宋" w:hAnsi="仿宋" w:eastAsia="仿宋"/>
      <w:b/>
      <w:bCs/>
      <w:color w:val="000000"/>
      <w:sz w:val="24"/>
      <w:szCs w:val="28"/>
      <w:lang w:bidi="ar-SA"/>
    </w:rPr>
  </w:style>
  <w:style w:type="character" w:customStyle="1" w:styleId="115">
    <w:name w:val="副标题 字符"/>
    <w:basedOn w:val="51"/>
    <w:autoRedefine/>
    <w:qFormat/>
    <w:uiPriority w:val="11"/>
    <w:rPr>
      <w:b/>
      <w:bCs/>
      <w:kern w:val="28"/>
      <w:sz w:val="32"/>
      <w:szCs w:val="32"/>
    </w:rPr>
  </w:style>
  <w:style w:type="paragraph" w:customStyle="1" w:styleId="116">
    <w:name w:val="居中"/>
    <w:basedOn w:val="1"/>
    <w:autoRedefine/>
    <w:qFormat/>
    <w:uiPriority w:val="0"/>
    <w:pPr>
      <w:spacing w:line="360" w:lineRule="auto"/>
      <w:ind w:firstLine="0" w:firstLineChars="0"/>
      <w:jc w:val="center"/>
    </w:pPr>
    <w:rPr>
      <w:rFonts w:ascii="宋体" w:hAnsi="宋体" w:eastAsia="宋体" w:cs="Calibri"/>
      <w:sz w:val="24"/>
      <w:szCs w:val="22"/>
    </w:rPr>
  </w:style>
  <w:style w:type="character" w:customStyle="1" w:styleId="117">
    <w:name w:val="font31"/>
    <w:basedOn w:val="51"/>
    <w:autoRedefine/>
    <w:qFormat/>
    <w:uiPriority w:val="0"/>
    <w:rPr>
      <w:rFonts w:hint="eastAsia" w:ascii="仿宋" w:hAnsi="仿宋" w:eastAsia="仿宋" w:cs="仿宋"/>
      <w:color w:val="000000"/>
      <w:sz w:val="24"/>
      <w:szCs w:val="24"/>
      <w:u w:val="none"/>
    </w:rPr>
  </w:style>
  <w:style w:type="table" w:customStyle="1" w:styleId="118">
    <w:name w:val="网格表 5 深色 - 着色 11"/>
    <w:basedOn w:val="44"/>
    <w:autoRedefine/>
    <w:qFormat/>
    <w:uiPriority w:val="50"/>
    <w:pPr>
      <w:adjustRightInd w:val="0"/>
      <w:snapToGrid w:val="0"/>
      <w:jc w:val="center"/>
    </w:pPr>
    <w:rPr>
      <w:rFonts w:ascii="宋体" w:hAnsi="宋体" w:cs="宋体"/>
      <w:snapToGrid w:val="0"/>
      <w:szCs w:val="28"/>
    </w:rPr>
    <w:tblPr>
      <w:tblBorders>
        <w:top w:val="single" w:color="E7E6E6" w:sz="4" w:space="0"/>
        <w:left w:val="single" w:color="E7E6E6" w:sz="4" w:space="0"/>
        <w:bottom w:val="single" w:color="E7E6E6" w:sz="4" w:space="0"/>
        <w:right w:val="single" w:color="E7E6E6" w:sz="4" w:space="0"/>
        <w:insideH w:val="single" w:color="E7E6E6" w:sz="4" w:space="0"/>
        <w:insideV w:val="single" w:color="E7E6E6" w:sz="4" w:space="0"/>
      </w:tblBorders>
    </w:tblPr>
    <w:tcPr>
      <w:shd w:val="clear" w:color="auto" w:fill="D9E2F3"/>
      <w:vAlign w:val="center"/>
    </w:tcPr>
    <w:tblStylePr w:type="firstRow">
      <w:pPr>
        <w:jc w:val="center"/>
      </w:pPr>
      <w:rPr>
        <w:b/>
        <w:bCs/>
        <w:color w:val="FFFFFF"/>
      </w:rPr>
      <w:tcPr>
        <w:shd w:val="clear" w:color="auto" w:fill="4472C4"/>
      </w:tcPr>
    </w:tblStylePr>
    <w:tblStylePr w:type="lastRow">
      <w:rPr>
        <w:b/>
        <w:bCs/>
        <w:color w:val="FFFFFF"/>
      </w:rPr>
      <w:tcPr>
        <w:tcBorders>
          <w:top w:val="single" w:color="E7E6E6" w:sz="4" w:space="0"/>
          <w:left w:val="single" w:color="E7E6E6" w:sz="4" w:space="0"/>
          <w:bottom w:val="single" w:color="E7E6E6" w:sz="4" w:space="0"/>
          <w:right w:val="single" w:color="E7E6E6" w:sz="4" w:space="0"/>
          <w:insideH w:val="single" w:sz="4" w:space="0"/>
          <w:insideV w:val="single" w:sz="4" w:space="0"/>
          <w:tl2br w:val="nil"/>
          <w:tr2bl w:val="nil"/>
        </w:tcBorders>
        <w:shd w:val="clear" w:color="auto" w:fill="4472C4"/>
      </w:tcPr>
    </w:tblStylePr>
    <w:tblStylePr w:type="firstCol">
      <w:rPr>
        <w:b/>
        <w:bCs/>
        <w:color w:val="FFFFFF"/>
      </w:rPr>
      <w:tcPr>
        <w:tcBorders>
          <w:top w:val="single" w:color="FFFFFF" w:sz="4" w:space="0"/>
          <w:left w:val="single" w:color="FFFFFF" w:sz="4" w:space="0"/>
          <w:bottom w:val="single" w:color="FFFFFF" w:sz="4" w:space="0"/>
          <w:right w:val="nil"/>
          <w:insideH w:val="nil"/>
          <w:insideV w:val="nil"/>
          <w:tl2br w:val="nil"/>
          <w:tr2bl w:val="nil"/>
        </w:tcBorders>
        <w:shd w:val="clear" w:color="auto" w:fill="4472C4"/>
      </w:tcPr>
    </w:tblStylePr>
    <w:tblStylePr w:type="lastCol">
      <w:rPr>
        <w:b/>
        <w:bCs/>
        <w:color w:val="FFFFFF"/>
      </w:rPr>
      <w:tcPr>
        <w:tcBorders>
          <w:top w:val="single" w:color="FFFFFF" w:sz="4" w:space="0"/>
          <w:left w:val="single" w:color="FFFFFF" w:sz="4" w:space="0"/>
          <w:bottom w:val="nil"/>
          <w:right w:val="single" w:color="FFFFFF" w:sz="4" w:space="0"/>
          <w:insideH w:val="nil"/>
          <w:insideV w:val="nil"/>
          <w:tl2br w:val="nil"/>
          <w:tr2bl w:val="nil"/>
        </w:tcBorders>
        <w:shd w:val="clear" w:color="auto" w:fill="4472C4"/>
      </w:tcPr>
    </w:tblStylePr>
    <w:tblStylePr w:type="band1Vert">
      <w:tcPr>
        <w:shd w:val="clear" w:color="auto" w:fill="B4C6E7"/>
      </w:tcPr>
    </w:tblStylePr>
    <w:tblStylePr w:type="band1Horz">
      <w:tcPr>
        <w:shd w:val="clear" w:color="auto" w:fill="B4C6E7"/>
      </w:tcPr>
    </w:tblStylePr>
  </w:style>
  <w:style w:type="paragraph" w:customStyle="1" w:styleId="119">
    <w:name w:val="表格五号"/>
    <w:basedOn w:val="1"/>
    <w:next w:val="1"/>
    <w:autoRedefine/>
    <w:qFormat/>
    <w:uiPriority w:val="0"/>
    <w:pPr>
      <w:spacing w:line="240" w:lineRule="auto"/>
      <w:ind w:firstLine="0" w:firstLineChars="0"/>
      <w:jc w:val="center"/>
    </w:pPr>
    <w:rPr>
      <w:rFonts w:hAnsi="Calibri"/>
      <w:bCs/>
      <w:snapToGrid w:val="0"/>
      <w:color w:val="000000"/>
      <w:kern w:val="0"/>
      <w:sz w:val="21"/>
      <w:szCs w:val="15"/>
    </w:rPr>
  </w:style>
  <w:style w:type="table" w:customStyle="1" w:styleId="120">
    <w:name w:val="表格样式111"/>
    <w:basedOn w:val="44"/>
    <w:autoRedefine/>
    <w:qFormat/>
    <w:uiPriority w:val="50"/>
    <w:pPr>
      <w:adjustRightInd w:val="0"/>
      <w:snapToGrid w:val="0"/>
      <w:jc w:val="center"/>
    </w:pPr>
    <w:rPr>
      <w:rFonts w:ascii="宋体" w:hAnsi="宋体" w:cs="宋体"/>
      <w:snapToGrid w:val="0"/>
    </w:rPr>
    <w:tblPr>
      <w:jc w:val="center"/>
      <w:tblBorders>
        <w:top w:val="single" w:color="E7E6E6" w:sz="4" w:space="0"/>
        <w:left w:val="single" w:color="E7E6E6" w:sz="4" w:space="0"/>
        <w:bottom w:val="single" w:color="E7E6E6" w:sz="4" w:space="0"/>
        <w:right w:val="single" w:color="E7E6E6" w:sz="4" w:space="0"/>
        <w:insideH w:val="single" w:color="E7E6E6" w:sz="4" w:space="0"/>
        <w:insideV w:val="single" w:color="E7E6E6" w:sz="4" w:space="0"/>
      </w:tblBorders>
    </w:tblPr>
    <w:trPr>
      <w:jc w:val="center"/>
    </w:trPr>
    <w:tcPr>
      <w:shd w:val="clear" w:color="auto" w:fill="D9E2F3"/>
      <w:vAlign w:val="center"/>
    </w:tcPr>
    <w:tblStylePr w:type="firstRow">
      <w:pPr>
        <w:jc w:val="center"/>
      </w:pPr>
      <w:rPr>
        <w:rFonts w:ascii="Dutch801 Rm BT" w:hAnsi="Dutch801 Rm BT" w:eastAsia="Dutch801 Rm BT"/>
        <w:b/>
        <w:bCs/>
        <w:i w:val="0"/>
        <w:color w:val="F8F8F8"/>
        <w:sz w:val="21"/>
      </w:rPr>
      <w:tcPr>
        <w:shd w:val="clear" w:color="auto" w:fill="4472C4"/>
      </w:tcPr>
    </w:tblStylePr>
    <w:tblStylePr w:type="lastRow">
      <w:rPr>
        <w:b/>
        <w:bCs/>
        <w:color w:val="FFFFFF"/>
      </w:rPr>
      <w:tcPr>
        <w:tcBorders>
          <w:top w:val="single" w:color="E7E6E6" w:sz="4" w:space="0"/>
          <w:left w:val="single" w:color="E7E6E6" w:sz="4" w:space="0"/>
          <w:bottom w:val="single" w:color="E7E6E6" w:sz="4" w:space="0"/>
          <w:right w:val="single" w:color="E7E6E6" w:sz="4" w:space="0"/>
          <w:insideH w:val="single" w:sz="4" w:space="0"/>
          <w:insideV w:val="single" w:sz="4" w:space="0"/>
          <w:tl2br w:val="nil"/>
          <w:tr2bl w:val="nil"/>
        </w:tcBorders>
        <w:shd w:val="clear" w:color="auto" w:fill="4472C4"/>
      </w:tcPr>
    </w:tblStylePr>
    <w:tblStylePr w:type="firstCol">
      <w:rPr>
        <w:b/>
        <w:bCs/>
        <w:color w:val="FFFFFF"/>
      </w:rPr>
      <w:tcPr>
        <w:tcBorders>
          <w:top w:val="single" w:color="FFFFFF" w:sz="4" w:space="0"/>
          <w:left w:val="single" w:color="FFFFFF" w:sz="4" w:space="0"/>
          <w:bottom w:val="single" w:color="FFFFFF" w:sz="4" w:space="0"/>
          <w:right w:val="nil"/>
          <w:insideH w:val="nil"/>
          <w:insideV w:val="nil"/>
          <w:tl2br w:val="nil"/>
          <w:tr2bl w:val="nil"/>
        </w:tcBorders>
        <w:shd w:val="clear" w:color="auto" w:fill="4472C4"/>
      </w:tcPr>
    </w:tblStylePr>
    <w:tblStylePr w:type="lastCol">
      <w:rPr>
        <w:b/>
        <w:bCs/>
        <w:color w:val="FFFFFF"/>
      </w:rPr>
      <w:tcPr>
        <w:tcBorders>
          <w:top w:val="single" w:color="FFFFFF" w:sz="4" w:space="0"/>
          <w:left w:val="single" w:color="FFFFFF" w:sz="4" w:space="0"/>
          <w:bottom w:val="nil"/>
          <w:right w:val="single" w:color="FFFFFF" w:sz="4" w:space="0"/>
          <w:insideH w:val="nil"/>
          <w:insideV w:val="nil"/>
          <w:tl2br w:val="nil"/>
          <w:tr2bl w:val="nil"/>
        </w:tcBorders>
        <w:shd w:val="clear" w:color="auto" w:fill="4472C4"/>
      </w:tcPr>
    </w:tblStylePr>
    <w:tblStylePr w:type="band1Vert">
      <w:tcPr>
        <w:shd w:val="clear" w:color="auto" w:fill="B4C6E7"/>
      </w:tcPr>
    </w:tblStylePr>
    <w:tblStylePr w:type="band1Horz">
      <w:tcPr>
        <w:shd w:val="clear" w:color="auto" w:fill="B4C6E7"/>
      </w:tcPr>
    </w:tblStylePr>
  </w:style>
  <w:style w:type="paragraph" w:customStyle="1" w:styleId="121">
    <w:name w:val="图片段落"/>
    <w:basedOn w:val="1"/>
    <w:autoRedefine/>
    <w:qFormat/>
    <w:uiPriority w:val="0"/>
    <w:pPr>
      <w:ind w:firstLine="0" w:firstLineChars="0"/>
      <w:contextualSpacing/>
      <w:jc w:val="center"/>
    </w:pPr>
    <w:rPr>
      <w:rFonts w:hAnsi="Calibri"/>
      <w:kern w:val="0"/>
      <w:szCs w:val="22"/>
    </w:rPr>
  </w:style>
  <w:style w:type="paragraph" w:customStyle="1" w:styleId="122">
    <w:name w:val="表格内容"/>
    <w:basedOn w:val="1"/>
    <w:link w:val="123"/>
    <w:autoRedefine/>
    <w:qFormat/>
    <w:uiPriority w:val="0"/>
    <w:pPr>
      <w:spacing w:line="240" w:lineRule="auto"/>
      <w:ind w:firstLine="0" w:firstLineChars="0"/>
      <w:jc w:val="center"/>
    </w:pPr>
    <w:rPr>
      <w:rFonts w:ascii="宋体" w:hAnsi="宋体"/>
      <w:kern w:val="0"/>
      <w:sz w:val="20"/>
      <w:szCs w:val="24"/>
    </w:rPr>
  </w:style>
  <w:style w:type="character" w:customStyle="1" w:styleId="123">
    <w:name w:val="表格内容 Char"/>
    <w:link w:val="122"/>
    <w:autoRedefine/>
    <w:qFormat/>
    <w:uiPriority w:val="0"/>
    <w:rPr>
      <w:rFonts w:ascii="宋体" w:hAnsi="宋体" w:eastAsia="仿宋" w:cs="宋体"/>
      <w:szCs w:val="24"/>
    </w:rPr>
  </w:style>
  <w:style w:type="paragraph" w:customStyle="1" w:styleId="124">
    <w:name w:val="样式 首行缩进:  2 字符"/>
    <w:basedOn w:val="1"/>
    <w:autoRedefine/>
    <w:qFormat/>
    <w:uiPriority w:val="0"/>
    <w:pPr>
      <w:spacing w:line="360" w:lineRule="auto"/>
      <w:ind w:firstLine="480"/>
    </w:pPr>
    <w:rPr>
      <w:rFonts w:ascii="Calibri" w:hAnsi="Calibri" w:eastAsia="宋体" w:cs="宋体"/>
      <w:sz w:val="24"/>
      <w:szCs w:val="20"/>
    </w:rPr>
  </w:style>
  <w:style w:type="character" w:customStyle="1" w:styleId="125">
    <w:name w:val="标题3 Char"/>
    <w:link w:val="126"/>
    <w:autoRedefine/>
    <w:qFormat/>
    <w:uiPriority w:val="0"/>
    <w:rPr>
      <w:rFonts w:eastAsia="仿宋" w:cs="Times New Roman"/>
      <w:b/>
      <w:kern w:val="2"/>
      <w:sz w:val="28"/>
      <w:szCs w:val="24"/>
    </w:rPr>
  </w:style>
  <w:style w:type="paragraph" w:customStyle="1" w:styleId="126">
    <w:name w:val="标题3"/>
    <w:basedOn w:val="4"/>
    <w:next w:val="1"/>
    <w:link w:val="125"/>
    <w:autoRedefine/>
    <w:qFormat/>
    <w:uiPriority w:val="0"/>
    <w:rPr>
      <w:rFonts w:eastAsia="仿宋" w:cs="Times New Roman"/>
      <w:szCs w:val="24"/>
    </w:rPr>
  </w:style>
  <w:style w:type="paragraph" w:customStyle="1" w:styleId="127">
    <w:name w:val="方案图名"/>
    <w:basedOn w:val="1"/>
    <w:next w:val="1"/>
    <w:link w:val="128"/>
    <w:autoRedefine/>
    <w:qFormat/>
    <w:uiPriority w:val="0"/>
    <w:pPr>
      <w:spacing w:line="240" w:lineRule="auto"/>
      <w:ind w:firstLine="562" w:firstLineChars="0"/>
      <w:jc w:val="center"/>
      <w:outlineLvl w:val="4"/>
    </w:pPr>
    <w:rPr>
      <w:rFonts w:ascii="黑体" w:hAnsi="黑体" w:eastAsia="黑体" w:cs="黑体"/>
      <w:b/>
      <w:color w:val="000000"/>
      <w:sz w:val="21"/>
    </w:rPr>
  </w:style>
  <w:style w:type="character" w:customStyle="1" w:styleId="128">
    <w:name w:val="图名 字符"/>
    <w:link w:val="127"/>
    <w:autoRedefine/>
    <w:qFormat/>
    <w:uiPriority w:val="0"/>
    <w:rPr>
      <w:rFonts w:ascii="黑体" w:hAnsi="黑体" w:eastAsia="黑体" w:cs="黑体"/>
      <w:b/>
      <w:color w:val="000000"/>
      <w:kern w:val="2"/>
      <w:sz w:val="21"/>
      <w:szCs w:val="21"/>
    </w:rPr>
  </w:style>
  <w:style w:type="character" w:customStyle="1" w:styleId="129">
    <w:name w:val="未处理的提及1"/>
    <w:autoRedefine/>
    <w:unhideWhenUsed/>
    <w:qFormat/>
    <w:uiPriority w:val="99"/>
    <w:rPr>
      <w:color w:val="605E5C"/>
      <w:shd w:val="clear" w:color="auto" w:fill="E1DFDD"/>
    </w:rPr>
  </w:style>
  <w:style w:type="paragraph" w:customStyle="1" w:styleId="130">
    <w:name w:val="TOC 标题1"/>
    <w:basedOn w:val="2"/>
    <w:next w:val="1"/>
    <w:autoRedefine/>
    <w:qFormat/>
    <w:uiPriority w:val="39"/>
    <w:pPr>
      <w:keepNext w:val="0"/>
      <w:outlineLvl w:val="9"/>
    </w:pPr>
    <w:rPr>
      <w:rFonts w:ascii="Times New Roman" w:hAnsi="Times New Roman" w:cs="Times New Roman"/>
      <w:bCs/>
      <w:szCs w:val="32"/>
    </w:rPr>
  </w:style>
  <w:style w:type="paragraph" w:customStyle="1" w:styleId="131">
    <w:name w:val="图表图名（刘强））"/>
    <w:autoRedefine/>
    <w:qFormat/>
    <w:uiPriority w:val="0"/>
    <w:pPr>
      <w:jc w:val="center"/>
    </w:pPr>
    <w:rPr>
      <w:rFonts w:ascii="Times New Roman" w:hAnsi="Times New Roman" w:eastAsia="宋体" w:cs="Times New Roman"/>
      <w:b/>
      <w:sz w:val="21"/>
      <w:szCs w:val="21"/>
      <w:lang w:val="en-US" w:eastAsia="zh-CN" w:bidi="ar-SA"/>
    </w:rPr>
  </w:style>
  <w:style w:type="paragraph" w:customStyle="1" w:styleId="132">
    <w:name w:val="z-窗体底端1"/>
    <w:basedOn w:val="1"/>
    <w:next w:val="1"/>
    <w:link w:val="133"/>
    <w:autoRedefine/>
    <w:qFormat/>
    <w:uiPriority w:val="0"/>
    <w:pPr>
      <w:widowControl/>
      <w:pBdr>
        <w:top w:val="single" w:color="auto" w:sz="6" w:space="1"/>
      </w:pBdr>
      <w:ind w:firstLine="200"/>
      <w:jc w:val="center"/>
    </w:pPr>
    <w:rPr>
      <w:rFonts w:ascii="Arial" w:hAnsi="Arial" w:cs="Arial"/>
      <w:vanish/>
      <w:kern w:val="0"/>
      <w:sz w:val="16"/>
      <w:szCs w:val="16"/>
    </w:rPr>
  </w:style>
  <w:style w:type="character" w:customStyle="1" w:styleId="133">
    <w:name w:val="z-窗体底端 字符"/>
    <w:basedOn w:val="51"/>
    <w:link w:val="132"/>
    <w:autoRedefine/>
    <w:qFormat/>
    <w:uiPriority w:val="0"/>
    <w:rPr>
      <w:rFonts w:ascii="Arial" w:hAnsi="Arial" w:eastAsia="仿宋" w:cs="Arial"/>
      <w:vanish/>
      <w:kern w:val="0"/>
      <w:sz w:val="16"/>
      <w:szCs w:val="16"/>
    </w:rPr>
  </w:style>
  <w:style w:type="paragraph" w:customStyle="1" w:styleId="134">
    <w:name w:val="样式 标题 3 + Arial 小四 非加粗 左侧:  0.92 厘米"/>
    <w:basedOn w:val="4"/>
    <w:autoRedefine/>
    <w:qFormat/>
    <w:uiPriority w:val="0"/>
    <w:pPr>
      <w:ind w:left="519" w:firstLine="320"/>
    </w:pPr>
    <w:rPr>
      <w:rFonts w:ascii="Arial" w:hAnsi="Arial" w:cs="宋体"/>
      <w:kern w:val="0"/>
      <w:sz w:val="24"/>
      <w:szCs w:val="20"/>
    </w:rPr>
  </w:style>
  <w:style w:type="paragraph" w:customStyle="1" w:styleId="135">
    <w:name w:val="表格标题 Char Char"/>
    <w:basedOn w:val="1"/>
    <w:autoRedefine/>
    <w:qFormat/>
    <w:uiPriority w:val="0"/>
    <w:pPr>
      <w:spacing w:beforeLines="50" w:afterLines="30" w:line="320" w:lineRule="exact"/>
      <w:ind w:firstLine="200"/>
      <w:jc w:val="center"/>
    </w:pPr>
    <w:rPr>
      <w:rFonts w:eastAsia="黑体"/>
      <w:sz w:val="24"/>
    </w:rPr>
  </w:style>
  <w:style w:type="paragraph" w:customStyle="1" w:styleId="136">
    <w:name w:val="深中正文"/>
    <w:autoRedefine/>
    <w:qFormat/>
    <w:uiPriority w:val="0"/>
    <w:pPr>
      <w:overflowPunct w:val="0"/>
      <w:spacing w:line="360" w:lineRule="auto"/>
      <w:ind w:firstLine="200" w:firstLineChars="200"/>
      <w:jc w:val="both"/>
    </w:pPr>
    <w:rPr>
      <w:rFonts w:ascii="仿宋" w:hAnsi="宋体" w:eastAsia="仿宋_GB2312" w:cs="Times New Roman"/>
      <w:kern w:val="2"/>
      <w:sz w:val="24"/>
      <w:szCs w:val="28"/>
      <w:lang w:val="en-US" w:eastAsia="zh-CN" w:bidi="ar-SA"/>
    </w:rPr>
  </w:style>
  <w:style w:type="paragraph" w:customStyle="1" w:styleId="137">
    <w:name w:val="表格中"/>
    <w:basedOn w:val="1"/>
    <w:autoRedefine/>
    <w:qFormat/>
    <w:uiPriority w:val="0"/>
    <w:pPr>
      <w:spacing w:line="360" w:lineRule="auto"/>
      <w:ind w:firstLine="0" w:firstLineChars="0"/>
      <w:jc w:val="center"/>
    </w:pPr>
    <w:rPr>
      <w:rFonts w:eastAsia="宋体"/>
      <w:sz w:val="21"/>
      <w:szCs w:val="28"/>
    </w:rPr>
  </w:style>
  <w:style w:type="paragraph" w:customStyle="1" w:styleId="138">
    <w:name w:val="p0"/>
    <w:basedOn w:val="1"/>
    <w:autoRedefine/>
    <w:qFormat/>
    <w:uiPriority w:val="0"/>
    <w:pPr>
      <w:widowControl/>
      <w:ind w:firstLine="200"/>
    </w:pPr>
    <w:rPr>
      <w:rFonts w:ascii="Calibri" w:hAnsi="Calibri" w:cs="宋体"/>
      <w:kern w:val="0"/>
    </w:rPr>
  </w:style>
  <w:style w:type="paragraph" w:customStyle="1" w:styleId="139">
    <w:name w:val="Table Paragraph"/>
    <w:basedOn w:val="1"/>
    <w:autoRedefine/>
    <w:qFormat/>
    <w:uiPriority w:val="1"/>
    <w:pPr>
      <w:autoSpaceDE w:val="0"/>
      <w:autoSpaceDN w:val="0"/>
      <w:spacing w:line="240" w:lineRule="auto"/>
      <w:ind w:firstLine="0" w:firstLineChars="0"/>
      <w:jc w:val="left"/>
    </w:pPr>
    <w:rPr>
      <w:rFonts w:ascii="宋体" w:hAnsi="宋体" w:eastAsia="宋体" w:cs="宋体"/>
      <w:kern w:val="0"/>
      <w:sz w:val="22"/>
      <w:szCs w:val="22"/>
      <w:lang w:eastAsia="en-US"/>
    </w:rPr>
  </w:style>
  <w:style w:type="paragraph" w:customStyle="1" w:styleId="140">
    <w:name w:val="表内文字（刘强）"/>
    <w:autoRedefine/>
    <w:qFormat/>
    <w:uiPriority w:val="0"/>
    <w:pPr>
      <w:jc w:val="center"/>
    </w:pPr>
    <w:rPr>
      <w:rFonts w:ascii="Times New Roman" w:hAnsi="Times New Roman" w:eastAsia="宋体" w:cs="Times New Roman"/>
      <w:sz w:val="21"/>
      <w:szCs w:val="21"/>
      <w:lang w:val="en-US" w:eastAsia="zh-CN" w:bidi="ar-SA"/>
    </w:rPr>
  </w:style>
  <w:style w:type="paragraph" w:customStyle="1" w:styleId="141">
    <w:name w:val="08图名"/>
    <w:basedOn w:val="1"/>
    <w:autoRedefine/>
    <w:qFormat/>
    <w:uiPriority w:val="0"/>
    <w:pPr>
      <w:overflowPunct w:val="0"/>
      <w:spacing w:line="360" w:lineRule="auto"/>
      <w:ind w:firstLine="0" w:firstLineChars="0"/>
      <w:jc w:val="center"/>
    </w:pPr>
    <w:rPr>
      <w:rFonts w:hAnsi="Calibri" w:eastAsia="黑体"/>
      <w:sz w:val="21"/>
    </w:rPr>
  </w:style>
  <w:style w:type="paragraph" w:customStyle="1" w:styleId="142">
    <w:name w:val="正文缩进二"/>
    <w:basedOn w:val="13"/>
    <w:autoRedefine/>
    <w:qFormat/>
    <w:uiPriority w:val="0"/>
    <w:pPr>
      <w:tabs>
        <w:tab w:val="clear" w:pos="630"/>
      </w:tabs>
      <w:adjustRightInd/>
      <w:ind w:firstLine="567"/>
    </w:pPr>
    <w:rPr>
      <w:rFonts w:ascii="Arial" w:hAnsi="Arial" w:cs="Arial"/>
      <w:sz w:val="28"/>
    </w:rPr>
  </w:style>
  <w:style w:type="paragraph" w:customStyle="1" w:styleId="143">
    <w:name w:val="标题4"/>
    <w:basedOn w:val="3"/>
    <w:link w:val="144"/>
    <w:autoRedefine/>
    <w:qFormat/>
    <w:uiPriority w:val="0"/>
    <w:pPr>
      <w:keepNext/>
      <w:spacing w:line="360" w:lineRule="auto"/>
    </w:pPr>
    <w:rPr>
      <w:rFonts w:ascii="Times New Roman" w:hAnsi="Times New Roman"/>
      <w:kern w:val="0"/>
      <w:szCs w:val="30"/>
    </w:rPr>
  </w:style>
  <w:style w:type="character" w:customStyle="1" w:styleId="144">
    <w:name w:val="标题4 字符"/>
    <w:link w:val="143"/>
    <w:autoRedefine/>
    <w:qFormat/>
    <w:uiPriority w:val="0"/>
    <w:rPr>
      <w:rFonts w:ascii="Times New Roman" w:hAnsi="Times New Roman" w:eastAsia="黑体" w:cs="Times New Roman"/>
      <w:bCs/>
      <w:sz w:val="30"/>
      <w:szCs w:val="30"/>
    </w:rPr>
  </w:style>
  <w:style w:type="character" w:customStyle="1" w:styleId="145">
    <w:name w:val="图名图表 字符"/>
    <w:autoRedefine/>
    <w:qFormat/>
    <w:uiPriority w:val="0"/>
    <w:rPr>
      <w:rFonts w:ascii="仿宋" w:hAnsi="仿宋" w:eastAsia="仿宋"/>
      <w:b/>
      <w:kern w:val="2"/>
      <w:sz w:val="28"/>
      <w:szCs w:val="28"/>
    </w:rPr>
  </w:style>
  <w:style w:type="paragraph" w:customStyle="1" w:styleId="146">
    <w:name w:val="09表中文字"/>
    <w:basedOn w:val="147"/>
    <w:next w:val="147"/>
    <w:autoRedefine/>
    <w:qFormat/>
    <w:uiPriority w:val="0"/>
    <w:pPr>
      <w:spacing w:line="240" w:lineRule="auto"/>
      <w:ind w:firstLine="0" w:firstLineChars="0"/>
      <w:jc w:val="center"/>
      <w:textAlignment w:val="center"/>
    </w:pPr>
    <w:rPr>
      <w:sz w:val="21"/>
    </w:rPr>
  </w:style>
  <w:style w:type="paragraph" w:customStyle="1" w:styleId="147">
    <w:name w:val="06正文"/>
    <w:autoRedefine/>
    <w:qFormat/>
    <w:uiPriority w:val="0"/>
    <w:pPr>
      <w:spacing w:line="360" w:lineRule="auto"/>
      <w:ind w:firstLine="200" w:firstLineChars="200"/>
    </w:pPr>
    <w:rPr>
      <w:rFonts w:ascii="Times New Roman" w:hAnsi="Times New Roman" w:eastAsia="宋体" w:cs="Times New Roman"/>
      <w:kern w:val="2"/>
      <w:sz w:val="24"/>
      <w:szCs w:val="30"/>
      <w:lang w:val="en-US" w:eastAsia="zh-CN" w:bidi="ar-SA"/>
    </w:rPr>
  </w:style>
  <w:style w:type="paragraph" w:customStyle="1" w:styleId="148">
    <w:name w:val="表内字"/>
    <w:basedOn w:val="1"/>
    <w:link w:val="149"/>
    <w:autoRedefine/>
    <w:qFormat/>
    <w:uiPriority w:val="0"/>
    <w:pPr>
      <w:spacing w:line="240" w:lineRule="auto"/>
      <w:ind w:firstLine="0" w:firstLineChars="0"/>
      <w:contextualSpacing/>
      <w:jc w:val="center"/>
    </w:pPr>
    <w:rPr>
      <w:kern w:val="0"/>
      <w:sz w:val="20"/>
    </w:rPr>
  </w:style>
  <w:style w:type="character" w:customStyle="1" w:styleId="149">
    <w:name w:val="表内字 字符"/>
    <w:link w:val="148"/>
    <w:autoRedefine/>
    <w:qFormat/>
    <w:uiPriority w:val="0"/>
    <w:rPr>
      <w:rFonts w:ascii="Times New Roman" w:hAnsi="Times New Roman" w:eastAsia="仿宋" w:cs="Times New Roman"/>
      <w:szCs w:val="21"/>
    </w:rPr>
  </w:style>
  <w:style w:type="paragraph" w:customStyle="1" w:styleId="150">
    <w:name w:val="李奇 正文"/>
    <w:basedOn w:val="1"/>
    <w:autoRedefine/>
    <w:qFormat/>
    <w:uiPriority w:val="0"/>
    <w:pPr>
      <w:spacing w:line="360" w:lineRule="auto"/>
      <w:ind w:firstLine="480"/>
    </w:pPr>
    <w:rPr>
      <w:rFonts w:ascii="宋体" w:hAnsi="宋体" w:eastAsia="宋体" w:cs="宋体"/>
      <w:sz w:val="24"/>
      <w:szCs w:val="20"/>
    </w:rPr>
  </w:style>
  <w:style w:type="character" w:customStyle="1" w:styleId="151">
    <w:name w:val="font21"/>
    <w:autoRedefine/>
    <w:qFormat/>
    <w:uiPriority w:val="0"/>
    <w:rPr>
      <w:rFonts w:hint="eastAsia" w:ascii="仿宋" w:hAnsi="仿宋" w:eastAsia="仿宋" w:cs="仿宋"/>
      <w:color w:val="000000"/>
      <w:sz w:val="22"/>
      <w:szCs w:val="22"/>
      <w:u w:val="none"/>
    </w:rPr>
  </w:style>
  <w:style w:type="paragraph" w:customStyle="1" w:styleId="152">
    <w:name w:val="标题4."/>
    <w:basedOn w:val="143"/>
    <w:next w:val="1"/>
    <w:link w:val="153"/>
    <w:autoRedefine/>
    <w:qFormat/>
    <w:uiPriority w:val="0"/>
    <w:pPr>
      <w:spacing w:line="500" w:lineRule="exact"/>
      <w:ind w:firstLine="200" w:firstLineChars="200"/>
      <w:jc w:val="left"/>
      <w:outlineLvl w:val="3"/>
    </w:pPr>
    <w:rPr>
      <w:sz w:val="28"/>
    </w:rPr>
  </w:style>
  <w:style w:type="character" w:customStyle="1" w:styleId="153">
    <w:name w:val="标题4. 字符"/>
    <w:link w:val="152"/>
    <w:autoRedefine/>
    <w:qFormat/>
    <w:uiPriority w:val="0"/>
    <w:rPr>
      <w:rFonts w:ascii="Times New Roman" w:hAnsi="Times New Roman" w:eastAsia="黑体" w:cs="Times New Roman"/>
      <w:bCs/>
      <w:sz w:val="28"/>
      <w:szCs w:val="30"/>
    </w:rPr>
  </w:style>
  <w:style w:type="paragraph" w:customStyle="1" w:styleId="154">
    <w:name w:val="_Style 132"/>
    <w:basedOn w:val="1"/>
    <w:next w:val="92"/>
    <w:autoRedefine/>
    <w:qFormat/>
    <w:uiPriority w:val="99"/>
    <w:pPr>
      <w:ind w:firstLine="420"/>
    </w:pPr>
    <w:rPr>
      <w:rFonts w:ascii="Calibri" w:hAnsi="Calibri"/>
      <w:sz w:val="21"/>
      <w:szCs w:val="22"/>
    </w:rPr>
  </w:style>
  <w:style w:type="character" w:customStyle="1" w:styleId="155">
    <w:name w:val="font11"/>
    <w:basedOn w:val="51"/>
    <w:autoRedefine/>
    <w:qFormat/>
    <w:uiPriority w:val="0"/>
    <w:rPr>
      <w:rFonts w:hint="eastAsia" w:ascii="仿宋" w:hAnsi="仿宋" w:eastAsia="仿宋" w:cs="仿宋"/>
      <w:color w:val="000000"/>
      <w:sz w:val="21"/>
      <w:szCs w:val="21"/>
      <w:u w:val="none"/>
    </w:rPr>
  </w:style>
  <w:style w:type="paragraph" w:customStyle="1" w:styleId="156">
    <w:name w:val="Default"/>
    <w:autoRedefine/>
    <w:qFormat/>
    <w:uiPriority w:val="0"/>
    <w:pPr>
      <w:widowControl w:val="0"/>
      <w:autoSpaceDE w:val="0"/>
      <w:autoSpaceDN w:val="0"/>
      <w:adjustRightInd w:val="0"/>
    </w:pPr>
    <w:rPr>
      <w:rFonts w:ascii="Calibri" w:hAnsi="Calibri" w:eastAsia="宋体" w:cs="Calibri"/>
      <w:color w:val="000000"/>
      <w:sz w:val="24"/>
      <w:szCs w:val="24"/>
      <w:lang w:val="en-US" w:eastAsia="zh-CN" w:bidi="ar-SA"/>
    </w:rPr>
  </w:style>
  <w:style w:type="paragraph" w:customStyle="1" w:styleId="157">
    <w:name w:val="_Style 0"/>
    <w:autoRedefine/>
    <w:qFormat/>
    <w:uiPriority w:val="0"/>
    <w:pPr>
      <w:widowControl w:val="0"/>
      <w:jc w:val="both"/>
    </w:pPr>
    <w:rPr>
      <w:rFonts w:ascii="宋体" w:hAnsi="Calibri" w:eastAsia="仿宋_GB2312" w:cs="Times New Roman"/>
      <w:kern w:val="2"/>
      <w:sz w:val="21"/>
      <w:szCs w:val="28"/>
      <w:lang w:val="en-US" w:eastAsia="zh-CN" w:bidi="ar-SA"/>
    </w:rPr>
  </w:style>
  <w:style w:type="character" w:customStyle="1" w:styleId="158">
    <w:name w:val="Font Style248"/>
    <w:autoRedefine/>
    <w:qFormat/>
    <w:uiPriority w:val="0"/>
    <w:rPr>
      <w:rFonts w:ascii="宋体" w:eastAsia="宋体" w:cs="宋体"/>
      <w:sz w:val="22"/>
      <w:szCs w:val="22"/>
    </w:rPr>
  </w:style>
  <w:style w:type="paragraph" w:customStyle="1" w:styleId="159">
    <w:name w:val="_Style 13"/>
    <w:autoRedefine/>
    <w:qFormat/>
    <w:uiPriority w:val="0"/>
    <w:pPr>
      <w:widowControl w:val="0"/>
      <w:jc w:val="both"/>
    </w:pPr>
    <w:rPr>
      <w:rFonts w:ascii="宋体" w:hAnsi="Calibri" w:eastAsia="仿宋_GB2312" w:cs="Times New Roman"/>
      <w:kern w:val="2"/>
      <w:sz w:val="21"/>
      <w:szCs w:val="28"/>
      <w:lang w:val="en-US" w:eastAsia="zh-CN" w:bidi="ar-SA"/>
    </w:rPr>
  </w:style>
  <w:style w:type="character" w:customStyle="1" w:styleId="160">
    <w:name w:val="表内文字 字符"/>
    <w:basedOn w:val="51"/>
    <w:autoRedefine/>
    <w:qFormat/>
    <w:uiPriority w:val="0"/>
    <w:rPr>
      <w:rFonts w:cs="Times New Roman"/>
      <w:kern w:val="2"/>
      <w:sz w:val="21"/>
      <w:szCs w:val="24"/>
    </w:rPr>
  </w:style>
  <w:style w:type="paragraph" w:customStyle="1" w:styleId="161">
    <w:name w:val="表格"/>
    <w:basedOn w:val="1"/>
    <w:autoRedefine/>
    <w:qFormat/>
    <w:uiPriority w:val="0"/>
    <w:pPr>
      <w:spacing w:line="360" w:lineRule="auto"/>
      <w:ind w:firstLine="0" w:firstLineChars="0"/>
      <w:jc w:val="center"/>
    </w:pPr>
    <w:rPr>
      <w:rFonts w:eastAsia="宋体"/>
      <w:sz w:val="21"/>
      <w:szCs w:val="20"/>
    </w:rPr>
  </w:style>
  <w:style w:type="character" w:customStyle="1" w:styleId="162">
    <w:name w:val="副标题 Char1"/>
    <w:autoRedefine/>
    <w:qFormat/>
    <w:uiPriority w:val="11"/>
    <w:rPr>
      <w:rFonts w:ascii="Cambria" w:hAnsi="Cambria" w:eastAsia="黑体" w:cs="Times New Roman"/>
      <w:b/>
      <w:bCs/>
      <w:kern w:val="28"/>
      <w:sz w:val="24"/>
      <w:szCs w:val="32"/>
    </w:rPr>
  </w:style>
  <w:style w:type="paragraph" w:customStyle="1" w:styleId="163">
    <w:name w:val="表名"/>
    <w:basedOn w:val="1"/>
    <w:autoRedefine/>
    <w:qFormat/>
    <w:uiPriority w:val="0"/>
    <w:pPr>
      <w:numPr>
        <w:ilvl w:val="0"/>
        <w:numId w:val="2"/>
      </w:numPr>
      <w:spacing w:beforeLines="50" w:line="360" w:lineRule="auto"/>
      <w:ind w:firstLine="0" w:firstLineChars="0"/>
      <w:jc w:val="center"/>
    </w:pPr>
    <w:rPr>
      <w:rFonts w:ascii="黑体" w:hAnsi="宋体" w:eastAsia="Times New Roman" w:cs="Dutch801 Rm BT"/>
      <w:kern w:val="10"/>
      <w:sz w:val="24"/>
    </w:rPr>
  </w:style>
  <w:style w:type="paragraph" w:customStyle="1" w:styleId="164">
    <w:name w:val="三级标题-NEW"/>
    <w:basedOn w:val="165"/>
    <w:autoRedefine/>
    <w:qFormat/>
    <w:uiPriority w:val="0"/>
    <w:pPr>
      <w:numPr>
        <w:ilvl w:val="2"/>
        <w:numId w:val="3"/>
      </w:numPr>
      <w:outlineLvl w:val="2"/>
    </w:pPr>
    <w:rPr>
      <w:sz w:val="24"/>
    </w:rPr>
  </w:style>
  <w:style w:type="paragraph" w:customStyle="1" w:styleId="165">
    <w:name w:val="一级标题-NEW"/>
    <w:basedOn w:val="166"/>
    <w:autoRedefine/>
    <w:qFormat/>
    <w:uiPriority w:val="99"/>
    <w:pPr>
      <w:jc w:val="left"/>
    </w:pPr>
    <w:rPr>
      <w:rFonts w:ascii="Times New Roman" w:hAnsi="Times New Roman" w:eastAsia="等线"/>
      <w:color w:val="auto"/>
      <w:kern w:val="2"/>
      <w:sz w:val="30"/>
    </w:rPr>
  </w:style>
  <w:style w:type="paragraph" w:customStyle="1" w:styleId="166">
    <w:name w:val="标题 1-1"/>
    <w:basedOn w:val="2"/>
    <w:autoRedefine/>
    <w:qFormat/>
    <w:uiPriority w:val="0"/>
    <w:pPr>
      <w:widowControl/>
      <w:snapToGrid w:val="0"/>
    </w:pPr>
    <w:rPr>
      <w:rFonts w:cs="Times New Roman"/>
      <w:color w:val="FF0000"/>
      <w:sz w:val="28"/>
      <w:szCs w:val="22"/>
    </w:rPr>
  </w:style>
  <w:style w:type="paragraph" w:customStyle="1" w:styleId="167">
    <w:name w:val="图表名字"/>
    <w:autoRedefine/>
    <w:qFormat/>
    <w:uiPriority w:val="6"/>
    <w:pPr>
      <w:spacing w:line="300" w:lineRule="auto"/>
      <w:jc w:val="center"/>
    </w:pPr>
    <w:rPr>
      <w:rFonts w:ascii="Times New Roman" w:hAnsi="Times New Roman" w:eastAsia="宋体" w:cs="Times New Roman"/>
      <w:b/>
      <w:color w:val="215868"/>
      <w:kern w:val="2"/>
      <w:sz w:val="21"/>
      <w:szCs w:val="24"/>
      <w:lang w:val="en-US" w:eastAsia="zh-CN" w:bidi="ar-SA"/>
    </w:rPr>
  </w:style>
  <w:style w:type="paragraph" w:customStyle="1" w:styleId="168">
    <w:name w:val="余杭表内"/>
    <w:autoRedefine/>
    <w:qFormat/>
    <w:uiPriority w:val="7"/>
    <w:pPr>
      <w:snapToGrid w:val="0"/>
      <w:jc w:val="center"/>
    </w:pPr>
    <w:rPr>
      <w:rFonts w:ascii="Times New Roman" w:hAnsi="Times New Roman" w:eastAsia="宋体" w:cs="Times New Roman"/>
      <w:bCs/>
      <w:color w:val="000000"/>
      <w:kern w:val="2"/>
      <w:sz w:val="21"/>
      <w:szCs w:val="21"/>
      <w:lang w:val="en-US" w:eastAsia="zh-CN" w:bidi="ar-SA"/>
    </w:rPr>
  </w:style>
  <w:style w:type="paragraph" w:customStyle="1" w:styleId="169">
    <w:name w:val="余杭正文"/>
    <w:autoRedefine/>
    <w:qFormat/>
    <w:uiPriority w:val="5"/>
    <w:pPr>
      <w:widowControl w:val="0"/>
      <w:adjustRightInd w:val="0"/>
      <w:snapToGrid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170">
    <w:name w:val="列出段落3"/>
    <w:basedOn w:val="1"/>
    <w:autoRedefine/>
    <w:qFormat/>
    <w:uiPriority w:val="34"/>
    <w:pPr>
      <w:spacing w:line="240" w:lineRule="auto"/>
      <w:ind w:firstLine="420"/>
    </w:pPr>
    <w:rPr>
      <w:rFonts w:eastAsia="宋体"/>
      <w:sz w:val="21"/>
    </w:rPr>
  </w:style>
  <w:style w:type="paragraph" w:customStyle="1" w:styleId="171">
    <w:name w:val="图名"/>
    <w:basedOn w:val="1"/>
    <w:next w:val="1"/>
    <w:autoRedefine/>
    <w:qFormat/>
    <w:uiPriority w:val="0"/>
    <w:pPr>
      <w:ind w:firstLine="0" w:firstLineChars="0"/>
      <w:jc w:val="center"/>
      <w:outlineLvl w:val="4"/>
    </w:pPr>
    <w:rPr>
      <w:b/>
    </w:rPr>
  </w:style>
  <w:style w:type="paragraph" w:customStyle="1" w:styleId="172">
    <w:name w:val="图表内容"/>
    <w:autoRedefine/>
    <w:qFormat/>
    <w:uiPriority w:val="0"/>
    <w:pPr>
      <w:adjustRightInd w:val="0"/>
      <w:jc w:val="center"/>
      <w:textAlignment w:val="center"/>
    </w:pPr>
    <w:rPr>
      <w:rFonts w:ascii="Times New Roman" w:hAnsi="Times New Roman" w:eastAsia="宋体" w:cs="Times New Roman"/>
      <w:sz w:val="21"/>
      <w:lang w:val="en-US" w:eastAsia="zh-CN" w:bidi="ar-SA"/>
    </w:rPr>
  </w:style>
  <w:style w:type="paragraph" w:customStyle="1" w:styleId="173">
    <w:name w:val="4、正文"/>
    <w:basedOn w:val="1"/>
    <w:link w:val="189"/>
    <w:autoRedefine/>
    <w:qFormat/>
    <w:uiPriority w:val="0"/>
    <w:pPr>
      <w:adjustRightInd w:val="0"/>
      <w:snapToGrid w:val="0"/>
      <w:spacing w:line="360" w:lineRule="auto"/>
      <w:ind w:firstLine="480"/>
      <w:jc w:val="left"/>
    </w:pPr>
    <w:rPr>
      <w:rFonts w:ascii="宋体" w:hAnsi="宋体" w:eastAsia="宋体"/>
      <w:color w:val="000000"/>
      <w:kern w:val="0"/>
      <w:sz w:val="24"/>
      <w:szCs w:val="24"/>
      <w:lang w:val="zh-CN"/>
    </w:rPr>
  </w:style>
  <w:style w:type="character" w:customStyle="1" w:styleId="174">
    <w:name w:val="正文格式 Char"/>
    <w:link w:val="175"/>
    <w:autoRedefine/>
    <w:qFormat/>
    <w:uiPriority w:val="0"/>
    <w:rPr>
      <w:rFonts w:ascii="宋体" w:eastAsia="宋体"/>
      <w:sz w:val="24"/>
      <w:szCs w:val="24"/>
    </w:rPr>
  </w:style>
  <w:style w:type="paragraph" w:customStyle="1" w:styleId="175">
    <w:name w:val="正文格式"/>
    <w:basedOn w:val="1"/>
    <w:link w:val="174"/>
    <w:autoRedefine/>
    <w:qFormat/>
    <w:uiPriority w:val="0"/>
    <w:pPr>
      <w:spacing w:line="360" w:lineRule="auto"/>
      <w:ind w:firstLine="480"/>
      <w:jc w:val="left"/>
    </w:pPr>
    <w:rPr>
      <w:rFonts w:ascii="宋体" w:eastAsia="宋体"/>
      <w:kern w:val="0"/>
      <w:sz w:val="24"/>
      <w:szCs w:val="24"/>
    </w:rPr>
  </w:style>
  <w:style w:type="paragraph" w:customStyle="1" w:styleId="176">
    <w:name w:val="图表名"/>
    <w:basedOn w:val="1"/>
    <w:autoRedefine/>
    <w:qFormat/>
    <w:uiPriority w:val="99"/>
    <w:pPr>
      <w:jc w:val="center"/>
    </w:pPr>
    <w:rPr>
      <w:rFonts w:eastAsia="黑体"/>
      <w:kern w:val="0"/>
      <w:sz w:val="21"/>
      <w:szCs w:val="20"/>
    </w:rPr>
  </w:style>
  <w:style w:type="paragraph" w:customStyle="1" w:styleId="177">
    <w:name w:val="样式 正文1 + 首行缩进:  2 字符"/>
    <w:basedOn w:val="1"/>
    <w:autoRedefine/>
    <w:qFormat/>
    <w:uiPriority w:val="0"/>
    <w:pPr>
      <w:wordWrap w:val="0"/>
      <w:ind w:firstLine="480"/>
    </w:pPr>
    <w:rPr>
      <w:rFonts w:ascii="宋体" w:hAnsi="宋体" w:cs="宋体"/>
      <w:color w:val="000000"/>
      <w:szCs w:val="20"/>
    </w:rPr>
  </w:style>
  <w:style w:type="paragraph" w:customStyle="1" w:styleId="178">
    <w:name w:val="图片"/>
    <w:basedOn w:val="1"/>
    <w:autoRedefine/>
    <w:qFormat/>
    <w:uiPriority w:val="0"/>
    <w:pPr>
      <w:spacing w:before="120" w:after="120"/>
      <w:ind w:firstLine="0" w:firstLineChars="0"/>
      <w:jc w:val="center"/>
    </w:pPr>
    <w:rPr>
      <w:rFonts w:ascii="宋体" w:hAnsi="宋体"/>
      <w:sz w:val="21"/>
      <w:szCs w:val="28"/>
    </w:rPr>
  </w:style>
  <w:style w:type="paragraph" w:customStyle="1" w:styleId="179">
    <w:name w:val="修订1"/>
    <w:autoRedefine/>
    <w:semiHidden/>
    <w:qFormat/>
    <w:uiPriority w:val="99"/>
    <w:rPr>
      <w:rFonts w:ascii="Times New Roman" w:hAnsi="Times New Roman" w:eastAsia="仿宋" w:cs="Times New Roman"/>
      <w:kern w:val="2"/>
      <w:sz w:val="28"/>
      <w:szCs w:val="21"/>
      <w:lang w:val="en-US" w:eastAsia="zh-CN" w:bidi="ar-SA"/>
    </w:rPr>
  </w:style>
  <w:style w:type="paragraph" w:customStyle="1" w:styleId="180">
    <w:name w:val="样式 居中"/>
    <w:basedOn w:val="1"/>
    <w:autoRedefine/>
    <w:qFormat/>
    <w:uiPriority w:val="0"/>
    <w:pPr>
      <w:widowControl/>
      <w:ind w:firstLine="200"/>
      <w:jc w:val="center"/>
    </w:pPr>
    <w:rPr>
      <w:rFonts w:ascii="宋体" w:cs="宋体"/>
      <w:b/>
      <w:kern w:val="0"/>
      <w:sz w:val="44"/>
      <w:szCs w:val="20"/>
    </w:rPr>
  </w:style>
  <w:style w:type="character" w:customStyle="1" w:styleId="181">
    <w:name w:val="标题 1 字符1"/>
    <w:basedOn w:val="51"/>
    <w:link w:val="2"/>
    <w:autoRedefine/>
    <w:qFormat/>
    <w:uiPriority w:val="0"/>
    <w:rPr>
      <w:rFonts w:ascii="Times New Roman" w:hAnsi="Times New Roman" w:eastAsia="黑体"/>
      <w:b/>
      <w:kern w:val="2"/>
      <w:sz w:val="28"/>
      <w:szCs w:val="24"/>
    </w:rPr>
  </w:style>
  <w:style w:type="paragraph" w:customStyle="1" w:styleId="182">
    <w:name w:val="正缩"/>
    <w:basedOn w:val="1"/>
    <w:autoRedefine/>
    <w:qFormat/>
    <w:uiPriority w:val="0"/>
    <w:pPr>
      <w:adjustRightInd w:val="0"/>
      <w:spacing w:line="400" w:lineRule="exact"/>
      <w:textAlignment w:val="center"/>
    </w:pPr>
    <w:rPr>
      <w:szCs w:val="24"/>
    </w:rPr>
  </w:style>
  <w:style w:type="paragraph" w:customStyle="1" w:styleId="183">
    <w:name w:val="正文2"/>
    <w:basedOn w:val="1"/>
    <w:autoRedefine/>
    <w:qFormat/>
    <w:uiPriority w:val="0"/>
    <w:pPr>
      <w:spacing w:line="240" w:lineRule="auto"/>
    </w:pPr>
  </w:style>
  <w:style w:type="paragraph" w:customStyle="1" w:styleId="184">
    <w:name w:val="图格式"/>
    <w:basedOn w:val="1"/>
    <w:qFormat/>
    <w:uiPriority w:val="0"/>
    <w:pPr>
      <w:keepNext/>
      <w:spacing w:line="240" w:lineRule="auto"/>
      <w:ind w:firstLine="0" w:firstLineChars="0"/>
      <w:jc w:val="center"/>
    </w:pPr>
  </w:style>
  <w:style w:type="paragraph" w:customStyle="1" w:styleId="185">
    <w:name w:val="报告正文"/>
    <w:basedOn w:val="1"/>
    <w:qFormat/>
    <w:uiPriority w:val="0"/>
    <w:rPr>
      <w:rFonts w:eastAsia="仿宋_GB2312"/>
    </w:rPr>
  </w:style>
  <w:style w:type="table" w:customStyle="1" w:styleId="186">
    <w:name w:val="合武g"/>
    <w:basedOn w:val="187"/>
    <w:qFormat/>
    <w:uiPriority w:val="99"/>
    <w:pPr>
      <w:widowControl w:val="0"/>
    </w:pPr>
    <w:tblPr>
      <w:tblCellMar>
        <w:left w:w="0" w:type="dxa"/>
        <w:right w:w="0" w:type="dxa"/>
      </w:tblCellMar>
    </w:tblPr>
    <w:tcPr>
      <w:shd w:val="clear" w:color="auto" w:fill="D9E2F3"/>
    </w:tcPr>
    <w:tblStylePr w:type="firstRow">
      <w:pPr>
        <w:jc w:val="center"/>
      </w:pPr>
      <w:rPr>
        <w:rFonts w:ascii="宋体" w:hAnsi="宋体" w:eastAsia="宋体"/>
        <w:b/>
        <w:bCs/>
        <w:i w:val="0"/>
        <w:color w:val="F8F8F8"/>
        <w:sz w:val="21"/>
      </w:rPr>
      <w:tblPr/>
      <w:trPr>
        <w:tblHeader/>
      </w:trPr>
      <w:tcPr>
        <w:shd w:val="clear" w:color="auto" w:fill="4472C4"/>
      </w:tcPr>
    </w:tblStylePr>
    <w:tblStylePr w:type="lastRow">
      <w:rPr>
        <w:b/>
        <w:bCs/>
        <w:color w:val="FFFFFF"/>
      </w:rPr>
      <w:tcPr>
        <w:tcBorders>
          <w:top w:val="single" w:color="E7E6E6" w:sz="4" w:space="0"/>
          <w:left w:val="single" w:color="E7E6E6" w:sz="4" w:space="0"/>
          <w:bottom w:val="single" w:color="E7E6E6" w:sz="4" w:space="0"/>
          <w:right w:val="single" w:color="E7E6E6" w:sz="4" w:space="0"/>
          <w:insideH w:val="single" w:sz="4" w:space="0"/>
          <w:insideV w:val="single" w:sz="4" w:space="0"/>
        </w:tcBorders>
        <w:shd w:val="clear" w:color="auto" w:fill="4472C4"/>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472C4"/>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472C4"/>
      </w:tcPr>
    </w:tblStylePr>
    <w:tblStylePr w:type="band1Vert">
      <w:tcPr>
        <w:shd w:val="clear" w:color="auto" w:fill="B4C6E7"/>
      </w:tcPr>
    </w:tblStylePr>
    <w:tblStylePr w:type="band1Horz">
      <w:tcPr>
        <w:shd w:val="clear" w:color="auto" w:fill="B4C6E7"/>
      </w:tcPr>
    </w:tblStylePr>
  </w:style>
  <w:style w:type="table" w:customStyle="1" w:styleId="187">
    <w:name w:val="成南达万"/>
    <w:basedOn w:val="44"/>
    <w:qFormat/>
    <w:uiPriority w:val="50"/>
    <w:pPr>
      <w:adjustRightInd w:val="0"/>
      <w:snapToGrid w:val="0"/>
      <w:jc w:val="center"/>
    </w:pPr>
    <w:rPr>
      <w:rFonts w:ascii="宋体" w:hAnsi="宋体" w:cs="宋体"/>
      <w:snapToGrid w:val="0"/>
      <w:sz w:val="21"/>
      <w:szCs w:val="22"/>
    </w:rPr>
    <w:tblPr>
      <w:jc w:val="center"/>
      <w:tblBorders>
        <w:top w:val="single" w:color="0070C0" w:sz="4" w:space="0"/>
        <w:left w:val="single" w:color="0070C0" w:sz="4" w:space="0"/>
        <w:bottom w:val="single" w:color="0070C0" w:sz="4" w:space="0"/>
        <w:right w:val="single" w:color="0070C0" w:sz="4" w:space="0"/>
        <w:insideH w:val="single" w:color="0070C0" w:sz="6" w:space="0"/>
        <w:insideV w:val="single" w:color="0070C0" w:sz="6" w:space="0"/>
      </w:tblBorders>
    </w:tblPr>
    <w:trPr>
      <w:jc w:val="center"/>
    </w:trPr>
    <w:tcPr>
      <w:shd w:val="clear" w:color="auto" w:fill="D9E2F3"/>
      <w:vAlign w:val="center"/>
    </w:tcPr>
    <w:tblStylePr w:type="firstRow">
      <w:pPr>
        <w:jc w:val="center"/>
      </w:pPr>
      <w:rPr>
        <w:rFonts w:ascii="宋体" w:hAnsi="宋体" w:eastAsia="宋体"/>
        <w:b/>
        <w:bCs/>
        <w:i w:val="0"/>
        <w:color w:val="F8F8F8"/>
        <w:sz w:val="21"/>
      </w:rPr>
      <w:tblPr/>
      <w:trPr>
        <w:tblHeader/>
      </w:trPr>
      <w:tcPr>
        <w:shd w:val="clear" w:color="auto" w:fill="4472C4"/>
      </w:tcPr>
    </w:tblStylePr>
    <w:tblStylePr w:type="lastRow">
      <w:rPr>
        <w:b/>
        <w:bCs/>
        <w:color w:val="FFFFFF"/>
      </w:rPr>
      <w:tcPr>
        <w:tcBorders>
          <w:top w:val="single" w:color="E7E6E6" w:sz="4" w:space="0"/>
          <w:left w:val="single" w:color="E7E6E6" w:sz="4" w:space="0"/>
          <w:bottom w:val="single" w:color="E7E6E6" w:sz="4" w:space="0"/>
          <w:right w:val="single" w:color="E7E6E6" w:sz="4" w:space="0"/>
          <w:insideH w:val="single" w:sz="4" w:space="0"/>
          <w:insideV w:val="single" w:sz="4" w:space="0"/>
        </w:tcBorders>
        <w:shd w:val="clear" w:color="auto" w:fill="4472C4"/>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472C4"/>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472C4"/>
      </w:tcPr>
    </w:tblStylePr>
    <w:tblStylePr w:type="band1Vert">
      <w:tcPr>
        <w:shd w:val="clear" w:color="auto" w:fill="B4C6E7"/>
      </w:tcPr>
    </w:tblStylePr>
    <w:tblStylePr w:type="band1Horz">
      <w:tcPr>
        <w:shd w:val="clear" w:color="auto" w:fill="B4C6E7"/>
      </w:tcPr>
    </w:tblStylePr>
  </w:style>
  <w:style w:type="character" w:customStyle="1" w:styleId="188">
    <w:name w:val="正文文本缩进 字符1"/>
    <w:qFormat/>
    <w:uiPriority w:val="99"/>
    <w:rPr>
      <w:rFonts w:ascii="Times New Roman" w:hAnsi="Times New Roman" w:eastAsia="宋体" w:cs="Times New Roman"/>
      <w:kern w:val="0"/>
      <w:sz w:val="24"/>
      <w:szCs w:val="24"/>
      <w14:ligatures w14:val="none"/>
    </w:rPr>
  </w:style>
  <w:style w:type="character" w:customStyle="1" w:styleId="189">
    <w:name w:val="4、正文 Char"/>
    <w:link w:val="173"/>
    <w:autoRedefine/>
    <w:qFormat/>
    <w:locked/>
    <w:uiPriority w:val="0"/>
    <w:rPr>
      <w:rFonts w:ascii="宋体" w:hAnsi="宋体" w:eastAsia="宋体"/>
      <w:color w:val="000000"/>
      <w:kern w:val="0"/>
      <w:sz w:val="24"/>
      <w:szCs w:val="24"/>
      <w:lang w:val="zh-CN"/>
    </w:rPr>
  </w:style>
  <w:style w:type="table" w:customStyle="1" w:styleId="190">
    <w:name w:val="XX表格1"/>
    <w:basedOn w:val="44"/>
    <w:autoRedefine/>
    <w:qFormat/>
    <w:uiPriority w:val="99"/>
    <w:rPr>
      <w:rFonts w:cstheme="minorBidi"/>
      <w:sz w:val="21"/>
    </w:rPr>
    <w:tblP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Pr>
    <w:tcPr>
      <w:vAlign w:val="center"/>
    </w:tcPr>
    <w:tblStylePr w:type="firstRow">
      <w:rPr>
        <w:rFonts w:ascii="Times New Roman" w:hAnsi="Times New Roman" w:eastAsia="宋体"/>
        <w:b/>
        <w:i w:val="0"/>
        <w:sz w:val="21"/>
      </w:rPr>
      <w:tcPr>
        <w:shd w:val="clear" w:color="auto" w:fill="C6D9F0" w:themeFill="text2" w:themeFillTint="33"/>
      </w:tcPr>
    </w:tblStylePr>
    <w:tblStylePr w:type="firstCol">
      <w:rPr>
        <w:rFonts w:ascii="Times New Roman" w:hAnsi="Times New Roman" w:eastAsia="宋体"/>
        <w:b w:val="0"/>
        <w:i w:val="0"/>
        <w:sz w:val="21"/>
      </w:rPr>
    </w:tblStylePr>
  </w:style>
  <w:style w:type="table" w:customStyle="1" w:styleId="191">
    <w:name w:val="网格型1"/>
    <w:basedOn w:val="44"/>
    <w:autoRedefine/>
    <w:qFormat/>
    <w:uiPriority w:val="0"/>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2">
    <w:name w:val="方案表格"/>
    <w:autoRedefine/>
    <w:qFormat/>
    <w:uiPriority w:val="99"/>
    <w:rPr>
      <w:rFonts w:ascii="Times New Roman" w:hAnsi="Times New Roman" w:eastAsia="宋体"/>
      <w:color w:val="000000"/>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0" w:type="dxa"/>
        <w:right w:w="0" w:type="dxa"/>
      </w:tblCellMar>
    </w:tblPr>
    <w:tcPr>
      <w:shd w:val="clear" w:color="auto" w:fill="auto"/>
      <w:vAlign w:val="center"/>
    </w:tcPr>
    <w:tblStylePr w:type="firstRow">
      <w:rPr>
        <w:rFonts w:ascii="Times New Roman" w:hAnsi="Times New Roman" w:eastAsia="黑体"/>
        <w:b/>
        <w:color w:val="FFFFFF"/>
      </w:rPr>
      <w:tblPr/>
      <w:trPr>
        <w:tblHeader/>
      </w:trPr>
      <w:tcPr>
        <w:shd w:val="clear" w:color="auto" w:fill="4472C4"/>
      </w:tcPr>
    </w:tblStylePr>
    <w:tblStylePr w:type="lastRow">
      <w:rPr>
        <w:b/>
        <w:color w:val="000000"/>
      </w:rPr>
    </w:tblStylePr>
    <w:tblStylePr w:type="firstCol">
      <w:rPr>
        <w:color w:val="000000"/>
      </w:rPr>
    </w:tblStylePr>
  </w:style>
  <w:style w:type="paragraph" w:customStyle="1" w:styleId="193">
    <w:name w:val="燕矶表格文字"/>
    <w:basedOn w:val="1"/>
    <w:qFormat/>
    <w:uiPriority w:val="0"/>
    <w:pPr>
      <w:adjustRightInd w:val="0"/>
      <w:snapToGrid w:val="0"/>
      <w:spacing w:line="240" w:lineRule="auto"/>
      <w:ind w:firstLine="0" w:firstLineChars="0"/>
      <w:jc w:val="center"/>
    </w:pPr>
    <w:rPr>
      <w:rFonts w:cstheme="minorBidi"/>
      <w:color w:val="000000" w:themeColor="text1"/>
      <w:sz w:val="21"/>
      <w14:textFill>
        <w14:solidFill>
          <w14:schemeClr w14:val="tx1"/>
        </w14:solidFill>
      </w14:textFill>
    </w:rPr>
  </w:style>
  <w:style w:type="character" w:customStyle="1" w:styleId="194">
    <w:name w:val="题注 Char"/>
    <w:link w:val="16"/>
    <w:qFormat/>
    <w:uiPriority w:val="35"/>
    <w:rPr>
      <w:rFonts w:ascii="Cambria" w:hAnsi="Cambria" w:eastAsia="黑体"/>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9" Type="http://schemas.openxmlformats.org/officeDocument/2006/relationships/fontTable" Target="fontTable.xml"/><Relationship Id="rId168" Type="http://schemas.openxmlformats.org/officeDocument/2006/relationships/numbering" Target="numbering.xml"/><Relationship Id="rId167" Type="http://schemas.openxmlformats.org/officeDocument/2006/relationships/customXml" Target="../customXml/item1.xml"/><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emf"/><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emf"/><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181</Pages>
  <Words>1598</Words>
  <Characters>2203</Characters>
  <Lines>361</Lines>
  <Paragraphs>101</Paragraphs>
  <TotalTime>11</TotalTime>
  <ScaleCrop>false</ScaleCrop>
  <LinksUpToDate>false</LinksUpToDate>
  <CharactersWithSpaces>2395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2024-11-30T09:40:00Z</dcterms:created>
  <dc:creator>伟</dc:creator>
  <cp:lastModifiedBy>WPS_1178362952</cp:lastModifiedBy>
  <cp:lastPrinted>2023-01-31T00:56:00Z</cp:lastPrinted>
  <dcterms:modified xsi:type="dcterms:W3CDTF">2025-06-28T01:27:37Z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E1B1F7C5146E4EADAE638B8D7F3F8F43_13</vt:lpwstr>
  </property>
  <property fmtid="{D5CDD505-2E9C-101B-9397-08002B2CF9AE}" pid="4" name="KSOTemplateDocerSaveRecord">
    <vt:lpwstr>eyJoZGlkIjoiN2RlOWMwNTAzZGNmZDIwNjBhMTA3YTIxY2M4ZWUyZmEiLCJ1c2VySWQiOiIxMTc4MzYyOTUyIn0=</vt:lpwstr>
  </property>
</Properties>
</file>