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jc w:val="left"/>
        <w:rPr>
          <w:rFonts w:ascii="仿宋" w:hAnsi="仿宋"/>
          <w:bCs/>
          <w:sz w:val="28"/>
          <w:szCs w:val="28"/>
        </w:rPr>
      </w:pPr>
      <w:bookmarkStart w:id="0" w:name="_Toc102481236"/>
      <w:bookmarkStart w:id="1" w:name="_Toc40778426"/>
      <w:bookmarkStart w:id="2" w:name="_Toc26437"/>
      <w:bookmarkStart w:id="3" w:name="_Toc102481185"/>
    </w:p>
    <w:p>
      <w:pPr>
        <w:ind w:firstLine="560"/>
        <w:jc w:val="left"/>
        <w:rPr>
          <w:rFonts w:ascii="仿宋" w:hAnsi="仿宋"/>
          <w:bCs/>
          <w:sz w:val="28"/>
          <w:szCs w:val="28"/>
        </w:rPr>
      </w:pPr>
    </w:p>
    <w:p>
      <w:pPr>
        <w:pStyle w:val="41"/>
        <w:ind w:left="610" w:firstLine="480"/>
        <w:rPr>
          <w:rFonts w:ascii="仿宋" w:hAnsi="仿宋"/>
          <w:szCs w:val="28"/>
        </w:rPr>
      </w:pPr>
    </w:p>
    <w:p>
      <w:pPr>
        <w:pStyle w:val="15"/>
        <w:ind w:firstLine="480"/>
      </w:pPr>
    </w:p>
    <w:p>
      <w:pPr>
        <w:ind w:firstLine="646" w:firstLineChars="201"/>
        <w:jc w:val="center"/>
        <w:rPr>
          <w:rFonts w:ascii="仿宋" w:hAnsi="仿宋"/>
          <w:b/>
          <w:bCs/>
          <w:sz w:val="32"/>
          <w:szCs w:val="32"/>
        </w:rPr>
      </w:pPr>
    </w:p>
    <w:p>
      <w:pPr>
        <w:ind w:firstLine="646" w:firstLineChars="201"/>
        <w:jc w:val="center"/>
        <w:rPr>
          <w:rFonts w:ascii="仿宋" w:hAnsi="仿宋"/>
          <w:b/>
          <w:bCs/>
          <w:sz w:val="32"/>
          <w:szCs w:val="32"/>
        </w:rPr>
      </w:pPr>
    </w:p>
    <w:p>
      <w:pPr>
        <w:ind w:firstLine="646" w:firstLineChars="201"/>
        <w:jc w:val="center"/>
        <w:rPr>
          <w:rFonts w:ascii="仿宋" w:hAnsi="仿宋"/>
          <w:b/>
          <w:bCs/>
          <w:sz w:val="32"/>
          <w:szCs w:val="32"/>
        </w:rPr>
      </w:pPr>
    </w:p>
    <w:p>
      <w:pPr>
        <w:ind w:firstLine="646" w:firstLineChars="201"/>
        <w:jc w:val="center"/>
        <w:rPr>
          <w:rFonts w:ascii="仿宋" w:hAnsi="仿宋"/>
          <w:b/>
          <w:bCs/>
          <w:sz w:val="32"/>
          <w:szCs w:val="32"/>
        </w:rPr>
      </w:pPr>
    </w:p>
    <w:p>
      <w:pPr>
        <w:ind w:firstLine="646" w:firstLineChars="201"/>
        <w:jc w:val="center"/>
        <w:rPr>
          <w:rFonts w:hint="eastAsia" w:ascii="仿宋" w:hAnsi="仿宋" w:eastAsia="宋体" w:cs="仿宋"/>
          <w:b/>
          <w:bCs/>
          <w:sz w:val="32"/>
          <w:szCs w:val="32"/>
          <w:lang w:eastAsia="zh-CN"/>
        </w:rPr>
      </w:pPr>
      <w:r>
        <w:rPr>
          <w:rFonts w:hint="eastAsia" w:ascii="仿宋" w:hAnsi="仿宋" w:eastAsia="宋体" w:cs="仿宋"/>
          <w:b/>
          <w:bCs/>
          <w:sz w:val="32"/>
          <w:szCs w:val="32"/>
          <w:lang w:eastAsia="zh-CN"/>
        </w:rPr>
        <w:t>351国道兰溪马涧至建德大慈岩段工程香女特大桥项目</w:t>
      </w:r>
    </w:p>
    <w:p>
      <w:pPr>
        <w:ind w:firstLine="646" w:firstLineChars="201"/>
        <w:jc w:val="center"/>
        <w:rPr>
          <w:rFonts w:ascii="仿宋" w:hAnsi="仿宋" w:cs="仿宋"/>
          <w:b/>
          <w:bCs/>
          <w:sz w:val="32"/>
          <w:szCs w:val="32"/>
        </w:rPr>
      </w:pPr>
      <w:r>
        <w:rPr>
          <w:rFonts w:hint="eastAsia" w:ascii="仿宋" w:hAnsi="仿宋"/>
          <w:b/>
          <w:bCs/>
          <w:sz w:val="32"/>
          <w:szCs w:val="32"/>
        </w:rPr>
        <w:t>塔吊安拆</w:t>
      </w:r>
      <w:r>
        <w:rPr>
          <w:rFonts w:hint="eastAsia" w:ascii="仿宋" w:hAnsi="仿宋" w:cs="仿宋"/>
          <w:b/>
          <w:bCs/>
          <w:sz w:val="32"/>
          <w:szCs w:val="32"/>
        </w:rPr>
        <w:t>专项施工方案</w:t>
      </w:r>
    </w:p>
    <w:p>
      <w:pPr>
        <w:ind w:firstLine="565" w:firstLineChars="201"/>
        <w:jc w:val="left"/>
        <w:rPr>
          <w:rFonts w:ascii="仿宋" w:hAnsi="仿宋"/>
          <w:b/>
          <w:sz w:val="28"/>
          <w:szCs w:val="28"/>
        </w:rPr>
      </w:pPr>
    </w:p>
    <w:p>
      <w:pPr>
        <w:ind w:firstLine="565" w:firstLineChars="201"/>
        <w:jc w:val="left"/>
        <w:rPr>
          <w:rFonts w:ascii="仿宋" w:hAnsi="仿宋"/>
          <w:b/>
          <w:sz w:val="28"/>
          <w:szCs w:val="28"/>
        </w:rPr>
      </w:pPr>
    </w:p>
    <w:p>
      <w:pPr>
        <w:ind w:firstLine="562"/>
        <w:jc w:val="left"/>
        <w:rPr>
          <w:rFonts w:ascii="仿宋" w:hAnsi="仿宋"/>
          <w:b/>
          <w:sz w:val="28"/>
          <w:szCs w:val="28"/>
        </w:rPr>
      </w:pPr>
    </w:p>
    <w:p>
      <w:pPr>
        <w:pStyle w:val="41"/>
        <w:ind w:left="610" w:firstLine="482"/>
        <w:rPr>
          <w:rFonts w:ascii="仿宋" w:hAnsi="仿宋"/>
          <w:b/>
          <w:szCs w:val="28"/>
        </w:rPr>
      </w:pPr>
    </w:p>
    <w:p>
      <w:pPr>
        <w:pStyle w:val="15"/>
        <w:ind w:firstLine="480"/>
      </w:pPr>
    </w:p>
    <w:p>
      <w:pPr>
        <w:ind w:firstLine="565" w:firstLineChars="201"/>
        <w:jc w:val="left"/>
        <w:rPr>
          <w:rFonts w:ascii="仿宋" w:hAnsi="仿宋"/>
          <w:b/>
          <w:sz w:val="28"/>
          <w:szCs w:val="28"/>
        </w:rPr>
      </w:pPr>
    </w:p>
    <w:p>
      <w:pPr>
        <w:ind w:firstLine="565" w:firstLineChars="201"/>
        <w:jc w:val="left"/>
        <w:rPr>
          <w:rFonts w:ascii="仿宋" w:hAnsi="仿宋"/>
          <w:b/>
          <w:sz w:val="28"/>
          <w:szCs w:val="28"/>
        </w:rPr>
      </w:pPr>
      <w:r>
        <w:rPr>
          <w:rFonts w:hint="eastAsia" w:ascii="仿宋" w:hAnsi="仿宋"/>
          <w:b/>
          <w:sz w:val="28"/>
          <w:szCs w:val="28"/>
        </w:rPr>
        <w:t xml:space="preserve">          审批人：     </w:t>
      </w:r>
      <w:r>
        <w:rPr>
          <w:rFonts w:hint="eastAsia" w:ascii="仿宋" w:hAnsi="仿宋"/>
          <w:b/>
          <w:sz w:val="28"/>
          <w:szCs w:val="28"/>
          <w:u w:val="single"/>
        </w:rPr>
        <w:t xml:space="preserve"> </w:t>
      </w:r>
      <w:r>
        <w:rPr>
          <w:rFonts w:hint="eastAsia" w:ascii="仿宋" w:hAnsi="仿宋"/>
          <w:b/>
          <w:sz w:val="28"/>
          <w:szCs w:val="28"/>
          <w:u w:val="single"/>
          <w:lang w:val="en-US" w:eastAsia="zh-CN"/>
        </w:rPr>
        <w:t xml:space="preserve">                      </w:t>
      </w:r>
      <w:r>
        <w:rPr>
          <w:rFonts w:hint="eastAsia" w:ascii="仿宋" w:hAnsi="仿宋"/>
          <w:b/>
          <w:sz w:val="28"/>
          <w:szCs w:val="28"/>
          <w:u w:val="single"/>
        </w:rPr>
        <w:t xml:space="preserve">   </w:t>
      </w:r>
    </w:p>
    <w:p>
      <w:pPr>
        <w:ind w:firstLine="565" w:firstLineChars="201"/>
        <w:jc w:val="left"/>
        <w:rPr>
          <w:rFonts w:ascii="仿宋" w:hAnsi="仿宋"/>
          <w:b/>
          <w:sz w:val="28"/>
          <w:szCs w:val="28"/>
          <w:u w:val="single"/>
        </w:rPr>
      </w:pPr>
      <w:r>
        <w:rPr>
          <w:rFonts w:hint="eastAsia" w:ascii="仿宋" w:hAnsi="仿宋"/>
          <w:b/>
          <w:sz w:val="28"/>
          <w:szCs w:val="28"/>
        </w:rPr>
        <w:t xml:space="preserve">          编制人：     </w:t>
      </w:r>
      <w:r>
        <w:rPr>
          <w:rFonts w:hint="eastAsia" w:ascii="仿宋" w:hAnsi="仿宋"/>
          <w:b/>
          <w:sz w:val="28"/>
          <w:szCs w:val="28"/>
          <w:u w:val="single"/>
        </w:rPr>
        <w:t xml:space="preserve">    </w:t>
      </w:r>
      <w:r>
        <w:rPr>
          <w:rFonts w:hint="eastAsia" w:ascii="仿宋" w:hAnsi="仿宋"/>
          <w:b/>
          <w:sz w:val="28"/>
          <w:szCs w:val="28"/>
          <w:u w:val="single"/>
          <w:lang w:val="en-US" w:eastAsia="zh-CN"/>
        </w:rPr>
        <w:t xml:space="preserve">                </w:t>
      </w:r>
      <w:r>
        <w:rPr>
          <w:rFonts w:hint="eastAsia" w:ascii="仿宋" w:hAnsi="仿宋"/>
          <w:b/>
          <w:sz w:val="28"/>
          <w:szCs w:val="28"/>
          <w:u w:val="single"/>
        </w:rPr>
        <w:t xml:space="preserve">      </w:t>
      </w:r>
    </w:p>
    <w:p>
      <w:pPr>
        <w:ind w:firstLine="565" w:firstLineChars="201"/>
        <w:jc w:val="left"/>
        <w:rPr>
          <w:rFonts w:ascii="仿宋" w:hAnsi="仿宋"/>
          <w:sz w:val="28"/>
          <w:szCs w:val="28"/>
          <w:u w:val="single"/>
        </w:rPr>
      </w:pPr>
      <w:r>
        <w:rPr>
          <w:rFonts w:hint="eastAsia" w:ascii="仿宋" w:hAnsi="仿宋"/>
          <w:b/>
          <w:sz w:val="28"/>
          <w:szCs w:val="28"/>
        </w:rPr>
        <w:t xml:space="preserve">          安装单位（章）： </w:t>
      </w:r>
      <w:r>
        <w:rPr>
          <w:rFonts w:hint="eastAsia" w:ascii="仿宋" w:hAnsi="仿宋"/>
          <w:b/>
          <w:sz w:val="28"/>
          <w:szCs w:val="28"/>
          <w:u w:val="single"/>
        </w:rPr>
        <w:t xml:space="preserve">                      </w:t>
      </w:r>
    </w:p>
    <w:p>
      <w:pPr>
        <w:ind w:firstLine="480"/>
      </w:pPr>
    </w:p>
    <w:p>
      <w:pPr>
        <w:widowControl/>
        <w:spacing w:line="240" w:lineRule="auto"/>
        <w:ind w:firstLine="0" w:firstLineChars="0"/>
        <w:jc w:val="left"/>
      </w:pPr>
      <w:r>
        <w:br w:type="page"/>
      </w:r>
    </w:p>
    <w:p>
      <w:pPr>
        <w:ind w:firstLine="480"/>
      </w:pPr>
    </w:p>
    <w:p>
      <w:pPr>
        <w:ind w:firstLine="0" w:firstLineChars="0"/>
        <w:jc w:val="center"/>
        <w:rPr>
          <w:sz w:val="32"/>
          <w:szCs w:val="32"/>
        </w:rPr>
      </w:pPr>
      <w:bookmarkStart w:id="4" w:name="_Toc102825360"/>
      <w:r>
        <w:rPr>
          <w:rFonts w:hint="eastAsia"/>
          <w:b/>
          <w:bCs/>
          <w:sz w:val="32"/>
          <w:szCs w:val="32"/>
        </w:rPr>
        <w:t xml:space="preserve">目 </w:t>
      </w:r>
      <w:r>
        <w:rPr>
          <w:b/>
          <w:bCs/>
          <w:sz w:val="32"/>
          <w:szCs w:val="32"/>
        </w:rPr>
        <w:t xml:space="preserve">   </w:t>
      </w:r>
      <w:r>
        <w:rPr>
          <w:rFonts w:hint="eastAsia"/>
          <w:b/>
          <w:bCs/>
          <w:sz w:val="32"/>
          <w:szCs w:val="32"/>
        </w:rPr>
        <w:t>录</w:t>
      </w:r>
    </w:p>
    <w:p>
      <w:pPr>
        <w:pStyle w:val="30"/>
        <w:tabs>
          <w:tab w:val="right" w:leader="dot" w:pos="9070"/>
        </w:tabs>
      </w:pPr>
      <w:bookmarkStart w:id="212" w:name="_GoBack"/>
      <w:bookmarkEnd w:id="212"/>
      <w:r>
        <w:rPr>
          <w:rFonts w:ascii="宋体" w:hAnsi="宋体"/>
          <w:b/>
          <w:bCs w:val="0"/>
          <w:caps w:val="0"/>
          <w:szCs w:val="24"/>
        </w:rPr>
        <w:fldChar w:fldCharType="begin"/>
      </w:r>
      <w:r>
        <w:rPr>
          <w:rFonts w:ascii="宋体" w:hAnsi="宋体"/>
          <w:b/>
          <w:bCs w:val="0"/>
          <w:caps w:val="0"/>
          <w:szCs w:val="24"/>
        </w:rPr>
        <w:instrText xml:space="preserve"> TOC \o "1-2" \h \z \u </w:instrText>
      </w:r>
      <w:r>
        <w:rPr>
          <w:rFonts w:ascii="宋体" w:hAnsi="宋体"/>
          <w:b/>
          <w:bCs w:val="0"/>
          <w:caps w:val="0"/>
          <w:szCs w:val="24"/>
        </w:rPr>
        <w:fldChar w:fldCharType="separate"/>
      </w:r>
      <w:r>
        <w:rPr>
          <w:rFonts w:ascii="宋体" w:hAnsi="宋体"/>
          <w:bCs w:val="0"/>
          <w:caps w:val="0"/>
          <w:szCs w:val="24"/>
        </w:rPr>
        <w:fldChar w:fldCharType="begin"/>
      </w:r>
      <w:r>
        <w:rPr>
          <w:rFonts w:ascii="宋体" w:hAnsi="宋体"/>
          <w:bCs w:val="0"/>
          <w:caps w:val="0"/>
          <w:szCs w:val="24"/>
        </w:rPr>
        <w:instrText xml:space="preserve"> HYPERLINK \l _Toc31743 </w:instrText>
      </w:r>
      <w:r>
        <w:rPr>
          <w:rFonts w:ascii="宋体" w:hAnsi="宋体"/>
          <w:bCs w:val="0"/>
          <w:caps w:val="0"/>
          <w:szCs w:val="24"/>
        </w:rPr>
        <w:fldChar w:fldCharType="separate"/>
      </w:r>
      <w:r>
        <w:rPr>
          <w:rFonts w:hint="default"/>
          <w:szCs w:val="32"/>
        </w:rPr>
        <w:t xml:space="preserve">1. </w:t>
      </w:r>
      <w:r>
        <w:rPr>
          <w:rFonts w:hint="eastAsia"/>
          <w:szCs w:val="32"/>
        </w:rPr>
        <w:t>编制依据</w:t>
      </w:r>
      <w:r>
        <w:tab/>
      </w:r>
      <w:r>
        <w:fldChar w:fldCharType="begin"/>
      </w:r>
      <w:r>
        <w:instrText xml:space="preserve"> PAGEREF _Toc31743 \h </w:instrText>
      </w:r>
      <w:r>
        <w:fldChar w:fldCharType="separate"/>
      </w:r>
      <w:r>
        <w:t>1</w:t>
      </w:r>
      <w:r>
        <w:fldChar w:fldCharType="end"/>
      </w:r>
      <w:r>
        <w:rPr>
          <w:rFonts w:ascii="宋体" w:hAnsi="宋体"/>
          <w:bCs w:val="0"/>
          <w:caps w:val="0"/>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_Toc21720 </w:instrText>
      </w:r>
      <w:r>
        <w:rPr>
          <w:rFonts w:ascii="宋体" w:hAnsi="宋体" w:cstheme="minorHAnsi"/>
          <w:bCs/>
          <w:caps/>
          <w:szCs w:val="24"/>
        </w:rPr>
        <w:fldChar w:fldCharType="separate"/>
      </w:r>
      <w:r>
        <w:rPr>
          <w:rFonts w:hint="default"/>
        </w:rPr>
        <w:t xml:space="preserve">1.1. </w:t>
      </w:r>
      <w:r>
        <w:rPr>
          <w:rFonts w:hint="eastAsia"/>
        </w:rPr>
        <w:t>编制说明</w:t>
      </w:r>
      <w:r>
        <w:tab/>
      </w:r>
      <w:r>
        <w:fldChar w:fldCharType="begin"/>
      </w:r>
      <w:r>
        <w:instrText xml:space="preserve"> PAGEREF _Toc21720 \h </w:instrText>
      </w:r>
      <w:r>
        <w:fldChar w:fldCharType="separate"/>
      </w:r>
      <w:r>
        <w:t>1</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_Toc4210 </w:instrText>
      </w:r>
      <w:r>
        <w:rPr>
          <w:rFonts w:ascii="宋体" w:hAnsi="宋体" w:cstheme="minorHAnsi"/>
          <w:bCs/>
          <w:caps/>
          <w:szCs w:val="24"/>
        </w:rPr>
        <w:fldChar w:fldCharType="separate"/>
      </w:r>
      <w:r>
        <w:rPr>
          <w:rFonts w:hint="default"/>
        </w:rPr>
        <w:t xml:space="preserve">1.2. </w:t>
      </w:r>
      <w:r>
        <w:rPr>
          <w:rFonts w:hint="eastAsia"/>
        </w:rPr>
        <w:t>引用文件</w:t>
      </w:r>
      <w:r>
        <w:tab/>
      </w:r>
      <w:r>
        <w:fldChar w:fldCharType="begin"/>
      </w:r>
      <w:r>
        <w:instrText xml:space="preserve"> PAGEREF _Toc4210 \h </w:instrText>
      </w:r>
      <w:r>
        <w:fldChar w:fldCharType="separate"/>
      </w:r>
      <w:r>
        <w:t>1</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_Toc2980 </w:instrText>
      </w:r>
      <w:r>
        <w:rPr>
          <w:rFonts w:ascii="宋体" w:hAnsi="宋体" w:cstheme="minorHAnsi"/>
          <w:bCs/>
          <w:caps/>
          <w:szCs w:val="24"/>
        </w:rPr>
        <w:fldChar w:fldCharType="separate"/>
      </w:r>
      <w:r>
        <w:rPr>
          <w:rFonts w:hint="default"/>
        </w:rPr>
        <w:t xml:space="preserve">1.3. </w:t>
      </w:r>
      <w:r>
        <w:rPr>
          <w:rFonts w:hint="eastAsia"/>
        </w:rPr>
        <w:t>编制原则</w:t>
      </w:r>
      <w:r>
        <w:tab/>
      </w:r>
      <w:r>
        <w:fldChar w:fldCharType="begin"/>
      </w:r>
      <w:r>
        <w:instrText xml:space="preserve"> PAGEREF _Toc2980 \h </w:instrText>
      </w:r>
      <w:r>
        <w:fldChar w:fldCharType="separate"/>
      </w:r>
      <w:r>
        <w:t>2</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_Toc20157 </w:instrText>
      </w:r>
      <w:r>
        <w:rPr>
          <w:rFonts w:ascii="宋体" w:hAnsi="宋体" w:cstheme="minorHAnsi"/>
          <w:bCs/>
          <w:caps/>
          <w:szCs w:val="24"/>
        </w:rPr>
        <w:fldChar w:fldCharType="separate"/>
      </w:r>
      <w:r>
        <w:rPr>
          <w:rFonts w:hint="default"/>
        </w:rPr>
        <w:t xml:space="preserve">1.4. </w:t>
      </w:r>
      <w:r>
        <w:rPr>
          <w:rFonts w:hint="eastAsia"/>
        </w:rPr>
        <w:t>隶属关系</w:t>
      </w:r>
      <w:r>
        <w:tab/>
      </w:r>
      <w:r>
        <w:fldChar w:fldCharType="begin"/>
      </w:r>
      <w:r>
        <w:instrText xml:space="preserve"> PAGEREF _Toc20157 \h </w:instrText>
      </w:r>
      <w:r>
        <w:fldChar w:fldCharType="separate"/>
      </w:r>
      <w:r>
        <w:t>2</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_Toc27475 </w:instrText>
      </w:r>
      <w:r>
        <w:rPr>
          <w:rFonts w:ascii="宋体" w:hAnsi="宋体" w:cstheme="minorHAnsi"/>
          <w:bCs/>
          <w:caps/>
          <w:szCs w:val="24"/>
        </w:rPr>
        <w:fldChar w:fldCharType="separate"/>
      </w:r>
      <w:r>
        <w:rPr>
          <w:rFonts w:hint="default"/>
        </w:rPr>
        <w:t xml:space="preserve">1.5. </w:t>
      </w:r>
      <w:r>
        <w:rPr>
          <w:rFonts w:hint="eastAsia"/>
        </w:rPr>
        <w:t>适用范围</w:t>
      </w:r>
      <w:r>
        <w:tab/>
      </w:r>
      <w:r>
        <w:fldChar w:fldCharType="begin"/>
      </w:r>
      <w:r>
        <w:instrText xml:space="preserve"> PAGEREF _Toc27475 \h </w:instrText>
      </w:r>
      <w:r>
        <w:fldChar w:fldCharType="separate"/>
      </w:r>
      <w:r>
        <w:t>3</w:t>
      </w:r>
      <w:r>
        <w:fldChar w:fldCharType="end"/>
      </w:r>
      <w:r>
        <w:rPr>
          <w:rFonts w:ascii="宋体" w:hAnsi="宋体" w:cstheme="minorHAnsi"/>
          <w:bCs/>
          <w:caps/>
          <w:szCs w:val="24"/>
        </w:rPr>
        <w:fldChar w:fldCharType="end"/>
      </w:r>
    </w:p>
    <w:p>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_Toc6179 </w:instrText>
      </w:r>
      <w:r>
        <w:rPr>
          <w:rFonts w:ascii="宋体" w:hAnsi="宋体" w:cstheme="minorHAnsi"/>
          <w:bCs/>
          <w:caps/>
          <w:szCs w:val="24"/>
        </w:rPr>
        <w:fldChar w:fldCharType="separate"/>
      </w:r>
      <w:r>
        <w:rPr>
          <w:rFonts w:hint="default"/>
          <w:szCs w:val="32"/>
        </w:rPr>
        <w:t xml:space="preserve">2. </w:t>
      </w:r>
      <w:r>
        <w:rPr>
          <w:rFonts w:hint="eastAsia"/>
          <w:szCs w:val="32"/>
        </w:rPr>
        <w:t>工程概况</w:t>
      </w:r>
      <w:r>
        <w:tab/>
      </w:r>
      <w:r>
        <w:fldChar w:fldCharType="begin"/>
      </w:r>
      <w:r>
        <w:instrText xml:space="preserve"> PAGEREF _Toc6179 \h </w:instrText>
      </w:r>
      <w:r>
        <w:fldChar w:fldCharType="separate"/>
      </w:r>
      <w:r>
        <w:t>4</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_Toc11628 </w:instrText>
      </w:r>
      <w:r>
        <w:rPr>
          <w:rFonts w:ascii="宋体" w:hAnsi="宋体" w:cstheme="minorHAnsi"/>
          <w:bCs/>
          <w:caps/>
          <w:szCs w:val="24"/>
        </w:rPr>
        <w:fldChar w:fldCharType="separate"/>
      </w:r>
      <w:r>
        <w:rPr>
          <w:rFonts w:hint="default"/>
        </w:rPr>
        <w:t xml:space="preserve">2.1. </w:t>
      </w:r>
      <w:r>
        <w:rPr>
          <w:rFonts w:hint="eastAsia"/>
        </w:rPr>
        <w:t>工程概况</w:t>
      </w:r>
      <w:r>
        <w:tab/>
      </w:r>
      <w:r>
        <w:fldChar w:fldCharType="begin"/>
      </w:r>
      <w:r>
        <w:instrText xml:space="preserve"> PAGEREF _Toc11628 \h </w:instrText>
      </w:r>
      <w:r>
        <w:fldChar w:fldCharType="separate"/>
      </w:r>
      <w:r>
        <w:t>4</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_Toc28693 </w:instrText>
      </w:r>
      <w:r>
        <w:rPr>
          <w:rFonts w:ascii="宋体" w:hAnsi="宋体" w:cstheme="minorHAnsi"/>
          <w:bCs/>
          <w:caps/>
          <w:szCs w:val="24"/>
        </w:rPr>
        <w:fldChar w:fldCharType="separate"/>
      </w:r>
      <w:r>
        <w:rPr>
          <w:rFonts w:hint="default"/>
        </w:rPr>
        <w:t xml:space="preserve">2.2. </w:t>
      </w:r>
      <w:r>
        <w:rPr>
          <w:rFonts w:hint="eastAsia"/>
        </w:rPr>
        <w:t>安装现场工作环境及条件</w:t>
      </w:r>
      <w:r>
        <w:tab/>
      </w:r>
      <w:r>
        <w:fldChar w:fldCharType="begin"/>
      </w:r>
      <w:r>
        <w:instrText xml:space="preserve"> PAGEREF _Toc28693 \h </w:instrText>
      </w:r>
      <w:r>
        <w:fldChar w:fldCharType="separate"/>
      </w:r>
      <w:r>
        <w:t>17</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_Toc24447 </w:instrText>
      </w:r>
      <w:r>
        <w:rPr>
          <w:rFonts w:ascii="宋体" w:hAnsi="宋体" w:cstheme="minorHAnsi"/>
          <w:bCs/>
          <w:caps/>
          <w:szCs w:val="24"/>
        </w:rPr>
        <w:fldChar w:fldCharType="separate"/>
      </w:r>
      <w:r>
        <w:rPr>
          <w:rFonts w:hint="default"/>
        </w:rPr>
        <w:t xml:space="preserve">2.3. </w:t>
      </w:r>
      <w:r>
        <w:rPr>
          <w:rFonts w:hint="eastAsia"/>
        </w:rPr>
        <w:t>塔式起重机概况</w:t>
      </w:r>
      <w:r>
        <w:tab/>
      </w:r>
      <w:r>
        <w:fldChar w:fldCharType="begin"/>
      </w:r>
      <w:r>
        <w:instrText xml:space="preserve"> PAGEREF _Toc24447 \h </w:instrText>
      </w:r>
      <w:r>
        <w:fldChar w:fldCharType="separate"/>
      </w:r>
      <w:r>
        <w:t>19</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_Toc28220 </w:instrText>
      </w:r>
      <w:r>
        <w:rPr>
          <w:rFonts w:ascii="宋体" w:hAnsi="宋体" w:cstheme="minorHAnsi"/>
          <w:bCs/>
          <w:caps/>
          <w:szCs w:val="24"/>
        </w:rPr>
        <w:fldChar w:fldCharType="separate"/>
      </w:r>
      <w:r>
        <w:rPr>
          <w:rFonts w:hint="default"/>
        </w:rPr>
        <w:t xml:space="preserve">2.4. </w:t>
      </w:r>
      <w:r>
        <w:rPr>
          <w:rFonts w:hint="eastAsia"/>
        </w:rPr>
        <w:t>施工要求和技术保证条件</w:t>
      </w:r>
      <w:r>
        <w:tab/>
      </w:r>
      <w:r>
        <w:fldChar w:fldCharType="begin"/>
      </w:r>
      <w:r>
        <w:instrText xml:space="preserve"> PAGEREF _Toc28220 \h </w:instrText>
      </w:r>
      <w:r>
        <w:fldChar w:fldCharType="separate"/>
      </w:r>
      <w:r>
        <w:t>24</w:t>
      </w:r>
      <w:r>
        <w:fldChar w:fldCharType="end"/>
      </w:r>
      <w:r>
        <w:rPr>
          <w:rFonts w:ascii="宋体" w:hAnsi="宋体" w:cstheme="minorHAnsi"/>
          <w:bCs/>
          <w:caps/>
          <w:szCs w:val="24"/>
        </w:rPr>
        <w:fldChar w:fldCharType="end"/>
      </w:r>
    </w:p>
    <w:p>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_Toc24964 </w:instrText>
      </w:r>
      <w:r>
        <w:rPr>
          <w:rFonts w:ascii="宋体" w:hAnsi="宋体" w:cstheme="minorHAnsi"/>
          <w:bCs/>
          <w:caps/>
          <w:szCs w:val="24"/>
        </w:rPr>
        <w:fldChar w:fldCharType="separate"/>
      </w:r>
      <w:r>
        <w:rPr>
          <w:rFonts w:hint="default"/>
          <w:szCs w:val="32"/>
        </w:rPr>
        <w:t xml:space="preserve">3. </w:t>
      </w:r>
      <w:r>
        <w:rPr>
          <w:rFonts w:hint="eastAsia"/>
          <w:szCs w:val="32"/>
        </w:rPr>
        <w:t>施工计划</w:t>
      </w:r>
      <w:r>
        <w:tab/>
      </w:r>
      <w:r>
        <w:fldChar w:fldCharType="begin"/>
      </w:r>
      <w:r>
        <w:instrText xml:space="preserve"> PAGEREF _Toc24964 \h </w:instrText>
      </w:r>
      <w:r>
        <w:fldChar w:fldCharType="separate"/>
      </w:r>
      <w:r>
        <w:t>25</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_Toc17886 </w:instrText>
      </w:r>
      <w:r>
        <w:rPr>
          <w:rFonts w:ascii="宋体" w:hAnsi="宋体" w:cstheme="minorHAnsi"/>
          <w:bCs/>
          <w:caps/>
          <w:szCs w:val="24"/>
        </w:rPr>
        <w:fldChar w:fldCharType="separate"/>
      </w:r>
      <w:r>
        <w:rPr>
          <w:rFonts w:hint="default"/>
        </w:rPr>
        <w:t xml:space="preserve">3.1. </w:t>
      </w:r>
      <w:r>
        <w:rPr>
          <w:rFonts w:hint="eastAsia"/>
        </w:rPr>
        <w:t>工程总体目标</w:t>
      </w:r>
      <w:r>
        <w:tab/>
      </w:r>
      <w:r>
        <w:fldChar w:fldCharType="begin"/>
      </w:r>
      <w:r>
        <w:instrText xml:space="preserve"> PAGEREF _Toc17886 \h </w:instrText>
      </w:r>
      <w:r>
        <w:fldChar w:fldCharType="separate"/>
      </w:r>
      <w:r>
        <w:t>25</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_Toc18476 </w:instrText>
      </w:r>
      <w:r>
        <w:rPr>
          <w:rFonts w:ascii="宋体" w:hAnsi="宋体" w:cstheme="minorHAnsi"/>
          <w:bCs/>
          <w:caps/>
          <w:szCs w:val="24"/>
        </w:rPr>
        <w:fldChar w:fldCharType="separate"/>
      </w:r>
      <w:r>
        <w:rPr>
          <w:rFonts w:hint="default"/>
        </w:rPr>
        <w:t xml:space="preserve">3.2. </w:t>
      </w:r>
      <w:r>
        <w:rPr>
          <w:rFonts w:hint="eastAsia"/>
        </w:rPr>
        <w:t>施工进度计划</w:t>
      </w:r>
      <w:r>
        <w:tab/>
      </w:r>
      <w:r>
        <w:fldChar w:fldCharType="begin"/>
      </w:r>
      <w:r>
        <w:instrText xml:space="preserve"> PAGEREF _Toc18476 \h </w:instrText>
      </w:r>
      <w:r>
        <w:fldChar w:fldCharType="separate"/>
      </w:r>
      <w:r>
        <w:t>25</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_Toc13666 </w:instrText>
      </w:r>
      <w:r>
        <w:rPr>
          <w:rFonts w:ascii="宋体" w:hAnsi="宋体" w:cstheme="minorHAnsi"/>
          <w:bCs/>
          <w:caps/>
          <w:szCs w:val="24"/>
        </w:rPr>
        <w:fldChar w:fldCharType="separate"/>
      </w:r>
      <w:r>
        <w:rPr>
          <w:rFonts w:hint="default"/>
        </w:rPr>
        <w:t xml:space="preserve">3.3. </w:t>
      </w:r>
      <w:r>
        <w:rPr>
          <w:rFonts w:hint="eastAsia"/>
        </w:rPr>
        <w:t>材料及设备计划</w:t>
      </w:r>
      <w:r>
        <w:tab/>
      </w:r>
      <w:r>
        <w:fldChar w:fldCharType="begin"/>
      </w:r>
      <w:r>
        <w:instrText xml:space="preserve"> PAGEREF _Toc13666 \h </w:instrText>
      </w:r>
      <w:r>
        <w:fldChar w:fldCharType="separate"/>
      </w:r>
      <w:r>
        <w:t>25</w:t>
      </w:r>
      <w:r>
        <w:fldChar w:fldCharType="end"/>
      </w:r>
      <w:r>
        <w:rPr>
          <w:rFonts w:ascii="宋体" w:hAnsi="宋体" w:cstheme="minorHAnsi"/>
          <w:bCs/>
          <w:caps/>
          <w:szCs w:val="24"/>
        </w:rPr>
        <w:fldChar w:fldCharType="end"/>
      </w:r>
    </w:p>
    <w:p>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_Toc19153 </w:instrText>
      </w:r>
      <w:r>
        <w:rPr>
          <w:rFonts w:ascii="宋体" w:hAnsi="宋体" w:cstheme="minorHAnsi"/>
          <w:bCs/>
          <w:caps/>
          <w:szCs w:val="24"/>
        </w:rPr>
        <w:fldChar w:fldCharType="separate"/>
      </w:r>
      <w:r>
        <w:rPr>
          <w:rFonts w:hint="default"/>
          <w:szCs w:val="32"/>
        </w:rPr>
        <w:t xml:space="preserve">4. </w:t>
      </w:r>
      <w:r>
        <w:rPr>
          <w:rFonts w:hint="eastAsia"/>
          <w:szCs w:val="32"/>
        </w:rPr>
        <w:t>施工工艺</w:t>
      </w:r>
      <w:r>
        <w:tab/>
      </w:r>
      <w:r>
        <w:fldChar w:fldCharType="begin"/>
      </w:r>
      <w:r>
        <w:instrText xml:space="preserve"> PAGEREF _Toc19153 \h </w:instrText>
      </w:r>
      <w:r>
        <w:fldChar w:fldCharType="separate"/>
      </w:r>
      <w:r>
        <w:t>27</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_Toc1791 </w:instrText>
      </w:r>
      <w:r>
        <w:rPr>
          <w:rFonts w:ascii="宋体" w:hAnsi="宋体" w:cstheme="minorHAnsi"/>
          <w:bCs/>
          <w:caps/>
          <w:szCs w:val="24"/>
        </w:rPr>
        <w:fldChar w:fldCharType="separate"/>
      </w:r>
      <w:r>
        <w:rPr>
          <w:rFonts w:hint="default"/>
        </w:rPr>
        <w:t xml:space="preserve">4.1. </w:t>
      </w:r>
      <w:r>
        <w:rPr>
          <w:rFonts w:hint="eastAsia"/>
        </w:rPr>
        <w:t>塔吊安装施工工艺流程</w:t>
      </w:r>
      <w:r>
        <w:tab/>
      </w:r>
      <w:r>
        <w:fldChar w:fldCharType="begin"/>
      </w:r>
      <w:r>
        <w:instrText xml:space="preserve"> PAGEREF _Toc1791 \h </w:instrText>
      </w:r>
      <w:r>
        <w:fldChar w:fldCharType="separate"/>
      </w:r>
      <w:r>
        <w:t>27</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_Toc25073 </w:instrText>
      </w:r>
      <w:r>
        <w:rPr>
          <w:rFonts w:ascii="宋体" w:hAnsi="宋体" w:cstheme="minorHAnsi"/>
          <w:bCs/>
          <w:caps/>
          <w:szCs w:val="24"/>
        </w:rPr>
        <w:fldChar w:fldCharType="separate"/>
      </w:r>
      <w:r>
        <w:rPr>
          <w:rFonts w:hint="default"/>
        </w:rPr>
        <w:t xml:space="preserve">4.2. </w:t>
      </w:r>
      <w:r>
        <w:rPr>
          <w:rFonts w:hint="eastAsia"/>
        </w:rPr>
        <w:t>主要设备选型</w:t>
      </w:r>
      <w:r>
        <w:tab/>
      </w:r>
      <w:r>
        <w:fldChar w:fldCharType="begin"/>
      </w:r>
      <w:r>
        <w:instrText xml:space="preserve"> PAGEREF _Toc25073 \h </w:instrText>
      </w:r>
      <w:r>
        <w:fldChar w:fldCharType="separate"/>
      </w:r>
      <w:r>
        <w:t>27</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_Toc21468 </w:instrText>
      </w:r>
      <w:r>
        <w:rPr>
          <w:rFonts w:ascii="宋体" w:hAnsi="宋体" w:cstheme="minorHAnsi"/>
          <w:bCs/>
          <w:caps/>
          <w:szCs w:val="24"/>
        </w:rPr>
        <w:fldChar w:fldCharType="separate"/>
      </w:r>
      <w:r>
        <w:rPr>
          <w:rFonts w:hint="default"/>
        </w:rPr>
        <w:t xml:space="preserve">4.3. </w:t>
      </w:r>
      <w:r>
        <w:rPr>
          <w:rFonts w:hint="eastAsia"/>
        </w:rPr>
        <w:t>塔吊安装前施工准备</w:t>
      </w:r>
      <w:r>
        <w:tab/>
      </w:r>
      <w:r>
        <w:fldChar w:fldCharType="begin"/>
      </w:r>
      <w:r>
        <w:instrText xml:space="preserve"> PAGEREF _Toc21468 \h </w:instrText>
      </w:r>
      <w:r>
        <w:fldChar w:fldCharType="separate"/>
      </w:r>
      <w:r>
        <w:t>30</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_Toc8777 </w:instrText>
      </w:r>
      <w:r>
        <w:rPr>
          <w:rFonts w:ascii="宋体" w:hAnsi="宋体" w:cstheme="minorHAnsi"/>
          <w:bCs/>
          <w:caps/>
          <w:szCs w:val="24"/>
        </w:rPr>
        <w:fldChar w:fldCharType="separate"/>
      </w:r>
      <w:r>
        <w:rPr>
          <w:rFonts w:hint="default"/>
        </w:rPr>
        <w:t xml:space="preserve">4.4. </w:t>
      </w:r>
      <w:r>
        <w:rPr>
          <w:rFonts w:hint="eastAsia"/>
        </w:rPr>
        <w:t>塔吊安装具体步骤</w:t>
      </w:r>
      <w:r>
        <w:tab/>
      </w:r>
      <w:r>
        <w:fldChar w:fldCharType="begin"/>
      </w:r>
      <w:r>
        <w:instrText xml:space="preserve"> PAGEREF _Toc8777 \h </w:instrText>
      </w:r>
      <w:r>
        <w:fldChar w:fldCharType="separate"/>
      </w:r>
      <w:r>
        <w:t>31</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_Toc1319 </w:instrText>
      </w:r>
      <w:r>
        <w:rPr>
          <w:rFonts w:ascii="宋体" w:hAnsi="宋体" w:cstheme="minorHAnsi"/>
          <w:bCs/>
          <w:caps/>
          <w:szCs w:val="24"/>
        </w:rPr>
        <w:fldChar w:fldCharType="separate"/>
      </w:r>
      <w:r>
        <w:rPr>
          <w:rFonts w:hint="default"/>
        </w:rPr>
        <w:t xml:space="preserve">4.5. </w:t>
      </w:r>
      <w:r>
        <w:rPr>
          <w:rFonts w:hint="eastAsia"/>
        </w:rPr>
        <w:t>顶升加节</w:t>
      </w:r>
      <w:r>
        <w:tab/>
      </w:r>
      <w:r>
        <w:fldChar w:fldCharType="begin"/>
      </w:r>
      <w:r>
        <w:instrText xml:space="preserve"> PAGEREF _Toc1319 \h </w:instrText>
      </w:r>
      <w:r>
        <w:fldChar w:fldCharType="separate"/>
      </w:r>
      <w:r>
        <w:t>44</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_Toc530 </w:instrText>
      </w:r>
      <w:r>
        <w:rPr>
          <w:rFonts w:ascii="宋体" w:hAnsi="宋体" w:cstheme="minorHAnsi"/>
          <w:bCs/>
          <w:caps/>
          <w:szCs w:val="24"/>
        </w:rPr>
        <w:fldChar w:fldCharType="separate"/>
      </w:r>
      <w:r>
        <w:rPr>
          <w:rFonts w:hint="default"/>
        </w:rPr>
        <w:t xml:space="preserve">4.6. </w:t>
      </w:r>
      <w:r>
        <w:rPr>
          <w:rFonts w:hint="eastAsia"/>
        </w:rPr>
        <w:t>试验</w:t>
      </w:r>
      <w:r>
        <w:tab/>
      </w:r>
      <w:r>
        <w:fldChar w:fldCharType="begin"/>
      </w:r>
      <w:r>
        <w:instrText xml:space="preserve"> PAGEREF _Toc530 \h </w:instrText>
      </w:r>
      <w:r>
        <w:fldChar w:fldCharType="separate"/>
      </w:r>
      <w:r>
        <w:t>48</w:t>
      </w:r>
      <w:r>
        <w:fldChar w:fldCharType="end"/>
      </w:r>
      <w:r>
        <w:rPr>
          <w:rFonts w:ascii="宋体" w:hAnsi="宋体" w:cstheme="minorHAnsi"/>
          <w:bCs/>
          <w:caps/>
          <w:szCs w:val="24"/>
        </w:rPr>
        <w:fldChar w:fldCharType="end"/>
      </w:r>
    </w:p>
    <w:p>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_Toc10988 </w:instrText>
      </w:r>
      <w:r>
        <w:rPr>
          <w:rFonts w:ascii="宋体" w:hAnsi="宋体" w:cstheme="minorHAnsi"/>
          <w:bCs/>
          <w:caps/>
          <w:szCs w:val="24"/>
        </w:rPr>
        <w:fldChar w:fldCharType="separate"/>
      </w:r>
      <w:r>
        <w:rPr>
          <w:rFonts w:hint="default"/>
          <w:szCs w:val="32"/>
        </w:rPr>
        <w:t xml:space="preserve">5. </w:t>
      </w:r>
      <w:r>
        <w:rPr>
          <w:rFonts w:hint="eastAsia"/>
          <w:szCs w:val="32"/>
        </w:rPr>
        <w:t>质量控制措施</w:t>
      </w:r>
      <w:r>
        <w:tab/>
      </w:r>
      <w:r>
        <w:fldChar w:fldCharType="begin"/>
      </w:r>
      <w:r>
        <w:instrText xml:space="preserve"> PAGEREF _Toc10988 \h </w:instrText>
      </w:r>
      <w:r>
        <w:fldChar w:fldCharType="separate"/>
      </w:r>
      <w:r>
        <w:t>49</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_Toc24823 </w:instrText>
      </w:r>
      <w:r>
        <w:rPr>
          <w:rFonts w:ascii="宋体" w:hAnsi="宋体" w:cstheme="minorHAnsi"/>
          <w:bCs/>
          <w:caps/>
          <w:szCs w:val="24"/>
        </w:rPr>
        <w:fldChar w:fldCharType="separate"/>
      </w:r>
      <w:r>
        <w:rPr>
          <w:rFonts w:hint="default"/>
          <w:lang w:val="en-US" w:eastAsia="zh-CN"/>
        </w:rPr>
        <w:t xml:space="preserve">5.1. </w:t>
      </w:r>
      <w:r>
        <w:rPr>
          <w:lang w:val="en-US" w:eastAsia="zh-CN"/>
        </w:rPr>
        <w:t>质量管理组织机构</w:t>
      </w:r>
      <w:r>
        <w:tab/>
      </w:r>
      <w:r>
        <w:fldChar w:fldCharType="begin"/>
      </w:r>
      <w:r>
        <w:instrText xml:space="preserve"> PAGEREF _Toc24823 \h </w:instrText>
      </w:r>
      <w:r>
        <w:fldChar w:fldCharType="separate"/>
      </w:r>
      <w:r>
        <w:t>49</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_Toc16062 </w:instrText>
      </w:r>
      <w:r>
        <w:rPr>
          <w:rFonts w:ascii="宋体" w:hAnsi="宋体" w:cstheme="minorHAnsi"/>
          <w:bCs/>
          <w:caps/>
          <w:szCs w:val="24"/>
        </w:rPr>
        <w:fldChar w:fldCharType="separate"/>
      </w:r>
      <w:r>
        <w:rPr>
          <w:rFonts w:hint="default"/>
          <w:lang w:val="en-US" w:eastAsia="zh-CN"/>
        </w:rPr>
        <w:t xml:space="preserve">5.2. </w:t>
      </w:r>
      <w:r>
        <w:rPr>
          <w:lang w:val="en-US" w:eastAsia="zh-CN"/>
        </w:rPr>
        <w:t>质量保证体系</w:t>
      </w:r>
      <w:r>
        <w:tab/>
      </w:r>
      <w:r>
        <w:fldChar w:fldCharType="begin"/>
      </w:r>
      <w:r>
        <w:instrText xml:space="preserve"> PAGEREF _Toc16062 \h </w:instrText>
      </w:r>
      <w:r>
        <w:fldChar w:fldCharType="separate"/>
      </w:r>
      <w:r>
        <w:t>49</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_Toc12455 </w:instrText>
      </w:r>
      <w:r>
        <w:rPr>
          <w:rFonts w:ascii="宋体" w:hAnsi="宋体" w:cstheme="minorHAnsi"/>
          <w:bCs/>
          <w:caps/>
          <w:szCs w:val="24"/>
        </w:rPr>
        <w:fldChar w:fldCharType="separate"/>
      </w:r>
      <w:r>
        <w:rPr>
          <w:rFonts w:hint="default"/>
        </w:rPr>
        <w:t xml:space="preserve">5.3. </w:t>
      </w:r>
      <w:r>
        <w:rPr>
          <w:rFonts w:hint="eastAsia"/>
        </w:rPr>
        <w:t>质量通病及质量通病预防</w:t>
      </w:r>
      <w:r>
        <w:tab/>
      </w:r>
      <w:r>
        <w:fldChar w:fldCharType="begin"/>
      </w:r>
      <w:r>
        <w:instrText xml:space="preserve"> PAGEREF _Toc12455 \h </w:instrText>
      </w:r>
      <w:r>
        <w:fldChar w:fldCharType="separate"/>
      </w:r>
      <w:r>
        <w:t>50</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_Toc22624 </w:instrText>
      </w:r>
      <w:r>
        <w:rPr>
          <w:rFonts w:ascii="宋体" w:hAnsi="宋体" w:cstheme="minorHAnsi"/>
          <w:bCs/>
          <w:caps/>
          <w:szCs w:val="24"/>
        </w:rPr>
        <w:fldChar w:fldCharType="separate"/>
      </w:r>
      <w:r>
        <w:rPr>
          <w:rFonts w:hint="default"/>
        </w:rPr>
        <w:t xml:space="preserve">5.4. </w:t>
      </w:r>
      <w:r>
        <w:rPr>
          <w:rFonts w:hint="eastAsia"/>
        </w:rPr>
        <w:t>质量保证措施</w:t>
      </w:r>
      <w:r>
        <w:tab/>
      </w:r>
      <w:r>
        <w:fldChar w:fldCharType="begin"/>
      </w:r>
      <w:r>
        <w:instrText xml:space="preserve"> PAGEREF _Toc22624 \h </w:instrText>
      </w:r>
      <w:r>
        <w:fldChar w:fldCharType="separate"/>
      </w:r>
      <w:r>
        <w:t>51</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_Toc19269 </w:instrText>
      </w:r>
      <w:r>
        <w:rPr>
          <w:rFonts w:ascii="宋体" w:hAnsi="宋体" w:cstheme="minorHAnsi"/>
          <w:bCs/>
          <w:caps/>
          <w:szCs w:val="24"/>
        </w:rPr>
        <w:fldChar w:fldCharType="separate"/>
      </w:r>
      <w:r>
        <w:rPr>
          <w:rFonts w:hint="default"/>
        </w:rPr>
        <w:t xml:space="preserve">5.5. </w:t>
      </w:r>
      <w:r>
        <w:rPr>
          <w:rFonts w:hint="eastAsia"/>
        </w:rPr>
        <w:t>作业过程中控制点的设置</w:t>
      </w:r>
      <w:r>
        <w:tab/>
      </w:r>
      <w:r>
        <w:fldChar w:fldCharType="begin"/>
      </w:r>
      <w:r>
        <w:instrText xml:space="preserve"> PAGEREF _Toc19269 \h </w:instrText>
      </w:r>
      <w:r>
        <w:fldChar w:fldCharType="separate"/>
      </w:r>
      <w:r>
        <w:t>51</w:t>
      </w:r>
      <w:r>
        <w:fldChar w:fldCharType="end"/>
      </w:r>
      <w:r>
        <w:rPr>
          <w:rFonts w:ascii="宋体" w:hAnsi="宋体" w:cstheme="minorHAnsi"/>
          <w:bCs/>
          <w:caps/>
          <w:szCs w:val="24"/>
        </w:rPr>
        <w:fldChar w:fldCharType="end"/>
      </w:r>
    </w:p>
    <w:p>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_Toc19739 </w:instrText>
      </w:r>
      <w:r>
        <w:rPr>
          <w:rFonts w:ascii="宋体" w:hAnsi="宋体" w:cstheme="minorHAnsi"/>
          <w:bCs/>
          <w:caps/>
          <w:szCs w:val="24"/>
        </w:rPr>
        <w:fldChar w:fldCharType="separate"/>
      </w:r>
      <w:r>
        <w:rPr>
          <w:rFonts w:hint="default"/>
          <w:szCs w:val="32"/>
        </w:rPr>
        <w:t xml:space="preserve">6. </w:t>
      </w:r>
      <w:r>
        <w:rPr>
          <w:rFonts w:hint="eastAsia"/>
          <w:szCs w:val="32"/>
        </w:rPr>
        <w:t>施工安全保障措施</w:t>
      </w:r>
      <w:r>
        <w:tab/>
      </w:r>
      <w:r>
        <w:fldChar w:fldCharType="begin"/>
      </w:r>
      <w:r>
        <w:instrText xml:space="preserve"> PAGEREF _Toc19739 \h </w:instrText>
      </w:r>
      <w:r>
        <w:fldChar w:fldCharType="separate"/>
      </w:r>
      <w:r>
        <w:t>53</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_Toc11771 </w:instrText>
      </w:r>
      <w:r>
        <w:rPr>
          <w:rFonts w:ascii="宋体" w:hAnsi="宋体" w:cstheme="minorHAnsi"/>
          <w:bCs/>
          <w:caps/>
          <w:szCs w:val="24"/>
        </w:rPr>
        <w:fldChar w:fldCharType="separate"/>
      </w:r>
      <w:r>
        <w:rPr>
          <w:rFonts w:hint="default"/>
          <w:lang w:val="en-US" w:eastAsia="zh-CN"/>
        </w:rPr>
        <w:t xml:space="preserve">6.1. </w:t>
      </w:r>
      <w:r>
        <w:rPr>
          <w:lang w:val="en-US" w:eastAsia="zh-CN"/>
        </w:rPr>
        <w:t>组织保障措施</w:t>
      </w:r>
      <w:r>
        <w:tab/>
      </w:r>
      <w:r>
        <w:fldChar w:fldCharType="begin"/>
      </w:r>
      <w:r>
        <w:instrText xml:space="preserve"> PAGEREF _Toc11771 \h </w:instrText>
      </w:r>
      <w:r>
        <w:fldChar w:fldCharType="separate"/>
      </w:r>
      <w:r>
        <w:t>53</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_Toc13924 </w:instrText>
      </w:r>
      <w:r>
        <w:rPr>
          <w:rFonts w:ascii="宋体" w:hAnsi="宋体" w:cstheme="minorHAnsi"/>
          <w:bCs/>
          <w:caps/>
          <w:szCs w:val="24"/>
        </w:rPr>
        <w:fldChar w:fldCharType="separate"/>
      </w:r>
      <w:r>
        <w:rPr>
          <w:rFonts w:hint="default"/>
        </w:rPr>
        <w:t xml:space="preserve">6.2. </w:t>
      </w:r>
      <w:r>
        <w:rPr>
          <w:rFonts w:hint="eastAsia"/>
        </w:rPr>
        <w:t>施工安全技术措施</w:t>
      </w:r>
      <w:r>
        <w:tab/>
      </w:r>
      <w:r>
        <w:fldChar w:fldCharType="begin"/>
      </w:r>
      <w:r>
        <w:instrText xml:space="preserve"> PAGEREF _Toc13924 \h </w:instrText>
      </w:r>
      <w:r>
        <w:fldChar w:fldCharType="separate"/>
      </w:r>
      <w:r>
        <w:t>64</w:t>
      </w:r>
      <w:r>
        <w:fldChar w:fldCharType="end"/>
      </w:r>
      <w:r>
        <w:rPr>
          <w:rFonts w:ascii="宋体" w:hAnsi="宋体" w:cstheme="minorHAnsi"/>
          <w:bCs/>
          <w:caps/>
          <w:szCs w:val="24"/>
        </w:rPr>
        <w:fldChar w:fldCharType="end"/>
      </w:r>
    </w:p>
    <w:p>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_Toc16762 </w:instrText>
      </w:r>
      <w:r>
        <w:rPr>
          <w:rFonts w:ascii="宋体" w:hAnsi="宋体" w:cstheme="minorHAnsi"/>
          <w:bCs/>
          <w:caps/>
          <w:szCs w:val="24"/>
        </w:rPr>
        <w:fldChar w:fldCharType="separate"/>
      </w:r>
      <w:r>
        <w:rPr>
          <w:rFonts w:hint="default"/>
          <w:szCs w:val="32"/>
        </w:rPr>
        <w:t xml:space="preserve">7. </w:t>
      </w:r>
      <w:r>
        <w:rPr>
          <w:rFonts w:hint="eastAsia"/>
          <w:szCs w:val="32"/>
        </w:rPr>
        <w:t>施工管理及作业人员配备和分工</w:t>
      </w:r>
      <w:r>
        <w:tab/>
      </w:r>
      <w:r>
        <w:fldChar w:fldCharType="begin"/>
      </w:r>
      <w:r>
        <w:instrText xml:space="preserve"> PAGEREF _Toc16762 \h </w:instrText>
      </w:r>
      <w:r>
        <w:fldChar w:fldCharType="separate"/>
      </w:r>
      <w:r>
        <w:t>78</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_Toc759 </w:instrText>
      </w:r>
      <w:r>
        <w:rPr>
          <w:rFonts w:ascii="宋体" w:hAnsi="宋体" w:cstheme="minorHAnsi"/>
          <w:bCs/>
          <w:caps/>
          <w:szCs w:val="24"/>
        </w:rPr>
        <w:fldChar w:fldCharType="separate"/>
      </w:r>
      <w:r>
        <w:rPr>
          <w:rFonts w:hint="default"/>
          <w:lang w:val="en-US" w:eastAsia="zh-CN"/>
        </w:rPr>
        <w:t xml:space="preserve">7.1. </w:t>
      </w:r>
      <w:r>
        <w:rPr>
          <w:lang w:val="en-US" w:eastAsia="zh-CN"/>
        </w:rPr>
        <w:t>施工管理人员配备和分工</w:t>
      </w:r>
      <w:r>
        <w:tab/>
      </w:r>
      <w:r>
        <w:fldChar w:fldCharType="begin"/>
      </w:r>
      <w:r>
        <w:instrText xml:space="preserve"> PAGEREF _Toc759 \h </w:instrText>
      </w:r>
      <w:r>
        <w:fldChar w:fldCharType="separate"/>
      </w:r>
      <w:r>
        <w:t>78</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_Toc26419 </w:instrText>
      </w:r>
      <w:r>
        <w:rPr>
          <w:rFonts w:ascii="宋体" w:hAnsi="宋体" w:cstheme="minorHAnsi"/>
          <w:bCs/>
          <w:caps/>
          <w:szCs w:val="24"/>
        </w:rPr>
        <w:fldChar w:fldCharType="separate"/>
      </w:r>
      <w:r>
        <w:rPr>
          <w:rFonts w:hint="default"/>
          <w:lang w:val="en-US" w:eastAsia="zh-CN"/>
        </w:rPr>
        <w:t xml:space="preserve">7.2. </w:t>
      </w:r>
      <w:r>
        <w:rPr>
          <w:lang w:val="en-US" w:eastAsia="zh-CN"/>
        </w:rPr>
        <w:t>专职安全生产管理人员配备和分工</w:t>
      </w:r>
      <w:r>
        <w:tab/>
      </w:r>
      <w:r>
        <w:fldChar w:fldCharType="begin"/>
      </w:r>
      <w:r>
        <w:instrText xml:space="preserve"> PAGEREF _Toc26419 \h </w:instrText>
      </w:r>
      <w:r>
        <w:fldChar w:fldCharType="separate"/>
      </w:r>
      <w:r>
        <w:t>78</w:t>
      </w:r>
      <w:r>
        <w:fldChar w:fldCharType="end"/>
      </w:r>
      <w:r>
        <w:rPr>
          <w:rFonts w:ascii="宋体" w:hAnsi="宋体" w:cstheme="minorHAnsi"/>
          <w:bCs/>
          <w:caps/>
          <w:szCs w:val="24"/>
        </w:rPr>
        <w:fldChar w:fldCharType="end"/>
      </w:r>
    </w:p>
    <w:p>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_Toc3482 </w:instrText>
      </w:r>
      <w:r>
        <w:rPr>
          <w:rFonts w:ascii="宋体" w:hAnsi="宋体" w:cstheme="minorHAnsi"/>
          <w:bCs/>
          <w:caps/>
          <w:szCs w:val="24"/>
        </w:rPr>
        <w:fldChar w:fldCharType="separate"/>
      </w:r>
      <w:r>
        <w:rPr>
          <w:rFonts w:hint="default"/>
          <w:szCs w:val="32"/>
        </w:rPr>
        <w:t xml:space="preserve">8. </w:t>
      </w:r>
      <w:r>
        <w:rPr>
          <w:rFonts w:hint="eastAsia"/>
          <w:szCs w:val="32"/>
        </w:rPr>
        <w:t>验收要求</w:t>
      </w:r>
      <w:r>
        <w:tab/>
      </w:r>
      <w:r>
        <w:fldChar w:fldCharType="begin"/>
      </w:r>
      <w:r>
        <w:instrText xml:space="preserve"> PAGEREF _Toc3482 \h </w:instrText>
      </w:r>
      <w:r>
        <w:fldChar w:fldCharType="separate"/>
      </w:r>
      <w:r>
        <w:t>80</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_Toc31106 </w:instrText>
      </w:r>
      <w:r>
        <w:rPr>
          <w:rFonts w:ascii="宋体" w:hAnsi="宋体" w:cstheme="minorHAnsi"/>
          <w:bCs/>
          <w:caps/>
          <w:szCs w:val="24"/>
        </w:rPr>
        <w:fldChar w:fldCharType="separate"/>
      </w:r>
      <w:r>
        <w:rPr>
          <w:rFonts w:hint="default"/>
        </w:rPr>
        <w:t xml:space="preserve">8.1. </w:t>
      </w:r>
      <w:r>
        <w:rPr>
          <w:rFonts w:hint="eastAsia"/>
        </w:rPr>
        <w:t>验收标准</w:t>
      </w:r>
      <w:r>
        <w:tab/>
      </w:r>
      <w:r>
        <w:fldChar w:fldCharType="begin"/>
      </w:r>
      <w:r>
        <w:instrText xml:space="preserve"> PAGEREF _Toc31106 \h </w:instrText>
      </w:r>
      <w:r>
        <w:fldChar w:fldCharType="separate"/>
      </w:r>
      <w:r>
        <w:t>80</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_Toc20257 </w:instrText>
      </w:r>
      <w:r>
        <w:rPr>
          <w:rFonts w:ascii="宋体" w:hAnsi="宋体" w:cstheme="minorHAnsi"/>
          <w:bCs/>
          <w:caps/>
          <w:szCs w:val="24"/>
        </w:rPr>
        <w:fldChar w:fldCharType="separate"/>
      </w:r>
      <w:r>
        <w:rPr>
          <w:rFonts w:hint="default"/>
        </w:rPr>
        <w:t xml:space="preserve">8.2. </w:t>
      </w:r>
      <w:r>
        <w:rPr>
          <w:rFonts w:hint="eastAsia"/>
        </w:rPr>
        <w:t>验收程序和使用登记备案程序</w:t>
      </w:r>
      <w:r>
        <w:tab/>
      </w:r>
      <w:r>
        <w:fldChar w:fldCharType="begin"/>
      </w:r>
      <w:r>
        <w:instrText xml:space="preserve"> PAGEREF _Toc20257 \h </w:instrText>
      </w:r>
      <w:r>
        <w:fldChar w:fldCharType="separate"/>
      </w:r>
      <w:r>
        <w:t>80</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_Toc7728 </w:instrText>
      </w:r>
      <w:r>
        <w:rPr>
          <w:rFonts w:ascii="宋体" w:hAnsi="宋体" w:cstheme="minorHAnsi"/>
          <w:bCs/>
          <w:caps/>
          <w:szCs w:val="24"/>
        </w:rPr>
        <w:fldChar w:fldCharType="separate"/>
      </w:r>
      <w:r>
        <w:rPr>
          <w:rFonts w:hint="default"/>
        </w:rPr>
        <w:t xml:space="preserve">8.3. </w:t>
      </w:r>
      <w:r>
        <w:rPr>
          <w:rFonts w:hint="eastAsia"/>
        </w:rPr>
        <w:t>验收内容</w:t>
      </w:r>
      <w:r>
        <w:tab/>
      </w:r>
      <w:r>
        <w:fldChar w:fldCharType="begin"/>
      </w:r>
      <w:r>
        <w:instrText xml:space="preserve"> PAGEREF _Toc7728 \h </w:instrText>
      </w:r>
      <w:r>
        <w:fldChar w:fldCharType="separate"/>
      </w:r>
      <w:r>
        <w:t>81</w:t>
      </w:r>
      <w:r>
        <w:fldChar w:fldCharType="end"/>
      </w:r>
      <w:r>
        <w:rPr>
          <w:rFonts w:ascii="宋体" w:hAnsi="宋体" w:cstheme="minorHAnsi"/>
          <w:bCs/>
          <w:caps/>
          <w:szCs w:val="24"/>
        </w:rPr>
        <w:fldChar w:fldCharType="end"/>
      </w:r>
    </w:p>
    <w:p>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_Toc11629 </w:instrText>
      </w:r>
      <w:r>
        <w:rPr>
          <w:rFonts w:ascii="宋体" w:hAnsi="宋体" w:cstheme="minorHAnsi"/>
          <w:bCs/>
          <w:caps/>
          <w:szCs w:val="24"/>
        </w:rPr>
        <w:fldChar w:fldCharType="separate"/>
      </w:r>
      <w:r>
        <w:rPr>
          <w:rFonts w:hint="default"/>
          <w:szCs w:val="32"/>
        </w:rPr>
        <w:t xml:space="preserve">9. </w:t>
      </w:r>
      <w:r>
        <w:rPr>
          <w:rFonts w:hint="eastAsia"/>
          <w:szCs w:val="32"/>
        </w:rPr>
        <w:t>应急处置措施</w:t>
      </w:r>
      <w:r>
        <w:tab/>
      </w:r>
      <w:r>
        <w:fldChar w:fldCharType="begin"/>
      </w:r>
      <w:r>
        <w:instrText xml:space="preserve"> PAGEREF _Toc11629 \h </w:instrText>
      </w:r>
      <w:r>
        <w:fldChar w:fldCharType="separate"/>
      </w:r>
      <w:r>
        <w:t>87</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_Toc1518 </w:instrText>
      </w:r>
      <w:r>
        <w:rPr>
          <w:rFonts w:ascii="宋体" w:hAnsi="宋体" w:cstheme="minorHAnsi"/>
          <w:bCs/>
          <w:caps/>
          <w:szCs w:val="24"/>
        </w:rPr>
        <w:fldChar w:fldCharType="separate"/>
      </w:r>
      <w:r>
        <w:rPr>
          <w:rFonts w:hint="default"/>
        </w:rPr>
        <w:t xml:space="preserve">9.1. </w:t>
      </w:r>
      <w:r>
        <w:rPr>
          <w:rFonts w:hint="eastAsia"/>
        </w:rPr>
        <w:t>风险源辨识及分析</w:t>
      </w:r>
      <w:r>
        <w:tab/>
      </w:r>
      <w:r>
        <w:fldChar w:fldCharType="begin"/>
      </w:r>
      <w:r>
        <w:instrText xml:space="preserve"> PAGEREF _Toc1518 \h </w:instrText>
      </w:r>
      <w:r>
        <w:fldChar w:fldCharType="separate"/>
      </w:r>
      <w:r>
        <w:t>87</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_Toc14196 </w:instrText>
      </w:r>
      <w:r>
        <w:rPr>
          <w:rFonts w:ascii="宋体" w:hAnsi="宋体" w:cstheme="minorHAnsi"/>
          <w:bCs/>
          <w:caps/>
          <w:szCs w:val="24"/>
        </w:rPr>
        <w:fldChar w:fldCharType="separate"/>
      </w:r>
      <w:r>
        <w:rPr>
          <w:rFonts w:hint="default"/>
        </w:rPr>
        <w:t xml:space="preserve">9.2. </w:t>
      </w:r>
      <w:r>
        <w:rPr>
          <w:rFonts w:hint="eastAsia"/>
        </w:rPr>
        <w:t>组织机构</w:t>
      </w:r>
      <w:r>
        <w:tab/>
      </w:r>
      <w:r>
        <w:fldChar w:fldCharType="begin"/>
      </w:r>
      <w:r>
        <w:instrText xml:space="preserve"> PAGEREF _Toc14196 \h </w:instrText>
      </w:r>
      <w:r>
        <w:fldChar w:fldCharType="separate"/>
      </w:r>
      <w:r>
        <w:t>95</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_Toc18614 </w:instrText>
      </w:r>
      <w:r>
        <w:rPr>
          <w:rFonts w:ascii="宋体" w:hAnsi="宋体" w:cstheme="minorHAnsi"/>
          <w:bCs/>
          <w:caps/>
          <w:szCs w:val="24"/>
        </w:rPr>
        <w:fldChar w:fldCharType="separate"/>
      </w:r>
      <w:r>
        <w:rPr>
          <w:rFonts w:hint="default"/>
        </w:rPr>
        <w:t xml:space="preserve">9.3. </w:t>
      </w:r>
      <w:r>
        <w:rPr>
          <w:rFonts w:hint="eastAsia"/>
        </w:rPr>
        <w:t>处置流程</w:t>
      </w:r>
      <w:r>
        <w:tab/>
      </w:r>
      <w:r>
        <w:fldChar w:fldCharType="begin"/>
      </w:r>
      <w:r>
        <w:instrText xml:space="preserve"> PAGEREF _Toc18614 \h </w:instrText>
      </w:r>
      <w:r>
        <w:fldChar w:fldCharType="separate"/>
      </w:r>
      <w:r>
        <w:t>96</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_Toc24226 </w:instrText>
      </w:r>
      <w:r>
        <w:rPr>
          <w:rFonts w:ascii="宋体" w:hAnsi="宋体" w:cstheme="minorHAnsi"/>
          <w:bCs/>
          <w:caps/>
          <w:szCs w:val="24"/>
        </w:rPr>
        <w:fldChar w:fldCharType="separate"/>
      </w:r>
      <w:r>
        <w:rPr>
          <w:rFonts w:hint="default"/>
        </w:rPr>
        <w:t xml:space="preserve">9.4. </w:t>
      </w:r>
      <w:r>
        <w:rPr>
          <w:rFonts w:hint="eastAsia"/>
        </w:rPr>
        <w:t>应急处置措施</w:t>
      </w:r>
      <w:r>
        <w:tab/>
      </w:r>
      <w:r>
        <w:fldChar w:fldCharType="begin"/>
      </w:r>
      <w:r>
        <w:instrText xml:space="preserve"> PAGEREF _Toc24226 \h </w:instrText>
      </w:r>
      <w:r>
        <w:fldChar w:fldCharType="separate"/>
      </w:r>
      <w:r>
        <w:t>98</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_Toc20027 </w:instrText>
      </w:r>
      <w:r>
        <w:rPr>
          <w:rFonts w:ascii="宋体" w:hAnsi="宋体" w:cstheme="minorHAnsi"/>
          <w:bCs/>
          <w:caps/>
          <w:szCs w:val="24"/>
        </w:rPr>
        <w:fldChar w:fldCharType="separate"/>
      </w:r>
      <w:r>
        <w:rPr>
          <w:rFonts w:hint="default"/>
        </w:rPr>
        <w:t xml:space="preserve">9.5. </w:t>
      </w:r>
      <w:r>
        <w:rPr>
          <w:rFonts w:hint="eastAsia"/>
        </w:rPr>
        <w:t>应急车辆、物资及设备</w:t>
      </w:r>
      <w:r>
        <w:tab/>
      </w:r>
      <w:r>
        <w:fldChar w:fldCharType="begin"/>
      </w:r>
      <w:r>
        <w:instrText xml:space="preserve"> PAGEREF _Toc20027 \h </w:instrText>
      </w:r>
      <w:r>
        <w:fldChar w:fldCharType="separate"/>
      </w:r>
      <w:r>
        <w:t>104</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_Toc7 </w:instrText>
      </w:r>
      <w:r>
        <w:rPr>
          <w:rFonts w:ascii="宋体" w:hAnsi="宋体" w:cstheme="minorHAnsi"/>
          <w:bCs/>
          <w:caps/>
          <w:szCs w:val="24"/>
        </w:rPr>
        <w:fldChar w:fldCharType="separate"/>
      </w:r>
      <w:r>
        <w:rPr>
          <w:rFonts w:hint="default"/>
        </w:rPr>
        <w:t xml:space="preserve">9.6. </w:t>
      </w:r>
      <w:r>
        <w:rPr>
          <w:rFonts w:hint="eastAsia"/>
        </w:rPr>
        <w:t>应急医院及线路图</w:t>
      </w:r>
      <w:r>
        <w:tab/>
      </w:r>
      <w:r>
        <w:fldChar w:fldCharType="begin"/>
      </w:r>
      <w:r>
        <w:instrText xml:space="preserve"> PAGEREF _Toc7 \h </w:instrText>
      </w:r>
      <w:r>
        <w:fldChar w:fldCharType="separate"/>
      </w:r>
      <w:r>
        <w:t>104</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_Toc27341 </w:instrText>
      </w:r>
      <w:r>
        <w:rPr>
          <w:rFonts w:ascii="宋体" w:hAnsi="宋体" w:cstheme="minorHAnsi"/>
          <w:bCs/>
          <w:caps/>
          <w:szCs w:val="24"/>
        </w:rPr>
        <w:fldChar w:fldCharType="separate"/>
      </w:r>
      <w:r>
        <w:rPr>
          <w:rFonts w:hint="default"/>
        </w:rPr>
        <w:t xml:space="preserve">9.7. </w:t>
      </w:r>
      <w:r>
        <w:rPr>
          <w:rFonts w:hint="eastAsia"/>
        </w:rPr>
        <w:t>事故善后及恢复生产</w:t>
      </w:r>
      <w:r>
        <w:tab/>
      </w:r>
      <w:r>
        <w:fldChar w:fldCharType="begin"/>
      </w:r>
      <w:r>
        <w:instrText xml:space="preserve"> PAGEREF _Toc27341 \h </w:instrText>
      </w:r>
      <w:r>
        <w:fldChar w:fldCharType="separate"/>
      </w:r>
      <w:r>
        <w:t>105</w:t>
      </w:r>
      <w:r>
        <w:fldChar w:fldCharType="end"/>
      </w:r>
      <w:r>
        <w:rPr>
          <w:rFonts w:ascii="宋体" w:hAnsi="宋体" w:cstheme="minorHAnsi"/>
          <w:bCs/>
          <w:caps/>
          <w:szCs w:val="24"/>
        </w:rPr>
        <w:fldChar w:fldCharType="end"/>
      </w:r>
    </w:p>
    <w:p>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_Toc25647 </w:instrText>
      </w:r>
      <w:r>
        <w:rPr>
          <w:rFonts w:ascii="宋体" w:hAnsi="宋体" w:cstheme="minorHAnsi"/>
          <w:bCs/>
          <w:caps/>
          <w:szCs w:val="24"/>
        </w:rPr>
        <w:fldChar w:fldCharType="separate"/>
      </w:r>
      <w:r>
        <w:rPr>
          <w:rFonts w:hint="default"/>
          <w:szCs w:val="32"/>
        </w:rPr>
        <w:t xml:space="preserve">10. </w:t>
      </w:r>
      <w:r>
        <w:rPr>
          <w:rFonts w:hint="eastAsia"/>
          <w:szCs w:val="32"/>
        </w:rPr>
        <w:t>绿色及文明施工</w:t>
      </w:r>
      <w:r>
        <w:tab/>
      </w:r>
      <w:r>
        <w:fldChar w:fldCharType="begin"/>
      </w:r>
      <w:r>
        <w:instrText xml:space="preserve"> PAGEREF _Toc25647 \h </w:instrText>
      </w:r>
      <w:r>
        <w:fldChar w:fldCharType="separate"/>
      </w:r>
      <w:r>
        <w:t>107</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_Toc23639 </w:instrText>
      </w:r>
      <w:r>
        <w:rPr>
          <w:rFonts w:ascii="宋体" w:hAnsi="宋体" w:cstheme="minorHAnsi"/>
          <w:bCs/>
          <w:caps/>
          <w:szCs w:val="24"/>
        </w:rPr>
        <w:fldChar w:fldCharType="separate"/>
      </w:r>
      <w:r>
        <w:rPr>
          <w:rFonts w:hint="default"/>
        </w:rPr>
        <w:t xml:space="preserve">10.1. </w:t>
      </w:r>
      <w:r>
        <w:t>组织机构</w:t>
      </w:r>
      <w:r>
        <w:tab/>
      </w:r>
      <w:r>
        <w:fldChar w:fldCharType="begin"/>
      </w:r>
      <w:r>
        <w:instrText xml:space="preserve"> PAGEREF _Toc23639 \h </w:instrText>
      </w:r>
      <w:r>
        <w:fldChar w:fldCharType="separate"/>
      </w:r>
      <w:r>
        <w:t>107</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_Toc21155 </w:instrText>
      </w:r>
      <w:r>
        <w:rPr>
          <w:rFonts w:ascii="宋体" w:hAnsi="宋体" w:cstheme="minorHAnsi"/>
          <w:bCs/>
          <w:caps/>
          <w:szCs w:val="24"/>
        </w:rPr>
        <w:fldChar w:fldCharType="separate"/>
      </w:r>
      <w:r>
        <w:rPr>
          <w:rFonts w:hint="default"/>
        </w:rPr>
        <w:t xml:space="preserve">10.2. </w:t>
      </w:r>
      <w:r>
        <w:t>保证体系</w:t>
      </w:r>
      <w:r>
        <w:tab/>
      </w:r>
      <w:r>
        <w:fldChar w:fldCharType="begin"/>
      </w:r>
      <w:r>
        <w:instrText xml:space="preserve"> PAGEREF _Toc21155 \h </w:instrText>
      </w:r>
      <w:r>
        <w:fldChar w:fldCharType="separate"/>
      </w:r>
      <w:r>
        <w:t>107</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_Toc28775 </w:instrText>
      </w:r>
      <w:r>
        <w:rPr>
          <w:rFonts w:ascii="宋体" w:hAnsi="宋体" w:cstheme="minorHAnsi"/>
          <w:bCs/>
          <w:caps/>
          <w:szCs w:val="24"/>
        </w:rPr>
        <w:fldChar w:fldCharType="separate"/>
      </w:r>
      <w:r>
        <w:rPr>
          <w:rFonts w:hint="default"/>
        </w:rPr>
        <w:t xml:space="preserve">10.3. </w:t>
      </w:r>
      <w:r>
        <w:t>保证措施</w:t>
      </w:r>
      <w:r>
        <w:tab/>
      </w:r>
      <w:r>
        <w:fldChar w:fldCharType="begin"/>
      </w:r>
      <w:r>
        <w:instrText xml:space="preserve"> PAGEREF _Toc28775 \h </w:instrText>
      </w:r>
      <w:r>
        <w:fldChar w:fldCharType="separate"/>
      </w:r>
      <w:r>
        <w:t>108</w:t>
      </w:r>
      <w:r>
        <w:fldChar w:fldCharType="end"/>
      </w:r>
      <w:r>
        <w:rPr>
          <w:rFonts w:ascii="宋体" w:hAnsi="宋体" w:cstheme="minorHAnsi"/>
          <w:bCs/>
          <w:caps/>
          <w:szCs w:val="24"/>
        </w:rPr>
        <w:fldChar w:fldCharType="end"/>
      </w:r>
    </w:p>
    <w:p>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_Toc32337 </w:instrText>
      </w:r>
      <w:r>
        <w:rPr>
          <w:rFonts w:ascii="宋体" w:hAnsi="宋体" w:cstheme="minorHAnsi"/>
          <w:bCs/>
          <w:caps/>
          <w:szCs w:val="24"/>
        </w:rPr>
        <w:fldChar w:fldCharType="separate"/>
      </w:r>
      <w:r>
        <w:rPr>
          <w:rFonts w:hint="default"/>
          <w:szCs w:val="32"/>
        </w:rPr>
        <w:t xml:space="preserve">11. </w:t>
      </w:r>
      <w:r>
        <w:rPr>
          <w:rFonts w:hint="eastAsia"/>
          <w:szCs w:val="32"/>
        </w:rPr>
        <w:t>计算书</w:t>
      </w:r>
      <w:r>
        <w:tab/>
      </w:r>
      <w:r>
        <w:fldChar w:fldCharType="begin"/>
      </w:r>
      <w:r>
        <w:instrText xml:space="preserve"> PAGEREF _Toc32337 \h </w:instrText>
      </w:r>
      <w:r>
        <w:fldChar w:fldCharType="separate"/>
      </w:r>
      <w:r>
        <w:t>111</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_Toc9057 </w:instrText>
      </w:r>
      <w:r>
        <w:rPr>
          <w:rFonts w:ascii="宋体" w:hAnsi="宋体" w:cstheme="minorHAnsi"/>
          <w:bCs/>
          <w:caps/>
          <w:szCs w:val="24"/>
        </w:rPr>
        <w:fldChar w:fldCharType="separate"/>
      </w:r>
      <w:r>
        <w:rPr>
          <w:rFonts w:hint="default"/>
        </w:rPr>
        <w:t xml:space="preserve">11.1. </w:t>
      </w:r>
      <w:r>
        <w:rPr>
          <w:rFonts w:hint="eastAsia"/>
          <w:lang w:val="en-US" w:eastAsia="zh-CN"/>
        </w:rPr>
        <w:t>汽车吊支反力计算</w:t>
      </w:r>
      <w:r>
        <w:tab/>
      </w:r>
      <w:r>
        <w:fldChar w:fldCharType="begin"/>
      </w:r>
      <w:r>
        <w:instrText xml:space="preserve"> PAGEREF _Toc9057 \h </w:instrText>
      </w:r>
      <w:r>
        <w:fldChar w:fldCharType="separate"/>
      </w:r>
      <w:r>
        <w:t>111</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_Toc31354 </w:instrText>
      </w:r>
      <w:r>
        <w:rPr>
          <w:rFonts w:ascii="宋体" w:hAnsi="宋体" w:cstheme="minorHAnsi"/>
          <w:bCs/>
          <w:caps/>
          <w:szCs w:val="24"/>
        </w:rPr>
        <w:fldChar w:fldCharType="separate"/>
      </w:r>
      <w:r>
        <w:rPr>
          <w:rFonts w:hint="default"/>
        </w:rPr>
        <w:t xml:space="preserve">11.2. </w:t>
      </w:r>
      <w:r>
        <w:rPr>
          <w:rFonts w:hint="eastAsia"/>
        </w:rPr>
        <w:t>选用的吊索受力计算</w:t>
      </w:r>
      <w:r>
        <w:tab/>
      </w:r>
      <w:r>
        <w:fldChar w:fldCharType="begin"/>
      </w:r>
      <w:r>
        <w:instrText xml:space="preserve"> PAGEREF _Toc31354 \h </w:instrText>
      </w:r>
      <w:r>
        <w:fldChar w:fldCharType="separate"/>
      </w:r>
      <w:r>
        <w:t>117</w:t>
      </w:r>
      <w:r>
        <w:fldChar w:fldCharType="end"/>
      </w:r>
      <w:r>
        <w:rPr>
          <w:rFonts w:ascii="宋体" w:hAnsi="宋体" w:cstheme="minorHAnsi"/>
          <w:bCs/>
          <w:caps/>
          <w:szCs w:val="24"/>
        </w:rPr>
        <w:fldChar w:fldCharType="end"/>
      </w:r>
    </w:p>
    <w:p>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_Toc19012 </w:instrText>
      </w:r>
      <w:r>
        <w:rPr>
          <w:rFonts w:ascii="宋体" w:hAnsi="宋体" w:cstheme="minorHAnsi"/>
          <w:bCs/>
          <w:caps/>
          <w:szCs w:val="24"/>
        </w:rPr>
        <w:fldChar w:fldCharType="separate"/>
      </w:r>
      <w:r>
        <w:rPr>
          <w:rFonts w:hint="default"/>
        </w:rPr>
        <w:t xml:space="preserve">11.3. </w:t>
      </w:r>
      <w:r>
        <w:rPr>
          <w:rFonts w:hint="eastAsia"/>
        </w:rPr>
        <w:t>附件</w:t>
      </w:r>
      <w:r>
        <w:tab/>
      </w:r>
      <w:r>
        <w:fldChar w:fldCharType="begin"/>
      </w:r>
      <w:r>
        <w:instrText xml:space="preserve"> PAGEREF _Toc19012 \h </w:instrText>
      </w:r>
      <w:r>
        <w:fldChar w:fldCharType="separate"/>
      </w:r>
      <w:r>
        <w:t>119</w:t>
      </w:r>
      <w:r>
        <w:fldChar w:fldCharType="end"/>
      </w:r>
      <w:r>
        <w:rPr>
          <w:rFonts w:ascii="宋体" w:hAnsi="宋体" w:cstheme="minorHAnsi"/>
          <w:bCs/>
          <w:caps/>
          <w:szCs w:val="24"/>
        </w:rPr>
        <w:fldChar w:fldCharType="end"/>
      </w:r>
    </w:p>
    <w:p>
      <w:pPr>
        <w:ind w:firstLine="480"/>
        <w:rPr>
          <w:rFonts w:ascii="宋体" w:hAnsi="宋体" w:cstheme="minorHAnsi"/>
          <w:bCs/>
          <w:caps/>
          <w:szCs w:val="24"/>
        </w:rPr>
        <w:sectPr>
          <w:headerReference r:id="rId5" w:type="default"/>
          <w:footerReference r:id="rId6" w:type="default"/>
          <w:pgSz w:w="11906" w:h="16838"/>
          <w:pgMar w:top="1418" w:right="1418" w:bottom="1134" w:left="1418" w:header="851" w:footer="992" w:gutter="0"/>
          <w:pgNumType w:start="1"/>
          <w:cols w:space="425" w:num="1"/>
          <w:docGrid w:type="lines" w:linePitch="326" w:charSpace="0"/>
        </w:sectPr>
      </w:pPr>
      <w:r>
        <w:rPr>
          <w:rFonts w:ascii="宋体" w:hAnsi="宋体" w:cstheme="minorHAnsi"/>
          <w:bCs/>
          <w:caps/>
          <w:szCs w:val="24"/>
        </w:rPr>
        <w:fldChar w:fldCharType="end"/>
      </w:r>
    </w:p>
    <w:bookmarkEnd w:id="0"/>
    <w:bookmarkEnd w:id="1"/>
    <w:bookmarkEnd w:id="2"/>
    <w:bookmarkEnd w:id="3"/>
    <w:bookmarkEnd w:id="4"/>
    <w:p>
      <w:pPr>
        <w:pStyle w:val="3"/>
        <w:rPr>
          <w:rFonts w:hint="eastAsia"/>
          <w:sz w:val="32"/>
          <w:szCs w:val="32"/>
        </w:rPr>
      </w:pPr>
      <w:bookmarkStart w:id="5" w:name="_Toc31743"/>
      <w:r>
        <w:rPr>
          <w:rFonts w:hint="eastAsia"/>
          <w:sz w:val="32"/>
          <w:szCs w:val="32"/>
        </w:rPr>
        <w:t>编制依据</w:t>
      </w:r>
      <w:bookmarkEnd w:id="5"/>
    </w:p>
    <w:p>
      <w:pPr>
        <w:pStyle w:val="4"/>
      </w:pPr>
      <w:bookmarkStart w:id="6" w:name="_Toc21720"/>
      <w:r>
        <w:rPr>
          <w:rFonts w:hint="eastAsia"/>
        </w:rPr>
        <w:t>编制说明</w:t>
      </w:r>
      <w:bookmarkEnd w:id="6"/>
    </w:p>
    <w:p>
      <w:pPr>
        <w:ind w:firstLine="480"/>
      </w:pPr>
      <w:r>
        <w:rPr>
          <w:rFonts w:hint="eastAsia"/>
          <w:lang w:eastAsia="zh-CN"/>
        </w:rPr>
        <w:t>351国道兰溪马涧至建德大慈岩段工程香女特大桥项目</w:t>
      </w:r>
      <w:r>
        <w:rPr>
          <w:rFonts w:hint="eastAsia"/>
        </w:rPr>
        <w:t>需采用</w:t>
      </w:r>
      <w:r>
        <w:rPr>
          <w:rFonts w:hint="eastAsia"/>
          <w:lang w:val="en-US" w:eastAsia="zh-CN"/>
        </w:rPr>
        <w:t>2台T7020-10</w:t>
      </w:r>
      <w:r>
        <w:rPr>
          <w:rFonts w:hint="eastAsia"/>
        </w:rPr>
        <w:t>塔式起重机进行桥梁施工吊装作业，为认真、全面、系统地做好起重机的安装作业，确保过程质量和安全，合理安排施工工期，重庆钱桥建筑设备租赁有限公司受项目部委托特编制本塔式起重机安拆专项施工方案。</w:t>
      </w:r>
    </w:p>
    <w:p>
      <w:pPr>
        <w:pStyle w:val="4"/>
      </w:pPr>
      <w:bookmarkStart w:id="7" w:name="_Toc4210"/>
      <w:r>
        <w:rPr>
          <w:rFonts w:hint="eastAsia"/>
        </w:rPr>
        <w:t>引用文件</w:t>
      </w:r>
      <w:bookmarkEnd w:id="7"/>
    </w:p>
    <w:p>
      <w:pPr>
        <w:pStyle w:val="5"/>
        <w:bidi w:val="0"/>
        <w:ind w:left="0" w:leftChars="0" w:firstLine="0" w:firstLineChars="0"/>
        <w:rPr>
          <w:sz w:val="24"/>
          <w:szCs w:val="24"/>
          <w:lang w:val="en-US" w:eastAsia="zh-CN"/>
        </w:rPr>
      </w:pPr>
      <w:r>
        <w:rPr>
          <w:rFonts w:hint="eastAsia"/>
          <w:sz w:val="24"/>
          <w:szCs w:val="24"/>
          <w:lang w:val="en-US" w:eastAsia="zh-CN"/>
        </w:rPr>
        <w:t>主要法律法规</w:t>
      </w:r>
    </w:p>
    <w:p>
      <w:pPr>
        <w:pStyle w:val="67"/>
        <w:numPr>
          <w:ilvl w:val="0"/>
          <w:numId w:val="10"/>
        </w:numPr>
        <w:ind w:left="0" w:firstLine="480" w:firstLineChars="200"/>
      </w:pPr>
      <w:r>
        <w:rPr>
          <w:rFonts w:hint="eastAsia"/>
        </w:rPr>
        <w:t>《建设工程安全生产管理条例》（国务院令第393号）；</w:t>
      </w:r>
    </w:p>
    <w:p>
      <w:pPr>
        <w:pStyle w:val="67"/>
        <w:numPr>
          <w:ilvl w:val="0"/>
          <w:numId w:val="10"/>
        </w:numPr>
        <w:ind w:left="0" w:firstLine="480" w:firstLineChars="200"/>
      </w:pPr>
      <w:r>
        <w:rPr>
          <w:rFonts w:hint="eastAsia"/>
        </w:rPr>
        <w:t>《安全生产事故隐患排查治理暂行规定》（国家安全生产监督管理总局令第16号）；</w:t>
      </w:r>
    </w:p>
    <w:p>
      <w:pPr>
        <w:pStyle w:val="67"/>
        <w:numPr>
          <w:ilvl w:val="0"/>
          <w:numId w:val="10"/>
        </w:numPr>
        <w:ind w:left="0" w:firstLine="480" w:firstLineChars="200"/>
      </w:pPr>
      <w:r>
        <w:rPr>
          <w:rFonts w:hint="eastAsia"/>
        </w:rPr>
        <w:t>《交通运输突发事件应急管理规定》（2011年11月14日交通运输部令2011年第9号）；</w:t>
      </w:r>
    </w:p>
    <w:p>
      <w:pPr>
        <w:pStyle w:val="67"/>
        <w:numPr>
          <w:ilvl w:val="0"/>
          <w:numId w:val="10"/>
        </w:numPr>
        <w:ind w:left="0" w:firstLine="480" w:firstLineChars="200"/>
      </w:pPr>
      <w:r>
        <w:rPr>
          <w:rFonts w:hint="eastAsia"/>
        </w:rPr>
        <w:t>《中华人民共和国特种设备安全法》（2013主席令4号）；</w:t>
      </w:r>
    </w:p>
    <w:p>
      <w:pPr>
        <w:pStyle w:val="67"/>
        <w:numPr>
          <w:ilvl w:val="0"/>
          <w:numId w:val="10"/>
        </w:numPr>
        <w:ind w:left="0" w:firstLine="480" w:firstLineChars="200"/>
      </w:pPr>
      <w:r>
        <w:rPr>
          <w:rFonts w:hint="eastAsia"/>
        </w:rPr>
        <w:t>《中华人民共和国安全生产法》（中华人民共和国主席令88号）；</w:t>
      </w:r>
    </w:p>
    <w:p>
      <w:pPr>
        <w:pStyle w:val="67"/>
        <w:numPr>
          <w:ilvl w:val="0"/>
          <w:numId w:val="10"/>
        </w:numPr>
        <w:ind w:left="0" w:firstLine="480" w:firstLineChars="200"/>
      </w:pPr>
      <w:r>
        <w:rPr>
          <w:rFonts w:hint="eastAsia"/>
        </w:rPr>
        <w:t>《中华人民共和国道路交通安全法》（2011主席令第81号）；</w:t>
      </w:r>
    </w:p>
    <w:p>
      <w:pPr>
        <w:pStyle w:val="67"/>
        <w:numPr>
          <w:ilvl w:val="0"/>
          <w:numId w:val="10"/>
        </w:numPr>
        <w:ind w:left="0" w:firstLine="480" w:firstLineChars="200"/>
      </w:pPr>
      <w:r>
        <w:rPr>
          <w:rFonts w:hint="eastAsia"/>
        </w:rPr>
        <w:t>《安全生产事故应急预案管理办法》（中华人民共和国应急管理部令第2号）；</w:t>
      </w:r>
    </w:p>
    <w:p>
      <w:pPr>
        <w:pStyle w:val="67"/>
        <w:numPr>
          <w:ilvl w:val="0"/>
          <w:numId w:val="10"/>
        </w:numPr>
        <w:ind w:left="0" w:firstLine="480" w:firstLineChars="200"/>
      </w:pPr>
      <w:r>
        <w:rPr>
          <w:rFonts w:hint="eastAsia"/>
        </w:rPr>
        <w:t>《建筑起重机械安全监督管理规定》 （中华人民共和国建设部令第166 号）；</w:t>
      </w:r>
    </w:p>
    <w:p>
      <w:pPr>
        <w:pStyle w:val="67"/>
        <w:numPr>
          <w:ilvl w:val="0"/>
          <w:numId w:val="10"/>
        </w:numPr>
        <w:ind w:left="0" w:firstLine="480" w:firstLineChars="200"/>
      </w:pPr>
      <w:r>
        <w:rPr>
          <w:rFonts w:hint="eastAsia"/>
        </w:rPr>
        <w:t>《特种设备安全监察条例》（国务院第373号令）。</w:t>
      </w:r>
    </w:p>
    <w:p>
      <w:pPr>
        <w:pStyle w:val="5"/>
        <w:bidi w:val="0"/>
        <w:ind w:left="0" w:leftChars="0" w:firstLine="0" w:firstLineChars="0"/>
        <w:rPr>
          <w:rFonts w:hint="eastAsia"/>
          <w:sz w:val="24"/>
          <w:szCs w:val="24"/>
          <w:lang w:val="en-US" w:eastAsia="zh-CN"/>
        </w:rPr>
      </w:pPr>
      <w:r>
        <w:rPr>
          <w:rFonts w:hint="eastAsia"/>
          <w:sz w:val="24"/>
          <w:szCs w:val="24"/>
          <w:lang w:val="en-US" w:eastAsia="zh-CN"/>
        </w:rPr>
        <w:t>主要规范规程</w:t>
      </w:r>
    </w:p>
    <w:p>
      <w:pPr>
        <w:pStyle w:val="67"/>
        <w:numPr>
          <w:ilvl w:val="0"/>
          <w:numId w:val="11"/>
        </w:numPr>
      </w:pPr>
      <w:r>
        <w:rPr>
          <w:rFonts w:hint="eastAsia"/>
        </w:rPr>
        <w:t>《建筑施工塔式起重机安装、使用、拆卸安全技术规程》（JGJ 196-2010）</w:t>
      </w:r>
    </w:p>
    <w:p>
      <w:pPr>
        <w:pStyle w:val="67"/>
        <w:numPr>
          <w:ilvl w:val="0"/>
          <w:numId w:val="11"/>
        </w:numPr>
      </w:pPr>
      <w:r>
        <w:rPr>
          <w:rFonts w:hint="eastAsia"/>
        </w:rPr>
        <w:t>《塔式起重机》（GB/T 5031-2019）</w:t>
      </w:r>
    </w:p>
    <w:p>
      <w:pPr>
        <w:pStyle w:val="67"/>
        <w:numPr>
          <w:ilvl w:val="0"/>
          <w:numId w:val="11"/>
        </w:numPr>
      </w:pPr>
      <w:r>
        <w:rPr>
          <w:rFonts w:hint="eastAsia"/>
        </w:rPr>
        <w:t>《大型塔式起重机混凝土基础工程技术规程》（JGJ/T301-2013）</w:t>
      </w:r>
    </w:p>
    <w:p>
      <w:pPr>
        <w:pStyle w:val="67"/>
        <w:numPr>
          <w:ilvl w:val="0"/>
          <w:numId w:val="11"/>
        </w:numPr>
      </w:pPr>
      <w:r>
        <w:rPr>
          <w:rFonts w:hint="eastAsia"/>
        </w:rPr>
        <w:t>《起重机钢丝绳保养、维护、检验和报废》（GB/T 5972-2016）</w:t>
      </w:r>
    </w:p>
    <w:p>
      <w:pPr>
        <w:pStyle w:val="67"/>
        <w:numPr>
          <w:ilvl w:val="0"/>
          <w:numId w:val="11"/>
        </w:numPr>
      </w:pPr>
      <w:r>
        <w:rPr>
          <w:rFonts w:hint="eastAsia"/>
        </w:rPr>
        <w:t>《起重机械超载保护装置》（GB/T 12602-2020）</w:t>
      </w:r>
    </w:p>
    <w:p>
      <w:pPr>
        <w:pStyle w:val="67"/>
        <w:numPr>
          <w:ilvl w:val="0"/>
          <w:numId w:val="11"/>
        </w:numPr>
      </w:pPr>
      <w:r>
        <w:rPr>
          <w:rFonts w:hint="eastAsia"/>
        </w:rPr>
        <w:t>《塔式起重机安全规程》（GB 5144-2006）</w:t>
      </w:r>
    </w:p>
    <w:p>
      <w:pPr>
        <w:pStyle w:val="67"/>
        <w:numPr>
          <w:ilvl w:val="0"/>
          <w:numId w:val="11"/>
        </w:numPr>
      </w:pPr>
      <w:r>
        <w:rPr>
          <w:rFonts w:hint="eastAsia"/>
        </w:rPr>
        <w:t>《塔式起重机设计规范》（GB/T 13752-2017）</w:t>
      </w:r>
    </w:p>
    <w:p>
      <w:pPr>
        <w:pStyle w:val="67"/>
        <w:numPr>
          <w:ilvl w:val="0"/>
          <w:numId w:val="11"/>
        </w:numPr>
        <w:ind w:left="0" w:firstLine="480" w:firstLineChars="200"/>
      </w:pPr>
      <w:r>
        <w:rPr>
          <w:rFonts w:hint="eastAsia"/>
        </w:rPr>
        <w:t>《公路桥涵施工技术规范》（JTGT 3650-2020）；</w:t>
      </w:r>
    </w:p>
    <w:p>
      <w:pPr>
        <w:pStyle w:val="67"/>
        <w:numPr>
          <w:ilvl w:val="0"/>
          <w:numId w:val="11"/>
        </w:numPr>
        <w:ind w:left="0" w:firstLine="480" w:firstLineChars="200"/>
      </w:pPr>
      <w:r>
        <w:rPr>
          <w:rFonts w:hint="eastAsia"/>
        </w:rPr>
        <w:t>《塔式起重机安全规程》（GB5144-2006）；</w:t>
      </w:r>
    </w:p>
    <w:p>
      <w:pPr>
        <w:pStyle w:val="67"/>
        <w:numPr>
          <w:ilvl w:val="0"/>
          <w:numId w:val="11"/>
        </w:numPr>
        <w:ind w:left="0" w:firstLine="480" w:firstLineChars="200"/>
      </w:pPr>
      <w:r>
        <w:rPr>
          <w:rFonts w:hint="eastAsia"/>
        </w:rPr>
        <w:t>《起重设备安装工程施工及验收规范》（GB50278-2010）；</w:t>
      </w:r>
    </w:p>
    <w:p>
      <w:pPr>
        <w:pStyle w:val="67"/>
        <w:numPr>
          <w:ilvl w:val="0"/>
          <w:numId w:val="11"/>
        </w:numPr>
        <w:ind w:left="0" w:firstLine="480" w:firstLineChars="200"/>
      </w:pPr>
      <w:r>
        <w:rPr>
          <w:rFonts w:hint="eastAsia"/>
        </w:rPr>
        <w:t>《重要用途钢丝绳》（GB/T8918-2006）；</w:t>
      </w:r>
    </w:p>
    <w:p>
      <w:pPr>
        <w:pStyle w:val="67"/>
        <w:numPr>
          <w:ilvl w:val="0"/>
          <w:numId w:val="11"/>
        </w:numPr>
        <w:ind w:left="0" w:firstLine="480" w:firstLineChars="200"/>
      </w:pPr>
      <w:r>
        <w:rPr>
          <w:rFonts w:hint="eastAsia"/>
        </w:rPr>
        <w:t>《建筑机械使用安全技术规程》（JGJ33-2012）；</w:t>
      </w:r>
    </w:p>
    <w:p>
      <w:pPr>
        <w:pStyle w:val="67"/>
        <w:numPr>
          <w:ilvl w:val="0"/>
          <w:numId w:val="11"/>
        </w:numPr>
        <w:ind w:left="0" w:firstLine="480" w:firstLineChars="200"/>
      </w:pPr>
      <w:r>
        <w:rPr>
          <w:rFonts w:hint="eastAsia"/>
        </w:rPr>
        <w:t>《建筑施工安全检查标准》（JGJ59-2011）；</w:t>
      </w:r>
    </w:p>
    <w:p>
      <w:pPr>
        <w:pStyle w:val="67"/>
        <w:numPr>
          <w:ilvl w:val="0"/>
          <w:numId w:val="11"/>
        </w:numPr>
        <w:ind w:left="0" w:firstLine="480" w:firstLineChars="200"/>
      </w:pPr>
      <w:r>
        <w:rPr>
          <w:rFonts w:hint="eastAsia"/>
        </w:rPr>
        <w:t>《塔式起重机操作使用规程》（JG/T100-1999）；</w:t>
      </w:r>
    </w:p>
    <w:p>
      <w:pPr>
        <w:pStyle w:val="67"/>
        <w:numPr>
          <w:ilvl w:val="0"/>
          <w:numId w:val="11"/>
        </w:numPr>
        <w:ind w:left="0" w:firstLine="480" w:firstLineChars="200"/>
      </w:pPr>
      <w:r>
        <w:rPr>
          <w:rFonts w:hint="eastAsia"/>
        </w:rPr>
        <w:t>《建筑施工起重吊装工程安全技术规范》（JGJ276-2012）；</w:t>
      </w:r>
    </w:p>
    <w:p>
      <w:pPr>
        <w:pStyle w:val="67"/>
        <w:numPr>
          <w:ilvl w:val="0"/>
          <w:numId w:val="11"/>
        </w:numPr>
        <w:ind w:left="0" w:firstLine="480" w:firstLineChars="200"/>
      </w:pPr>
      <w:r>
        <w:rPr>
          <w:rFonts w:hint="eastAsia"/>
        </w:rPr>
        <w:t>《塔式起重机安装与拆卸规则》（GB/T 26471-2011）；</w:t>
      </w:r>
    </w:p>
    <w:p>
      <w:pPr>
        <w:pStyle w:val="67"/>
        <w:numPr>
          <w:ilvl w:val="0"/>
          <w:numId w:val="11"/>
        </w:numPr>
        <w:ind w:left="0" w:firstLine="480" w:firstLineChars="200"/>
      </w:pPr>
      <w:r>
        <w:rPr>
          <w:rFonts w:hint="eastAsia"/>
        </w:rPr>
        <w:t>《公路工程施工安全技术规范》（JTG F90-2015）；</w:t>
      </w:r>
    </w:p>
    <w:p>
      <w:pPr>
        <w:pStyle w:val="67"/>
        <w:numPr>
          <w:ilvl w:val="0"/>
          <w:numId w:val="11"/>
        </w:numPr>
        <w:ind w:left="0" w:firstLine="480" w:firstLineChars="200"/>
      </w:pPr>
      <w:r>
        <w:rPr>
          <w:rFonts w:hint="eastAsia"/>
        </w:rPr>
        <w:t>《建筑施工高处作业安全技术规范》（JGJ 80-2016）；</w:t>
      </w:r>
    </w:p>
    <w:p>
      <w:pPr>
        <w:pStyle w:val="67"/>
        <w:numPr>
          <w:ilvl w:val="0"/>
          <w:numId w:val="11"/>
        </w:numPr>
        <w:ind w:left="0" w:firstLine="480" w:firstLineChars="200"/>
      </w:pPr>
      <w:r>
        <w:rPr>
          <w:rFonts w:hint="eastAsia"/>
        </w:rPr>
        <w:t>《一般用途钢丝绳吊索特性和技术条件》（GB/T16762-2020）；</w:t>
      </w:r>
    </w:p>
    <w:p>
      <w:pPr>
        <w:pStyle w:val="67"/>
        <w:numPr>
          <w:ilvl w:val="0"/>
          <w:numId w:val="11"/>
        </w:numPr>
        <w:ind w:left="0" w:firstLine="480" w:firstLineChars="200"/>
      </w:pPr>
      <w:r>
        <w:rPr>
          <w:rFonts w:hint="eastAsia"/>
        </w:rPr>
        <w:t>《钢丝绳通用技术条件》（GB/T 20118-2017）；</w:t>
      </w:r>
    </w:p>
    <w:p>
      <w:pPr>
        <w:pStyle w:val="67"/>
        <w:numPr>
          <w:ilvl w:val="0"/>
          <w:numId w:val="11"/>
        </w:numPr>
        <w:ind w:left="0" w:firstLine="480" w:firstLineChars="200"/>
      </w:pPr>
      <w:r>
        <w:rPr>
          <w:rFonts w:hint="eastAsia"/>
        </w:rPr>
        <w:t>《一般起重用D形和弓形锻造卸扣》（GB/T 25854-2010）；</w:t>
      </w:r>
    </w:p>
    <w:p>
      <w:pPr>
        <w:pStyle w:val="67"/>
        <w:numPr>
          <w:ilvl w:val="0"/>
          <w:numId w:val="11"/>
        </w:numPr>
        <w:ind w:left="0" w:firstLine="480" w:firstLineChars="200"/>
      </w:pPr>
      <w:r>
        <w:rPr>
          <w:rFonts w:hint="eastAsia"/>
        </w:rPr>
        <w:t>《电气装置安装工程起重机电气装置施工及验收规范》（GB 50256-2014）；</w:t>
      </w:r>
    </w:p>
    <w:p>
      <w:pPr>
        <w:pStyle w:val="67"/>
        <w:numPr>
          <w:ilvl w:val="0"/>
          <w:numId w:val="11"/>
        </w:numPr>
        <w:ind w:left="0" w:firstLine="480" w:firstLineChars="200"/>
      </w:pPr>
      <w:r>
        <w:rPr>
          <w:rFonts w:hint="eastAsia"/>
        </w:rPr>
        <w:t>《冻土地区建筑地基基础设计规范》（JGJ118-2011）；</w:t>
      </w:r>
    </w:p>
    <w:p>
      <w:pPr>
        <w:pStyle w:val="67"/>
        <w:numPr>
          <w:ilvl w:val="0"/>
          <w:numId w:val="11"/>
        </w:numPr>
        <w:ind w:left="0" w:firstLine="480" w:firstLineChars="200"/>
      </w:pPr>
      <w:r>
        <w:rPr>
          <w:rFonts w:hint="eastAsia"/>
        </w:rPr>
        <w:t>《起重机和起重机械 钢丝绳选择 第2部分：流动式起重机》（GB/T</w:t>
      </w:r>
      <w:r>
        <w:t xml:space="preserve"> </w:t>
      </w:r>
      <w:r>
        <w:rPr>
          <w:rFonts w:hint="eastAsia"/>
        </w:rPr>
        <w:t>24811.2-2009）。</w:t>
      </w:r>
    </w:p>
    <w:p>
      <w:pPr>
        <w:pStyle w:val="67"/>
        <w:numPr>
          <w:ilvl w:val="0"/>
          <w:numId w:val="11"/>
        </w:numPr>
        <w:ind w:left="0" w:firstLine="480" w:firstLineChars="200"/>
      </w:pPr>
      <w:r>
        <w:rPr>
          <w:rFonts w:hint="eastAsia"/>
        </w:rPr>
        <w:t>《危险性较大的分部分项工程安全管理规定》（住建部令37号）。</w:t>
      </w:r>
    </w:p>
    <w:p>
      <w:pPr>
        <w:pStyle w:val="5"/>
        <w:bidi w:val="0"/>
        <w:ind w:left="0" w:leftChars="0" w:firstLine="0" w:firstLineChars="0"/>
        <w:rPr>
          <w:rFonts w:hint="eastAsia"/>
          <w:sz w:val="24"/>
          <w:szCs w:val="24"/>
          <w:lang w:val="en-US" w:eastAsia="zh-CN"/>
        </w:rPr>
      </w:pPr>
      <w:r>
        <w:rPr>
          <w:rFonts w:hint="eastAsia"/>
          <w:sz w:val="24"/>
          <w:szCs w:val="24"/>
          <w:lang w:val="en-US" w:eastAsia="zh-CN"/>
        </w:rPr>
        <w:t>其它</w:t>
      </w:r>
    </w:p>
    <w:p>
      <w:pPr>
        <w:pStyle w:val="67"/>
        <w:numPr>
          <w:ilvl w:val="0"/>
          <w:numId w:val="12"/>
        </w:numPr>
        <w:ind w:left="0" w:firstLine="480" w:firstLineChars="200"/>
        <w:rPr>
          <w:rFonts w:ascii="宋体" w:hAnsi="宋体" w:cs="宋体"/>
          <w:kern w:val="3"/>
        </w:rPr>
      </w:pPr>
      <w:bookmarkStart w:id="8" w:name="_Hlk66180128"/>
      <w:bookmarkStart w:id="9" w:name="_Hlk66180183"/>
      <w:r>
        <w:rPr>
          <w:rFonts w:hint="eastAsia" w:ascii="宋体" w:hAnsi="宋体" w:cs="宋体"/>
          <w:kern w:val="3"/>
        </w:rPr>
        <w:t>《</w:t>
      </w:r>
      <w:r>
        <w:rPr>
          <w:rFonts w:hint="eastAsia"/>
          <w:lang w:val="en-US" w:eastAsia="zh-CN"/>
        </w:rPr>
        <w:t>T7020-10</w:t>
      </w:r>
      <w:r>
        <w:rPr>
          <w:rFonts w:hint="eastAsia" w:ascii="宋体" w:hAnsi="宋体" w:cs="宋体"/>
          <w:kern w:val="3"/>
        </w:rPr>
        <w:t>塔式起重机使用说明书》</w:t>
      </w:r>
      <w:bookmarkEnd w:id="8"/>
      <w:bookmarkEnd w:id="9"/>
    </w:p>
    <w:p>
      <w:pPr>
        <w:pStyle w:val="4"/>
      </w:pPr>
      <w:bookmarkStart w:id="10" w:name="_Toc2980"/>
      <w:r>
        <w:rPr>
          <w:rFonts w:hint="eastAsia"/>
        </w:rPr>
        <w:t>编制原则</w:t>
      </w:r>
      <w:bookmarkEnd w:id="10"/>
    </w:p>
    <w:p>
      <w:pPr>
        <w:ind w:firstLine="480"/>
      </w:pPr>
      <w:r>
        <w:rPr>
          <w:rFonts w:hint="eastAsia"/>
        </w:rPr>
        <w:t>（1）严格贯彻“安全第一”的原则，针对风险细化安全技术措施，预防和杜绝安全事故的发生；</w:t>
      </w:r>
    </w:p>
    <w:p>
      <w:pPr>
        <w:ind w:firstLine="480"/>
      </w:pPr>
      <w:r>
        <w:rPr>
          <w:rFonts w:hint="eastAsia"/>
        </w:rPr>
        <w:t>（2）严格按照ISO9001标准质量体系质量程序控制原则，实施安装过程动态管理；</w:t>
      </w:r>
    </w:p>
    <w:p>
      <w:pPr>
        <w:ind w:firstLine="480"/>
      </w:pPr>
      <w:r>
        <w:rPr>
          <w:rFonts w:hint="eastAsia"/>
        </w:rPr>
        <w:t>（3）科学合理制定安装计划，提高安装功效；</w:t>
      </w:r>
    </w:p>
    <w:p>
      <w:pPr>
        <w:ind w:firstLine="480"/>
      </w:pPr>
      <w:r>
        <w:rPr>
          <w:rFonts w:hint="eastAsia"/>
        </w:rPr>
        <w:t>（4）加强过程管控，合理配置安装资源，合理降低安装成本。</w:t>
      </w:r>
    </w:p>
    <w:p>
      <w:pPr>
        <w:pStyle w:val="4"/>
      </w:pPr>
      <w:bookmarkStart w:id="11" w:name="_Toc20157"/>
      <w:r>
        <w:rPr>
          <w:rFonts w:hint="eastAsia"/>
        </w:rPr>
        <w:t>隶属关系</w:t>
      </w:r>
      <w:bookmarkEnd w:id="11"/>
    </w:p>
    <w:p>
      <w:pPr>
        <w:pStyle w:val="16"/>
        <w:rPr>
          <w:rFonts w:hAnsi="仿宋"/>
          <w:b w:val="0"/>
        </w:rPr>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t>1.2.3</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1</w:t>
      </w:r>
      <w:r>
        <w:fldChar w:fldCharType="end"/>
      </w:r>
      <w:r>
        <w:rPr>
          <w:rFonts w:hint="eastAsia" w:hAnsi="仿宋"/>
        </w:rPr>
        <w:t>项目参与单位概况</w:t>
      </w:r>
    </w:p>
    <w:tbl>
      <w:tblPr>
        <w:tblStyle w:val="43"/>
        <w:tblW w:w="8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315"/>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pPr>
              <w:pStyle w:val="99"/>
              <w:rPr>
                <w:rFonts w:hint="default"/>
              </w:rPr>
            </w:pPr>
            <w:r>
              <w:t>序号</w:t>
            </w:r>
          </w:p>
        </w:tc>
        <w:tc>
          <w:tcPr>
            <w:tcW w:w="2315" w:type="dxa"/>
            <w:vAlign w:val="center"/>
          </w:tcPr>
          <w:p>
            <w:pPr>
              <w:pStyle w:val="99"/>
              <w:rPr>
                <w:rFonts w:hint="default"/>
              </w:rPr>
            </w:pPr>
            <w:r>
              <w:t>项目</w:t>
            </w:r>
          </w:p>
        </w:tc>
        <w:tc>
          <w:tcPr>
            <w:tcW w:w="4927" w:type="dxa"/>
            <w:vAlign w:val="center"/>
          </w:tcPr>
          <w:p>
            <w:pPr>
              <w:pStyle w:val="99"/>
              <w:rPr>
                <w:rFonts w:hint="default"/>
              </w:rPr>
            </w:pPr>
            <w: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pPr>
              <w:pStyle w:val="99"/>
              <w:rPr>
                <w:rFonts w:hint="default"/>
              </w:rPr>
            </w:pPr>
            <w:r>
              <w:t>1</w:t>
            </w:r>
          </w:p>
        </w:tc>
        <w:tc>
          <w:tcPr>
            <w:tcW w:w="2315" w:type="dxa"/>
            <w:vAlign w:val="center"/>
          </w:tcPr>
          <w:p>
            <w:pPr>
              <w:pStyle w:val="99"/>
              <w:rPr>
                <w:rFonts w:hint="default"/>
              </w:rPr>
            </w:pPr>
            <w:r>
              <w:t>建设单位</w:t>
            </w:r>
          </w:p>
        </w:tc>
        <w:tc>
          <w:tcPr>
            <w:tcW w:w="4927" w:type="dxa"/>
          </w:tcPr>
          <w:p>
            <w:pPr>
              <w:pStyle w:val="99"/>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pPr>
              <w:pStyle w:val="99"/>
              <w:rPr>
                <w:rFonts w:hint="default"/>
              </w:rPr>
            </w:pPr>
            <w:r>
              <w:rPr>
                <w:rFonts w:hint="default"/>
              </w:rPr>
              <w:t>2</w:t>
            </w:r>
          </w:p>
        </w:tc>
        <w:tc>
          <w:tcPr>
            <w:tcW w:w="2315" w:type="dxa"/>
            <w:vAlign w:val="center"/>
          </w:tcPr>
          <w:p>
            <w:pPr>
              <w:pStyle w:val="99"/>
              <w:rPr>
                <w:rFonts w:hint="default"/>
              </w:rPr>
            </w:pPr>
            <w:r>
              <w:t>勘察设计单位</w:t>
            </w:r>
          </w:p>
        </w:tc>
        <w:tc>
          <w:tcPr>
            <w:tcW w:w="4927" w:type="dxa"/>
          </w:tcPr>
          <w:p>
            <w:pPr>
              <w:pStyle w:val="99"/>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pPr>
              <w:pStyle w:val="99"/>
              <w:rPr>
                <w:rFonts w:hint="default"/>
              </w:rPr>
            </w:pPr>
            <w:r>
              <w:rPr>
                <w:rFonts w:hint="default"/>
              </w:rPr>
              <w:t>3</w:t>
            </w:r>
          </w:p>
        </w:tc>
        <w:tc>
          <w:tcPr>
            <w:tcW w:w="2315" w:type="dxa"/>
            <w:vAlign w:val="center"/>
          </w:tcPr>
          <w:p>
            <w:pPr>
              <w:pStyle w:val="99"/>
              <w:rPr>
                <w:rFonts w:hint="default"/>
              </w:rPr>
            </w:pPr>
            <w:r>
              <w:t>监理单位</w:t>
            </w:r>
          </w:p>
        </w:tc>
        <w:tc>
          <w:tcPr>
            <w:tcW w:w="4927" w:type="dxa"/>
          </w:tcPr>
          <w:p>
            <w:pPr>
              <w:pStyle w:val="99"/>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pPr>
              <w:pStyle w:val="99"/>
              <w:rPr>
                <w:rFonts w:hint="default"/>
              </w:rPr>
            </w:pPr>
            <w:r>
              <w:rPr>
                <w:rFonts w:hint="default"/>
              </w:rPr>
              <w:t>4</w:t>
            </w:r>
          </w:p>
        </w:tc>
        <w:tc>
          <w:tcPr>
            <w:tcW w:w="2315" w:type="dxa"/>
            <w:vAlign w:val="center"/>
          </w:tcPr>
          <w:p>
            <w:pPr>
              <w:pStyle w:val="99"/>
              <w:rPr>
                <w:rFonts w:hint="default"/>
              </w:rPr>
            </w:pPr>
            <w:r>
              <w:t>施工单位</w:t>
            </w:r>
          </w:p>
        </w:tc>
        <w:tc>
          <w:tcPr>
            <w:tcW w:w="4927" w:type="dxa"/>
            <w:vAlign w:val="center"/>
          </w:tcPr>
          <w:p>
            <w:pPr>
              <w:pStyle w:val="9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pPr>
              <w:pStyle w:val="99"/>
              <w:rPr>
                <w:rFonts w:hint="default"/>
              </w:rPr>
            </w:pPr>
            <w:r>
              <w:rPr>
                <w:rFonts w:hint="default"/>
              </w:rPr>
              <w:t>5</w:t>
            </w:r>
          </w:p>
        </w:tc>
        <w:tc>
          <w:tcPr>
            <w:tcW w:w="2315" w:type="dxa"/>
            <w:vAlign w:val="center"/>
          </w:tcPr>
          <w:p>
            <w:pPr>
              <w:pStyle w:val="99"/>
              <w:rPr>
                <w:rFonts w:hint="default"/>
              </w:rPr>
            </w:pPr>
            <w:r>
              <w:t>安拆单位</w:t>
            </w:r>
          </w:p>
        </w:tc>
        <w:tc>
          <w:tcPr>
            <w:tcW w:w="4927" w:type="dxa"/>
            <w:vAlign w:val="center"/>
          </w:tcPr>
          <w:p>
            <w:pPr>
              <w:pStyle w:val="99"/>
              <w:rPr>
                <w:rFonts w:hint="default"/>
              </w:rPr>
            </w:pPr>
            <w:r>
              <w:t>重庆钱桥设备租赁有限公司</w:t>
            </w:r>
          </w:p>
        </w:tc>
      </w:tr>
    </w:tbl>
    <w:p>
      <w:pPr>
        <w:pStyle w:val="4"/>
      </w:pPr>
      <w:bookmarkStart w:id="12" w:name="_Toc27475"/>
      <w:r>
        <w:rPr>
          <w:rFonts w:hint="eastAsia"/>
        </w:rPr>
        <w:t>适用范围</w:t>
      </w:r>
      <w:bookmarkEnd w:id="12"/>
    </w:p>
    <w:p>
      <w:pPr>
        <w:ind w:firstLine="480"/>
        <w:jc w:val="left"/>
      </w:pPr>
      <w:r>
        <w:rPr>
          <w:rFonts w:hint="eastAsia"/>
        </w:rPr>
        <w:t>本方案仅适用于</w:t>
      </w:r>
      <w:r>
        <w:rPr>
          <w:rFonts w:hint="eastAsia"/>
          <w:lang w:eastAsia="zh-CN"/>
        </w:rPr>
        <w:t>351国道兰溪马涧至建德大慈岩段工程香女特大桥项目2台</w:t>
      </w:r>
      <w:r>
        <w:rPr>
          <w:rFonts w:hint="eastAsia"/>
          <w:lang w:val="en-US" w:eastAsia="zh-CN"/>
        </w:rPr>
        <w:t>T7020-10</w:t>
      </w:r>
      <w:r>
        <w:rPr>
          <w:rFonts w:hint="eastAsia"/>
        </w:rPr>
        <w:t>塔式起重机安装及拆除安全施工作业。</w:t>
      </w:r>
    </w:p>
    <w:p>
      <w:pPr>
        <w:pStyle w:val="3"/>
        <w:rPr>
          <w:rFonts w:hint="eastAsia"/>
          <w:sz w:val="32"/>
          <w:szCs w:val="32"/>
        </w:rPr>
      </w:pPr>
      <w:bookmarkStart w:id="13" w:name="_Toc6179"/>
      <w:r>
        <w:rPr>
          <w:rFonts w:hint="eastAsia"/>
          <w:sz w:val="32"/>
          <w:szCs w:val="32"/>
        </w:rPr>
        <w:t>工程概况</w:t>
      </w:r>
      <w:bookmarkEnd w:id="13"/>
    </w:p>
    <w:p>
      <w:pPr>
        <w:pStyle w:val="4"/>
        <w:bidi w:val="0"/>
      </w:pPr>
      <w:bookmarkStart w:id="14" w:name="_Toc11628"/>
      <w:r>
        <w:rPr>
          <w:rFonts w:hint="eastAsia"/>
        </w:rPr>
        <w:t>工程概况</w:t>
      </w:r>
      <w:bookmarkEnd w:id="14"/>
    </w:p>
    <w:p>
      <w:pPr>
        <w:pStyle w:val="5"/>
        <w:bidi w:val="0"/>
        <w:rPr>
          <w:rFonts w:hint="eastAsia"/>
          <w:lang w:val="en-US" w:eastAsia="zh-CN"/>
        </w:rPr>
      </w:pPr>
      <w:r>
        <w:rPr>
          <w:rFonts w:hint="eastAsia"/>
          <w:lang w:val="en-US" w:eastAsia="zh-CN"/>
        </w:rPr>
        <w:t>项目概况</w:t>
      </w:r>
    </w:p>
    <w:p>
      <w:pPr>
        <w:bidi w:val="0"/>
        <w:rPr>
          <w:lang w:val="zh-CN"/>
        </w:rPr>
      </w:pPr>
      <w:r>
        <w:rPr>
          <w:rFonts w:hint="eastAsia"/>
          <w:lang w:val="zh-CN"/>
        </w:rPr>
        <w:t>本工程主线起于兰溪市马涧镇，顺接在建的351国道兰溪横溪至马涧段工程终点，经兰溪香溪、女埠、兰江、黄店、诸葛等镇街及建德大慈岩镇，终于建德、龙游交界处，顺接在建的351国道龙游横山至开化华埠段工程起点。本项目起讫桩号K30+269.598～K62+790,全长32.52公里，主要结构物包括桥梁(含互通区主线桥)34座，其中特大桥约1</w:t>
      </w:r>
      <w:r>
        <w:rPr>
          <w:rFonts w:hint="eastAsia"/>
          <w:lang w:val="en-US" w:eastAsia="zh-CN"/>
        </w:rPr>
        <w:t>415.24</w:t>
      </w:r>
      <w:r>
        <w:rPr>
          <w:rFonts w:hint="eastAsia"/>
          <w:lang w:val="zh-CN"/>
        </w:rPr>
        <w:t>米/1座（最大跨径260米）、大桥约27</w:t>
      </w:r>
      <w:r>
        <w:rPr>
          <w:rFonts w:hint="eastAsia"/>
          <w:lang w:val="en-US" w:eastAsia="zh-CN"/>
        </w:rPr>
        <w:t>04.2</w:t>
      </w:r>
      <w:r>
        <w:rPr>
          <w:rFonts w:hint="eastAsia"/>
          <w:lang w:val="zh-CN"/>
        </w:rPr>
        <w:t>米/11座、中小桥约</w:t>
      </w:r>
      <w:r>
        <w:rPr>
          <w:rFonts w:hint="eastAsia"/>
          <w:lang w:val="en-US" w:eastAsia="zh-CN"/>
        </w:rPr>
        <w:t>1429.8</w:t>
      </w:r>
      <w:r>
        <w:rPr>
          <w:rFonts w:hint="eastAsia"/>
          <w:lang w:val="zh-CN"/>
        </w:rPr>
        <w:t>米/22座；设互通式立交6处，公路养护管理站1处(结合普通公路服务站功能)，普通公路服务站3处；董蒋线连接线全长6.36公里，主要结构物包括大桥约114米/1座。主线和连接线均采用一级公路标准，设计速度80公里/小时。其中主线起点至诸葛互通段采用双向六车道，路基宽度32米；主线诸葛互通至终点段及董蒋线连接线采用双向四车道，路基宽度24.5米。计划总工期42个月，其中施工工期36个月。</w:t>
      </w:r>
    </w:p>
    <w:p>
      <w:pPr>
        <w:pStyle w:val="16"/>
        <w:bidi w:val="0"/>
        <w:rPr>
          <w:lang w:val="en-US" w:eastAsia="zh-CN"/>
        </w:rPr>
      </w:pPr>
      <w:r>
        <w:drawing>
          <wp:anchor distT="0" distB="0" distL="114300" distR="114300" simplePos="0" relativeHeight="251661312" behindDoc="0" locked="0" layoutInCell="1" allowOverlap="1">
            <wp:simplePos x="0" y="0"/>
            <wp:positionH relativeFrom="column">
              <wp:posOffset>1465580</wp:posOffset>
            </wp:positionH>
            <wp:positionV relativeFrom="page">
              <wp:posOffset>2406015</wp:posOffset>
            </wp:positionV>
            <wp:extent cx="5843270" cy="2614295"/>
            <wp:effectExtent l="0" t="0" r="6985" b="8890"/>
            <wp:wrapTopAndBottom/>
            <wp:docPr id="84"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3"/>
                    <pic:cNvPicPr>
                      <a:picLocks noChangeAspect="1"/>
                    </pic:cNvPicPr>
                  </pic:nvPicPr>
                  <pic:blipFill>
                    <a:blip r:embed="rId16"/>
                    <a:stretch>
                      <a:fillRect/>
                    </a:stretch>
                  </pic:blipFill>
                  <pic:spPr>
                    <a:xfrm rot="16200000">
                      <a:off x="0" y="0"/>
                      <a:ext cx="5843270" cy="261429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-1460500</wp:posOffset>
            </wp:positionH>
            <wp:positionV relativeFrom="page">
              <wp:posOffset>2408555</wp:posOffset>
            </wp:positionV>
            <wp:extent cx="5847080" cy="2658745"/>
            <wp:effectExtent l="0" t="0" r="8255" b="5080"/>
            <wp:wrapTopAndBottom/>
            <wp:docPr id="7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2"/>
                    <pic:cNvPicPr>
                      <a:picLocks noChangeAspect="1"/>
                    </pic:cNvPicPr>
                  </pic:nvPicPr>
                  <pic:blipFill>
                    <a:blip r:embed="rId17"/>
                    <a:stretch>
                      <a:fillRect/>
                    </a:stretch>
                  </pic:blipFill>
                  <pic:spPr>
                    <a:xfrm rot="16200000">
                      <a:off x="0" y="0"/>
                      <a:ext cx="5847080" cy="2658745"/>
                    </a:xfrm>
                    <a:prstGeom prst="rect">
                      <a:avLst/>
                    </a:prstGeom>
                    <a:noFill/>
                    <a:ln>
                      <a:noFill/>
                    </a:ln>
                  </pic:spPr>
                </pic:pic>
              </a:graphicData>
            </a:graphic>
          </wp:anchor>
        </w:drawing>
      </w:r>
      <w:bookmarkStart w:id="15" w:name="_Toc15975"/>
      <w:bookmarkStart w:id="16" w:name="_Toc10943"/>
      <w:r>
        <w:rPr>
          <w:rFonts w:hint="eastAsia"/>
          <w:lang w:val="en-US" w:eastAsia="zh-CN"/>
        </w:rPr>
        <w:t>图2.1.1-1 工程项目地理位置图</w:t>
      </w:r>
    </w:p>
    <w:bookmarkEnd w:id="15"/>
    <w:bookmarkEnd w:id="16"/>
    <w:p>
      <w:pPr>
        <w:pStyle w:val="5"/>
        <w:bidi w:val="0"/>
        <w:rPr>
          <w:lang w:val="en-US" w:eastAsia="zh-CN"/>
        </w:rPr>
      </w:pPr>
      <w:bookmarkStart w:id="17" w:name="_Toc27858"/>
      <w:bookmarkStart w:id="18" w:name="_Toc28786"/>
      <w:r>
        <w:rPr>
          <w:rFonts w:hint="eastAsia"/>
          <w:lang w:val="en-US" w:eastAsia="zh-CN"/>
        </w:rPr>
        <w:t>香女特大桥简介</w:t>
      </w:r>
      <w:bookmarkEnd w:id="17"/>
      <w:bookmarkEnd w:id="18"/>
    </w:p>
    <w:p>
      <w:pPr>
        <w:bidi w:val="0"/>
        <w:rPr>
          <w:lang w:val="zh-CN"/>
        </w:rPr>
      </w:pPr>
      <w:r>
        <w:rPr>
          <w:rFonts w:hint="eastAsia"/>
          <w:lang w:val="zh-CN"/>
        </w:rPr>
        <w:t>香女特大桥全长1</w:t>
      </w:r>
      <w:r>
        <w:rPr>
          <w:rFonts w:hint="eastAsia"/>
          <w:lang w:val="en-US" w:eastAsia="zh-CN"/>
        </w:rPr>
        <w:t>415.24</w:t>
      </w:r>
      <w:r>
        <w:rPr>
          <w:rFonts w:hint="eastAsia"/>
          <w:lang w:val="zh-CN"/>
        </w:rPr>
        <w:t>米，全桥共9联: 5×30+5×30+55+3×30+（110+260+110）+92+5×30+4×30+4×30m，跨兰江主桥采用（110+260+110）m混合梁连续刚构桥，三跨布置，边、中跨之比为 0.423，主桥长 480m。东侧引桥全长 445m，上部结构采用 30m 跨径预应力砼 T 梁和 55m 跨径简支钢混组合梁，西侧引桥全长 482m，上部结构采用 30m 跨径预应力砼 T 梁和 92m 钢桁梁。</w:t>
      </w:r>
    </w:p>
    <w:p>
      <w:pPr>
        <w:bidi w:val="0"/>
        <w:rPr>
          <w:lang w:val="zh-CN"/>
        </w:rPr>
      </w:pPr>
      <w:r>
        <w:rPr>
          <w:rFonts w:hint="eastAsia"/>
          <w:lang w:val="zh-CN"/>
        </w:rPr>
        <w:t>主桥采用跨径布置为 110+260+110=480m 的混合梁连续刚构体系，其中 260m 跨跨中设长 89m 钢箱梁。</w:t>
      </w:r>
    </w:p>
    <w:p>
      <w:pPr>
        <w:bidi w:val="0"/>
        <w:rPr>
          <w:rFonts w:hint="eastAsia"/>
          <w:lang w:val="zh-CN"/>
        </w:rPr>
      </w:pPr>
      <w:r>
        <w:rPr>
          <w:rFonts w:hint="eastAsia"/>
          <w:lang w:val="zh-CN"/>
        </w:rPr>
        <w:t>主墩（15#、16#）墩身采用分幅设置，承台为整体承台。主墩采用双肢薄壁钢筋混凝土结构，纵向墩中心距为 7.5m，墩高约 24m。单肢纵桥向宽度 2.5m，横桥向宽度 7.5m，采用箱型截面，纵向壁厚 0.6m，横向壁厚 0.8m。墩底设 2m 实体段。主墩承台为八边形，横桥向长 36.8m，顺桥向宽 20.9m，厚度为 5.0m。基础采用钻孔灌注桩，每个墩设 26 根直径 2.5m 钻孔桩，桩长18m。</w:t>
      </w:r>
    </w:p>
    <w:p>
      <w:pPr>
        <w:ind w:left="0" w:leftChars="0" w:firstLine="0" w:firstLineChars="0"/>
        <w:rPr>
          <w:rFonts w:hint="eastAsia" w:ascii="宋体" w:hAnsi="Calibri" w:eastAsia="宋体" w:cs="宋体"/>
          <w:b/>
          <w:bCs/>
          <w:color w:val="FF0000"/>
          <w:sz w:val="21"/>
          <w:szCs w:val="21"/>
          <w:lang w:val="en-US" w:eastAsia="zh-CN"/>
        </w:rPr>
      </w:pPr>
      <w:r>
        <w:rPr>
          <w:rFonts w:ascii="Calibri" w:hAnsi="Calibri" w:eastAsia="仿宋_GB2312" w:cs="Times New Roman"/>
          <w:sz w:val="28"/>
          <w:szCs w:val="22"/>
        </w:rPr>
        <w:drawing>
          <wp:inline distT="0" distB="0" distL="114300" distR="114300">
            <wp:extent cx="5229225" cy="6162675"/>
            <wp:effectExtent l="0" t="0" r="13335" b="952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8"/>
                    <a:stretch>
                      <a:fillRect/>
                    </a:stretch>
                  </pic:blipFill>
                  <pic:spPr>
                    <a:xfrm>
                      <a:off x="0" y="0"/>
                      <a:ext cx="5229225" cy="6162675"/>
                    </a:xfrm>
                    <a:prstGeom prst="rect">
                      <a:avLst/>
                    </a:prstGeom>
                    <a:noFill/>
                    <a:ln>
                      <a:noFill/>
                    </a:ln>
                  </pic:spPr>
                </pic:pic>
              </a:graphicData>
            </a:graphic>
          </wp:inline>
        </w:drawing>
      </w:r>
    </w:p>
    <w:p>
      <w:pPr>
        <w:pStyle w:val="16"/>
        <w:bidi w:val="0"/>
        <w:rPr>
          <w:rFonts w:hint="eastAsia"/>
          <w:lang w:val="zh-CN" w:eastAsia="zh-CN"/>
        </w:rPr>
      </w:pPr>
      <w:r>
        <w:rPr>
          <w:rFonts w:hint="eastAsia"/>
          <w:lang w:val="en-US" w:eastAsia="zh-CN"/>
        </w:rPr>
        <w:t>图2.1.2-1 主墩（15#、16#）一般构造图</w:t>
      </w:r>
    </w:p>
    <w:p>
      <w:pPr>
        <w:bidi w:val="0"/>
        <w:rPr>
          <w:rFonts w:hint="eastAsia"/>
          <w:lang w:val="zh-CN"/>
        </w:rPr>
      </w:pPr>
      <w:r>
        <w:rPr>
          <w:rFonts w:hint="eastAsia"/>
          <w:lang w:val="zh-CN"/>
        </w:rPr>
        <w:t>过渡墩（14#、17#）采用柱式墩，整幅设置。过渡墩采用 5 根直径 2.5m 立柱，柱顶设 L 形盖梁以适应主、引桥梁高的变化。承台采用哑铃型承台，承台中间设系梁进行连接。过渡墩采用钻孔灌注桩基础，承台下设 10 根直径 1.8m 钻孔桩，14#墩桩长为 15m，17#墩桩长为 25m。</w:t>
      </w:r>
    </w:p>
    <w:p>
      <w:pPr>
        <w:widowControl w:val="0"/>
        <w:spacing w:line="360" w:lineRule="auto"/>
        <w:ind w:left="0" w:leftChars="0" w:firstLine="0" w:firstLineChars="0"/>
        <w:jc w:val="center"/>
        <w:rPr>
          <w:rFonts w:hint="eastAsia" w:ascii="宋体" w:hAnsi="宋体" w:eastAsia="仿宋_GB2312" w:cs="Times New Roman"/>
          <w:kern w:val="2"/>
          <w:sz w:val="28"/>
          <w:szCs w:val="22"/>
          <w:lang w:val="zh-CN" w:eastAsia="zh-CN" w:bidi="ar-SA"/>
        </w:rPr>
      </w:pPr>
      <w:r>
        <w:rPr>
          <w:rFonts w:ascii="宋体" w:hAnsi="宋体" w:eastAsia="仿宋_GB2312" w:cs="Times New Roman"/>
          <w:kern w:val="2"/>
          <w:sz w:val="28"/>
          <w:szCs w:val="22"/>
          <w:lang w:val="en-US" w:eastAsia="zh-CN" w:bidi="ar-SA"/>
        </w:rPr>
        <w:drawing>
          <wp:inline distT="0" distB="0" distL="114300" distR="114300">
            <wp:extent cx="4211955" cy="3520440"/>
            <wp:effectExtent l="0" t="0" r="952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9"/>
                    <a:srcRect l="3625" t="4232" r="4560"/>
                    <a:stretch>
                      <a:fillRect/>
                    </a:stretch>
                  </pic:blipFill>
                  <pic:spPr>
                    <a:xfrm>
                      <a:off x="0" y="0"/>
                      <a:ext cx="4211955" cy="3520440"/>
                    </a:xfrm>
                    <a:prstGeom prst="rect">
                      <a:avLst/>
                    </a:prstGeom>
                    <a:noFill/>
                    <a:ln>
                      <a:noFill/>
                    </a:ln>
                  </pic:spPr>
                </pic:pic>
              </a:graphicData>
            </a:graphic>
          </wp:inline>
        </w:drawing>
      </w:r>
    </w:p>
    <w:p>
      <w:pPr>
        <w:pStyle w:val="16"/>
        <w:bidi w:val="0"/>
        <w:rPr>
          <w:rFonts w:hint="eastAsia"/>
          <w:lang w:val="en-US" w:eastAsia="zh-CN"/>
        </w:rPr>
      </w:pPr>
      <w:r>
        <w:rPr>
          <w:rFonts w:hint="eastAsia"/>
          <w:lang w:val="en-US" w:eastAsia="zh-CN"/>
        </w:rPr>
        <w:t>图2.1.2-2 14#墩一般构造图</w:t>
      </w:r>
    </w:p>
    <w:p>
      <w:pPr>
        <w:widowControl w:val="0"/>
        <w:spacing w:after="120" w:line="360" w:lineRule="auto"/>
        <w:ind w:firstLine="280" w:firstLineChars="100"/>
        <w:jc w:val="center"/>
        <w:rPr>
          <w:rFonts w:hint="eastAsia" w:ascii="Calibri" w:hAnsi="Calibri" w:eastAsia="仿宋_GB2312" w:cs="Times New Roman"/>
          <w:kern w:val="2"/>
          <w:sz w:val="28"/>
          <w:szCs w:val="22"/>
          <w:lang w:val="zh-CN" w:eastAsia="zh-CN" w:bidi="ar-SA"/>
        </w:rPr>
      </w:pPr>
      <w:r>
        <w:rPr>
          <w:rFonts w:ascii="Calibri" w:hAnsi="Calibri" w:eastAsia="仿宋_GB2312" w:cs="Times New Roman"/>
          <w:kern w:val="2"/>
          <w:sz w:val="28"/>
          <w:szCs w:val="22"/>
          <w:lang w:val="en-US" w:eastAsia="zh-CN" w:bidi="ar-SA"/>
        </w:rPr>
        <w:drawing>
          <wp:inline distT="0" distB="0" distL="114300" distR="114300">
            <wp:extent cx="4023360" cy="3930650"/>
            <wp:effectExtent l="0" t="0" r="0" b="127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20"/>
                    <a:srcRect l="1046" r="2896"/>
                    <a:stretch>
                      <a:fillRect/>
                    </a:stretch>
                  </pic:blipFill>
                  <pic:spPr>
                    <a:xfrm>
                      <a:off x="0" y="0"/>
                      <a:ext cx="4023360" cy="3930650"/>
                    </a:xfrm>
                    <a:prstGeom prst="rect">
                      <a:avLst/>
                    </a:prstGeom>
                    <a:noFill/>
                    <a:ln>
                      <a:noFill/>
                    </a:ln>
                  </pic:spPr>
                </pic:pic>
              </a:graphicData>
            </a:graphic>
          </wp:inline>
        </w:drawing>
      </w:r>
    </w:p>
    <w:p>
      <w:pPr>
        <w:pStyle w:val="16"/>
        <w:bidi w:val="0"/>
        <w:rPr>
          <w:rFonts w:hint="eastAsia"/>
          <w:lang w:val="en-US" w:eastAsia="zh-CN"/>
        </w:rPr>
      </w:pPr>
      <w:r>
        <w:rPr>
          <w:rFonts w:hint="eastAsia"/>
          <w:lang w:val="en-US" w:eastAsia="zh-CN"/>
        </w:rPr>
        <w:t>图2.1.2-3 17#墩一般构造图</w:t>
      </w:r>
    </w:p>
    <w:p>
      <w:pPr>
        <w:adjustRightInd w:val="0"/>
        <w:ind w:firstLine="480"/>
        <w:rPr>
          <w:rFonts w:hint="eastAsia" w:ascii="宋体" w:hAnsi="宋体" w:eastAsia="宋体" w:cs="宋体"/>
          <w:sz w:val="24"/>
          <w:szCs w:val="21"/>
          <w:lang w:val="zh-CN"/>
        </w:rPr>
      </w:pPr>
      <w:r>
        <w:rPr>
          <w:rFonts w:hint="eastAsia" w:ascii="宋体" w:hAnsi="宋体" w:eastAsia="宋体" w:cs="宋体"/>
          <w:sz w:val="24"/>
          <w:szCs w:val="21"/>
          <w:lang w:val="en-US" w:eastAsia="zh-CN"/>
        </w:rPr>
        <w:t>13</w:t>
      </w:r>
      <w:r>
        <w:rPr>
          <w:rFonts w:hint="eastAsia" w:ascii="宋体" w:hAnsi="宋体" w:eastAsia="宋体" w:cs="宋体"/>
          <w:sz w:val="24"/>
          <w:szCs w:val="21"/>
          <w:lang w:val="zh-CN"/>
        </w:rPr>
        <w:t>#墩采用柱式墩，</w:t>
      </w:r>
      <w:r>
        <w:rPr>
          <w:rFonts w:hint="eastAsia" w:ascii="宋体" w:hAnsi="宋体" w:eastAsia="宋体" w:cs="宋体"/>
          <w:sz w:val="24"/>
          <w:szCs w:val="21"/>
          <w:lang w:val="en-US" w:eastAsia="zh-CN"/>
        </w:rPr>
        <w:t>左右分</w:t>
      </w:r>
      <w:r>
        <w:rPr>
          <w:rFonts w:hint="eastAsia" w:ascii="宋体" w:hAnsi="宋体" w:eastAsia="宋体" w:cs="宋体"/>
          <w:sz w:val="24"/>
          <w:szCs w:val="21"/>
          <w:lang w:val="zh-CN"/>
        </w:rPr>
        <w:t>幅设置。基础采用钻孔灌注桩，</w:t>
      </w:r>
      <w:r>
        <w:rPr>
          <w:rFonts w:hint="eastAsia" w:ascii="宋体" w:hAnsi="宋体" w:eastAsia="宋体" w:cs="宋体"/>
          <w:sz w:val="24"/>
          <w:szCs w:val="21"/>
          <w:lang w:val="en-US" w:eastAsia="zh-CN"/>
        </w:rPr>
        <w:t>半</w:t>
      </w:r>
      <w:r>
        <w:rPr>
          <w:rFonts w:hint="eastAsia" w:ascii="宋体" w:hAnsi="宋体" w:eastAsia="宋体" w:cs="宋体"/>
          <w:sz w:val="24"/>
          <w:szCs w:val="21"/>
          <w:lang w:val="zh-CN"/>
        </w:rPr>
        <w:t xml:space="preserve">幅设 </w:t>
      </w:r>
      <w:r>
        <w:rPr>
          <w:rFonts w:hint="eastAsia" w:ascii="宋体" w:hAnsi="宋体" w:eastAsia="宋体" w:cs="宋体"/>
          <w:sz w:val="24"/>
          <w:szCs w:val="21"/>
          <w:lang w:val="en-US" w:eastAsia="zh-CN"/>
        </w:rPr>
        <w:t>3</w:t>
      </w:r>
      <w:r>
        <w:rPr>
          <w:rFonts w:hint="eastAsia" w:ascii="宋体" w:hAnsi="宋体" w:eastAsia="宋体" w:cs="宋体"/>
          <w:sz w:val="24"/>
          <w:szCs w:val="21"/>
          <w:lang w:val="zh-CN"/>
        </w:rPr>
        <w:t xml:space="preserve"> 根直径 2.</w:t>
      </w:r>
      <w:r>
        <w:rPr>
          <w:rFonts w:hint="eastAsia" w:ascii="宋体" w:hAnsi="宋体" w:eastAsia="宋体" w:cs="宋体"/>
          <w:sz w:val="24"/>
          <w:szCs w:val="21"/>
          <w:lang w:val="en-US" w:eastAsia="zh-CN"/>
        </w:rPr>
        <w:t>0</w:t>
      </w:r>
      <w:r>
        <w:rPr>
          <w:rFonts w:hint="eastAsia" w:ascii="宋体" w:hAnsi="宋体" w:eastAsia="宋体" w:cs="宋体"/>
          <w:sz w:val="24"/>
          <w:szCs w:val="21"/>
          <w:lang w:val="zh-CN"/>
        </w:rPr>
        <w:t>m  钻孔桩，桩长为</w:t>
      </w:r>
      <w:r>
        <w:rPr>
          <w:rFonts w:hint="eastAsia" w:ascii="宋体" w:hAnsi="宋体" w:eastAsia="宋体" w:cs="宋体"/>
          <w:sz w:val="24"/>
          <w:szCs w:val="21"/>
          <w:lang w:val="en-US" w:eastAsia="zh-CN"/>
        </w:rPr>
        <w:t>18.7</w:t>
      </w:r>
      <w:r>
        <w:rPr>
          <w:rFonts w:hint="eastAsia" w:ascii="宋体" w:hAnsi="宋体" w:eastAsia="宋体" w:cs="宋体"/>
          <w:sz w:val="24"/>
          <w:szCs w:val="21"/>
          <w:lang w:val="zh-CN"/>
        </w:rPr>
        <w:t>m，立柱</w:t>
      </w:r>
      <w:r>
        <w:rPr>
          <w:rFonts w:hint="eastAsia" w:ascii="宋体" w:hAnsi="宋体" w:eastAsia="宋体" w:cs="宋体"/>
          <w:sz w:val="24"/>
          <w:szCs w:val="21"/>
          <w:lang w:val="en-US" w:eastAsia="zh-CN"/>
        </w:rPr>
        <w:t>为</w:t>
      </w:r>
      <w:r>
        <w:rPr>
          <w:rFonts w:hint="eastAsia" w:ascii="宋体" w:hAnsi="宋体" w:eastAsia="宋体" w:cs="宋体"/>
          <w:sz w:val="24"/>
          <w:szCs w:val="21"/>
          <w:lang w:val="zh-CN"/>
        </w:rPr>
        <w:t xml:space="preserve">直径 </w:t>
      </w:r>
      <w:r>
        <w:rPr>
          <w:rFonts w:hint="eastAsia" w:ascii="宋体" w:hAnsi="宋体" w:eastAsia="宋体" w:cs="宋体"/>
          <w:sz w:val="24"/>
          <w:szCs w:val="21"/>
          <w:lang w:val="en-US" w:eastAsia="zh-CN"/>
        </w:rPr>
        <w:t>1</w:t>
      </w:r>
      <w:r>
        <w:rPr>
          <w:rFonts w:hint="eastAsia" w:ascii="宋体" w:hAnsi="宋体" w:eastAsia="宋体" w:cs="宋体"/>
          <w:sz w:val="24"/>
          <w:szCs w:val="21"/>
          <w:lang w:val="zh-CN"/>
        </w:rPr>
        <w:t>.</w:t>
      </w:r>
      <w:r>
        <w:rPr>
          <w:rFonts w:hint="eastAsia" w:ascii="宋体" w:hAnsi="宋体" w:eastAsia="宋体" w:cs="宋体"/>
          <w:sz w:val="24"/>
          <w:szCs w:val="21"/>
          <w:lang w:val="en-US" w:eastAsia="zh-CN"/>
        </w:rPr>
        <w:t>8</w:t>
      </w:r>
      <w:r>
        <w:rPr>
          <w:rFonts w:hint="eastAsia" w:ascii="宋体" w:hAnsi="宋体" w:eastAsia="宋体" w:cs="宋体"/>
          <w:sz w:val="24"/>
          <w:szCs w:val="21"/>
          <w:lang w:val="zh-CN"/>
        </w:rPr>
        <w:t>m</w:t>
      </w:r>
      <w:r>
        <w:rPr>
          <w:rFonts w:hint="eastAsia" w:ascii="宋体" w:hAnsi="宋体" w:eastAsia="宋体" w:cs="宋体"/>
          <w:sz w:val="24"/>
          <w:szCs w:val="21"/>
          <w:lang w:val="en-US" w:eastAsia="zh-CN"/>
        </w:rPr>
        <w:t>圆柱</w:t>
      </w:r>
      <w:r>
        <w:rPr>
          <w:rFonts w:hint="eastAsia" w:ascii="宋体" w:hAnsi="宋体" w:eastAsia="宋体" w:cs="宋体"/>
          <w:sz w:val="24"/>
          <w:szCs w:val="21"/>
          <w:lang w:val="zh-CN"/>
        </w:rPr>
        <w:t>，</w:t>
      </w:r>
      <w:r>
        <w:rPr>
          <w:rFonts w:hint="eastAsia" w:ascii="宋体" w:hAnsi="宋体" w:eastAsia="宋体" w:cs="宋体"/>
          <w:sz w:val="24"/>
          <w:szCs w:val="21"/>
          <w:lang w:val="en-US" w:eastAsia="zh-CN"/>
        </w:rPr>
        <w:t>设上、中、下</w:t>
      </w:r>
      <w:r>
        <w:rPr>
          <w:rFonts w:hint="eastAsia" w:ascii="宋体" w:hAnsi="宋体" w:eastAsia="宋体" w:cs="宋体"/>
          <w:sz w:val="24"/>
          <w:szCs w:val="21"/>
          <w:lang w:val="zh-CN"/>
        </w:rPr>
        <w:t>系梁。</w:t>
      </w:r>
    </w:p>
    <w:p>
      <w:pPr>
        <w:adjustRightInd w:val="0"/>
        <w:ind w:firstLine="480"/>
        <w:jc w:val="center"/>
        <w:rPr>
          <w:rFonts w:hint="eastAsia" w:ascii="宋体" w:hAnsi="宋体" w:eastAsia="宋体" w:cs="宋体"/>
          <w:color w:val="FF0000"/>
          <w:sz w:val="24"/>
          <w:szCs w:val="21"/>
          <w:lang w:val="zh-CN"/>
        </w:rPr>
      </w:pPr>
      <w:r>
        <w:rPr>
          <w:rFonts w:ascii="Calibri" w:hAnsi="Calibri" w:eastAsia="仿宋_GB2312" w:cs="Times New Roman"/>
          <w:sz w:val="28"/>
          <w:szCs w:val="22"/>
        </w:rPr>
        <w:drawing>
          <wp:inline distT="0" distB="0" distL="114300" distR="114300">
            <wp:extent cx="4438650" cy="5732145"/>
            <wp:effectExtent l="0" t="0" r="11430" b="1333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1"/>
                    <a:srcRect l="6096" t="2417" r="12874" b="3552"/>
                    <a:stretch>
                      <a:fillRect/>
                    </a:stretch>
                  </pic:blipFill>
                  <pic:spPr>
                    <a:xfrm>
                      <a:off x="0" y="0"/>
                      <a:ext cx="4438650" cy="5732145"/>
                    </a:xfrm>
                    <a:prstGeom prst="rect">
                      <a:avLst/>
                    </a:prstGeom>
                    <a:noFill/>
                    <a:ln>
                      <a:noFill/>
                    </a:ln>
                  </pic:spPr>
                </pic:pic>
              </a:graphicData>
            </a:graphic>
          </wp:inline>
        </w:drawing>
      </w:r>
    </w:p>
    <w:p>
      <w:pPr>
        <w:pStyle w:val="16"/>
        <w:bidi w:val="0"/>
        <w:rPr>
          <w:rFonts w:hint="eastAsia"/>
          <w:lang w:val="zh-CN" w:eastAsia="zh-CN"/>
        </w:rPr>
      </w:pPr>
      <w:r>
        <w:rPr>
          <w:rFonts w:hint="eastAsia"/>
          <w:lang w:val="en-US" w:eastAsia="zh-CN"/>
        </w:rPr>
        <w:t>图2.1.2-4 13#墩一般构造图</w:t>
      </w:r>
    </w:p>
    <w:p>
      <w:pPr>
        <w:adjustRightInd w:val="0"/>
        <w:ind w:firstLine="480"/>
        <w:rPr>
          <w:rFonts w:hint="eastAsia" w:ascii="宋体" w:hAnsi="宋体" w:eastAsia="宋体" w:cs="宋体"/>
          <w:sz w:val="24"/>
          <w:szCs w:val="21"/>
          <w:lang w:val="zh-CN"/>
        </w:rPr>
      </w:pPr>
      <w:r>
        <w:rPr>
          <w:rFonts w:hint="eastAsia" w:ascii="宋体" w:hAnsi="宋体" w:eastAsia="宋体" w:cs="宋体"/>
          <w:sz w:val="24"/>
          <w:szCs w:val="21"/>
          <w:lang w:val="zh-CN"/>
        </w:rPr>
        <w:t>引桥下部结构采用柱式墩，基础为钻孔灌注桩基础。</w:t>
      </w:r>
    </w:p>
    <w:p>
      <w:pPr>
        <w:adjustRightInd w:val="0"/>
        <w:ind w:firstLine="480"/>
        <w:rPr>
          <w:rFonts w:hint="eastAsia" w:ascii="宋体" w:hAnsi="宋体" w:eastAsia="宋体" w:cs="宋体"/>
          <w:sz w:val="24"/>
          <w:szCs w:val="21"/>
          <w:lang w:val="zh-CN"/>
        </w:rPr>
      </w:pPr>
      <w:r>
        <w:rPr>
          <w:rFonts w:hint="eastAsia" w:ascii="宋体" w:hAnsi="宋体" w:eastAsia="宋体" w:cs="宋体"/>
          <w:sz w:val="24"/>
          <w:szCs w:val="21"/>
          <w:lang w:val="zh-CN"/>
        </w:rPr>
        <w:t>墩台桩基均为嵌岩桩。</w:t>
      </w:r>
    </w:p>
    <w:p>
      <w:pPr>
        <w:widowControl w:val="0"/>
        <w:spacing w:after="120" w:line="360" w:lineRule="auto"/>
        <w:ind w:firstLine="480" w:firstLineChars="200"/>
        <w:jc w:val="both"/>
        <w:rPr>
          <w:rFonts w:hint="eastAsia" w:ascii="宋体" w:hAnsi="宋体" w:eastAsia="宋体" w:cs="宋体"/>
          <w:kern w:val="2"/>
          <w:sz w:val="24"/>
          <w:szCs w:val="21"/>
          <w:lang w:val="zh-CN" w:eastAsia="zh-CN" w:bidi="ar-SA"/>
        </w:rPr>
      </w:pPr>
    </w:p>
    <w:p>
      <w:pPr>
        <w:ind w:firstLine="720"/>
        <w:rPr>
          <w:rFonts w:hint="eastAsia" w:ascii="宋体" w:hAnsi="宋体" w:eastAsia="宋体" w:cs="宋体"/>
          <w:sz w:val="24"/>
          <w:szCs w:val="21"/>
          <w:lang w:val="zh-CN"/>
        </w:rPr>
      </w:pPr>
    </w:p>
    <w:p>
      <w:pPr>
        <w:widowControl w:val="0"/>
        <w:spacing w:after="120" w:line="360" w:lineRule="auto"/>
        <w:ind w:firstLine="560" w:firstLineChars="200"/>
        <w:jc w:val="both"/>
        <w:rPr>
          <w:rFonts w:ascii="Calibri" w:hAnsi="Calibri" w:eastAsia="仿宋_GB2312" w:cs="Times New Roman"/>
          <w:kern w:val="2"/>
          <w:sz w:val="28"/>
          <w:szCs w:val="22"/>
          <w:lang w:val="zh-CN" w:eastAsia="zh-CN" w:bidi="ar-SA"/>
        </w:rPr>
      </w:pPr>
    </w:p>
    <w:p>
      <w:pPr>
        <w:widowControl w:val="0"/>
        <w:spacing w:line="240" w:lineRule="auto"/>
        <w:ind w:left="0" w:leftChars="0" w:firstLine="0" w:firstLineChars="0"/>
        <w:jc w:val="center"/>
        <w:rPr>
          <w:rFonts w:ascii="宋体" w:hAnsi="宋体" w:eastAsia="宋体" w:cs="宋体"/>
          <w:kern w:val="2"/>
          <w:sz w:val="28"/>
          <w:szCs w:val="22"/>
          <w:lang w:val="en-US" w:eastAsia="zh-CN" w:bidi="ar-SA"/>
        </w:rPr>
      </w:pPr>
    </w:p>
    <w:p>
      <w:pPr>
        <w:pStyle w:val="16"/>
        <w:bidi w:val="0"/>
        <w:rPr>
          <w:lang w:val="en-US" w:eastAsia="zh-CN"/>
        </w:rPr>
      </w:pPr>
      <w:r>
        <w:rPr>
          <w:lang w:val="en-US" w:eastAsia="zh-CN"/>
        </w:rPr>
        <w:drawing>
          <wp:anchor distT="0" distB="0" distL="114300" distR="114300" simplePos="0" relativeHeight="251663360" behindDoc="0" locked="0" layoutInCell="1" allowOverlap="1">
            <wp:simplePos x="0" y="0"/>
            <wp:positionH relativeFrom="column">
              <wp:posOffset>74295</wp:posOffset>
            </wp:positionH>
            <wp:positionV relativeFrom="page">
              <wp:posOffset>1032510</wp:posOffset>
            </wp:positionV>
            <wp:extent cx="5435600" cy="3406140"/>
            <wp:effectExtent l="0" t="0" r="5080" b="7620"/>
            <wp:wrapTopAndBottom/>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2"/>
                    <a:stretch>
                      <a:fillRect/>
                    </a:stretch>
                  </pic:blipFill>
                  <pic:spPr>
                    <a:xfrm>
                      <a:off x="0" y="0"/>
                      <a:ext cx="5435600" cy="3406140"/>
                    </a:xfrm>
                    <a:prstGeom prst="rect">
                      <a:avLst/>
                    </a:prstGeom>
                    <a:noFill/>
                    <a:ln>
                      <a:noFill/>
                    </a:ln>
                  </pic:spPr>
                </pic:pic>
              </a:graphicData>
            </a:graphic>
          </wp:anchor>
        </w:drawing>
      </w:r>
      <w:r>
        <w:rPr>
          <w:rFonts w:hint="eastAsia"/>
          <w:lang w:val="en-US" w:eastAsia="zh-CN"/>
        </w:rPr>
        <w:t xml:space="preserve">图2.1.2-5香女特大桥桥型布置图（一） </w:t>
      </w:r>
    </w:p>
    <w:p>
      <w:pPr>
        <w:widowControl w:val="0"/>
        <w:tabs>
          <w:tab w:val="left" w:pos="525"/>
        </w:tabs>
        <w:snapToGrid w:val="0"/>
        <w:spacing w:line="360" w:lineRule="auto"/>
        <w:ind w:firstLine="0" w:firstLineChars="0"/>
        <w:jc w:val="center"/>
        <w:rPr>
          <w:rFonts w:ascii="宋体" w:hAnsi="宋体" w:eastAsia="宋体" w:cs="宋体"/>
          <w:kern w:val="2"/>
          <w:sz w:val="24"/>
          <w:szCs w:val="20"/>
          <w:lang w:val="en-US" w:eastAsia="zh-CN" w:bidi="ar-SA"/>
        </w:rPr>
      </w:pPr>
      <w:r>
        <w:rPr>
          <w:rFonts w:ascii="宋体" w:hAnsi="宋体" w:eastAsia="仿宋" w:cs="Times New Roman"/>
          <w:kern w:val="2"/>
          <w:sz w:val="24"/>
          <w:szCs w:val="20"/>
          <w:lang w:val="en-US" w:eastAsia="zh-CN" w:bidi="ar-SA"/>
        </w:rPr>
        <w:drawing>
          <wp:inline distT="0" distB="0" distL="0" distR="0">
            <wp:extent cx="5274310" cy="3338195"/>
            <wp:effectExtent l="0" t="0" r="13970"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274310" cy="3338195"/>
                    </a:xfrm>
                    <a:prstGeom prst="rect">
                      <a:avLst/>
                    </a:prstGeom>
                  </pic:spPr>
                </pic:pic>
              </a:graphicData>
            </a:graphic>
          </wp:inline>
        </w:drawing>
      </w:r>
    </w:p>
    <w:p>
      <w:pPr>
        <w:pStyle w:val="16"/>
        <w:bidi w:val="0"/>
        <w:rPr>
          <w:lang w:val="en-US" w:eastAsia="zh-CN"/>
        </w:rPr>
      </w:pPr>
      <w:r>
        <w:rPr>
          <w:rFonts w:hint="eastAsia"/>
          <w:lang w:val="en-US" w:eastAsia="zh-CN"/>
        </w:rPr>
        <w:t xml:space="preserve">图2.1.2-6 香女特大桥桥型布置图（二） </w:t>
      </w:r>
    </w:p>
    <w:p>
      <w:pPr>
        <w:widowControl w:val="0"/>
        <w:tabs>
          <w:tab w:val="left" w:pos="525"/>
        </w:tabs>
        <w:snapToGrid w:val="0"/>
        <w:spacing w:line="360" w:lineRule="auto"/>
        <w:ind w:firstLine="0" w:firstLineChars="0"/>
        <w:jc w:val="center"/>
        <w:rPr>
          <w:rFonts w:ascii="宋体" w:hAnsi="宋体" w:eastAsia="宋体" w:cs="宋体"/>
          <w:kern w:val="2"/>
          <w:sz w:val="24"/>
          <w:szCs w:val="20"/>
          <w:lang w:val="en-US" w:eastAsia="zh-CN" w:bidi="ar-SA"/>
        </w:rPr>
      </w:pPr>
    </w:p>
    <w:p>
      <w:pPr>
        <w:widowControl w:val="0"/>
        <w:tabs>
          <w:tab w:val="left" w:pos="525"/>
        </w:tabs>
        <w:snapToGrid w:val="0"/>
        <w:spacing w:line="360" w:lineRule="auto"/>
        <w:ind w:firstLine="0" w:firstLineChars="0"/>
        <w:jc w:val="center"/>
        <w:rPr>
          <w:rFonts w:ascii="宋体" w:hAnsi="宋体" w:eastAsia="宋体" w:cs="宋体"/>
          <w:kern w:val="2"/>
          <w:sz w:val="24"/>
          <w:szCs w:val="20"/>
          <w:lang w:val="en-US" w:eastAsia="zh-CN" w:bidi="ar-SA"/>
        </w:rPr>
      </w:pPr>
    </w:p>
    <w:p>
      <w:pPr>
        <w:widowControl w:val="0"/>
        <w:tabs>
          <w:tab w:val="left" w:pos="525"/>
        </w:tabs>
        <w:snapToGrid w:val="0"/>
        <w:spacing w:line="360" w:lineRule="auto"/>
        <w:ind w:firstLine="0" w:firstLineChars="0"/>
        <w:jc w:val="center"/>
        <w:rPr>
          <w:rFonts w:ascii="宋体" w:hAnsi="宋体" w:eastAsia="宋体" w:cs="宋体"/>
          <w:kern w:val="2"/>
          <w:sz w:val="24"/>
          <w:szCs w:val="20"/>
          <w:lang w:val="en-US" w:eastAsia="zh-CN" w:bidi="ar-SA"/>
        </w:rPr>
      </w:pPr>
      <w:r>
        <w:rPr>
          <w:rFonts w:ascii="宋体" w:hAnsi="宋体" w:eastAsia="仿宋" w:cs="Times New Roman"/>
          <w:kern w:val="2"/>
          <w:sz w:val="24"/>
          <w:szCs w:val="20"/>
          <w:lang w:val="en-US" w:eastAsia="zh-CN" w:bidi="ar-SA"/>
        </w:rPr>
        <w:drawing>
          <wp:inline distT="0" distB="0" distL="0" distR="0">
            <wp:extent cx="5274310" cy="3336925"/>
            <wp:effectExtent l="0" t="0" r="1397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74310" cy="3336925"/>
                    </a:xfrm>
                    <a:prstGeom prst="rect">
                      <a:avLst/>
                    </a:prstGeom>
                  </pic:spPr>
                </pic:pic>
              </a:graphicData>
            </a:graphic>
          </wp:inline>
        </w:drawing>
      </w:r>
    </w:p>
    <w:p>
      <w:pPr>
        <w:pStyle w:val="16"/>
        <w:bidi w:val="0"/>
        <w:rPr>
          <w:rFonts w:hint="eastAsia"/>
          <w:lang w:val="en-US" w:eastAsia="zh-CN"/>
        </w:rPr>
      </w:pPr>
      <w:r>
        <w:rPr>
          <w:rFonts w:hint="eastAsia"/>
          <w:lang w:val="en-US" w:eastAsia="zh-CN"/>
        </w:rPr>
        <w:t xml:space="preserve">图2.1.2-7香女特大桥桥型布置图（三） </w:t>
      </w:r>
    </w:p>
    <w:p>
      <w:pPr>
        <w:bidi w:val="0"/>
        <w:ind w:firstLine="720"/>
        <w:rPr>
          <w:rFonts w:ascii="Calibri" w:hAnsi="Calibri" w:eastAsia="仿宋_GB2312" w:cs="Times New Roman"/>
          <w:sz w:val="28"/>
          <w:szCs w:val="22"/>
        </w:rPr>
      </w:pPr>
    </w:p>
    <w:p>
      <w:pPr>
        <w:bidi w:val="0"/>
        <w:ind w:firstLine="720"/>
        <w:rPr>
          <w:rFonts w:ascii="Calibri" w:hAnsi="Calibri" w:eastAsia="仿宋_GB2312" w:cs="Times New Roman"/>
          <w:sz w:val="28"/>
          <w:szCs w:val="22"/>
        </w:rPr>
      </w:pPr>
    </w:p>
    <w:p>
      <w:pPr>
        <w:bidi w:val="0"/>
        <w:ind w:firstLine="720"/>
        <w:rPr>
          <w:rFonts w:ascii="Calibri" w:hAnsi="Calibri" w:eastAsia="仿宋_GB2312" w:cs="Times New Roman"/>
          <w:sz w:val="28"/>
          <w:szCs w:val="22"/>
        </w:rPr>
      </w:pPr>
    </w:p>
    <w:p>
      <w:pPr>
        <w:bidi w:val="0"/>
        <w:ind w:firstLine="720"/>
        <w:jc w:val="center"/>
        <w:rPr>
          <w:rFonts w:ascii="Calibri" w:hAnsi="Calibri" w:eastAsia="仿宋_GB2312" w:cs="Times New Roman"/>
          <w:sz w:val="28"/>
          <w:szCs w:val="22"/>
        </w:rPr>
      </w:pPr>
    </w:p>
    <w:p>
      <w:pPr>
        <w:widowControl w:val="0"/>
        <w:spacing w:after="120" w:line="360" w:lineRule="auto"/>
        <w:ind w:firstLine="560" w:firstLineChars="200"/>
        <w:jc w:val="both"/>
        <w:rPr>
          <w:rFonts w:ascii="Calibri" w:hAnsi="Calibri" w:eastAsia="仿宋_GB2312" w:cs="Times New Roman"/>
          <w:kern w:val="2"/>
          <w:sz w:val="28"/>
          <w:szCs w:val="22"/>
          <w:lang w:val="en-US" w:eastAsia="zh-CN" w:bidi="ar-SA"/>
        </w:rPr>
      </w:pPr>
    </w:p>
    <w:p>
      <w:pPr>
        <w:ind w:firstLine="720"/>
        <w:rPr>
          <w:rFonts w:ascii="Calibri" w:hAnsi="Calibri" w:eastAsia="仿宋_GB2312" w:cs="Times New Roman"/>
          <w:sz w:val="28"/>
          <w:szCs w:val="22"/>
        </w:rPr>
      </w:pPr>
    </w:p>
    <w:p>
      <w:pPr>
        <w:widowControl w:val="0"/>
        <w:spacing w:after="120" w:line="360" w:lineRule="auto"/>
        <w:ind w:firstLine="560" w:firstLineChars="200"/>
        <w:jc w:val="both"/>
        <w:rPr>
          <w:rFonts w:ascii="Calibri" w:hAnsi="Calibri" w:eastAsia="仿宋_GB2312" w:cs="Times New Roman"/>
          <w:kern w:val="2"/>
          <w:sz w:val="28"/>
          <w:szCs w:val="22"/>
          <w:lang w:val="en-US" w:eastAsia="zh-CN" w:bidi="ar-SA"/>
        </w:rPr>
      </w:pPr>
    </w:p>
    <w:p>
      <w:pPr>
        <w:ind w:firstLine="720"/>
        <w:rPr>
          <w:rFonts w:ascii="Calibri" w:hAnsi="Calibri" w:eastAsia="仿宋_GB2312" w:cs="Times New Roman"/>
          <w:sz w:val="28"/>
          <w:szCs w:val="22"/>
        </w:rPr>
      </w:pPr>
    </w:p>
    <w:p>
      <w:pPr>
        <w:widowControl w:val="0"/>
        <w:adjustRightInd w:val="0"/>
        <w:snapToGrid w:val="0"/>
        <w:spacing w:after="120" w:line="360" w:lineRule="auto"/>
        <w:ind w:left="0" w:leftChars="0" w:firstLine="0" w:firstLineChars="0"/>
        <w:jc w:val="center"/>
        <w:rPr>
          <w:rFonts w:ascii="宋体" w:hAnsi="Calibri" w:eastAsia="宋体" w:cs="Times New Roman"/>
          <w:kern w:val="2"/>
          <w:sz w:val="24"/>
          <w:szCs w:val="22"/>
          <w:lang w:val="en-US" w:eastAsia="zh-CN" w:bidi="ar-SA"/>
        </w:rPr>
      </w:pPr>
      <w:r>
        <w:rPr>
          <w:rFonts w:hint="eastAsia" w:ascii="宋体" w:hAnsi="Calibri" w:eastAsia="宋体" w:cs="Times New Roman"/>
          <w:kern w:val="2"/>
          <w:sz w:val="24"/>
          <w:szCs w:val="22"/>
          <w:lang w:val="en-US" w:eastAsia="zh-CN" w:bidi="ar-SA"/>
        </w:rPr>
        <w:drawing>
          <wp:inline distT="0" distB="0" distL="0" distR="0">
            <wp:extent cx="8279765" cy="1655445"/>
            <wp:effectExtent l="0" t="0" r="5715"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rot="16200000">
                      <a:off x="0" y="0"/>
                      <a:ext cx="8280000" cy="1655933"/>
                    </a:xfrm>
                    <a:prstGeom prst="rect">
                      <a:avLst/>
                    </a:prstGeom>
                    <a:noFill/>
                    <a:ln>
                      <a:noFill/>
                    </a:ln>
                  </pic:spPr>
                </pic:pic>
              </a:graphicData>
            </a:graphic>
          </wp:inline>
        </w:drawing>
      </w:r>
      <w:r>
        <w:rPr>
          <w:rFonts w:hint="eastAsia" w:ascii="宋体" w:hAnsi="Calibri" w:eastAsia="宋体" w:cs="Times New Roman"/>
          <w:kern w:val="2"/>
          <w:sz w:val="24"/>
          <w:szCs w:val="22"/>
          <w:lang w:val="en-US" w:eastAsia="zh-CN" w:bidi="ar-SA"/>
        </w:rPr>
        <w:t xml:space="preserve"> </w:t>
      </w:r>
      <w:r>
        <w:rPr>
          <w:rFonts w:ascii="宋体" w:hAnsi="Calibri" w:eastAsia="宋体" w:cs="Times New Roman"/>
          <w:kern w:val="2"/>
          <w:sz w:val="24"/>
          <w:szCs w:val="22"/>
          <w:lang w:val="en-US" w:eastAsia="zh-CN" w:bidi="ar-SA"/>
        </w:rPr>
        <w:t xml:space="preserve">             </w:t>
      </w:r>
      <w:r>
        <w:rPr>
          <w:rFonts w:hint="eastAsia" w:ascii="宋体" w:hAnsi="Calibri" w:eastAsia="宋体" w:cs="Times New Roman"/>
          <w:kern w:val="2"/>
          <w:sz w:val="24"/>
          <w:szCs w:val="22"/>
          <w:lang w:val="en-US" w:eastAsia="zh-CN" w:bidi="ar-SA"/>
        </w:rPr>
        <w:drawing>
          <wp:inline distT="0" distB="0" distL="0" distR="0">
            <wp:extent cx="8279765" cy="1781810"/>
            <wp:effectExtent l="0" t="0" r="1270"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rot="16200000">
                      <a:off x="0" y="0"/>
                      <a:ext cx="8280000" cy="1782062"/>
                    </a:xfrm>
                    <a:prstGeom prst="rect">
                      <a:avLst/>
                    </a:prstGeom>
                    <a:noFill/>
                    <a:ln>
                      <a:noFill/>
                    </a:ln>
                  </pic:spPr>
                </pic:pic>
              </a:graphicData>
            </a:graphic>
          </wp:inline>
        </w:drawing>
      </w:r>
    </w:p>
    <w:p>
      <w:pPr>
        <w:pStyle w:val="16"/>
        <w:bidi w:val="0"/>
        <w:rPr>
          <w:lang w:val="en-US" w:eastAsia="zh-CN"/>
        </w:rPr>
      </w:pPr>
      <w:r>
        <w:rPr>
          <w:rFonts w:hint="eastAsia"/>
          <w:lang w:val="en-US" w:eastAsia="zh-CN"/>
        </w:rPr>
        <w:t>图2.1.2-8香女特大桥纵断面布置图（一）</w:t>
      </w:r>
    </w:p>
    <w:p>
      <w:pPr>
        <w:widowControl w:val="0"/>
        <w:spacing w:line="360" w:lineRule="auto"/>
        <w:ind w:left="0" w:leftChars="0" w:firstLine="0" w:firstLineChars="0"/>
        <w:jc w:val="center"/>
        <w:rPr>
          <w:rFonts w:ascii="宋体" w:hAnsi="宋体" w:eastAsia="仿宋_GB2312" w:cs="Times New Roman"/>
          <w:kern w:val="2"/>
          <w:sz w:val="28"/>
          <w:szCs w:val="22"/>
          <w:lang w:val="en-US" w:eastAsia="zh-CN" w:bidi="ar-SA"/>
        </w:rPr>
      </w:pPr>
      <w:r>
        <w:rPr>
          <w:rFonts w:hint="eastAsia" w:ascii="宋体" w:hAnsi="宋体" w:eastAsia="仿宋_GB2312" w:cs="Times New Roman"/>
          <w:kern w:val="2"/>
          <w:sz w:val="28"/>
          <w:szCs w:val="22"/>
          <w:lang w:val="en-US" w:eastAsia="zh-CN" w:bidi="ar-SA"/>
        </w:rPr>
        <w:drawing>
          <wp:inline distT="0" distB="0" distL="0" distR="0">
            <wp:extent cx="8279765" cy="1817370"/>
            <wp:effectExtent l="0" t="0" r="11430"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rot="16200000">
                      <a:off x="0" y="0"/>
                      <a:ext cx="8280000" cy="1817909"/>
                    </a:xfrm>
                    <a:prstGeom prst="rect">
                      <a:avLst/>
                    </a:prstGeom>
                    <a:noFill/>
                    <a:ln>
                      <a:noFill/>
                    </a:ln>
                  </pic:spPr>
                </pic:pic>
              </a:graphicData>
            </a:graphic>
          </wp:inline>
        </w:drawing>
      </w:r>
      <w:r>
        <w:rPr>
          <w:rFonts w:hint="eastAsia" w:ascii="宋体" w:hAnsi="宋体" w:eastAsia="仿宋_GB2312" w:cs="Times New Roman"/>
          <w:kern w:val="2"/>
          <w:sz w:val="28"/>
          <w:szCs w:val="22"/>
          <w:lang w:val="en-US" w:eastAsia="zh-CN" w:bidi="ar-SA"/>
        </w:rPr>
        <w:t xml:space="preserve"> </w:t>
      </w:r>
      <w:r>
        <w:rPr>
          <w:rFonts w:ascii="宋体" w:hAnsi="宋体" w:eastAsia="仿宋_GB2312" w:cs="Times New Roman"/>
          <w:kern w:val="2"/>
          <w:sz w:val="28"/>
          <w:szCs w:val="22"/>
          <w:lang w:val="en-US" w:eastAsia="zh-CN" w:bidi="ar-SA"/>
        </w:rPr>
        <w:t xml:space="preserve">           </w:t>
      </w:r>
      <w:r>
        <w:rPr>
          <w:rFonts w:hint="eastAsia" w:ascii="宋体" w:hAnsi="宋体" w:eastAsia="仿宋_GB2312" w:cs="Times New Roman"/>
          <w:kern w:val="2"/>
          <w:sz w:val="28"/>
          <w:szCs w:val="22"/>
          <w:lang w:val="en-US" w:eastAsia="zh-CN" w:bidi="ar-SA"/>
        </w:rPr>
        <w:drawing>
          <wp:inline distT="0" distB="0" distL="0" distR="0">
            <wp:extent cx="8279765" cy="1945640"/>
            <wp:effectExtent l="0" t="0" r="508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rot="16200000">
                      <a:off x="0" y="0"/>
                      <a:ext cx="8280000" cy="1946151"/>
                    </a:xfrm>
                    <a:prstGeom prst="rect">
                      <a:avLst/>
                    </a:prstGeom>
                    <a:noFill/>
                    <a:ln>
                      <a:noFill/>
                    </a:ln>
                  </pic:spPr>
                </pic:pic>
              </a:graphicData>
            </a:graphic>
          </wp:inline>
        </w:drawing>
      </w:r>
    </w:p>
    <w:p>
      <w:pPr>
        <w:pStyle w:val="16"/>
        <w:bidi w:val="0"/>
        <w:rPr>
          <w:lang w:val="en-US" w:eastAsia="zh-CN"/>
        </w:rPr>
      </w:pPr>
      <w:r>
        <w:rPr>
          <w:rFonts w:hint="eastAsia"/>
          <w:lang w:val="en-US" w:eastAsia="zh-CN"/>
        </w:rPr>
        <w:t>图2.1.2-9香女特大桥纵断面布置图（二）</w:t>
      </w:r>
    </w:p>
    <w:p>
      <w:pPr>
        <w:widowControl w:val="0"/>
        <w:tabs>
          <w:tab w:val="left" w:pos="525"/>
        </w:tabs>
        <w:snapToGrid w:val="0"/>
        <w:spacing w:line="360" w:lineRule="auto"/>
        <w:ind w:firstLine="480" w:firstLineChars="200"/>
        <w:jc w:val="left"/>
        <w:rPr>
          <w:rFonts w:ascii="宋体" w:hAnsi="宋体" w:eastAsia="仿宋" w:cs="Times New Roman"/>
          <w:kern w:val="2"/>
          <w:sz w:val="24"/>
          <w:szCs w:val="20"/>
          <w:lang w:val="en-US" w:eastAsia="zh-CN" w:bidi="ar-SA"/>
        </w:rPr>
      </w:pPr>
    </w:p>
    <w:p>
      <w:pPr>
        <w:pStyle w:val="5"/>
        <w:bidi w:val="0"/>
        <w:rPr>
          <w:rFonts w:hint="eastAsia"/>
          <w:lang w:val="en-US" w:eastAsia="zh-CN"/>
        </w:rPr>
      </w:pPr>
      <w:bookmarkStart w:id="19" w:name="_Toc2002"/>
      <w:bookmarkStart w:id="20" w:name="_Toc8884"/>
      <w:bookmarkStart w:id="21" w:name="_Toc26953_WPSOffice_Level2"/>
      <w:bookmarkStart w:id="22" w:name="_Toc8697"/>
      <w:r>
        <w:rPr>
          <w:rFonts w:hint="eastAsia"/>
          <w:lang w:val="en-US" w:eastAsia="zh-CN"/>
        </w:rPr>
        <w:t>地形地貌</w:t>
      </w:r>
      <w:bookmarkEnd w:id="19"/>
    </w:p>
    <w:p>
      <w:pPr>
        <w:adjustRightInd w:val="0"/>
        <w:snapToGrid w:val="0"/>
        <w:ind w:firstLine="480"/>
        <w:rPr>
          <w:rFonts w:hint="default" w:ascii="Calibri" w:hAnsi="Calibri" w:eastAsia="仿宋_GB2312" w:cs="Times New Roman"/>
          <w:sz w:val="28"/>
          <w:szCs w:val="22"/>
          <w:lang w:val="en-US" w:eastAsia="zh-CN"/>
        </w:rPr>
      </w:pPr>
      <w:r>
        <w:rPr>
          <w:rFonts w:hint="eastAsia" w:ascii="宋体" w:hAnsi="宋体" w:eastAsia="宋体" w:cs="宋体"/>
          <w:sz w:val="24"/>
          <w:szCs w:val="21"/>
          <w:lang w:val="zh-CN"/>
        </w:rPr>
        <w:t xml:space="preserve"> 兰溪市地处金衢盆地东缘，以丘陵为主，东、南、北三面环山，地势自东北向西南缓降，构成一个南北长、东西短的长廊式盆地。境内山地、丘陵、平原呈阶梯状分布。</w:t>
      </w:r>
    </w:p>
    <w:p>
      <w:pPr>
        <w:pStyle w:val="5"/>
        <w:bidi w:val="0"/>
        <w:rPr>
          <w:rFonts w:hint="default"/>
          <w:lang w:val="en-US" w:eastAsia="zh-CN"/>
        </w:rPr>
      </w:pPr>
      <w:bookmarkStart w:id="23" w:name="_Toc6440"/>
      <w:r>
        <w:rPr>
          <w:rFonts w:hint="eastAsia"/>
          <w:lang w:val="en-US" w:eastAsia="zh-CN"/>
        </w:rPr>
        <w:t>气象水文</w:t>
      </w:r>
      <w:bookmarkEnd w:id="23"/>
    </w:p>
    <w:bookmarkEnd w:id="20"/>
    <w:bookmarkEnd w:id="21"/>
    <w:bookmarkEnd w:id="22"/>
    <w:p>
      <w:pPr>
        <w:bidi w:val="0"/>
        <w:rPr>
          <w:lang w:val="zh-CN"/>
        </w:rPr>
      </w:pPr>
      <w:bookmarkStart w:id="24" w:name="_Toc21575_WPSOffice_Level3"/>
      <w:r>
        <w:rPr>
          <w:rFonts w:hint="eastAsia"/>
          <w:lang w:val="zh-CN"/>
        </w:rPr>
        <w:t>兰溪市地处金衢盆地东北缘,属亚热带季风气候，特点是四季分明，年温适中，热量丰富，雨量丰富，干湿两季明显。春季气温回升快，但气温变化不定，春末夏初雨水集中，时有冰雹大风；夏季长而炎热，且雨热同步上升，常有干旱；秋季凉爽，空气湿润，时间短；冬季晴冷干燥，大气层结稳定。年度总的光热水条件优越，但时空分布不均匀。盆地小气候多样，有一定垂直差异。由于光温水要素分布不均，灾害性天气也较频繁，冬季冻害、大雪，春秋低温阴雨，梅汛期洪涝，盛夏高温、伏秋干旱等。年平均气温为 17.5℃，最低出现在 1984 年 16.6℃，最高出现在 2005 年 18.2℃。1 月气温最低，历史上极端最低温度兰溪出现在 1977 年 1 月 6 日-9.6℃。7、8 月份气温最高，历史上极端最高气温出现在 1961 年 7 月 23 日 41.2℃。 降雨量较为充沛，但雨量的季节变化和年际变化、地域差异都很大。季节降雨量分布呈单峰型，为春雨多、梅雨量大，夏秋冬雨量少。兰溪年总降雨量平均为 1424mm，多数年份降水量均在正负 20%距平范围内振荡，降雨量最多年份出现在 1918 年为 1918mm，降雨量最少年份出现在 1978 年为 963mm。</w:t>
      </w:r>
    </w:p>
    <w:p>
      <w:pPr>
        <w:bidi w:val="0"/>
        <w:rPr>
          <w:lang w:val="zh-CN"/>
        </w:rPr>
      </w:pPr>
      <w:r>
        <w:rPr>
          <w:rFonts w:hint="eastAsia"/>
          <w:lang w:val="zh-CN"/>
        </w:rPr>
        <w:t>兰溪市内河流均属钱塘江水系，主要由“三江”、“五溪”组成。衢江、金华江、兰江合称“三江”,金华江和衢江在市区汇合成兰江后，将市域分成溪东（东北）、溪西（西北）和江南三大块；“三江”支流繁多，兰溪境内流域面积在 100km2 以上的有梅溪、甘溪、赤溪、游埠溪、马达溪，合称“五溪”。兰溪三江口以上集雨面积 18259 km2。</w:t>
      </w:r>
    </w:p>
    <w:p>
      <w:pPr>
        <w:bidi w:val="0"/>
        <w:rPr>
          <w:lang w:val="zh-CN"/>
        </w:rPr>
      </w:pPr>
      <w:r>
        <w:rPr>
          <w:rFonts w:hint="eastAsia"/>
          <w:lang w:val="zh-CN"/>
        </w:rPr>
        <w:t>本工程所在区域河流绝大部分属于兰江水系，最大水系为兰江，其他交织水系为梅溪、甘溪、永昌溪、游埠溪。沿线有火炉山水库、金山头水库等湿地保护区。</w:t>
      </w:r>
    </w:p>
    <w:p>
      <w:pPr>
        <w:bidi w:val="0"/>
        <w:rPr>
          <w:lang w:val="zh-CN"/>
        </w:rPr>
      </w:pPr>
      <w:r>
        <w:rPr>
          <w:rFonts w:hint="eastAsia"/>
          <w:lang w:val="zh-CN"/>
        </w:rPr>
        <w:t>兰溪水文站始建于 1930 年，1952 年以后有完整连续的水文资料。自有水文记录以来，兰溪站最高洪水位为 33.53m，最大洪峰流量为 18300m3/s，均出现在 1955 年6 月 21 日。次高洪水位为 31.46m 和 31.22m，分别出现在 1997 年 7 月 10 日和 1992年 7 月 5 日。次大洪峰流量为 12900m3/s 和 12100m3/s，分别出现在 1967 年 6 月 21日和 1992 年 7 月 5 日。兰溪市根据历年抗洪救灾的实际情况，确定以兰溪水文站为代表站，警戒水位为 27.69m，危险水位为 29.19m。据 1952 年至 2004 年 53 年的水文资料统计，兰江水位超过警戒水位的有 43 年，超过危险水位的有 25 年。兰江常水位为 23.5m，最高洪水位高出常水位 10m 左右。本次跨越兰江的香女特大桥设计洪水位为 1/300 洪水位 33.5m。</w:t>
      </w:r>
    </w:p>
    <w:p>
      <w:pPr>
        <w:bidi w:val="0"/>
        <w:rPr>
          <w:lang w:val="zh-CN"/>
        </w:rPr>
      </w:pPr>
      <w:r>
        <w:rPr>
          <w:rFonts w:hint="eastAsia"/>
          <w:lang w:val="zh-CN"/>
        </w:rPr>
        <w:t>兰江位于钱塘江水系范围。支流金华江发源于磐安县大盘山，流域面积 6840km2，流经兰溪马公滩与衢江汇流后入兰江，三江口下游 1.6km 处设有兰溪水文站，为钱塘江中游控制站也是富春江电站水库入库站，集水面积 16233 km2。根据兰溪水文站观测资料，主要特征水位为：</w:t>
      </w:r>
    </w:p>
    <w:p>
      <w:pPr>
        <w:bidi w:val="0"/>
        <w:rPr>
          <w:lang w:val="zh-CN"/>
        </w:rPr>
      </w:pPr>
      <w:r>
        <w:rPr>
          <w:rFonts w:hint="eastAsia"/>
          <w:lang w:val="zh-CN"/>
        </w:rPr>
        <w:t>平均水位： 23.44m</w:t>
      </w:r>
    </w:p>
    <w:p>
      <w:pPr>
        <w:bidi w:val="0"/>
        <w:rPr>
          <w:lang w:val="zh-CN"/>
        </w:rPr>
      </w:pPr>
      <w:r>
        <w:rPr>
          <w:rFonts w:hint="eastAsia"/>
          <w:lang w:val="zh-CN"/>
        </w:rPr>
        <w:t>最低水位： 21.67m</w:t>
      </w:r>
    </w:p>
    <w:p>
      <w:pPr>
        <w:bidi w:val="0"/>
        <w:rPr>
          <w:lang w:val="zh-CN"/>
        </w:rPr>
      </w:pPr>
      <w:r>
        <w:rPr>
          <w:rFonts w:hint="eastAsia"/>
          <w:lang w:val="zh-CN"/>
        </w:rPr>
        <w:t>25 年最高平均水位： 28.8m（1977 年-2001 年）</w:t>
      </w:r>
    </w:p>
    <w:p>
      <w:pPr>
        <w:bidi w:val="0"/>
        <w:rPr>
          <w:lang w:val="zh-CN"/>
        </w:rPr>
      </w:pPr>
      <w:r>
        <w:rPr>
          <w:rFonts w:hint="eastAsia"/>
          <w:lang w:val="zh-CN"/>
        </w:rPr>
        <w:t>25 年最低平均水位： 22.37m（1977 年-2001 年）</w:t>
      </w:r>
    </w:p>
    <w:p>
      <w:pPr>
        <w:bidi w:val="0"/>
        <w:rPr>
          <w:lang w:val="zh-CN"/>
        </w:rPr>
      </w:pPr>
      <w:r>
        <w:rPr>
          <w:rFonts w:hint="eastAsia"/>
          <w:lang w:val="zh-CN"/>
        </w:rPr>
        <w:t>3 年一遇洪水位： 30.43m</w:t>
      </w:r>
    </w:p>
    <w:p>
      <w:pPr>
        <w:bidi w:val="0"/>
        <w:rPr>
          <w:lang w:val="zh-CN"/>
        </w:rPr>
      </w:pPr>
      <w:r>
        <w:rPr>
          <w:rFonts w:hint="eastAsia"/>
          <w:lang w:val="zh-CN"/>
        </w:rPr>
        <w:t>5 年一遇洪水位： 30.93m</w:t>
      </w:r>
    </w:p>
    <w:p>
      <w:pPr>
        <w:bidi w:val="0"/>
        <w:rPr>
          <w:lang w:val="zh-CN"/>
        </w:rPr>
      </w:pPr>
      <w:r>
        <w:rPr>
          <w:rFonts w:hint="eastAsia"/>
          <w:lang w:val="zh-CN"/>
        </w:rPr>
        <w:t>10 年一遇洪水位： 31.21m</w:t>
      </w:r>
    </w:p>
    <w:p>
      <w:pPr>
        <w:bidi w:val="0"/>
        <w:rPr>
          <w:lang w:val="zh-CN"/>
        </w:rPr>
      </w:pPr>
      <w:r>
        <w:rPr>
          <w:rFonts w:hint="eastAsia"/>
          <w:lang w:val="zh-CN"/>
        </w:rPr>
        <w:t>20 年一遇洪水位： 31.97m</w:t>
      </w:r>
    </w:p>
    <w:p>
      <w:pPr>
        <w:bidi w:val="0"/>
        <w:rPr>
          <w:lang w:val="zh-CN"/>
        </w:rPr>
      </w:pPr>
      <w:r>
        <w:rPr>
          <w:rFonts w:hint="eastAsia"/>
          <w:lang w:val="zh-CN"/>
        </w:rPr>
        <w:t>桥位处河道为自西南向东北折转由南向北流向的弯道处，该弯道弯曲半径约为100m，现状河宽约 660m，河道两岸均建有堤防，左岸堤顶高程 31.86m，右岸堤顶高程 31.96m，堤防防洪标准为 20 年一遇。桥位处河道主河槽居中，河床高程15.58~18.44m 之间，右岸堤防迎水坡坡脚有宽约 50m 的滩地，滩地高程在 24~25m之间。</w:t>
      </w:r>
    </w:p>
    <w:p>
      <w:pPr>
        <w:bidi w:val="0"/>
        <w:rPr>
          <w:lang w:val="zh-CN"/>
        </w:rPr>
      </w:pPr>
      <w:r>
        <w:rPr>
          <w:rFonts w:hint="eastAsia"/>
          <w:lang w:val="zh-CN"/>
        </w:rPr>
        <w:t>香女特大桥桥跨中心线与航道中心线（交点）相对应，桥梁轴线的法线方向与航道（切线）中心线的夹角为 6°，与水流方向交角 15.23°。香女特大桥主跨跨径 260m，设置一个双向通航孔，通航净宽 218.59m、净高 13.21，净宽加宽后符合桥区航段规划天然Ⅲ级航道水上过河建筑物通航净空尺度要求(桥梁通航净宽加宽后不应小于 207m、净高不应小于 7.0m)。</w:t>
      </w:r>
    </w:p>
    <w:p>
      <w:pPr>
        <w:bidi w:val="0"/>
        <w:rPr>
          <w:lang w:val="zh-CN"/>
        </w:rPr>
      </w:pPr>
      <w:r>
        <w:rPr>
          <w:rFonts w:hint="eastAsia"/>
          <w:lang w:val="zh-CN"/>
        </w:rPr>
        <w:t>设计最高通航水位：25.97m，流量 5340m3/s；</w:t>
      </w:r>
    </w:p>
    <w:p>
      <w:pPr>
        <w:bidi w:val="0"/>
        <w:rPr>
          <w:lang w:val="zh-CN"/>
        </w:rPr>
      </w:pPr>
      <w:r>
        <w:rPr>
          <w:rFonts w:hint="eastAsia"/>
          <w:lang w:val="zh-CN"/>
        </w:rPr>
        <w:t>设计最低通航水位：22.37m；</w:t>
      </w:r>
    </w:p>
    <w:p>
      <w:pPr>
        <w:bidi w:val="0"/>
        <w:rPr>
          <w:lang w:val="zh-CN"/>
        </w:rPr>
      </w:pPr>
      <w:r>
        <w:rPr>
          <w:rFonts w:hint="eastAsia"/>
          <w:lang w:val="zh-CN"/>
        </w:rPr>
        <w:t>兰江兰溪站年最大洪峰流量均值为 8400m3/s。</w:t>
      </w:r>
    </w:p>
    <w:p>
      <w:pPr>
        <w:bidi w:val="0"/>
        <w:rPr>
          <w:lang w:val="zh-CN"/>
        </w:rPr>
      </w:pPr>
      <w:r>
        <w:rPr>
          <w:rFonts w:hint="eastAsia"/>
          <w:lang w:val="zh-CN"/>
        </w:rPr>
        <w:t>在 20 年一遇洪水工况下，桥位处主河槽流速在 2.4~3.0m/s 之间，河道左岸流速较右岸流速大。</w:t>
      </w:r>
    </w:p>
    <w:bookmarkEnd w:id="24"/>
    <w:p>
      <w:pPr>
        <w:pStyle w:val="5"/>
        <w:bidi w:val="0"/>
        <w:rPr>
          <w:rFonts w:hint="default"/>
          <w:lang w:val="en-US" w:eastAsia="zh-CN"/>
        </w:rPr>
      </w:pPr>
      <w:bookmarkStart w:id="25" w:name="_Toc5303"/>
      <w:r>
        <w:rPr>
          <w:rFonts w:hint="eastAsia"/>
          <w:lang w:val="en-US" w:eastAsia="zh-CN"/>
        </w:rPr>
        <w:t>地质条件</w:t>
      </w:r>
      <w:bookmarkEnd w:id="25"/>
    </w:p>
    <w:p>
      <w:pPr>
        <w:bidi w:val="0"/>
        <w:rPr>
          <w:lang w:val="zh-CN"/>
        </w:rPr>
      </w:pPr>
      <w:r>
        <w:rPr>
          <w:rFonts w:hint="eastAsia"/>
          <w:lang w:val="zh-CN"/>
        </w:rPr>
        <w:t xml:space="preserve">香女特大桥桥址为冲洪积平原区，兰江河床宽度约 </w:t>
      </w:r>
      <w:r>
        <w:rPr>
          <w:rFonts w:hint="eastAsia"/>
          <w:lang w:val="en-US" w:eastAsia="zh-CN"/>
        </w:rPr>
        <w:t>66</w:t>
      </w:r>
      <w:r>
        <w:rPr>
          <w:rFonts w:hint="eastAsia"/>
          <w:lang w:val="zh-CN"/>
        </w:rPr>
        <w:t>0m，水深 4-8m，两岸浆砌片石护堤，河堤稳定性好，地势相对较平坦，上部分布可塑状粉质黏土，厚约 0.9～6m；中部为稍密状粉砂、中密状圆砾，厚约 0.50～10m；下伏基岩为白垩系泥质粉砂岩，中厚层状，节理一般发育，整体岩体完整性一般～较好，工程性质较好，可以作为桥梁桩基础的持力层。</w:t>
      </w:r>
    </w:p>
    <w:p>
      <w:pPr>
        <w:bidi w:val="0"/>
        <w:rPr>
          <w:lang w:val="zh-CN"/>
        </w:rPr>
      </w:pPr>
      <w:r>
        <w:rPr>
          <w:rFonts w:hint="eastAsia"/>
          <w:lang w:val="zh-CN"/>
        </w:rPr>
        <w:t>全风化泥质粉砂岩：紫红色，岩石风化强烈，岩体极破碎，岩芯呈土夹碎块状，手掰易碎。顶板埋深 0.70～12.50m，层厚 0.50～1.60m。</w:t>
      </w:r>
    </w:p>
    <w:p>
      <w:pPr>
        <w:bidi w:val="0"/>
        <w:rPr>
          <w:lang w:val="zh-CN"/>
        </w:rPr>
      </w:pPr>
      <w:r>
        <w:rPr>
          <w:rFonts w:hint="eastAsia"/>
          <w:lang w:val="zh-CN"/>
        </w:rPr>
        <w:t>强风泥质粉砂岩：紫红色，成分以泥质、粉砂质为主，泥(钙)质胶结。粉砂结构，层状构造。节理裂隙很发育，性质不均匀。风化强烈，岩芯呈粘土状、碎块状，浸水易软化，脱水易碎裂，强度很低，碎块徒手可折断。层顶埋深 0.90~1.10m，层厚 1.50m。</w:t>
      </w:r>
    </w:p>
    <w:p>
      <w:pPr>
        <w:bidi w:val="0"/>
      </w:pPr>
      <w:r>
        <w:rPr>
          <w:rFonts w:hint="eastAsia"/>
          <w:lang w:val="zh-CN"/>
        </w:rPr>
        <w:t>中风化泥质粉砂岩：紫红色，成分以泥质、粉砂质为主，泥(钙)质胶结，胶结良好。粉砂结构，中厚层状构造。局部由于胶结物含量不同，导致风化程度差异，会出现软硬层相间。层理及节理裂隙发育,其中有铁锰质氧化物浸染，岩芯呈短柱状或长柱状。敲击声哑，无回弹，锤击易碎，浸水易软化，脱水易碎裂。岩石质量指标 RQD 分类为较好的，坚硬程度为软岩，岩体较完整，基本质量等级为 IV 级。在钻探深度内无洞穴、临空面、破碎岩体或软弱岩层。层顶埋深 2.40~2.60m，控制层厚 5.80~6.60m。</w:t>
      </w:r>
    </w:p>
    <w:p>
      <w:pPr>
        <w:widowControl w:val="0"/>
        <w:spacing w:line="360" w:lineRule="auto"/>
        <w:ind w:left="0" w:leftChars="0" w:firstLine="0" w:firstLineChars="0"/>
        <w:jc w:val="center"/>
        <w:rPr>
          <w:rFonts w:ascii="宋体" w:hAnsi="宋体" w:eastAsia="宋体" w:cs="宋体"/>
          <w:kern w:val="2"/>
          <w:sz w:val="28"/>
          <w:szCs w:val="22"/>
          <w:lang w:val="en-US" w:eastAsia="zh-CN" w:bidi="ar-SA"/>
        </w:rPr>
      </w:pPr>
      <w:r>
        <w:rPr>
          <w:rFonts w:ascii="宋体" w:hAnsi="宋体" w:eastAsia="仿宋_GB2312" w:cs="Times New Roman"/>
          <w:kern w:val="2"/>
          <w:sz w:val="28"/>
          <w:szCs w:val="22"/>
          <w:lang w:val="en-US" w:eastAsia="zh-CN" w:bidi="ar-SA"/>
        </w:rPr>
        <w:drawing>
          <wp:inline distT="0" distB="0" distL="0" distR="0">
            <wp:extent cx="5258435" cy="3947160"/>
            <wp:effectExtent l="0" t="0" r="146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rcRect l="5825" r="2496"/>
                    <a:stretch>
                      <a:fillRect/>
                    </a:stretch>
                  </pic:blipFill>
                  <pic:spPr>
                    <a:xfrm>
                      <a:off x="0" y="0"/>
                      <a:ext cx="5286094" cy="3967933"/>
                    </a:xfrm>
                    <a:prstGeom prst="rect">
                      <a:avLst/>
                    </a:prstGeom>
                    <a:ln>
                      <a:noFill/>
                    </a:ln>
                  </pic:spPr>
                </pic:pic>
              </a:graphicData>
            </a:graphic>
          </wp:inline>
        </w:drawing>
      </w:r>
    </w:p>
    <w:p>
      <w:pPr>
        <w:pStyle w:val="16"/>
        <w:bidi w:val="0"/>
        <w:rPr>
          <w:lang w:val="en-US" w:eastAsia="zh-CN"/>
        </w:rPr>
      </w:pPr>
      <w:r>
        <w:rPr>
          <w:rFonts w:hint="eastAsia"/>
          <w:lang w:val="en-US" w:eastAsia="zh-CN"/>
        </w:rPr>
        <w:t>图2.1.5-1 桥址地质纵坡图（一）</w:t>
      </w:r>
    </w:p>
    <w:p>
      <w:pPr>
        <w:widowControl w:val="0"/>
        <w:tabs>
          <w:tab w:val="left" w:pos="525"/>
        </w:tabs>
        <w:snapToGrid w:val="0"/>
        <w:spacing w:line="360" w:lineRule="auto"/>
        <w:ind w:firstLine="0" w:firstLineChars="0"/>
        <w:jc w:val="left"/>
        <w:rPr>
          <w:rFonts w:ascii="宋体" w:hAnsi="宋体" w:eastAsia="宋体" w:cs="宋体"/>
          <w:kern w:val="2"/>
          <w:sz w:val="24"/>
          <w:szCs w:val="20"/>
          <w:lang w:val="en-US" w:eastAsia="zh-CN" w:bidi="ar-SA"/>
        </w:rPr>
      </w:pPr>
      <w:r>
        <w:rPr>
          <w:rFonts w:ascii="宋体" w:hAnsi="宋体" w:eastAsia="仿宋" w:cs="Times New Roman"/>
          <w:kern w:val="2"/>
          <w:sz w:val="24"/>
          <w:szCs w:val="20"/>
          <w:lang w:val="en-US" w:eastAsia="zh-CN" w:bidi="ar-SA"/>
        </w:rPr>
        <w:drawing>
          <wp:inline distT="0" distB="0" distL="0" distR="0">
            <wp:extent cx="5274310" cy="3728085"/>
            <wp:effectExtent l="0" t="0" r="1397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5274310" cy="3728085"/>
                    </a:xfrm>
                    <a:prstGeom prst="rect">
                      <a:avLst/>
                    </a:prstGeom>
                  </pic:spPr>
                </pic:pic>
              </a:graphicData>
            </a:graphic>
          </wp:inline>
        </w:drawing>
      </w:r>
    </w:p>
    <w:p>
      <w:pPr>
        <w:pStyle w:val="16"/>
        <w:bidi w:val="0"/>
        <w:rPr>
          <w:lang w:val="en-US" w:eastAsia="zh-CN"/>
        </w:rPr>
      </w:pPr>
      <w:r>
        <w:rPr>
          <w:rFonts w:hint="eastAsia"/>
          <w:lang w:val="en-US" w:eastAsia="zh-CN"/>
        </w:rPr>
        <w:t>图2.1.5-2 桥址地质纵坡图（二）</w:t>
      </w:r>
    </w:p>
    <w:p>
      <w:pPr>
        <w:widowControl w:val="0"/>
        <w:tabs>
          <w:tab w:val="left" w:pos="525"/>
        </w:tabs>
        <w:snapToGrid w:val="0"/>
        <w:spacing w:line="360" w:lineRule="auto"/>
        <w:ind w:firstLine="0" w:firstLineChars="0"/>
        <w:jc w:val="center"/>
        <w:rPr>
          <w:rFonts w:ascii="宋体" w:hAnsi="宋体" w:eastAsia="仿宋" w:cs="Times New Roman"/>
          <w:kern w:val="2"/>
          <w:sz w:val="24"/>
          <w:szCs w:val="20"/>
          <w:lang w:val="en-US" w:eastAsia="zh-CN" w:bidi="ar-SA"/>
        </w:rPr>
      </w:pPr>
      <w:r>
        <w:rPr>
          <w:rFonts w:ascii="宋体" w:hAnsi="宋体" w:eastAsia="仿宋" w:cs="Times New Roman"/>
          <w:kern w:val="2"/>
          <w:sz w:val="24"/>
          <w:szCs w:val="20"/>
          <w:lang w:val="en-US" w:eastAsia="zh-CN" w:bidi="ar-SA"/>
        </w:rPr>
        <w:drawing>
          <wp:inline distT="0" distB="0" distL="0" distR="0">
            <wp:extent cx="5274310" cy="3814445"/>
            <wp:effectExtent l="0" t="0" r="13970"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a:stretch>
                      <a:fillRect/>
                    </a:stretch>
                  </pic:blipFill>
                  <pic:spPr>
                    <a:xfrm>
                      <a:off x="0" y="0"/>
                      <a:ext cx="5274310" cy="3814445"/>
                    </a:xfrm>
                    <a:prstGeom prst="rect">
                      <a:avLst/>
                    </a:prstGeom>
                  </pic:spPr>
                </pic:pic>
              </a:graphicData>
            </a:graphic>
          </wp:inline>
        </w:drawing>
      </w:r>
    </w:p>
    <w:p>
      <w:pPr>
        <w:pStyle w:val="16"/>
        <w:bidi w:val="0"/>
        <w:rPr>
          <w:rFonts w:hint="eastAsia"/>
          <w:lang w:val="en-US" w:eastAsia="zh-CN"/>
        </w:rPr>
      </w:pPr>
      <w:r>
        <w:rPr>
          <w:rFonts w:hint="eastAsia"/>
          <w:lang w:val="en-US" w:eastAsia="zh-CN"/>
        </w:rPr>
        <w:t>图2.1.5-3 桥址地质纵坡图（三）</w:t>
      </w:r>
    </w:p>
    <w:p>
      <w:pPr>
        <w:pStyle w:val="5"/>
        <w:bidi w:val="0"/>
      </w:pPr>
      <w:bookmarkStart w:id="26" w:name="_Toc12677"/>
      <w:r>
        <w:rPr>
          <w:rFonts w:hint="eastAsia"/>
        </w:rPr>
        <w:t>周边环境</w:t>
      </w:r>
      <w:bookmarkEnd w:id="26"/>
    </w:p>
    <w:p>
      <w:pPr>
        <w:bidi w:val="0"/>
      </w:pPr>
      <w:bookmarkStart w:id="27" w:name="_Toc9820"/>
      <w:r>
        <w:rPr>
          <w:rFonts w:hint="eastAsia"/>
        </w:rPr>
        <w:t>（1）</w:t>
      </w:r>
      <w:r>
        <w:rPr>
          <w:rFonts w:hint="eastAsia"/>
          <w:lang w:val="en-US" w:eastAsia="zh-CN"/>
        </w:rPr>
        <w:t>通航</w:t>
      </w:r>
      <w:r>
        <w:rPr>
          <w:rFonts w:hint="eastAsia"/>
        </w:rPr>
        <w:t>情况</w:t>
      </w:r>
      <w:bookmarkEnd w:id="27"/>
    </w:p>
    <w:p>
      <w:pPr>
        <w:bidi w:val="0"/>
        <w:rPr>
          <w:rFonts w:hint="default"/>
          <w:lang w:val="en-US" w:eastAsia="zh-CN"/>
        </w:rPr>
      </w:pPr>
      <w:bookmarkStart w:id="28" w:name="_Toc4337"/>
      <w:r>
        <w:rPr>
          <w:rFonts w:hint="eastAsia"/>
          <w:lang w:val="en-US" w:eastAsia="zh-CN"/>
        </w:rPr>
        <w:t>兰江航道现状为Ⅴ级航道，规划为Ⅲ级航道。桥位区属于连续弯道，弯曲半径约为1100m。现状河宽约660m，江面开阔，河道两岸均建有堤防，通视条件相对较好。</w:t>
      </w:r>
    </w:p>
    <w:p>
      <w:pPr>
        <w:bidi w:val="0"/>
      </w:pPr>
      <w:r>
        <w:rPr>
          <w:rFonts w:hint="eastAsia"/>
        </w:rPr>
        <w:t>（2）</w:t>
      </w:r>
      <w:r>
        <w:rPr>
          <w:rFonts w:hint="eastAsia"/>
          <w:lang w:val="en-US" w:eastAsia="zh-CN"/>
        </w:rPr>
        <w:t>水流</w:t>
      </w:r>
      <w:r>
        <w:rPr>
          <w:rFonts w:hint="eastAsia"/>
        </w:rPr>
        <w:t>情况</w:t>
      </w:r>
      <w:bookmarkEnd w:id="28"/>
    </w:p>
    <w:p>
      <w:pPr>
        <w:bidi w:val="0"/>
        <w:rPr>
          <w:rFonts w:hint="default"/>
          <w:lang w:val="en-US" w:eastAsia="zh-CN"/>
        </w:rPr>
      </w:pPr>
      <w:r>
        <w:rPr>
          <w:rFonts w:hint="eastAsia"/>
          <w:lang w:val="en-US" w:eastAsia="zh-CN"/>
        </w:rPr>
        <w:t>在设计最高通航水位25.97m条件下，通航孔对应范围内最大流速1.86m/s，最大横流0.49m/s,最大交角15.23°。受到下游富春江枢纽和上游姚家枢纽控制，其设计通航水位条件下水流情况一定程度上受到上下游水利枢纽的影响。</w:t>
      </w:r>
    </w:p>
    <w:p>
      <w:pPr>
        <w:pStyle w:val="4"/>
        <w:rPr>
          <w:color w:val="000000" w:themeColor="text1"/>
          <w14:textFill>
            <w14:solidFill>
              <w14:schemeClr w14:val="tx1"/>
            </w14:solidFill>
          </w14:textFill>
        </w:rPr>
      </w:pPr>
      <w:bookmarkStart w:id="29" w:name="_Toc28693"/>
      <w:r>
        <w:rPr>
          <w:rFonts w:hint="eastAsia"/>
          <w:color w:val="000000" w:themeColor="text1"/>
          <w14:textFill>
            <w14:solidFill>
              <w14:schemeClr w14:val="tx1"/>
            </w14:solidFill>
          </w14:textFill>
        </w:rPr>
        <w:t>安装现场工作环境及条件</w:t>
      </w:r>
      <w:bookmarkEnd w:id="29"/>
    </w:p>
    <w:p>
      <w:pPr>
        <w:ind w:firstLine="480"/>
      </w:pPr>
      <w:r>
        <w:rPr>
          <w:rFonts w:hint="eastAsia"/>
          <w:color w:val="000000" w:themeColor="text1"/>
          <w14:textFill>
            <w14:solidFill>
              <w14:schemeClr w14:val="tx1"/>
            </w14:solidFill>
          </w14:textFill>
        </w:rPr>
        <w:t>根据本工程及周边环境情况，综合考虑施工效率、现场材料吊重要求、施工合同要求等，我公司现场在</w:t>
      </w:r>
      <w:r>
        <w:rPr>
          <w:rFonts w:hint="eastAsia"/>
          <w:color w:val="000000" w:themeColor="text1"/>
          <w:lang w:eastAsia="zh-CN"/>
          <w14:textFill>
            <w14:solidFill>
              <w14:schemeClr w14:val="tx1"/>
            </w14:solidFill>
          </w14:textFill>
        </w:rPr>
        <w:t>主墩区域</w:t>
      </w:r>
      <w:r>
        <w:rPr>
          <w:rFonts w:hint="eastAsia"/>
          <w:color w:val="000000" w:themeColor="text1"/>
          <w14:textFill>
            <w14:solidFill>
              <w14:schemeClr w14:val="tx1"/>
            </w14:solidFill>
          </w14:textFill>
        </w:rPr>
        <w:t>拟定安装</w:t>
      </w:r>
      <w:r>
        <w:rPr>
          <w:rFonts w:hint="eastAsia"/>
          <w:color w:val="000000" w:themeColor="text1"/>
          <w:lang w:eastAsia="zh-CN"/>
          <w14:textFill>
            <w14:solidFill>
              <w14:schemeClr w14:val="tx1"/>
            </w14:solidFill>
          </w14:textFill>
        </w:rPr>
        <w:t>2台</w:t>
      </w:r>
      <w:r>
        <w:rPr>
          <w:rFonts w:hint="eastAsia"/>
          <w:lang w:val="en-US" w:eastAsia="zh-CN"/>
        </w:rPr>
        <w:t>T7020-10</w:t>
      </w:r>
      <w:r>
        <w:rPr>
          <w:rFonts w:hint="eastAsia"/>
          <w:color w:val="000000" w:themeColor="text1"/>
          <w14:textFill>
            <w14:solidFill>
              <w14:schemeClr w14:val="tx1"/>
            </w14:solidFill>
          </w14:textFill>
        </w:rPr>
        <w:t>塔式起重机。主要是主塔及周边材料进场和吊装，塔机概况如</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REF _Ref123064453 \h</w:instrText>
      </w:r>
      <w:r>
        <w:rPr>
          <w:color w:val="000000" w:themeColor="text1"/>
          <w14:textFill>
            <w14:solidFill>
              <w14:schemeClr w14:val="tx1"/>
            </w14:solidFill>
          </w14:textFill>
        </w:rPr>
        <w:instrText xml:space="preserve">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表 </w:t>
      </w:r>
      <w:r>
        <w:rPr>
          <w:color w:val="000000" w:themeColor="text1"/>
          <w14:textFill>
            <w14:solidFill>
              <w14:schemeClr w14:val="tx1"/>
            </w14:solidFill>
          </w14:textFill>
        </w:rPr>
        <w:t>2.3</w:t>
      </w:r>
      <w:r>
        <w:rPr>
          <w:color w:val="000000" w:themeColor="text1"/>
          <w14:textFill>
            <w14:solidFill>
              <w14:schemeClr w14:val="tx1"/>
            </w14:solidFill>
          </w14:textFill>
        </w:rPr>
        <w:noBreakHyphen/>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p>
    <w:p>
      <w:pPr>
        <w:pStyle w:val="16"/>
        <w:rPr>
          <w:rFonts w:ascii="宋体" w:hAnsi="宋体" w:cs="宋体"/>
          <w:bCs/>
          <w:color w:val="000000" w:themeColor="text1"/>
          <w14:textFill>
            <w14:solidFill>
              <w14:schemeClr w14:val="tx1"/>
            </w14:solidFill>
          </w14:textFill>
        </w:rPr>
      </w:pPr>
      <w:bookmarkStart w:id="30" w:name="_Ref123064453"/>
      <w:r>
        <w:rPr>
          <w:rFonts w:hint="eastAsia"/>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3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bookmarkEnd w:id="30"/>
      <w:r>
        <w:rPr>
          <w:rFonts w:hint="eastAsia" w:ascii="宋体" w:hAnsi="宋体" w:cs="宋体"/>
          <w:bCs/>
          <w:color w:val="000000" w:themeColor="text1"/>
          <w14:textFill>
            <w14:solidFill>
              <w14:schemeClr w14:val="tx1"/>
            </w14:solidFill>
          </w14:textFill>
        </w:rPr>
        <w:t>塔机概况表</w:t>
      </w:r>
    </w:p>
    <w:tbl>
      <w:tblPr>
        <w:tblStyle w:val="43"/>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2013"/>
        <w:gridCol w:w="987"/>
        <w:gridCol w:w="1226"/>
        <w:gridCol w:w="1014"/>
        <w:gridCol w:w="1586"/>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52" w:type="dxa"/>
            <w:tcBorders>
              <w:top w:val="single" w:color="auto" w:sz="8" w:space="0"/>
              <w:left w:val="single" w:color="auto" w:sz="8" w:space="0"/>
              <w:bottom w:val="single" w:color="auto" w:sz="4" w:space="0"/>
              <w:right w:val="single" w:color="auto" w:sz="4" w:space="0"/>
            </w:tcBorders>
            <w:vAlign w:val="center"/>
          </w:tcPr>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塔机编号</w:t>
            </w:r>
          </w:p>
        </w:tc>
        <w:tc>
          <w:tcPr>
            <w:tcW w:w="2013" w:type="dxa"/>
            <w:tcBorders>
              <w:top w:val="single" w:color="auto" w:sz="8" w:space="0"/>
              <w:left w:val="single" w:color="auto" w:sz="8" w:space="0"/>
              <w:bottom w:val="single" w:color="auto" w:sz="4" w:space="0"/>
              <w:right w:val="single" w:color="auto" w:sz="4" w:space="0"/>
            </w:tcBorders>
            <w:vAlign w:val="center"/>
          </w:tcPr>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塔机型号</w:t>
            </w:r>
          </w:p>
        </w:tc>
        <w:tc>
          <w:tcPr>
            <w:tcW w:w="987" w:type="dxa"/>
            <w:tcBorders>
              <w:top w:val="single" w:color="auto" w:sz="8" w:space="0"/>
              <w:left w:val="single" w:color="auto" w:sz="4" w:space="0"/>
              <w:bottom w:val="single" w:color="auto" w:sz="4" w:space="0"/>
              <w:right w:val="single" w:color="auto" w:sz="4" w:space="0"/>
            </w:tcBorders>
            <w:vAlign w:val="center"/>
          </w:tcPr>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安装高度m</w:t>
            </w:r>
          </w:p>
        </w:tc>
        <w:tc>
          <w:tcPr>
            <w:tcW w:w="1226" w:type="dxa"/>
            <w:tcBorders>
              <w:top w:val="single" w:color="auto" w:sz="8" w:space="0"/>
              <w:left w:val="single" w:color="auto" w:sz="4" w:space="0"/>
              <w:bottom w:val="single" w:color="auto" w:sz="4" w:space="0"/>
              <w:right w:val="single" w:color="auto" w:sz="4" w:space="0"/>
            </w:tcBorders>
            <w:vAlign w:val="center"/>
          </w:tcPr>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预埋形式</w:t>
            </w:r>
          </w:p>
        </w:tc>
        <w:tc>
          <w:tcPr>
            <w:tcW w:w="1014" w:type="dxa"/>
            <w:tcBorders>
              <w:top w:val="single" w:color="auto" w:sz="8" w:space="0"/>
              <w:left w:val="single" w:color="auto" w:sz="4" w:space="0"/>
              <w:bottom w:val="single" w:color="auto" w:sz="4" w:space="0"/>
              <w:right w:val="single" w:color="auto" w:sz="4" w:space="0"/>
            </w:tcBorders>
            <w:vAlign w:val="center"/>
          </w:tcPr>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起重臂长度m</w:t>
            </w:r>
          </w:p>
        </w:tc>
        <w:tc>
          <w:tcPr>
            <w:tcW w:w="1586" w:type="dxa"/>
            <w:tcBorders>
              <w:top w:val="single" w:color="auto" w:sz="8" w:space="0"/>
              <w:left w:val="single" w:color="auto" w:sz="4" w:space="0"/>
              <w:bottom w:val="single" w:color="auto" w:sz="4" w:space="0"/>
              <w:right w:val="single" w:color="auto" w:sz="4" w:space="0"/>
            </w:tcBorders>
            <w:vAlign w:val="center"/>
          </w:tcPr>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起重臂</w:t>
            </w:r>
          </w:p>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顶升方向</w:t>
            </w:r>
          </w:p>
        </w:tc>
        <w:tc>
          <w:tcPr>
            <w:tcW w:w="1778" w:type="dxa"/>
            <w:tcBorders>
              <w:top w:val="single" w:color="auto" w:sz="8" w:space="0"/>
              <w:left w:val="single" w:color="auto" w:sz="4" w:space="0"/>
              <w:bottom w:val="single" w:color="auto" w:sz="4" w:space="0"/>
              <w:right w:val="single" w:color="auto" w:sz="4" w:space="0"/>
            </w:tcBorders>
            <w:vAlign w:val="center"/>
          </w:tcPr>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基础顶标高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52" w:type="dxa"/>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1#</w:t>
            </w:r>
          </w:p>
        </w:tc>
        <w:tc>
          <w:tcPr>
            <w:tcW w:w="2013" w:type="dxa"/>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lang w:val="en-US" w:eastAsia="zh-CN"/>
              </w:rPr>
              <w:t>T7020-10</w:t>
            </w:r>
          </w:p>
        </w:tc>
        <w:tc>
          <w:tcPr>
            <w:tcW w:w="98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宋体" w:hAnsi="宋体" w:cs="宋体"/>
                <w:bCs/>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36</w:t>
            </w:r>
          </w:p>
        </w:tc>
        <w:tc>
          <w:tcPr>
            <w:tcW w:w="122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宋体" w:hAnsi="宋体" w:cs="宋体"/>
                <w:bCs/>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钢桩钢平台基础</w:t>
            </w:r>
          </w:p>
        </w:tc>
        <w:tc>
          <w:tcPr>
            <w:tcW w:w="101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70</w:t>
            </w:r>
          </w:p>
        </w:tc>
        <w:tc>
          <w:tcPr>
            <w:tcW w:w="15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顺桥向</w:t>
            </w:r>
          </w:p>
        </w:tc>
        <w:tc>
          <w:tcPr>
            <w:tcW w:w="177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+28.1m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52" w:type="dxa"/>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2#</w:t>
            </w:r>
          </w:p>
        </w:tc>
        <w:tc>
          <w:tcPr>
            <w:tcW w:w="2013" w:type="dxa"/>
            <w:tcBorders>
              <w:top w:val="single" w:color="auto" w:sz="4" w:space="0"/>
              <w:left w:val="single" w:color="auto" w:sz="8" w:space="0"/>
              <w:bottom w:val="single" w:color="auto" w:sz="4" w:space="0"/>
              <w:right w:val="single" w:color="auto" w:sz="4" w:space="0"/>
            </w:tcBorders>
            <w:vAlign w:val="center"/>
          </w:tcPr>
          <w:p>
            <w:pPr>
              <w:spacing w:line="240" w:lineRule="auto"/>
              <w:ind w:firstLine="0" w:firstLineChars="0"/>
              <w:jc w:val="center"/>
              <w:rPr>
                <w:rFonts w:hint="eastAsia" w:ascii="宋体" w:hAnsi="宋体" w:cs="宋体"/>
                <w:color w:val="000000" w:themeColor="text1"/>
                <w:szCs w:val="24"/>
                <w:lang w:eastAsia="zh-CN"/>
                <w14:textFill>
                  <w14:solidFill>
                    <w14:schemeClr w14:val="tx1"/>
                  </w14:solidFill>
                </w14:textFill>
              </w:rPr>
            </w:pPr>
            <w:r>
              <w:rPr>
                <w:rFonts w:hint="eastAsia"/>
                <w:lang w:val="en-US" w:eastAsia="zh-CN"/>
              </w:rPr>
              <w:t>T7020-10</w:t>
            </w:r>
          </w:p>
        </w:tc>
        <w:tc>
          <w:tcPr>
            <w:tcW w:w="98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宋体" w:hAnsi="宋体" w:cs="宋体"/>
                <w:bCs/>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36</w:t>
            </w:r>
          </w:p>
        </w:tc>
        <w:tc>
          <w:tcPr>
            <w:tcW w:w="122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cs="宋体"/>
                <w:bCs/>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钢桩钢平台基础</w:t>
            </w:r>
          </w:p>
        </w:tc>
        <w:tc>
          <w:tcPr>
            <w:tcW w:w="101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cs="宋体"/>
                <w:bCs/>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70</w:t>
            </w:r>
          </w:p>
        </w:tc>
        <w:tc>
          <w:tcPr>
            <w:tcW w:w="15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cs="宋体"/>
                <w:bCs/>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顺桥向</w:t>
            </w:r>
          </w:p>
        </w:tc>
        <w:tc>
          <w:tcPr>
            <w:tcW w:w="177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cs="宋体"/>
                <w:bCs/>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+28.1m</w:t>
            </w:r>
          </w:p>
        </w:tc>
      </w:tr>
    </w:tbl>
    <w:p>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塔机安装前，塔机基础应验收合格，出具塔机基础合格表格后方能进行安装，安装前，应配置供电容量足够的符合要求的电源。安装时，应有足够的支设辅助</w:t>
      </w:r>
      <w:r>
        <w:rPr>
          <w:rFonts w:hint="eastAsia"/>
          <w:color w:val="000000" w:themeColor="text1"/>
          <w:lang w:eastAsia="zh-CN"/>
          <w14:textFill>
            <w14:solidFill>
              <w14:schemeClr w14:val="tx1"/>
            </w14:solidFill>
          </w14:textFill>
        </w:rPr>
        <w:t>汽车吊</w:t>
      </w:r>
      <w:r>
        <w:rPr>
          <w:rFonts w:hint="eastAsia"/>
          <w:color w:val="000000" w:themeColor="text1"/>
          <w14:textFill>
            <w14:solidFill>
              <w14:schemeClr w14:val="tx1"/>
            </w14:solidFill>
          </w14:textFill>
        </w:rPr>
        <w:t>场地，及塔机零部件组装场地，支设</w:t>
      </w:r>
      <w:r>
        <w:rPr>
          <w:rFonts w:hint="eastAsia"/>
          <w:color w:val="000000" w:themeColor="text1"/>
          <w:lang w:eastAsia="zh-CN"/>
          <w14:textFill>
            <w14:solidFill>
              <w14:schemeClr w14:val="tx1"/>
            </w14:solidFill>
          </w14:textFill>
        </w:rPr>
        <w:t>汽车吊</w:t>
      </w:r>
      <w:r>
        <w:rPr>
          <w:rFonts w:hint="eastAsia"/>
          <w:color w:val="000000" w:themeColor="text1"/>
          <w14:textFill>
            <w14:solidFill>
              <w14:schemeClr w14:val="tx1"/>
            </w14:solidFill>
          </w14:textFill>
        </w:rPr>
        <w:t>场地应有足够的地基承载能力。车辆行驶路线应满足车辆行驶。所有塔机利用辅助</w:t>
      </w:r>
      <w:r>
        <w:rPr>
          <w:rFonts w:hint="eastAsia"/>
          <w:color w:val="000000" w:themeColor="text1"/>
          <w:lang w:eastAsia="zh-CN"/>
          <w14:textFill>
            <w14:solidFill>
              <w14:schemeClr w14:val="tx1"/>
            </w14:solidFill>
          </w14:textFill>
        </w:rPr>
        <w:t>汽车吊</w:t>
      </w:r>
      <w:r>
        <w:rPr>
          <w:rFonts w:hint="eastAsia"/>
          <w:color w:val="000000" w:themeColor="text1"/>
          <w14:textFill>
            <w14:solidFill>
              <w14:schemeClr w14:val="tx1"/>
            </w14:solidFill>
          </w14:textFill>
        </w:rPr>
        <w:t>安装的初次安装高度应超过其回转范围内最高施工机具的高度，以满足各塔机的顶升时臂架的旋转。</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塔机在初次安装完成后根据群塔作业要求进行顶升,达到自由高度以上高度需附着后顶升。</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拆卸时，按说明书要求降节，降节至辅助起重设备可拆卸高度后，利用辅助起重设备拆卸塔机。</w:t>
      </w:r>
    </w:p>
    <w:p>
      <w:pPr>
        <w:pStyle w:val="16"/>
      </w:pPr>
    </w:p>
    <w:p>
      <w:pPr>
        <w:jc w:val="center"/>
      </w:pPr>
      <w:r>
        <w:drawing>
          <wp:inline distT="0" distB="0" distL="114300" distR="114300">
            <wp:extent cx="5361940" cy="2110740"/>
            <wp:effectExtent l="0" t="0" r="2540" b="7620"/>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32"/>
                    <a:stretch>
                      <a:fillRect/>
                    </a:stretch>
                  </pic:blipFill>
                  <pic:spPr>
                    <a:xfrm>
                      <a:off x="0" y="0"/>
                      <a:ext cx="5361940" cy="2110740"/>
                    </a:xfrm>
                    <a:prstGeom prst="rect">
                      <a:avLst/>
                    </a:prstGeom>
                    <a:noFill/>
                    <a:ln>
                      <a:noFill/>
                    </a:ln>
                  </pic:spPr>
                </pic:pic>
              </a:graphicData>
            </a:graphic>
          </wp:inline>
        </w:drawing>
      </w:r>
    </w:p>
    <w:p>
      <w:pPr>
        <w:pStyle w:val="16"/>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t>2.2.3</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1</w:t>
      </w:r>
      <w:r>
        <w:fldChar w:fldCharType="end"/>
      </w:r>
      <w:r>
        <w:t xml:space="preserve"> </w:t>
      </w:r>
      <w:r>
        <w:rPr>
          <w:rFonts w:hint="eastAsia"/>
        </w:rPr>
        <w:t>塔吊平面布置图</w:t>
      </w:r>
    </w:p>
    <w:p>
      <w:pPr>
        <w:pStyle w:val="16"/>
      </w:pPr>
      <w:r>
        <w:drawing>
          <wp:inline distT="0" distB="0" distL="114300" distR="114300">
            <wp:extent cx="5176520" cy="2377440"/>
            <wp:effectExtent l="0" t="0" r="5080" b="0"/>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33"/>
                    <a:stretch>
                      <a:fillRect/>
                    </a:stretch>
                  </pic:blipFill>
                  <pic:spPr>
                    <a:xfrm>
                      <a:off x="0" y="0"/>
                      <a:ext cx="5176520" cy="2377440"/>
                    </a:xfrm>
                    <a:prstGeom prst="rect">
                      <a:avLst/>
                    </a:prstGeom>
                    <a:noFill/>
                    <a:ln>
                      <a:noFill/>
                    </a:ln>
                  </pic:spPr>
                </pic:pic>
              </a:graphicData>
            </a:graphic>
          </wp:inline>
        </w:drawing>
      </w:r>
    </w:p>
    <w:p>
      <w:pPr>
        <w:pStyle w:val="16"/>
        <w:ind w:firstLine="480"/>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t>2.2.3</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4</w:t>
      </w:r>
      <w:r>
        <w:fldChar w:fldCharType="end"/>
      </w:r>
      <w:r>
        <w:t xml:space="preserve"> </w:t>
      </w:r>
      <w:r>
        <w:rPr>
          <w:rFonts w:hint="eastAsia"/>
        </w:rPr>
        <w:t>塔吊立面图</w:t>
      </w:r>
    </w:p>
    <w:p>
      <w:pPr>
        <w:pStyle w:val="4"/>
      </w:pPr>
      <w:bookmarkStart w:id="31" w:name="_Toc24447"/>
      <w:r>
        <w:rPr>
          <w:rFonts w:hint="eastAsia"/>
        </w:rPr>
        <w:t>塔式起重机概况</w:t>
      </w:r>
      <w:bookmarkEnd w:id="31"/>
    </w:p>
    <w:p>
      <w:pPr>
        <w:pStyle w:val="5"/>
        <w:bidi w:val="0"/>
        <w:ind w:left="0" w:leftChars="0" w:firstLine="0" w:firstLineChars="0"/>
        <w:rPr>
          <w:rFonts w:hint="eastAsia"/>
          <w:sz w:val="24"/>
          <w:szCs w:val="24"/>
          <w:lang w:val="en-US" w:eastAsia="zh-CN"/>
        </w:rPr>
      </w:pPr>
      <w:r>
        <w:rPr>
          <w:rFonts w:hint="eastAsia"/>
          <w:sz w:val="24"/>
          <w:szCs w:val="24"/>
          <w:lang w:val="en-US" w:eastAsia="zh-CN"/>
        </w:rPr>
        <w:t>T7020-10塔机基本性能参数表</w:t>
      </w:r>
    </w:p>
    <w:p>
      <w:pPr>
        <w:pStyle w:val="16"/>
        <w:rPr>
          <w:rFonts w:ascii="宋体" w:hAnsi="宋体" w:cs="宋体"/>
          <w:color w:val="auto"/>
          <w:szCs w:val="22"/>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3 \s</w:instrText>
      </w:r>
      <w:r>
        <w:rPr>
          <w:color w:val="auto"/>
        </w:rPr>
        <w:instrText xml:space="preserve"> </w:instrText>
      </w:r>
      <w:r>
        <w:rPr>
          <w:color w:val="auto"/>
        </w:rPr>
        <w:fldChar w:fldCharType="separate"/>
      </w:r>
      <w:r>
        <w:rPr>
          <w:color w:val="auto"/>
        </w:rPr>
        <w:t>2.4.1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3</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lang w:val="en-US" w:eastAsia="zh-CN"/>
        </w:rPr>
        <w:t xml:space="preserve"> T</w:t>
      </w:r>
      <w:r>
        <w:rPr>
          <w:rFonts w:hint="eastAsia" w:ascii="宋体" w:hAnsi="宋体" w:cs="宋体"/>
          <w:bCs/>
          <w:color w:val="auto"/>
          <w:szCs w:val="22"/>
          <w:lang w:val="en-US" w:eastAsia="zh-CN"/>
        </w:rPr>
        <w:t>7020-10</w:t>
      </w:r>
      <w:r>
        <w:rPr>
          <w:rFonts w:hint="eastAsia" w:ascii="宋体" w:hAnsi="宋体" w:cs="宋体"/>
          <w:bCs/>
          <w:color w:val="auto"/>
          <w:szCs w:val="22"/>
        </w:rPr>
        <w:t>塔吊主要技术性能参数表</w:t>
      </w:r>
    </w:p>
    <w:p>
      <w:pPr>
        <w:pStyle w:val="16"/>
        <w:rPr>
          <w:rFonts w:ascii="宋体" w:hAnsi="宋体" w:cs="宋体"/>
          <w:color w:val="auto"/>
        </w:rPr>
      </w:pPr>
      <w:r>
        <w:drawing>
          <wp:inline distT="0" distB="0" distL="114300" distR="114300">
            <wp:extent cx="5454650" cy="7461885"/>
            <wp:effectExtent l="0" t="0" r="12700" b="57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34"/>
                    <a:stretch>
                      <a:fillRect/>
                    </a:stretch>
                  </pic:blipFill>
                  <pic:spPr>
                    <a:xfrm>
                      <a:off x="0" y="0"/>
                      <a:ext cx="5454650" cy="7461885"/>
                    </a:xfrm>
                    <a:prstGeom prst="rect">
                      <a:avLst/>
                    </a:prstGeom>
                    <a:noFill/>
                    <a:ln>
                      <a:noFill/>
                    </a:ln>
                  </pic:spPr>
                </pic:pic>
              </a:graphicData>
            </a:graphic>
          </wp:inline>
        </w:drawing>
      </w:r>
    </w:p>
    <w:p>
      <w:pPr>
        <w:pStyle w:val="16"/>
        <w:rPr>
          <w:color w:val="auto"/>
        </w:rPr>
      </w:pPr>
    </w:p>
    <w:p>
      <w:pPr>
        <w:rPr>
          <w:color w:val="auto"/>
        </w:rPr>
      </w:pPr>
    </w:p>
    <w:p>
      <w:pPr>
        <w:pStyle w:val="16"/>
        <w:rPr>
          <w:rFonts w:hint="eastAsia" w:ascii="宋体" w:hAnsi="宋体" w:cs="宋体"/>
          <w:bCs/>
          <w:color w:val="auto"/>
          <w:szCs w:val="22"/>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3 \s</w:instrText>
      </w:r>
      <w:r>
        <w:rPr>
          <w:color w:val="auto"/>
        </w:rPr>
        <w:instrText xml:space="preserve"> </w:instrText>
      </w:r>
      <w:r>
        <w:rPr>
          <w:color w:val="auto"/>
        </w:rPr>
        <w:fldChar w:fldCharType="separate"/>
      </w:r>
      <w:r>
        <w:rPr>
          <w:color w:val="auto"/>
        </w:rPr>
        <w:t>2.4.1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3</w:instrText>
      </w:r>
      <w:r>
        <w:rPr>
          <w:color w:val="auto"/>
        </w:rPr>
        <w:instrText xml:space="preserve"> </w:instrText>
      </w:r>
      <w:r>
        <w:rPr>
          <w:color w:val="auto"/>
        </w:rPr>
        <w:fldChar w:fldCharType="separate"/>
      </w:r>
      <w:r>
        <w:rPr>
          <w:color w:val="auto"/>
        </w:rPr>
        <w:t>2</w:t>
      </w:r>
      <w:r>
        <w:rPr>
          <w:color w:val="auto"/>
        </w:rPr>
        <w:fldChar w:fldCharType="end"/>
      </w:r>
      <w:r>
        <w:rPr>
          <w:rFonts w:hint="eastAsia"/>
          <w:color w:val="auto"/>
          <w:lang w:val="en-US" w:eastAsia="zh-CN"/>
        </w:rPr>
        <w:t xml:space="preserve">  </w:t>
      </w:r>
      <w:r>
        <w:rPr>
          <w:rFonts w:hint="eastAsia" w:ascii="宋体" w:hAnsi="宋体" w:cs="宋体"/>
          <w:bCs/>
          <w:color w:val="auto"/>
          <w:szCs w:val="22"/>
          <w:lang w:val="en-US" w:eastAsia="zh-CN"/>
        </w:rPr>
        <w:t>T7020-10</w:t>
      </w:r>
      <w:r>
        <w:rPr>
          <w:rFonts w:hint="eastAsia" w:ascii="宋体" w:hAnsi="宋体" w:cs="宋体"/>
          <w:bCs/>
          <w:color w:val="auto"/>
          <w:szCs w:val="22"/>
        </w:rPr>
        <w:t>起重性能表</w:t>
      </w:r>
    </w:p>
    <w:p>
      <w:pPr>
        <w:rPr>
          <w:rFonts w:hint="eastAsia" w:eastAsia="宋体"/>
          <w:lang w:eastAsia="zh-CN"/>
        </w:rPr>
      </w:pPr>
      <w:r>
        <w:rPr>
          <w:rFonts w:hint="eastAsia"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2642870</wp:posOffset>
                </wp:positionH>
                <wp:positionV relativeFrom="paragraph">
                  <wp:posOffset>-2263140</wp:posOffset>
                </wp:positionV>
                <wp:extent cx="429895" cy="5154930"/>
                <wp:effectExtent l="14605" t="14605" r="31115" b="31750"/>
                <wp:wrapNone/>
                <wp:docPr id="41" name="矩形 7"/>
                <wp:cNvGraphicFramePr/>
                <a:graphic xmlns:a="http://schemas.openxmlformats.org/drawingml/2006/main">
                  <a:graphicData uri="http://schemas.microsoft.com/office/word/2010/wordprocessingShape">
                    <wps:wsp>
                      <wps:cNvSpPr/>
                      <wps:spPr>
                        <a:xfrm rot="16200000">
                          <a:off x="1773555" y="3552190"/>
                          <a:ext cx="429895" cy="5154930"/>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208.1pt;margin-top:-178.2pt;height:405.9pt;width:33.85pt;rotation:-5898240f;z-index:251660288;v-text-anchor:middle;mso-width-relative:page;mso-height-relative:page;" filled="f" stroked="t" coordsize="21600,21600" o:gfxdata="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uDzDfYAAAADAEAAA8AAAAAAAAAAQAgAAAAIgAAAGRycy9k&#10;b3ducmV2LnhtbFBLAQIUABQAAAAIAIdO4kDGXwjudAIAANAEAAAOAAAAAAAAAAEAIAAAACcBAABk&#10;cnMvZTJvRG9jLnhtbFBLBQYAAAAABgAGAFkBAAANBgAAAAA=&#10;">
                <v:fill on="f" focussize="0,0"/>
                <v:stroke weight="2.25pt" color="#FF0000 [3204]" joinstyle="round"/>
                <v:imagedata o:title=""/>
                <o:lock v:ext="edit" aspectratio="f"/>
              </v:rect>
            </w:pict>
          </mc:Fallback>
        </mc:AlternateContent>
      </w:r>
      <w:r>
        <w:drawing>
          <wp:inline distT="0" distB="0" distL="114300" distR="114300">
            <wp:extent cx="5271135" cy="2366645"/>
            <wp:effectExtent l="0" t="0" r="5715" b="14605"/>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35"/>
                    <a:srcRect t="7242"/>
                    <a:stretch>
                      <a:fillRect/>
                    </a:stretch>
                  </pic:blipFill>
                  <pic:spPr>
                    <a:xfrm>
                      <a:off x="0" y="0"/>
                      <a:ext cx="5271135" cy="2366645"/>
                    </a:xfrm>
                    <a:prstGeom prst="rect">
                      <a:avLst/>
                    </a:prstGeom>
                    <a:noFill/>
                    <a:ln>
                      <a:noFill/>
                    </a:ln>
                  </pic:spPr>
                </pic:pic>
              </a:graphicData>
            </a:graphic>
          </wp:inline>
        </w:drawing>
      </w:r>
    </w:p>
    <w:p>
      <w:pPr>
        <w:pStyle w:val="16"/>
        <w:rPr>
          <w:rFonts w:ascii="宋体" w:hAnsi="宋体" w:cs="宋体"/>
        </w:rPr>
      </w:pPr>
    </w:p>
    <w:p>
      <w:pPr>
        <w:pStyle w:val="5"/>
        <w:bidi w:val="0"/>
        <w:ind w:left="0" w:leftChars="0" w:firstLine="0" w:firstLineChars="0"/>
        <w:rPr>
          <w:rFonts w:hint="eastAsia"/>
          <w:sz w:val="24"/>
          <w:szCs w:val="24"/>
          <w:lang w:val="en-US" w:eastAsia="zh-CN"/>
        </w:rPr>
      </w:pPr>
      <w:bookmarkStart w:id="32" w:name="_Toc10409776"/>
      <w:bookmarkStart w:id="33" w:name="_Toc15331"/>
      <w:bookmarkStart w:id="34" w:name="_Toc16276"/>
      <w:r>
        <w:rPr>
          <w:rFonts w:hint="eastAsia"/>
          <w:sz w:val="24"/>
          <w:szCs w:val="24"/>
          <w:lang w:val="en-US" w:eastAsia="zh-CN"/>
        </w:rPr>
        <w:t>塔式起重机主要部件</w:t>
      </w:r>
      <w:bookmarkEnd w:id="32"/>
      <w:bookmarkEnd w:id="33"/>
      <w:bookmarkEnd w:id="34"/>
    </w:p>
    <w:p>
      <w:pPr>
        <w:pStyle w:val="16"/>
      </w:pPr>
      <w:r>
        <w:drawing>
          <wp:inline distT="0" distB="0" distL="114300" distR="114300">
            <wp:extent cx="5274310" cy="5640705"/>
            <wp:effectExtent l="0" t="0" r="2540" b="1714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36"/>
                    <a:stretch>
                      <a:fillRect/>
                    </a:stretch>
                  </pic:blipFill>
                  <pic:spPr>
                    <a:xfrm>
                      <a:off x="0" y="0"/>
                      <a:ext cx="5274310" cy="5640705"/>
                    </a:xfrm>
                    <a:prstGeom prst="rect">
                      <a:avLst/>
                    </a:prstGeom>
                    <a:noFill/>
                    <a:ln>
                      <a:noFill/>
                    </a:ln>
                  </pic:spPr>
                </pic:pic>
              </a:graphicData>
            </a:graphic>
          </wp:inline>
        </w:drawing>
      </w:r>
    </w:p>
    <w:p>
      <w:pPr>
        <w:pStyle w:val="16"/>
        <w:rPr>
          <w:rFonts w:hint="eastAsia" w:ascii="宋体" w:hAnsi="宋体" w:cs="宋体"/>
          <w:bCs/>
          <w:color w:val="auto"/>
          <w:szCs w:val="22"/>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3 \s</w:instrText>
      </w:r>
      <w:r>
        <w:rPr>
          <w:color w:val="auto"/>
        </w:rPr>
        <w:instrText xml:space="preserve"> </w:instrText>
      </w:r>
      <w:r>
        <w:rPr>
          <w:color w:val="auto"/>
        </w:rPr>
        <w:fldChar w:fldCharType="separate"/>
      </w:r>
      <w:r>
        <w:rPr>
          <w:color w:val="auto"/>
        </w:rPr>
        <w:t>2.4.2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3</w:instrText>
      </w:r>
      <w:r>
        <w:rPr>
          <w:color w:val="auto"/>
        </w:rPr>
        <w:instrText xml:space="preserve"> </w:instrText>
      </w:r>
      <w:r>
        <w:rPr>
          <w:color w:val="auto"/>
        </w:rPr>
        <w:fldChar w:fldCharType="separate"/>
      </w:r>
      <w:r>
        <w:rPr>
          <w:color w:val="auto"/>
        </w:rPr>
        <w:t>1</w:t>
      </w:r>
      <w:r>
        <w:rPr>
          <w:color w:val="auto"/>
        </w:rPr>
        <w:fldChar w:fldCharType="end"/>
      </w:r>
      <w:r>
        <w:rPr>
          <w:rFonts w:hint="eastAsia" w:ascii="宋体" w:hAnsi="宋体" w:cs="宋体"/>
          <w:bCs/>
          <w:color w:val="auto"/>
          <w:szCs w:val="22"/>
          <w:lang w:val="en-US" w:eastAsia="zh-CN"/>
        </w:rPr>
        <w:t>T7020-10</w:t>
      </w:r>
      <w:r>
        <w:rPr>
          <w:rFonts w:hint="eastAsia" w:ascii="宋体" w:hAnsi="宋体" w:cs="宋体"/>
          <w:bCs/>
          <w:color w:val="auto"/>
          <w:szCs w:val="22"/>
        </w:rPr>
        <w:t>塔吊安装结构图</w:t>
      </w:r>
    </w:p>
    <w:p>
      <w:pPr>
        <w:rPr>
          <w:rFonts w:hint="eastAsia"/>
        </w:rPr>
      </w:pPr>
    </w:p>
    <w:p>
      <w:pPr>
        <w:pStyle w:val="16"/>
        <w:rPr>
          <w:rFonts w:hint="eastAsia" w:ascii="宋体" w:hAnsi="宋体" w:cs="宋体"/>
          <w:bCs/>
          <w:color w:val="auto"/>
          <w:szCs w:val="22"/>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3 \s</w:instrText>
      </w:r>
      <w:r>
        <w:rPr>
          <w:color w:val="auto"/>
        </w:rPr>
        <w:instrText xml:space="preserve"> </w:instrText>
      </w:r>
      <w:r>
        <w:rPr>
          <w:color w:val="auto"/>
        </w:rPr>
        <w:fldChar w:fldCharType="separate"/>
      </w:r>
      <w:r>
        <w:rPr>
          <w:color w:val="auto"/>
        </w:rPr>
        <w:t>2.4.2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3</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lang w:val="en-US" w:eastAsia="zh-CN"/>
        </w:rPr>
        <w:t xml:space="preserve"> </w:t>
      </w:r>
      <w:r>
        <w:rPr>
          <w:rFonts w:hint="eastAsia"/>
          <w:color w:val="auto"/>
        </w:rPr>
        <w:t>单个</w:t>
      </w:r>
      <w:r>
        <w:rPr>
          <w:rFonts w:hint="eastAsia" w:ascii="宋体" w:hAnsi="宋体" w:cs="宋体"/>
          <w:bCs/>
          <w:color w:val="auto"/>
          <w:szCs w:val="22"/>
          <w:lang w:val="en-US" w:eastAsia="zh-CN"/>
        </w:rPr>
        <w:t>T7020-10S1)</w:t>
      </w:r>
      <w:r>
        <w:rPr>
          <w:rFonts w:hint="eastAsia" w:ascii="宋体" w:hAnsi="宋体" w:cs="宋体"/>
          <w:bCs/>
          <w:color w:val="auto"/>
          <w:szCs w:val="22"/>
        </w:rPr>
        <w:t>塔吊主要结构尺寸参数表</w:t>
      </w:r>
    </w:p>
    <w:p>
      <w:pPr>
        <w:jc w:val="center"/>
      </w:pPr>
      <w:r>
        <w:drawing>
          <wp:inline distT="0" distB="0" distL="114300" distR="114300">
            <wp:extent cx="4895215" cy="7177405"/>
            <wp:effectExtent l="0" t="0" r="635" b="4445"/>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37"/>
                    <a:stretch>
                      <a:fillRect/>
                    </a:stretch>
                  </pic:blipFill>
                  <pic:spPr>
                    <a:xfrm>
                      <a:off x="0" y="0"/>
                      <a:ext cx="4895215" cy="7177405"/>
                    </a:xfrm>
                    <a:prstGeom prst="rect">
                      <a:avLst/>
                    </a:prstGeom>
                    <a:noFill/>
                    <a:ln>
                      <a:noFill/>
                    </a:ln>
                  </pic:spPr>
                </pic:pic>
              </a:graphicData>
            </a:graphic>
          </wp:inline>
        </w:drawing>
      </w:r>
      <w:r>
        <w:drawing>
          <wp:inline distT="0" distB="0" distL="114300" distR="114300">
            <wp:extent cx="5011420" cy="7035165"/>
            <wp:effectExtent l="0" t="0" r="17780" b="1333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38"/>
                    <a:stretch>
                      <a:fillRect/>
                    </a:stretch>
                  </pic:blipFill>
                  <pic:spPr>
                    <a:xfrm>
                      <a:off x="0" y="0"/>
                      <a:ext cx="5011420" cy="7035165"/>
                    </a:xfrm>
                    <a:prstGeom prst="rect">
                      <a:avLst/>
                    </a:prstGeom>
                    <a:noFill/>
                    <a:ln>
                      <a:noFill/>
                    </a:ln>
                  </pic:spPr>
                </pic:pic>
              </a:graphicData>
            </a:graphic>
          </wp:inline>
        </w:drawing>
      </w:r>
    </w:p>
    <w:p>
      <w:pPr>
        <w:pStyle w:val="5"/>
        <w:bidi w:val="0"/>
        <w:ind w:left="0" w:leftChars="0" w:firstLine="0" w:firstLineChars="0"/>
        <w:rPr>
          <w:rFonts w:hint="eastAsia"/>
          <w:sz w:val="24"/>
          <w:szCs w:val="24"/>
          <w:lang w:val="en-US" w:eastAsia="zh-CN"/>
        </w:rPr>
      </w:pPr>
      <w:bookmarkStart w:id="35" w:name="_Toc13906"/>
      <w:bookmarkStart w:id="36" w:name="_Toc6722"/>
      <w:r>
        <w:rPr>
          <w:rFonts w:hint="eastAsia"/>
          <w:sz w:val="24"/>
          <w:szCs w:val="24"/>
          <w:lang w:val="en-US" w:eastAsia="zh-CN"/>
        </w:rPr>
        <w:t>基础设置</w:t>
      </w:r>
      <w:bookmarkEnd w:id="35"/>
      <w:bookmarkEnd w:id="36"/>
    </w:p>
    <w:p>
      <w:pPr>
        <w:spacing w:after="120"/>
        <w:ind w:firstLine="480"/>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塔吊及基础的基本情况见表4</w:t>
      </w:r>
      <w:r>
        <w:rPr>
          <w:rFonts w:hint="eastAsia" w:ascii="宋体" w:hAnsi="宋体" w:cs="宋体"/>
          <w:bCs/>
          <w:color w:val="000000" w:themeColor="text1"/>
          <w:lang w:val="en-US" w:eastAsia="zh-CN"/>
          <w14:textFill>
            <w14:solidFill>
              <w14:schemeClr w14:val="tx1"/>
            </w14:solidFill>
          </w14:textFill>
        </w:rPr>
        <w:t>.1</w:t>
      </w:r>
      <w:r>
        <w:rPr>
          <w:rFonts w:hint="eastAsia" w:ascii="宋体" w:hAnsi="宋体" w:cs="宋体"/>
          <w:bCs/>
          <w:color w:val="000000" w:themeColor="text1"/>
          <w14:textFill>
            <w14:solidFill>
              <w14:schemeClr w14:val="tx1"/>
            </w14:solidFill>
          </w14:textFill>
        </w:rPr>
        <w:t>-1。</w:t>
      </w:r>
    </w:p>
    <w:p>
      <w:pPr>
        <w:spacing w:after="120"/>
        <w:ind w:firstLine="422"/>
        <w:jc w:val="center"/>
        <w:rPr>
          <w:rFonts w:ascii="宋体" w:hAnsi="宋体" w:cs="宋体"/>
          <w:b/>
          <w:bCs/>
          <w:sz w:val="21"/>
          <w:szCs w:val="22"/>
        </w:rPr>
      </w:pPr>
      <w:r>
        <w:rPr>
          <w:rFonts w:hint="eastAsia" w:ascii="宋体" w:hAnsi="宋体" w:cs="宋体"/>
          <w:b/>
          <w:bCs/>
          <w:sz w:val="21"/>
          <w:szCs w:val="22"/>
        </w:rPr>
        <w:t>表4.1-1塔吊基础基本信息</w:t>
      </w:r>
    </w:p>
    <w:tbl>
      <w:tblPr>
        <w:tblStyle w:val="42"/>
        <w:tblW w:w="93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0"/>
        <w:gridCol w:w="1592"/>
        <w:gridCol w:w="1468"/>
        <w:gridCol w:w="1755"/>
        <w:gridCol w:w="1553"/>
        <w:gridCol w:w="1197"/>
        <w:gridCol w:w="10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700" w:type="dxa"/>
            <w:vAlign w:val="center"/>
          </w:tcPr>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编号</w:t>
            </w:r>
          </w:p>
        </w:tc>
        <w:tc>
          <w:tcPr>
            <w:tcW w:w="1592" w:type="dxa"/>
            <w:vAlign w:val="center"/>
          </w:tcPr>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型号</w:t>
            </w:r>
          </w:p>
        </w:tc>
        <w:tc>
          <w:tcPr>
            <w:tcW w:w="1468" w:type="dxa"/>
            <w:vAlign w:val="center"/>
          </w:tcPr>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基础形式</w:t>
            </w:r>
          </w:p>
        </w:tc>
        <w:tc>
          <w:tcPr>
            <w:tcW w:w="1755" w:type="dxa"/>
            <w:vAlign w:val="center"/>
          </w:tcPr>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基础承台尺寸</w:t>
            </w:r>
          </w:p>
        </w:tc>
        <w:tc>
          <w:tcPr>
            <w:tcW w:w="1553" w:type="dxa"/>
            <w:vAlign w:val="center"/>
          </w:tcPr>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基础顶标高</w:t>
            </w:r>
          </w:p>
        </w:tc>
        <w:tc>
          <w:tcPr>
            <w:tcW w:w="1197" w:type="dxa"/>
            <w:vAlign w:val="center"/>
          </w:tcPr>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起重臂工作半径</w:t>
            </w:r>
          </w:p>
        </w:tc>
        <w:tc>
          <w:tcPr>
            <w:tcW w:w="1091" w:type="dxa"/>
            <w:vAlign w:val="center"/>
          </w:tcPr>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安装高度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700" w:type="dxa"/>
            <w:vAlign w:val="center"/>
          </w:tcPr>
          <w:p>
            <w:pPr>
              <w:spacing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1#</w:t>
            </w:r>
          </w:p>
        </w:tc>
        <w:tc>
          <w:tcPr>
            <w:tcW w:w="1592" w:type="dxa"/>
            <w:vAlign w:val="center"/>
          </w:tcPr>
          <w:p>
            <w:pPr>
              <w:spacing w:line="240" w:lineRule="auto"/>
              <w:ind w:left="0" w:leftChars="0" w:firstLine="0" w:firstLineChars="0"/>
              <w:jc w:val="center"/>
              <w:rPr>
                <w:rFonts w:ascii="宋体" w:hAnsi="宋体" w:cs="宋体"/>
                <w:bCs/>
                <w:color w:val="000000" w:themeColor="text1"/>
                <w14:textFill>
                  <w14:solidFill>
                    <w14:schemeClr w14:val="tx1"/>
                  </w14:solidFill>
                </w14:textFill>
              </w:rPr>
            </w:pPr>
            <w:r>
              <w:rPr>
                <w:rFonts w:hint="eastAsia"/>
                <w:lang w:val="en-US" w:eastAsia="zh-CN"/>
              </w:rPr>
              <w:t>T7020-10</w:t>
            </w:r>
          </w:p>
        </w:tc>
        <w:tc>
          <w:tcPr>
            <w:tcW w:w="1468" w:type="dxa"/>
            <w:vAlign w:val="center"/>
          </w:tcPr>
          <w:p>
            <w:pPr>
              <w:spacing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钢格构柱钢平台基础</w:t>
            </w:r>
          </w:p>
        </w:tc>
        <w:tc>
          <w:tcPr>
            <w:tcW w:w="1755" w:type="dxa"/>
            <w:vAlign w:val="center"/>
          </w:tcPr>
          <w:p>
            <w:pPr>
              <w:spacing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3.0m×3.0m×1.2m</w:t>
            </w:r>
          </w:p>
        </w:tc>
        <w:tc>
          <w:tcPr>
            <w:tcW w:w="1553" w:type="dxa"/>
            <w:vAlign w:val="center"/>
          </w:tcPr>
          <w:p>
            <w:pPr>
              <w:spacing w:line="240" w:lineRule="auto"/>
              <w:ind w:firstLine="0" w:firstLineChars="0"/>
              <w:jc w:val="center"/>
              <w:rPr>
                <w:rFonts w:ascii="宋体" w:hAnsi="宋体" w:cs="宋体"/>
                <w:bCs/>
                <w:color w:val="000000" w:themeColor="text1"/>
                <w14:textFill>
                  <w14:solidFill>
                    <w14:schemeClr w14:val="tx1"/>
                  </w14:solidFill>
                </w14:textFill>
              </w:rPr>
            </w:pPr>
            <w:r>
              <w:rPr>
                <w:rFonts w:hint="eastAsia" w:ascii="Times New Roman" w:hAnsi="Times New Roman" w:eastAsia="宋体" w:cs="Times New Roman"/>
                <w:b w:val="0"/>
                <w:bCs/>
                <w:color w:val="auto"/>
                <w:lang w:val="en-US" w:eastAsia="zh-CN"/>
              </w:rPr>
              <w:t>+2</w:t>
            </w:r>
            <w:r>
              <w:rPr>
                <w:rFonts w:hint="eastAsia" w:cs="Times New Roman"/>
                <w:b w:val="0"/>
                <w:bCs/>
                <w:color w:val="auto"/>
                <w:lang w:val="en-US" w:eastAsia="zh-CN"/>
              </w:rPr>
              <w:t>8.1</w:t>
            </w:r>
            <w:r>
              <w:rPr>
                <w:rFonts w:hint="eastAsia" w:ascii="Times New Roman" w:hAnsi="Times New Roman" w:eastAsia="宋体" w:cs="Times New Roman"/>
                <w:b w:val="0"/>
                <w:bCs/>
                <w:color w:val="auto"/>
                <w:lang w:val="en-US" w:eastAsia="zh-CN"/>
              </w:rPr>
              <w:t>m</w:t>
            </w:r>
          </w:p>
        </w:tc>
        <w:tc>
          <w:tcPr>
            <w:tcW w:w="1197" w:type="dxa"/>
            <w:vAlign w:val="center"/>
          </w:tcPr>
          <w:p>
            <w:pPr>
              <w:spacing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Times New Roman" w:hAnsi="Times New Roman" w:eastAsia="宋体" w:cs="Times New Roman"/>
                <w:b w:val="0"/>
                <w:bCs/>
                <w:color w:val="auto"/>
                <w:lang w:val="en-US" w:eastAsia="zh-CN"/>
              </w:rPr>
              <w:t>70</w:t>
            </w:r>
            <w:r>
              <w:rPr>
                <w:rFonts w:hint="eastAsia" w:ascii="宋体" w:hAnsi="宋体" w:cs="宋体"/>
                <w:bCs/>
                <w:color w:val="000000" w:themeColor="text1"/>
                <w:lang w:val="en-US" w:eastAsia="zh-CN"/>
                <w14:textFill>
                  <w14:solidFill>
                    <w14:schemeClr w14:val="tx1"/>
                  </w14:solidFill>
                </w14:textFill>
              </w:rPr>
              <w:t>m</w:t>
            </w:r>
          </w:p>
        </w:tc>
        <w:tc>
          <w:tcPr>
            <w:tcW w:w="1091" w:type="dxa"/>
            <w:vAlign w:val="center"/>
          </w:tcPr>
          <w:p>
            <w:pPr>
              <w:spacing w:line="240" w:lineRule="auto"/>
              <w:ind w:firstLine="0" w:firstLineChars="0"/>
              <w:jc w:val="center"/>
              <w:rPr>
                <w:rFonts w:hint="default" w:ascii="Times New Roman" w:hAnsi="Times New Roman" w:eastAsia="宋体" w:cs="Times New Roman"/>
                <w:b w:val="0"/>
                <w:bCs/>
                <w:color w:val="auto"/>
                <w:lang w:val="en-US" w:eastAsia="zh-CN"/>
              </w:rPr>
            </w:pPr>
            <w:r>
              <w:rPr>
                <w:rFonts w:hint="eastAsia" w:cs="Times New Roman"/>
                <w:b w:val="0"/>
                <w:bCs/>
                <w:color w:val="auto"/>
                <w:lang w:val="en-US" w:eastAsia="zh-CN"/>
              </w:rPr>
              <w:t>36</w:t>
            </w:r>
            <w:r>
              <w:rPr>
                <w:rFonts w:hint="eastAsia" w:ascii="Times New Roman" w:hAnsi="Times New Roman" w:eastAsia="宋体" w:cs="Times New Roman"/>
                <w:b w:val="0"/>
                <w:bCs/>
                <w:color w:val="auto"/>
                <w:lang w:val="en-US" w:eastAsia="zh-CN"/>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700" w:type="dxa"/>
            <w:vAlign w:val="center"/>
          </w:tcPr>
          <w:p>
            <w:pPr>
              <w:spacing w:line="240" w:lineRule="auto"/>
              <w:ind w:firstLine="0" w:firstLineChars="0"/>
              <w:jc w:val="center"/>
              <w:rPr>
                <w:rFonts w:hint="default" w:ascii="宋体" w:hAnsi="宋体" w:eastAsia="宋体" w:cs="宋体"/>
                <w:bCs/>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2#</w:t>
            </w:r>
          </w:p>
        </w:tc>
        <w:tc>
          <w:tcPr>
            <w:tcW w:w="1592" w:type="dxa"/>
            <w:vAlign w:val="center"/>
          </w:tcPr>
          <w:p>
            <w:pPr>
              <w:spacing w:line="240" w:lineRule="auto"/>
              <w:ind w:left="0" w:leftChars="0" w:firstLine="0" w:firstLineChars="0"/>
              <w:jc w:val="center"/>
              <w:rPr>
                <w:rFonts w:hint="eastAsia" w:ascii="宋体" w:hAnsi="宋体" w:eastAsia="宋体" w:cs="宋体"/>
                <w:bCs/>
                <w:color w:val="000000" w:themeColor="text1"/>
                <w:kern w:val="2"/>
                <w:sz w:val="24"/>
                <w:szCs w:val="21"/>
                <w:lang w:val="en-US" w:eastAsia="zh-CN" w:bidi="ar-SA"/>
                <w14:textFill>
                  <w14:solidFill>
                    <w14:schemeClr w14:val="tx1"/>
                  </w14:solidFill>
                </w14:textFill>
              </w:rPr>
            </w:pPr>
            <w:r>
              <w:rPr>
                <w:rFonts w:hint="eastAsia"/>
                <w:lang w:val="en-US" w:eastAsia="zh-CN"/>
              </w:rPr>
              <w:t>T7020-10</w:t>
            </w:r>
          </w:p>
        </w:tc>
        <w:tc>
          <w:tcPr>
            <w:tcW w:w="1468" w:type="dxa"/>
            <w:vAlign w:val="center"/>
          </w:tcPr>
          <w:p>
            <w:pPr>
              <w:spacing w:line="240" w:lineRule="auto"/>
              <w:ind w:firstLine="0" w:firstLineChars="0"/>
              <w:jc w:val="center"/>
              <w:rPr>
                <w:rFonts w:hint="eastAsia" w:ascii="宋体" w:hAnsi="宋体" w:eastAsia="宋体" w:cs="宋体"/>
                <w:bCs/>
                <w:color w:val="000000" w:themeColor="text1"/>
                <w:kern w:val="2"/>
                <w:sz w:val="24"/>
                <w:szCs w:val="21"/>
                <w:lang w:val="en-US" w:eastAsia="zh-CN" w:bidi="ar-SA"/>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钢格构柱钢平台基础</w:t>
            </w:r>
          </w:p>
        </w:tc>
        <w:tc>
          <w:tcPr>
            <w:tcW w:w="1755" w:type="dxa"/>
            <w:vAlign w:val="center"/>
          </w:tcPr>
          <w:p>
            <w:pPr>
              <w:spacing w:line="240" w:lineRule="auto"/>
              <w:ind w:firstLine="0" w:firstLineChars="0"/>
              <w:jc w:val="center"/>
              <w:rPr>
                <w:rFonts w:hint="eastAsia" w:ascii="宋体" w:hAnsi="宋体" w:eastAsia="宋体" w:cs="宋体"/>
                <w:bCs/>
                <w:color w:val="000000" w:themeColor="text1"/>
                <w:kern w:val="2"/>
                <w:sz w:val="24"/>
                <w:szCs w:val="21"/>
                <w:lang w:val="en-US" w:eastAsia="zh-CN" w:bidi="ar-SA"/>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3.0m×3.0m×1.2m</w:t>
            </w:r>
          </w:p>
        </w:tc>
        <w:tc>
          <w:tcPr>
            <w:tcW w:w="1553" w:type="dxa"/>
            <w:vAlign w:val="center"/>
          </w:tcPr>
          <w:p>
            <w:pPr>
              <w:spacing w:line="240" w:lineRule="auto"/>
              <w:ind w:firstLine="0" w:firstLineChars="0"/>
              <w:jc w:val="center"/>
              <w:rPr>
                <w:rFonts w:hint="eastAsia" w:ascii="宋体" w:hAnsi="宋体" w:eastAsia="宋体" w:cs="宋体"/>
                <w:bCs/>
                <w:color w:val="000000" w:themeColor="text1"/>
                <w:kern w:val="2"/>
                <w:sz w:val="24"/>
                <w:szCs w:val="21"/>
                <w:lang w:val="en-US" w:eastAsia="zh-CN" w:bidi="ar-SA"/>
                <w14:textFill>
                  <w14:solidFill>
                    <w14:schemeClr w14:val="tx1"/>
                  </w14:solidFill>
                </w14:textFill>
              </w:rPr>
            </w:pPr>
            <w:r>
              <w:rPr>
                <w:rFonts w:hint="eastAsia" w:ascii="Times New Roman" w:hAnsi="Times New Roman" w:eastAsia="宋体" w:cs="Times New Roman"/>
                <w:b w:val="0"/>
                <w:bCs/>
                <w:color w:val="auto"/>
                <w:lang w:val="en-US" w:eastAsia="zh-CN"/>
              </w:rPr>
              <w:t>+2</w:t>
            </w:r>
            <w:r>
              <w:rPr>
                <w:rFonts w:hint="eastAsia" w:cs="Times New Roman"/>
                <w:b w:val="0"/>
                <w:bCs/>
                <w:color w:val="auto"/>
                <w:lang w:val="en-US" w:eastAsia="zh-CN"/>
              </w:rPr>
              <w:t>8.1</w:t>
            </w:r>
            <w:r>
              <w:rPr>
                <w:rFonts w:hint="eastAsia" w:ascii="Times New Roman" w:hAnsi="Times New Roman" w:eastAsia="宋体" w:cs="Times New Roman"/>
                <w:b w:val="0"/>
                <w:bCs/>
                <w:color w:val="auto"/>
                <w:lang w:val="en-US" w:eastAsia="zh-CN"/>
              </w:rPr>
              <w:t>m</w:t>
            </w:r>
          </w:p>
        </w:tc>
        <w:tc>
          <w:tcPr>
            <w:tcW w:w="1197" w:type="dxa"/>
            <w:vAlign w:val="center"/>
          </w:tcPr>
          <w:p>
            <w:pPr>
              <w:spacing w:line="240" w:lineRule="auto"/>
              <w:ind w:firstLine="0" w:firstLineChars="0"/>
              <w:jc w:val="center"/>
              <w:rPr>
                <w:rFonts w:hint="eastAsia" w:ascii="宋体" w:hAnsi="宋体" w:eastAsia="宋体" w:cs="宋体"/>
                <w:bCs/>
                <w:color w:val="000000" w:themeColor="text1"/>
                <w:kern w:val="2"/>
                <w:sz w:val="24"/>
                <w:szCs w:val="21"/>
                <w:lang w:val="en-US" w:eastAsia="zh-CN" w:bidi="ar-SA"/>
                <w14:textFill>
                  <w14:solidFill>
                    <w14:schemeClr w14:val="tx1"/>
                  </w14:solidFill>
                </w14:textFill>
              </w:rPr>
            </w:pPr>
            <w:r>
              <w:rPr>
                <w:rFonts w:hint="eastAsia" w:ascii="Times New Roman" w:hAnsi="Times New Roman" w:eastAsia="宋体" w:cs="Times New Roman"/>
                <w:b w:val="0"/>
                <w:bCs/>
                <w:color w:val="auto"/>
                <w:lang w:val="en-US" w:eastAsia="zh-CN"/>
              </w:rPr>
              <w:t>70</w:t>
            </w:r>
            <w:r>
              <w:rPr>
                <w:rFonts w:hint="eastAsia" w:ascii="宋体" w:hAnsi="宋体" w:cs="宋体"/>
                <w:bCs/>
                <w:color w:val="000000" w:themeColor="text1"/>
                <w:lang w:val="en-US" w:eastAsia="zh-CN"/>
                <w14:textFill>
                  <w14:solidFill>
                    <w14:schemeClr w14:val="tx1"/>
                  </w14:solidFill>
                </w14:textFill>
              </w:rPr>
              <w:t>m</w:t>
            </w:r>
          </w:p>
        </w:tc>
        <w:tc>
          <w:tcPr>
            <w:tcW w:w="1091" w:type="dxa"/>
            <w:vAlign w:val="center"/>
          </w:tcPr>
          <w:p>
            <w:pPr>
              <w:spacing w:line="240" w:lineRule="auto"/>
              <w:ind w:firstLine="0" w:firstLineChars="0"/>
              <w:jc w:val="center"/>
              <w:rPr>
                <w:rFonts w:hint="eastAsia" w:ascii="Times New Roman" w:hAnsi="Times New Roman" w:eastAsia="宋体" w:cs="Times New Roman"/>
                <w:b w:val="0"/>
                <w:bCs/>
                <w:color w:val="auto"/>
                <w:kern w:val="2"/>
                <w:sz w:val="24"/>
                <w:szCs w:val="21"/>
                <w:lang w:val="en-US" w:eastAsia="zh-CN" w:bidi="ar-SA"/>
              </w:rPr>
            </w:pPr>
            <w:r>
              <w:rPr>
                <w:rFonts w:hint="eastAsia" w:cs="Times New Roman"/>
                <w:b w:val="0"/>
                <w:bCs/>
                <w:color w:val="auto"/>
                <w:lang w:val="en-US" w:eastAsia="zh-CN"/>
              </w:rPr>
              <w:t>36</w:t>
            </w:r>
            <w:r>
              <w:rPr>
                <w:rFonts w:hint="eastAsia" w:ascii="Times New Roman" w:hAnsi="Times New Roman" w:eastAsia="宋体" w:cs="Times New Roman"/>
                <w:b w:val="0"/>
                <w:bCs/>
                <w:color w:val="auto"/>
                <w:lang w:val="en-US" w:eastAsia="zh-CN"/>
              </w:rPr>
              <w:t>m</w:t>
            </w:r>
          </w:p>
        </w:tc>
      </w:tr>
    </w:tbl>
    <w:p>
      <w:pPr>
        <w:pStyle w:val="4"/>
      </w:pPr>
      <w:bookmarkStart w:id="37" w:name="_Toc28220"/>
      <w:r>
        <w:rPr>
          <w:rFonts w:hint="eastAsia"/>
        </w:rPr>
        <w:t>施工要求和技术保证条件</w:t>
      </w:r>
      <w:bookmarkEnd w:id="37"/>
    </w:p>
    <w:p>
      <w:pPr>
        <w:pStyle w:val="5"/>
        <w:bidi w:val="0"/>
        <w:ind w:left="0" w:leftChars="0" w:firstLine="0" w:firstLineChars="0"/>
        <w:rPr>
          <w:rFonts w:hint="eastAsia"/>
          <w:sz w:val="24"/>
          <w:szCs w:val="24"/>
          <w:lang w:val="en-US" w:eastAsia="zh-CN"/>
        </w:rPr>
      </w:pPr>
      <w:r>
        <w:rPr>
          <w:rFonts w:hint="eastAsia"/>
          <w:sz w:val="24"/>
          <w:szCs w:val="24"/>
          <w:lang w:val="en-US" w:eastAsia="zh-CN"/>
        </w:rPr>
        <w:t>安装的重点及难点</w:t>
      </w:r>
    </w:p>
    <w:p>
      <w:pPr>
        <w:keepNext w:val="0"/>
        <w:keepLines w:val="0"/>
        <w:pageBreakBefore w:val="0"/>
        <w:widowControl w:val="0"/>
        <w:kinsoku/>
        <w:wordWrap/>
        <w:overflowPunct/>
        <w:topLinePunct w:val="0"/>
        <w:autoSpaceDE/>
        <w:autoSpaceDN/>
        <w:bidi w:val="0"/>
        <w:adjustRightInd/>
        <w:snapToGrid/>
        <w:ind w:firstLine="480"/>
        <w:textAlignment w:val="auto"/>
      </w:pPr>
      <w:r>
        <w:rPr>
          <w:rFonts w:hint="eastAsia"/>
        </w:rPr>
        <w:t>塔吊位于</w:t>
      </w:r>
      <w:r>
        <w:rPr>
          <w:rFonts w:hint="eastAsia"/>
          <w:lang w:val="en-US" w:eastAsia="zh-CN"/>
        </w:rPr>
        <w:t>两个承台中间，为钢格构柱钢平台基础，对焊接的要求较高</w:t>
      </w:r>
      <w:r>
        <w:rPr>
          <w:rFonts w:hint="eastAsia"/>
        </w:rPr>
        <w:t>；</w:t>
      </w:r>
    </w:p>
    <w:p>
      <w:pPr>
        <w:pStyle w:val="5"/>
        <w:bidi w:val="0"/>
        <w:ind w:left="0" w:leftChars="0" w:firstLine="0" w:firstLineChars="0"/>
        <w:rPr>
          <w:rFonts w:hint="eastAsia"/>
          <w:sz w:val="24"/>
          <w:szCs w:val="24"/>
          <w:lang w:val="en-US" w:eastAsia="zh-CN"/>
        </w:rPr>
      </w:pPr>
      <w:r>
        <w:rPr>
          <w:rFonts w:hint="eastAsia"/>
          <w:sz w:val="24"/>
          <w:szCs w:val="24"/>
          <w:lang w:val="en-US" w:eastAsia="zh-CN"/>
        </w:rPr>
        <w:t>运输及进场要求</w:t>
      </w:r>
    </w:p>
    <w:p>
      <w:pPr>
        <w:ind w:firstLine="480"/>
      </w:pPr>
      <w:r>
        <w:rPr>
          <w:rFonts w:hint="eastAsia"/>
        </w:rPr>
        <w:t>起重机各类构件使用平板车运输，每辆车上对部件用钢丝绳、手拉葫芦锁紧，防止侧翻与滑动。每辆车悬挂安全标志，并办理运输保险事宜。主要部件的运输，按照普通公路的运输要求，委托有运输资质的物流运输单位，重要部件如电机、电气部件等采用包装箱整体运输或局部</w:t>
      </w:r>
      <w:r>
        <w:rPr>
          <w:rFonts w:hint="eastAsia"/>
          <w:lang w:val="en-US" w:eastAsia="zh-CN"/>
        </w:rPr>
        <w:t>包</w:t>
      </w:r>
      <w:r>
        <w:rPr>
          <w:rFonts w:hint="eastAsia"/>
        </w:rPr>
        <w:t>装，避免运输途中防雨受潮损坏或遗失。</w:t>
      </w:r>
    </w:p>
    <w:p>
      <w:pPr>
        <w:ind w:firstLine="480"/>
      </w:pPr>
      <w:r>
        <w:rPr>
          <w:rFonts w:hint="eastAsia"/>
        </w:rPr>
        <w:t>发货时要根据现场拼装步骤按基础节、套架、回转总成、平衡臂、塔帽、起重机臂、配重及标准节等顺序。前后协调，统筹配发，以免现场造成堆压和不必要的周转拨运。</w:t>
      </w:r>
    </w:p>
    <w:p>
      <w:pPr>
        <w:ind w:firstLine="480"/>
      </w:pPr>
      <w:r>
        <w:rPr>
          <w:rFonts w:hint="eastAsia"/>
        </w:rPr>
        <w:t>装卸车时，要确保装吊安全，特别是主梁等大件，要利用所设专用吊耳，临时存放时，大件下要支垫枕木，并进行固定绑扎，防止倾倒。</w:t>
      </w:r>
    </w:p>
    <w:p>
      <w:pPr>
        <w:ind w:firstLine="480"/>
      </w:pPr>
      <w:r>
        <w:rPr>
          <w:rFonts w:hint="eastAsia"/>
        </w:rPr>
        <w:t>电气及电机设备的吊装时注意不能倒置，不得以大压小，运输及存放时要有防雨防潮措施。</w:t>
      </w:r>
    </w:p>
    <w:p>
      <w:pPr>
        <w:ind w:firstLine="480"/>
      </w:pPr>
      <w:r>
        <w:rPr>
          <w:rFonts w:hint="eastAsia"/>
        </w:rPr>
        <w:t>在设备装卸期间，如果物体的最大尺寸阻挡了起升控制人员的视野，应该由另外的操作人员来指引进行操作。</w:t>
      </w:r>
    </w:p>
    <w:p>
      <w:pPr>
        <w:ind w:firstLine="480"/>
      </w:pPr>
      <w:r>
        <w:rPr>
          <w:rFonts w:hint="eastAsia"/>
        </w:rPr>
        <w:t>在装卸设备之前，检查起升设备和相关物品中（绳索、手拉葫芦等）是否满足所吊负载和适当的稳定性的要求。</w:t>
      </w:r>
    </w:p>
    <w:p>
      <w:pPr>
        <w:pStyle w:val="5"/>
        <w:bidi w:val="0"/>
        <w:ind w:left="0" w:leftChars="0" w:firstLine="0" w:firstLineChars="0"/>
        <w:rPr>
          <w:rFonts w:hint="eastAsia"/>
          <w:sz w:val="24"/>
          <w:szCs w:val="24"/>
          <w:lang w:val="en-US" w:eastAsia="zh-CN"/>
        </w:rPr>
      </w:pPr>
      <w:r>
        <w:rPr>
          <w:rFonts w:hint="eastAsia"/>
          <w:sz w:val="24"/>
          <w:szCs w:val="24"/>
          <w:lang w:val="en-US" w:eastAsia="zh-CN"/>
        </w:rPr>
        <w:t>技术保证条件</w:t>
      </w:r>
    </w:p>
    <w:p>
      <w:pPr>
        <w:ind w:firstLine="480"/>
      </w:pPr>
      <w:r>
        <w:rPr>
          <w:rFonts w:hint="eastAsia"/>
        </w:rPr>
        <w:t>（1）加强技术交底，确保作业过程安全；</w:t>
      </w:r>
    </w:p>
    <w:p>
      <w:pPr>
        <w:ind w:firstLine="480"/>
      </w:pPr>
      <w:r>
        <w:rPr>
          <w:rFonts w:hint="eastAsia"/>
        </w:rPr>
        <w:t>（2）模拟现场的实际作业情况，保证安装场地空间足够，避免吊装过程中的干涉；</w:t>
      </w:r>
    </w:p>
    <w:p>
      <w:pPr>
        <w:ind w:firstLine="480"/>
      </w:pPr>
      <w:r>
        <w:rPr>
          <w:rFonts w:hint="eastAsia"/>
        </w:rPr>
        <w:t>（3）对安装的起吊构件的重量、幅度进行详细的核算；</w:t>
      </w:r>
    </w:p>
    <w:p>
      <w:pPr>
        <w:ind w:firstLine="480"/>
      </w:pPr>
      <w:r>
        <w:rPr>
          <w:rFonts w:hint="eastAsia"/>
        </w:rPr>
        <w:t>（</w:t>
      </w:r>
      <w:r>
        <w:t>4</w:t>
      </w:r>
      <w:r>
        <w:rPr>
          <w:rFonts w:hint="eastAsia"/>
        </w:rPr>
        <w:t>）对进场设备进行进场检验，对地基进行验收，确保设备性能及施工条件可靠；</w:t>
      </w:r>
    </w:p>
    <w:p>
      <w:pPr>
        <w:ind w:firstLine="480"/>
      </w:pPr>
      <w:r>
        <w:rPr>
          <w:rFonts w:hint="eastAsia"/>
        </w:rPr>
        <w:t>（5）合理安排安拆工序，协调好场地堆放及构件倒运顺序。</w:t>
      </w:r>
    </w:p>
    <w:p>
      <w:pPr>
        <w:pStyle w:val="3"/>
        <w:rPr>
          <w:rFonts w:hint="eastAsia"/>
          <w:sz w:val="32"/>
          <w:szCs w:val="32"/>
        </w:rPr>
      </w:pPr>
      <w:bookmarkStart w:id="38" w:name="_Toc24964"/>
      <w:r>
        <w:rPr>
          <w:rFonts w:hint="eastAsia"/>
          <w:sz w:val="32"/>
          <w:szCs w:val="32"/>
        </w:rPr>
        <w:t>施工计划</w:t>
      </w:r>
      <w:bookmarkEnd w:id="38"/>
    </w:p>
    <w:p>
      <w:pPr>
        <w:pStyle w:val="4"/>
      </w:pPr>
      <w:bookmarkStart w:id="39" w:name="_Toc17886"/>
      <w:r>
        <w:rPr>
          <w:rFonts w:hint="eastAsia"/>
        </w:rPr>
        <w:t>工程总体目标</w:t>
      </w:r>
      <w:bookmarkEnd w:id="39"/>
    </w:p>
    <w:p>
      <w:pPr>
        <w:pStyle w:val="5"/>
        <w:bidi w:val="0"/>
        <w:ind w:left="0" w:leftChars="0" w:firstLine="0" w:firstLineChars="0"/>
        <w:rPr>
          <w:rFonts w:hint="eastAsia"/>
          <w:sz w:val="24"/>
          <w:szCs w:val="24"/>
          <w:lang w:val="en-US" w:eastAsia="zh-CN"/>
        </w:rPr>
      </w:pPr>
      <w:r>
        <w:rPr>
          <w:rFonts w:hint="eastAsia"/>
          <w:sz w:val="24"/>
          <w:szCs w:val="24"/>
          <w:lang w:val="en-US" w:eastAsia="zh-CN"/>
        </w:rPr>
        <w:t>安全管理目标</w:t>
      </w:r>
    </w:p>
    <w:p>
      <w:pPr>
        <w:ind w:firstLine="480"/>
      </w:pPr>
      <w:r>
        <w:rPr>
          <w:rFonts w:hint="eastAsia"/>
        </w:rPr>
        <w:t>杜绝一般等级(含)以上安全生产责任事故。</w:t>
      </w:r>
    </w:p>
    <w:p>
      <w:pPr>
        <w:pStyle w:val="5"/>
        <w:bidi w:val="0"/>
        <w:ind w:left="0" w:leftChars="0" w:firstLine="0" w:firstLineChars="0"/>
        <w:rPr>
          <w:rFonts w:hint="eastAsia"/>
          <w:sz w:val="24"/>
          <w:szCs w:val="24"/>
          <w:lang w:val="en-US" w:eastAsia="zh-CN"/>
        </w:rPr>
      </w:pPr>
      <w:r>
        <w:rPr>
          <w:rFonts w:hint="eastAsia"/>
          <w:sz w:val="24"/>
          <w:szCs w:val="24"/>
          <w:lang w:val="en-US" w:eastAsia="zh-CN"/>
        </w:rPr>
        <w:t>质量管理目标</w:t>
      </w:r>
    </w:p>
    <w:p>
      <w:pPr>
        <w:ind w:firstLine="480"/>
      </w:pPr>
      <w:r>
        <w:rPr>
          <w:rFonts w:hint="eastAsia"/>
        </w:rPr>
        <w:t>消除质量隐患,杜绝质量事故。</w:t>
      </w:r>
    </w:p>
    <w:p>
      <w:pPr>
        <w:pStyle w:val="5"/>
        <w:bidi w:val="0"/>
        <w:ind w:left="0" w:leftChars="0" w:firstLine="0" w:firstLineChars="0"/>
        <w:rPr>
          <w:rFonts w:hint="eastAsia"/>
          <w:sz w:val="24"/>
          <w:szCs w:val="24"/>
          <w:lang w:val="en-US" w:eastAsia="zh-CN"/>
        </w:rPr>
      </w:pPr>
      <w:r>
        <w:rPr>
          <w:rFonts w:hint="eastAsia"/>
          <w:sz w:val="24"/>
          <w:szCs w:val="24"/>
          <w:lang w:val="en-US" w:eastAsia="zh-CN"/>
        </w:rPr>
        <w:t>文明施工及保护目标</w:t>
      </w:r>
    </w:p>
    <w:p>
      <w:pPr>
        <w:ind w:firstLine="480"/>
      </w:pPr>
      <w:r>
        <w:rPr>
          <w:rFonts w:hint="eastAsia"/>
        </w:rPr>
        <w:t>防范和降低环境污染,杜绝违法违规事件。</w:t>
      </w:r>
    </w:p>
    <w:p>
      <w:pPr>
        <w:pStyle w:val="4"/>
      </w:pPr>
      <w:bookmarkStart w:id="40" w:name="_Toc18476"/>
      <w:r>
        <w:rPr>
          <w:rFonts w:hint="eastAsia"/>
        </w:rPr>
        <w:t>施工进度计划</w:t>
      </w:r>
      <w:bookmarkEnd w:id="40"/>
    </w:p>
    <w:p>
      <w:pPr>
        <w:ind w:firstLine="480"/>
        <w:rPr>
          <w:rFonts w:hint="eastAsia"/>
        </w:rPr>
      </w:pPr>
      <w:r>
        <w:rPr>
          <w:rFonts w:hint="eastAsia"/>
        </w:rPr>
        <w:t>塔吊基础施工时间拟于</w:t>
      </w:r>
      <w:r>
        <w:rPr>
          <w:rFonts w:hint="eastAsia"/>
          <w:lang w:val="en-US" w:eastAsia="zh-CN"/>
        </w:rPr>
        <w:t>2024</w:t>
      </w:r>
      <w:r>
        <w:rPr>
          <w:rFonts w:hint="eastAsia"/>
        </w:rPr>
        <w:t>年</w:t>
      </w:r>
      <w:r>
        <w:rPr>
          <w:rFonts w:hint="eastAsia"/>
          <w:lang w:val="en-US" w:eastAsia="zh-CN"/>
        </w:rPr>
        <w:t>2</w:t>
      </w:r>
      <w:r>
        <w:rPr>
          <w:rFonts w:hint="eastAsia"/>
        </w:rPr>
        <w:t>月</w:t>
      </w:r>
      <w:r>
        <w:rPr>
          <w:rFonts w:hint="eastAsia"/>
          <w:lang w:val="en-US" w:eastAsia="zh-CN"/>
        </w:rPr>
        <w:t>10</w:t>
      </w:r>
      <w:r>
        <w:rPr>
          <w:rFonts w:hint="eastAsia"/>
        </w:rPr>
        <w:t>日至</w:t>
      </w:r>
      <w:r>
        <w:rPr>
          <w:rFonts w:hint="eastAsia"/>
          <w:lang w:val="en-US" w:eastAsia="zh-CN"/>
        </w:rPr>
        <w:t>2024年2</w:t>
      </w:r>
      <w:r>
        <w:rPr>
          <w:rFonts w:hint="eastAsia"/>
        </w:rPr>
        <w:t>月</w:t>
      </w:r>
      <w:r>
        <w:rPr>
          <w:rFonts w:hint="eastAsia"/>
          <w:lang w:val="en-US" w:eastAsia="zh-CN"/>
        </w:rPr>
        <w:t>17</w:t>
      </w:r>
      <w:r>
        <w:rPr>
          <w:rFonts w:hint="eastAsia"/>
        </w:rPr>
        <w:t>日，安装时间于</w:t>
      </w:r>
      <w:r>
        <w:rPr>
          <w:rFonts w:hint="eastAsia"/>
          <w:lang w:val="en-US" w:eastAsia="zh-CN"/>
        </w:rPr>
        <w:t>20243</w:t>
      </w:r>
      <w:r>
        <w:rPr>
          <w:rFonts w:hint="eastAsia"/>
        </w:rPr>
        <w:t>年</w:t>
      </w:r>
      <w:r>
        <w:rPr>
          <w:rFonts w:hint="eastAsia"/>
          <w:lang w:val="en-US" w:eastAsia="zh-CN"/>
        </w:rPr>
        <w:t>3</w:t>
      </w:r>
      <w:r>
        <w:rPr>
          <w:rFonts w:hint="eastAsia"/>
        </w:rPr>
        <w:t>月</w:t>
      </w:r>
      <w:r>
        <w:rPr>
          <w:rFonts w:hint="eastAsia"/>
          <w:lang w:val="en-US" w:eastAsia="zh-CN"/>
        </w:rPr>
        <w:t>17</w:t>
      </w:r>
      <w:r>
        <w:rPr>
          <w:rFonts w:hint="eastAsia"/>
        </w:rPr>
        <w:t>日至</w:t>
      </w:r>
      <w:r>
        <w:rPr>
          <w:rFonts w:hint="eastAsia"/>
          <w:lang w:val="en-US" w:eastAsia="zh-CN"/>
        </w:rPr>
        <w:t>2024年3</w:t>
      </w:r>
      <w:r>
        <w:rPr>
          <w:rFonts w:hint="eastAsia"/>
        </w:rPr>
        <w:t>月</w:t>
      </w:r>
      <w:r>
        <w:rPr>
          <w:rFonts w:hint="eastAsia"/>
          <w:lang w:val="en-US" w:eastAsia="zh-CN"/>
        </w:rPr>
        <w:t>24</w:t>
      </w:r>
      <w:r>
        <w:rPr>
          <w:rFonts w:hint="eastAsia"/>
        </w:rPr>
        <w:t>日。拆除时间</w:t>
      </w:r>
      <w:r>
        <w:rPr>
          <w:rFonts w:hint="eastAsia"/>
          <w:lang w:val="en-US" w:eastAsia="zh-CN"/>
        </w:rPr>
        <w:t>2025</w:t>
      </w:r>
      <w:r>
        <w:rPr>
          <w:rFonts w:hint="eastAsia"/>
        </w:rPr>
        <w:t>年</w:t>
      </w:r>
      <w:r>
        <w:rPr>
          <w:rFonts w:hint="eastAsia"/>
          <w:lang w:val="en-US" w:eastAsia="zh-CN"/>
        </w:rPr>
        <w:t>6月30</w:t>
      </w:r>
      <w:r>
        <w:rPr>
          <w:rFonts w:hint="eastAsia"/>
        </w:rPr>
        <w:t>日至</w:t>
      </w:r>
      <w:r>
        <w:rPr>
          <w:rFonts w:hint="eastAsia"/>
          <w:lang w:val="en-US" w:eastAsia="zh-CN"/>
        </w:rPr>
        <w:t>2025</w:t>
      </w:r>
      <w:r>
        <w:rPr>
          <w:rFonts w:hint="eastAsia"/>
        </w:rPr>
        <w:t>年</w:t>
      </w:r>
      <w:r>
        <w:rPr>
          <w:rFonts w:hint="eastAsia"/>
          <w:lang w:val="en-US" w:eastAsia="zh-CN"/>
        </w:rPr>
        <w:t>7</w:t>
      </w:r>
      <w:r>
        <w:rPr>
          <w:rFonts w:hint="eastAsia"/>
        </w:rPr>
        <w:t>月</w:t>
      </w:r>
      <w:r>
        <w:rPr>
          <w:rFonts w:hint="eastAsia"/>
          <w:lang w:val="en-US" w:eastAsia="zh-CN"/>
        </w:rPr>
        <w:t>5</w:t>
      </w:r>
      <w:r>
        <w:rPr>
          <w:rFonts w:hint="eastAsia"/>
        </w:rPr>
        <w:t>日。</w:t>
      </w:r>
    </w:p>
    <w:p>
      <w:pPr>
        <w:ind w:firstLine="480"/>
      </w:pPr>
      <w:r>
        <w:rPr>
          <w:rFonts w:hint="eastAsia"/>
        </w:rPr>
        <w:t>单台</w:t>
      </w:r>
      <w:r>
        <w:rPr>
          <w:rFonts w:hint="eastAsia"/>
          <w:lang w:val="en-US" w:eastAsia="zh-CN"/>
        </w:rPr>
        <w:t>T7020-10</w:t>
      </w:r>
      <w:r>
        <w:rPr>
          <w:rFonts w:hint="eastAsia"/>
        </w:rPr>
        <w:t>塔机安装的施工进度见下表，如遇天气等其他不可控因素，工期顺延。</w:t>
      </w:r>
    </w:p>
    <w:p>
      <w:pPr>
        <w:pStyle w:val="16"/>
      </w:pPr>
      <w:r>
        <w:rPr>
          <w:rFonts w:hint="eastAsia"/>
        </w:rPr>
        <w:t xml:space="preserve">表 </w:t>
      </w:r>
      <w:r>
        <w:rPr>
          <w:rFonts w:hint="eastAsia"/>
          <w:lang w:val="en-US" w:eastAsia="zh-CN"/>
        </w:rPr>
        <w:t>3.2-1</w:t>
      </w:r>
      <w:r>
        <w:rPr>
          <w:rFonts w:hint="eastAsia"/>
        </w:rPr>
        <w:t>安装进度计划表</w:t>
      </w:r>
    </w:p>
    <w:tbl>
      <w:tblPr>
        <w:tblStyle w:val="125"/>
        <w:tblW w:w="9117"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9"/>
        <w:gridCol w:w="3950"/>
        <w:gridCol w:w="1760"/>
        <w:gridCol w:w="975"/>
        <w:gridCol w:w="162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7" w:hRule="atLeast"/>
        </w:trPr>
        <w:tc>
          <w:tcPr>
            <w:tcW w:w="809" w:type="dxa"/>
            <w:shd w:val="clear" w:color="auto" w:fill="C6D9F0" w:themeFill="text2" w:themeFillTint="33"/>
            <w:vAlign w:val="center"/>
          </w:tcPr>
          <w:p>
            <w:pPr>
              <w:pStyle w:val="65"/>
              <w:rPr>
                <w:rFonts w:cstheme="minorBidi"/>
                <w:b w:val="0"/>
              </w:rPr>
            </w:pPr>
            <w:r>
              <w:rPr>
                <w:rFonts w:hint="eastAsia" w:cstheme="minorBidi"/>
                <w:b/>
              </w:rPr>
              <w:t>序号</w:t>
            </w:r>
          </w:p>
        </w:tc>
        <w:tc>
          <w:tcPr>
            <w:tcW w:w="3950" w:type="dxa"/>
            <w:shd w:val="clear" w:color="auto" w:fill="C6D9F0" w:themeFill="text2" w:themeFillTint="33"/>
            <w:vAlign w:val="center"/>
          </w:tcPr>
          <w:p>
            <w:pPr>
              <w:pStyle w:val="65"/>
              <w:rPr>
                <w:rFonts w:cstheme="minorBidi"/>
                <w:b w:val="0"/>
              </w:rPr>
            </w:pPr>
            <w:r>
              <w:rPr>
                <w:rFonts w:hint="eastAsia" w:cstheme="minorBidi"/>
                <w:b/>
              </w:rPr>
              <w:t>安装内容</w:t>
            </w:r>
          </w:p>
        </w:tc>
        <w:tc>
          <w:tcPr>
            <w:tcW w:w="1760" w:type="dxa"/>
            <w:shd w:val="clear" w:color="auto" w:fill="C6D9F0" w:themeFill="text2" w:themeFillTint="33"/>
            <w:vAlign w:val="center"/>
          </w:tcPr>
          <w:p>
            <w:pPr>
              <w:pStyle w:val="65"/>
              <w:rPr>
                <w:rFonts w:cstheme="minorBidi"/>
                <w:b w:val="0"/>
              </w:rPr>
            </w:pPr>
            <w:r>
              <w:rPr>
                <w:rFonts w:hint="eastAsia" w:cstheme="minorBidi"/>
                <w:b/>
              </w:rPr>
              <w:t>关键设备</w:t>
            </w:r>
          </w:p>
        </w:tc>
        <w:tc>
          <w:tcPr>
            <w:tcW w:w="975" w:type="dxa"/>
            <w:shd w:val="clear" w:color="auto" w:fill="C6D9F0" w:themeFill="text2" w:themeFillTint="33"/>
            <w:vAlign w:val="center"/>
          </w:tcPr>
          <w:p>
            <w:pPr>
              <w:pStyle w:val="65"/>
              <w:rPr>
                <w:rFonts w:cstheme="minorBidi"/>
                <w:b w:val="0"/>
              </w:rPr>
            </w:pPr>
            <w:r>
              <w:rPr>
                <w:rFonts w:hint="eastAsia" w:cstheme="minorBidi"/>
                <w:b/>
              </w:rPr>
              <w:t>时间（天）</w:t>
            </w:r>
          </w:p>
        </w:tc>
        <w:tc>
          <w:tcPr>
            <w:tcW w:w="1623" w:type="dxa"/>
            <w:shd w:val="clear" w:color="auto" w:fill="C6D9F0" w:themeFill="text2" w:themeFillTint="33"/>
            <w:vAlign w:val="center"/>
          </w:tcPr>
          <w:p>
            <w:pPr>
              <w:pStyle w:val="65"/>
              <w:rPr>
                <w:rFonts w:cstheme="minorBidi"/>
                <w:b w:val="0"/>
              </w:rPr>
            </w:pPr>
            <w:r>
              <w:rPr>
                <w:rFonts w:hint="eastAsia" w:cstheme="minorBidi"/>
                <w:b/>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09" w:type="dxa"/>
            <w:vAlign w:val="center"/>
          </w:tcPr>
          <w:p>
            <w:pPr>
              <w:pStyle w:val="65"/>
              <w:rPr>
                <w:rFonts w:cstheme="minorBidi"/>
              </w:rPr>
            </w:pPr>
            <w:r>
              <w:rPr>
                <w:rFonts w:hint="eastAsia" w:cstheme="minorBidi"/>
              </w:rPr>
              <w:t>1</w:t>
            </w:r>
          </w:p>
        </w:tc>
        <w:tc>
          <w:tcPr>
            <w:tcW w:w="3950" w:type="dxa"/>
            <w:vAlign w:val="center"/>
          </w:tcPr>
          <w:p>
            <w:pPr>
              <w:pStyle w:val="65"/>
              <w:rPr>
                <w:rFonts w:cstheme="minorBidi"/>
              </w:rPr>
            </w:pPr>
            <w:r>
              <w:rPr>
                <w:rFonts w:hint="eastAsia" w:cstheme="minorBidi"/>
              </w:rPr>
              <w:t>塔吊基础验收</w:t>
            </w:r>
          </w:p>
        </w:tc>
        <w:tc>
          <w:tcPr>
            <w:tcW w:w="1760" w:type="dxa"/>
            <w:vAlign w:val="center"/>
          </w:tcPr>
          <w:p>
            <w:pPr>
              <w:pStyle w:val="65"/>
              <w:rPr>
                <w:rFonts w:cstheme="minorBidi"/>
              </w:rPr>
            </w:pPr>
            <w:r>
              <w:rPr>
                <w:rFonts w:hint="eastAsia" w:cstheme="minorBidi"/>
              </w:rPr>
              <w:t>-</w:t>
            </w:r>
          </w:p>
        </w:tc>
        <w:tc>
          <w:tcPr>
            <w:tcW w:w="975" w:type="dxa"/>
            <w:vAlign w:val="center"/>
          </w:tcPr>
          <w:p>
            <w:pPr>
              <w:pStyle w:val="65"/>
              <w:rPr>
                <w:rFonts w:cstheme="minorBidi"/>
              </w:rPr>
            </w:pPr>
            <w:r>
              <w:rPr>
                <w:rFonts w:hint="eastAsia" w:cstheme="minorBidi"/>
              </w:rPr>
              <w:t>0.5</w:t>
            </w:r>
          </w:p>
        </w:tc>
        <w:tc>
          <w:tcPr>
            <w:tcW w:w="1623"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09" w:type="dxa"/>
            <w:vAlign w:val="center"/>
          </w:tcPr>
          <w:p>
            <w:pPr>
              <w:pStyle w:val="65"/>
              <w:rPr>
                <w:rFonts w:cstheme="minorBidi"/>
              </w:rPr>
            </w:pPr>
            <w:r>
              <w:rPr>
                <w:rFonts w:hint="eastAsia" w:cstheme="minorBidi"/>
              </w:rPr>
              <w:t>2</w:t>
            </w:r>
          </w:p>
        </w:tc>
        <w:tc>
          <w:tcPr>
            <w:tcW w:w="3950" w:type="dxa"/>
            <w:vAlign w:val="center"/>
          </w:tcPr>
          <w:p>
            <w:pPr>
              <w:pStyle w:val="65"/>
              <w:rPr>
                <w:rFonts w:cstheme="minorBidi"/>
              </w:rPr>
            </w:pPr>
            <w:r>
              <w:rPr>
                <w:rFonts w:hint="eastAsia" w:cstheme="minorBidi"/>
              </w:rPr>
              <w:t>过渡节、标准节、套架安装</w:t>
            </w:r>
          </w:p>
        </w:tc>
        <w:tc>
          <w:tcPr>
            <w:tcW w:w="1760" w:type="dxa"/>
            <w:vAlign w:val="center"/>
          </w:tcPr>
          <w:p>
            <w:pPr>
              <w:pStyle w:val="65"/>
              <w:rPr>
                <w:rFonts w:hint="eastAsia" w:eastAsia="宋体" w:cstheme="minorBidi"/>
                <w:lang w:eastAsia="zh-CN"/>
              </w:rPr>
            </w:pPr>
            <w:r>
              <w:rPr>
                <w:rFonts w:hint="eastAsia" w:cstheme="minorBidi"/>
                <w:lang w:eastAsia="zh-CN"/>
              </w:rPr>
              <w:t>50t汽车吊</w:t>
            </w:r>
          </w:p>
        </w:tc>
        <w:tc>
          <w:tcPr>
            <w:tcW w:w="975" w:type="dxa"/>
            <w:vAlign w:val="center"/>
          </w:tcPr>
          <w:p>
            <w:pPr>
              <w:pStyle w:val="65"/>
              <w:rPr>
                <w:rFonts w:cstheme="minorBidi"/>
              </w:rPr>
            </w:pPr>
            <w:r>
              <w:rPr>
                <w:rFonts w:hint="eastAsia" w:cstheme="minorBidi"/>
              </w:rPr>
              <w:t>0.5</w:t>
            </w:r>
          </w:p>
        </w:tc>
        <w:tc>
          <w:tcPr>
            <w:tcW w:w="1623"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09" w:type="dxa"/>
            <w:vAlign w:val="center"/>
          </w:tcPr>
          <w:p>
            <w:pPr>
              <w:pStyle w:val="65"/>
              <w:rPr>
                <w:rFonts w:cstheme="minorBidi"/>
              </w:rPr>
            </w:pPr>
            <w:r>
              <w:rPr>
                <w:rFonts w:hint="eastAsia" w:cstheme="minorBidi"/>
              </w:rPr>
              <w:t>3</w:t>
            </w:r>
          </w:p>
        </w:tc>
        <w:tc>
          <w:tcPr>
            <w:tcW w:w="3950" w:type="dxa"/>
            <w:vAlign w:val="center"/>
          </w:tcPr>
          <w:p>
            <w:pPr>
              <w:pStyle w:val="65"/>
              <w:rPr>
                <w:rFonts w:cstheme="minorBidi"/>
              </w:rPr>
            </w:pPr>
            <w:r>
              <w:rPr>
                <w:rFonts w:hint="eastAsia" w:cstheme="minorBidi"/>
              </w:rPr>
              <w:t>回转总成、回转塔身、司机室</w:t>
            </w:r>
          </w:p>
        </w:tc>
        <w:tc>
          <w:tcPr>
            <w:tcW w:w="1760" w:type="dxa"/>
            <w:vAlign w:val="center"/>
          </w:tcPr>
          <w:p>
            <w:pPr>
              <w:pStyle w:val="65"/>
              <w:rPr>
                <w:rFonts w:hint="eastAsia" w:eastAsia="宋体" w:cstheme="minorBidi"/>
                <w:lang w:eastAsia="zh-CN"/>
              </w:rPr>
            </w:pPr>
            <w:r>
              <w:rPr>
                <w:rFonts w:hint="eastAsia" w:cstheme="minorBidi"/>
                <w:lang w:eastAsia="zh-CN"/>
              </w:rPr>
              <w:t>50t汽车吊</w:t>
            </w:r>
          </w:p>
        </w:tc>
        <w:tc>
          <w:tcPr>
            <w:tcW w:w="975" w:type="dxa"/>
            <w:vAlign w:val="center"/>
          </w:tcPr>
          <w:p>
            <w:pPr>
              <w:pStyle w:val="65"/>
              <w:rPr>
                <w:rFonts w:cstheme="minorBidi"/>
              </w:rPr>
            </w:pPr>
            <w:r>
              <w:rPr>
                <w:rFonts w:hint="eastAsia" w:cstheme="minorBidi"/>
              </w:rPr>
              <w:t>1</w:t>
            </w:r>
          </w:p>
        </w:tc>
        <w:tc>
          <w:tcPr>
            <w:tcW w:w="1623"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3" w:hRule="atLeast"/>
        </w:trPr>
        <w:tc>
          <w:tcPr>
            <w:tcW w:w="809" w:type="dxa"/>
            <w:vAlign w:val="center"/>
          </w:tcPr>
          <w:p>
            <w:pPr>
              <w:pStyle w:val="65"/>
              <w:rPr>
                <w:rFonts w:cstheme="minorBidi"/>
              </w:rPr>
            </w:pPr>
            <w:r>
              <w:rPr>
                <w:rFonts w:hint="eastAsia" w:cstheme="minorBidi"/>
              </w:rPr>
              <w:t>4</w:t>
            </w:r>
          </w:p>
        </w:tc>
        <w:tc>
          <w:tcPr>
            <w:tcW w:w="3950" w:type="dxa"/>
            <w:vAlign w:val="center"/>
          </w:tcPr>
          <w:p>
            <w:pPr>
              <w:pStyle w:val="65"/>
              <w:rPr>
                <w:rFonts w:cstheme="minorBidi"/>
              </w:rPr>
            </w:pPr>
            <w:r>
              <w:rPr>
                <w:rFonts w:hint="eastAsia" w:cstheme="minorBidi"/>
              </w:rPr>
              <w:t>平衡臂、主卷扬、起重臂、配重、安装</w:t>
            </w:r>
          </w:p>
        </w:tc>
        <w:tc>
          <w:tcPr>
            <w:tcW w:w="1760" w:type="dxa"/>
            <w:vAlign w:val="center"/>
          </w:tcPr>
          <w:p>
            <w:pPr>
              <w:pStyle w:val="65"/>
              <w:rPr>
                <w:rFonts w:hint="eastAsia" w:eastAsia="宋体" w:cstheme="minorBidi"/>
                <w:lang w:eastAsia="zh-CN"/>
              </w:rPr>
            </w:pPr>
            <w:r>
              <w:rPr>
                <w:rFonts w:hint="eastAsia" w:cstheme="minorBidi"/>
                <w:lang w:eastAsia="zh-CN"/>
              </w:rPr>
              <w:t>50t汽车吊</w:t>
            </w:r>
          </w:p>
        </w:tc>
        <w:tc>
          <w:tcPr>
            <w:tcW w:w="975" w:type="dxa"/>
            <w:vAlign w:val="center"/>
          </w:tcPr>
          <w:p>
            <w:pPr>
              <w:pStyle w:val="65"/>
              <w:rPr>
                <w:rFonts w:cstheme="minorBidi"/>
              </w:rPr>
            </w:pPr>
            <w:r>
              <w:rPr>
                <w:rFonts w:hint="eastAsia" w:cstheme="minorBidi"/>
              </w:rPr>
              <w:t>1</w:t>
            </w:r>
          </w:p>
        </w:tc>
        <w:tc>
          <w:tcPr>
            <w:tcW w:w="1623"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3" w:hRule="atLeast"/>
        </w:trPr>
        <w:tc>
          <w:tcPr>
            <w:tcW w:w="809" w:type="dxa"/>
            <w:vAlign w:val="center"/>
          </w:tcPr>
          <w:p>
            <w:pPr>
              <w:pStyle w:val="65"/>
              <w:rPr>
                <w:rFonts w:cstheme="minorBidi"/>
              </w:rPr>
            </w:pPr>
            <w:r>
              <w:rPr>
                <w:rFonts w:hint="eastAsia" w:cstheme="minorBidi"/>
              </w:rPr>
              <w:t>5</w:t>
            </w:r>
          </w:p>
        </w:tc>
        <w:tc>
          <w:tcPr>
            <w:tcW w:w="3950" w:type="dxa"/>
            <w:vAlign w:val="center"/>
          </w:tcPr>
          <w:p>
            <w:pPr>
              <w:pStyle w:val="65"/>
              <w:rPr>
                <w:rFonts w:cstheme="minorBidi"/>
              </w:rPr>
            </w:pPr>
            <w:r>
              <w:rPr>
                <w:rFonts w:hint="eastAsia" w:cstheme="minorBidi"/>
              </w:rPr>
              <w:t>电气调试、钢丝绳穿绕</w:t>
            </w:r>
          </w:p>
        </w:tc>
        <w:tc>
          <w:tcPr>
            <w:tcW w:w="1760" w:type="dxa"/>
            <w:vAlign w:val="center"/>
          </w:tcPr>
          <w:p>
            <w:pPr>
              <w:pStyle w:val="65"/>
              <w:rPr>
                <w:rFonts w:hint="eastAsia" w:eastAsia="宋体" w:cstheme="minorBidi"/>
                <w:lang w:eastAsia="zh-CN"/>
              </w:rPr>
            </w:pPr>
            <w:r>
              <w:rPr>
                <w:rFonts w:hint="eastAsia" w:cstheme="minorBidi"/>
                <w:lang w:eastAsia="zh-CN"/>
              </w:rPr>
              <w:t>50t汽车吊</w:t>
            </w:r>
          </w:p>
        </w:tc>
        <w:tc>
          <w:tcPr>
            <w:tcW w:w="975" w:type="dxa"/>
            <w:vAlign w:val="center"/>
          </w:tcPr>
          <w:p>
            <w:pPr>
              <w:pStyle w:val="65"/>
              <w:rPr>
                <w:rFonts w:cstheme="minorBidi"/>
              </w:rPr>
            </w:pPr>
            <w:r>
              <w:rPr>
                <w:rFonts w:hint="eastAsia" w:cstheme="minorBidi"/>
              </w:rPr>
              <w:t>1</w:t>
            </w:r>
          </w:p>
        </w:tc>
        <w:tc>
          <w:tcPr>
            <w:tcW w:w="1623"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3" w:hRule="atLeast"/>
        </w:trPr>
        <w:tc>
          <w:tcPr>
            <w:tcW w:w="809" w:type="dxa"/>
            <w:vAlign w:val="center"/>
          </w:tcPr>
          <w:p>
            <w:pPr>
              <w:pStyle w:val="65"/>
              <w:rPr>
                <w:rFonts w:cstheme="minorBidi"/>
              </w:rPr>
            </w:pPr>
            <w:r>
              <w:rPr>
                <w:rFonts w:hint="eastAsia" w:cstheme="minorBidi"/>
              </w:rPr>
              <w:t>6</w:t>
            </w:r>
          </w:p>
        </w:tc>
        <w:tc>
          <w:tcPr>
            <w:tcW w:w="3950" w:type="dxa"/>
            <w:vAlign w:val="center"/>
          </w:tcPr>
          <w:p>
            <w:pPr>
              <w:pStyle w:val="65"/>
              <w:rPr>
                <w:rFonts w:cstheme="minorBidi"/>
              </w:rPr>
            </w:pPr>
            <w:r>
              <w:rPr>
                <w:rFonts w:hint="eastAsia" w:cstheme="minorBidi"/>
              </w:rPr>
              <w:t>顶升加节</w:t>
            </w:r>
          </w:p>
        </w:tc>
        <w:tc>
          <w:tcPr>
            <w:tcW w:w="1760" w:type="dxa"/>
            <w:vAlign w:val="center"/>
          </w:tcPr>
          <w:p>
            <w:pPr>
              <w:pStyle w:val="65"/>
              <w:rPr>
                <w:rFonts w:cstheme="minorBidi"/>
              </w:rPr>
            </w:pPr>
            <w:r>
              <w:rPr>
                <w:rFonts w:hint="eastAsia" w:cstheme="minorBidi"/>
              </w:rPr>
              <w:t>50t起重设备</w:t>
            </w:r>
          </w:p>
        </w:tc>
        <w:tc>
          <w:tcPr>
            <w:tcW w:w="975" w:type="dxa"/>
            <w:vAlign w:val="center"/>
          </w:tcPr>
          <w:p>
            <w:pPr>
              <w:pStyle w:val="65"/>
              <w:rPr>
                <w:rFonts w:cstheme="minorBidi"/>
              </w:rPr>
            </w:pPr>
            <w:r>
              <w:rPr>
                <w:rFonts w:hint="eastAsia" w:cstheme="minorBidi"/>
              </w:rPr>
              <w:t>3</w:t>
            </w:r>
          </w:p>
        </w:tc>
        <w:tc>
          <w:tcPr>
            <w:tcW w:w="1623"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09" w:type="dxa"/>
            <w:vAlign w:val="center"/>
          </w:tcPr>
          <w:p>
            <w:pPr>
              <w:pStyle w:val="65"/>
              <w:rPr>
                <w:rFonts w:cstheme="minorBidi"/>
              </w:rPr>
            </w:pPr>
            <w:r>
              <w:rPr>
                <w:rFonts w:hint="eastAsia" w:cstheme="minorBidi"/>
              </w:rPr>
              <w:t>7</w:t>
            </w:r>
          </w:p>
        </w:tc>
        <w:tc>
          <w:tcPr>
            <w:tcW w:w="3950" w:type="dxa"/>
            <w:vAlign w:val="center"/>
          </w:tcPr>
          <w:p>
            <w:pPr>
              <w:pStyle w:val="65"/>
              <w:rPr>
                <w:rFonts w:cstheme="minorBidi"/>
              </w:rPr>
            </w:pPr>
            <w:r>
              <w:rPr>
                <w:rFonts w:hint="eastAsia" w:cstheme="minorBidi"/>
              </w:rPr>
              <w:t>试吊验收</w:t>
            </w:r>
          </w:p>
        </w:tc>
        <w:tc>
          <w:tcPr>
            <w:tcW w:w="1760" w:type="dxa"/>
            <w:vAlign w:val="center"/>
          </w:tcPr>
          <w:p>
            <w:pPr>
              <w:pStyle w:val="65"/>
              <w:rPr>
                <w:rFonts w:cstheme="minorBidi"/>
              </w:rPr>
            </w:pPr>
          </w:p>
        </w:tc>
        <w:tc>
          <w:tcPr>
            <w:tcW w:w="975" w:type="dxa"/>
            <w:vAlign w:val="center"/>
          </w:tcPr>
          <w:p>
            <w:pPr>
              <w:pStyle w:val="65"/>
              <w:rPr>
                <w:rFonts w:cstheme="minorBidi"/>
              </w:rPr>
            </w:pPr>
            <w:r>
              <w:rPr>
                <w:rFonts w:hint="eastAsia" w:cstheme="minorBidi"/>
              </w:rPr>
              <w:t>1</w:t>
            </w:r>
          </w:p>
        </w:tc>
        <w:tc>
          <w:tcPr>
            <w:tcW w:w="1623"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519" w:type="dxa"/>
            <w:gridSpan w:val="3"/>
            <w:vAlign w:val="center"/>
          </w:tcPr>
          <w:p>
            <w:pPr>
              <w:pStyle w:val="65"/>
              <w:rPr>
                <w:rFonts w:cstheme="minorBidi"/>
              </w:rPr>
            </w:pPr>
            <w:r>
              <w:rPr>
                <w:rFonts w:hint="eastAsia" w:cstheme="minorBidi"/>
              </w:rPr>
              <w:t>合计</w:t>
            </w:r>
          </w:p>
        </w:tc>
        <w:tc>
          <w:tcPr>
            <w:tcW w:w="975" w:type="dxa"/>
            <w:vAlign w:val="center"/>
          </w:tcPr>
          <w:p>
            <w:pPr>
              <w:pStyle w:val="65"/>
              <w:rPr>
                <w:rFonts w:cstheme="minorBidi"/>
              </w:rPr>
            </w:pPr>
            <w:r>
              <w:rPr>
                <w:rFonts w:hint="eastAsia" w:cstheme="minorBidi"/>
              </w:rPr>
              <w:t>8</w:t>
            </w:r>
          </w:p>
        </w:tc>
        <w:tc>
          <w:tcPr>
            <w:tcW w:w="1623"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9" w:hRule="atLeast"/>
        </w:trPr>
        <w:tc>
          <w:tcPr>
            <w:tcW w:w="6519" w:type="dxa"/>
            <w:gridSpan w:val="3"/>
            <w:vAlign w:val="center"/>
          </w:tcPr>
          <w:p>
            <w:pPr>
              <w:pStyle w:val="65"/>
              <w:rPr>
                <w:rFonts w:cstheme="minorBidi"/>
              </w:rPr>
            </w:pPr>
            <w:r>
              <w:rPr>
                <w:rFonts w:hint="eastAsia" w:cstheme="minorBidi"/>
              </w:rPr>
              <w:t>起重设备暂定</w:t>
            </w:r>
          </w:p>
        </w:tc>
        <w:tc>
          <w:tcPr>
            <w:tcW w:w="975" w:type="dxa"/>
            <w:vAlign w:val="center"/>
          </w:tcPr>
          <w:p>
            <w:pPr>
              <w:pStyle w:val="65"/>
              <w:rPr>
                <w:rFonts w:cstheme="minorBidi"/>
              </w:rPr>
            </w:pPr>
          </w:p>
        </w:tc>
        <w:tc>
          <w:tcPr>
            <w:tcW w:w="1623" w:type="dxa"/>
            <w:vAlign w:val="center"/>
          </w:tcPr>
          <w:p>
            <w:pPr>
              <w:pStyle w:val="65"/>
              <w:rPr>
                <w:rFonts w:cstheme="minorBidi"/>
              </w:rPr>
            </w:pPr>
          </w:p>
        </w:tc>
      </w:tr>
    </w:tbl>
    <w:p>
      <w:pPr>
        <w:pStyle w:val="4"/>
      </w:pPr>
      <w:bookmarkStart w:id="41" w:name="_Toc13666"/>
      <w:r>
        <w:rPr>
          <w:rFonts w:hint="eastAsia"/>
        </w:rPr>
        <w:t>材料及设备计划</w:t>
      </w:r>
      <w:bookmarkEnd w:id="41"/>
    </w:p>
    <w:p>
      <w:pPr>
        <w:ind w:firstLine="480"/>
      </w:pPr>
      <w:r>
        <w:rPr>
          <w:rFonts w:hint="eastAsia"/>
        </w:rPr>
        <w:t>为保证现场设备安拆，材料及设备计划下表</w:t>
      </w:r>
    </w:p>
    <w:p>
      <w:pPr>
        <w:pStyle w:val="16"/>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t>1</w:t>
      </w:r>
      <w:r>
        <w:fldChar w:fldCharType="end"/>
      </w:r>
      <w:r>
        <w:rPr>
          <w:rFonts w:hint="eastAsia"/>
        </w:rPr>
        <w:t>材料及设备计划表</w:t>
      </w:r>
    </w:p>
    <w:tbl>
      <w:tblPr>
        <w:tblStyle w:val="125"/>
        <w:tblpPr w:leftFromText="180" w:rightFromText="180" w:vertAnchor="text" w:horzAnchor="margin" w:tblpXSpec="center" w:tblpY="86"/>
        <w:tblW w:w="9072"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10"/>
        <w:gridCol w:w="2723"/>
        <w:gridCol w:w="1400"/>
        <w:gridCol w:w="293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shd w:val="clear" w:color="auto" w:fill="C6D9F0" w:themeFill="text2" w:themeFillTint="33"/>
            <w:vAlign w:val="center"/>
          </w:tcPr>
          <w:p>
            <w:pPr>
              <w:pStyle w:val="65"/>
              <w:rPr>
                <w:rFonts w:cstheme="minorBidi"/>
                <w:b w:val="0"/>
              </w:rPr>
            </w:pPr>
            <w:r>
              <w:rPr>
                <w:rFonts w:hint="eastAsia" w:cstheme="minorBidi"/>
                <w:b/>
              </w:rPr>
              <w:t>名称</w:t>
            </w:r>
          </w:p>
        </w:tc>
        <w:tc>
          <w:tcPr>
            <w:tcW w:w="2723" w:type="dxa"/>
            <w:shd w:val="clear" w:color="auto" w:fill="C6D9F0" w:themeFill="text2" w:themeFillTint="33"/>
            <w:vAlign w:val="center"/>
          </w:tcPr>
          <w:p>
            <w:pPr>
              <w:pStyle w:val="65"/>
              <w:rPr>
                <w:rFonts w:cstheme="minorBidi"/>
                <w:b w:val="0"/>
              </w:rPr>
            </w:pPr>
            <w:r>
              <w:rPr>
                <w:rFonts w:hint="eastAsia" w:cstheme="minorBidi"/>
                <w:b/>
              </w:rPr>
              <w:t>规格</w:t>
            </w:r>
          </w:p>
        </w:tc>
        <w:tc>
          <w:tcPr>
            <w:tcW w:w="1400" w:type="dxa"/>
            <w:shd w:val="clear" w:color="auto" w:fill="C6D9F0" w:themeFill="text2" w:themeFillTint="33"/>
            <w:vAlign w:val="center"/>
          </w:tcPr>
          <w:p>
            <w:pPr>
              <w:pStyle w:val="65"/>
              <w:rPr>
                <w:rFonts w:cstheme="minorBidi"/>
                <w:b w:val="0"/>
              </w:rPr>
            </w:pPr>
            <w:r>
              <w:rPr>
                <w:rFonts w:hint="eastAsia" w:cstheme="minorBidi"/>
                <w:b/>
              </w:rPr>
              <w:t>数量</w:t>
            </w:r>
          </w:p>
        </w:tc>
        <w:tc>
          <w:tcPr>
            <w:tcW w:w="2939" w:type="dxa"/>
            <w:shd w:val="clear" w:color="auto" w:fill="C6D9F0" w:themeFill="text2" w:themeFillTint="33"/>
            <w:vAlign w:val="center"/>
          </w:tcPr>
          <w:p>
            <w:pPr>
              <w:pStyle w:val="65"/>
              <w:rPr>
                <w:rFonts w:cstheme="minorBidi"/>
                <w:b w:val="0"/>
              </w:rPr>
            </w:pPr>
            <w:r>
              <w:rPr>
                <w:rFonts w:hint="eastAsia" w:cstheme="minorBidi"/>
                <w:b/>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hint="eastAsia" w:eastAsia="宋体" w:cstheme="minorBidi"/>
                <w:lang w:eastAsia="zh-CN"/>
              </w:rPr>
            </w:pPr>
            <w:r>
              <w:rPr>
                <w:rFonts w:hint="eastAsia" w:cstheme="minorBidi"/>
              </w:rPr>
              <w:t>辅助</w:t>
            </w:r>
            <w:r>
              <w:rPr>
                <w:rFonts w:hint="eastAsia" w:cstheme="minorBidi"/>
                <w:lang w:eastAsia="zh-CN"/>
              </w:rPr>
              <w:t>汽车吊</w:t>
            </w:r>
          </w:p>
        </w:tc>
        <w:tc>
          <w:tcPr>
            <w:tcW w:w="2723" w:type="dxa"/>
            <w:vAlign w:val="center"/>
          </w:tcPr>
          <w:p>
            <w:pPr>
              <w:pStyle w:val="65"/>
              <w:rPr>
                <w:rFonts w:hint="default" w:eastAsia="宋体" w:cstheme="minorBidi"/>
                <w:lang w:val="en-US" w:eastAsia="zh-CN"/>
              </w:rPr>
            </w:pPr>
            <w:r>
              <w:rPr>
                <w:rFonts w:hint="eastAsia" w:cstheme="minorBidi"/>
                <w:lang w:val="en-US" w:eastAsia="zh-CN"/>
              </w:rPr>
              <w:t>50t汽车吊</w:t>
            </w:r>
          </w:p>
        </w:tc>
        <w:tc>
          <w:tcPr>
            <w:tcW w:w="1400" w:type="dxa"/>
            <w:vAlign w:val="center"/>
          </w:tcPr>
          <w:p>
            <w:pPr>
              <w:pStyle w:val="65"/>
              <w:rPr>
                <w:rFonts w:hint="eastAsia" w:eastAsia="宋体" w:cstheme="minorBidi"/>
                <w:lang w:eastAsia="zh-CN"/>
              </w:rPr>
            </w:pPr>
            <w:r>
              <w:rPr>
                <w:rFonts w:hint="eastAsia" w:cstheme="minorBidi"/>
                <w:lang w:val="en-US" w:eastAsia="zh-CN"/>
              </w:rPr>
              <w:t>1</w:t>
            </w:r>
            <w:r>
              <w:rPr>
                <w:rFonts w:hint="eastAsia" w:cstheme="minorBidi"/>
                <w:lang w:eastAsia="zh-CN"/>
              </w:rPr>
              <w:t>台</w:t>
            </w:r>
          </w:p>
        </w:tc>
        <w:tc>
          <w:tcPr>
            <w:tcW w:w="2939" w:type="dxa"/>
            <w:vAlign w:val="center"/>
          </w:tcPr>
          <w:p>
            <w:pPr>
              <w:pStyle w:val="65"/>
              <w:rPr>
                <w:rFonts w:cstheme="minorBidi"/>
              </w:rPr>
            </w:pPr>
            <w:r>
              <w:rPr>
                <w:rFonts w:hint="eastAsia"/>
                <w:lang w:val="en-US" w:eastAsia="zh-CN"/>
              </w:rPr>
              <w:t>7020-10</w:t>
            </w:r>
            <w:r>
              <w:rPr>
                <w:rFonts w:hint="eastAsia" w:cstheme="minorBidi"/>
              </w:rPr>
              <w:t>塔机安装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运输设备</w:t>
            </w:r>
          </w:p>
        </w:tc>
        <w:tc>
          <w:tcPr>
            <w:tcW w:w="2723" w:type="dxa"/>
            <w:vAlign w:val="center"/>
          </w:tcPr>
          <w:p>
            <w:pPr>
              <w:pStyle w:val="65"/>
              <w:rPr>
                <w:rFonts w:cstheme="minorBidi"/>
              </w:rPr>
            </w:pPr>
            <w:r>
              <w:rPr>
                <w:rFonts w:hint="eastAsia" w:cstheme="minorBidi"/>
              </w:rPr>
              <w:t>13米半挂车</w:t>
            </w:r>
          </w:p>
        </w:tc>
        <w:tc>
          <w:tcPr>
            <w:tcW w:w="1400" w:type="dxa"/>
            <w:vAlign w:val="center"/>
          </w:tcPr>
          <w:p>
            <w:pPr>
              <w:pStyle w:val="65"/>
              <w:rPr>
                <w:rFonts w:cstheme="minorBidi"/>
              </w:rPr>
            </w:pPr>
            <w:r>
              <w:rPr>
                <w:rFonts w:hint="eastAsia" w:cstheme="minorBidi"/>
              </w:rPr>
              <w:t>若干辆</w:t>
            </w:r>
          </w:p>
        </w:tc>
        <w:tc>
          <w:tcPr>
            <w:tcW w:w="2939" w:type="dxa"/>
            <w:vAlign w:val="center"/>
          </w:tcPr>
          <w:p>
            <w:pPr>
              <w:pStyle w:val="65"/>
              <w:rPr>
                <w:rFonts w:cstheme="minorBidi"/>
              </w:rPr>
            </w:pPr>
            <w:r>
              <w:rPr>
                <w:rFonts w:hint="eastAsia" w:cstheme="minorBidi"/>
              </w:rPr>
              <w:t>每台塔机进场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大锤</w:t>
            </w:r>
          </w:p>
        </w:tc>
        <w:tc>
          <w:tcPr>
            <w:tcW w:w="2723" w:type="dxa"/>
            <w:vAlign w:val="center"/>
          </w:tcPr>
          <w:p>
            <w:pPr>
              <w:pStyle w:val="65"/>
              <w:rPr>
                <w:rFonts w:cstheme="minorBidi"/>
              </w:rPr>
            </w:pPr>
            <w:r>
              <w:rPr>
                <w:rFonts w:hint="eastAsia" w:cstheme="minorBidi"/>
              </w:rPr>
              <w:t>18LB</w:t>
            </w:r>
          </w:p>
        </w:tc>
        <w:tc>
          <w:tcPr>
            <w:tcW w:w="1400" w:type="dxa"/>
            <w:vAlign w:val="center"/>
          </w:tcPr>
          <w:p>
            <w:pPr>
              <w:pStyle w:val="65"/>
              <w:rPr>
                <w:rFonts w:cstheme="minorBidi"/>
              </w:rPr>
            </w:pPr>
            <w:r>
              <w:rPr>
                <w:rFonts w:hint="eastAsia" w:cstheme="minorBidi"/>
              </w:rPr>
              <w:t>4把</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大锤</w:t>
            </w:r>
          </w:p>
        </w:tc>
        <w:tc>
          <w:tcPr>
            <w:tcW w:w="2723" w:type="dxa"/>
            <w:vAlign w:val="center"/>
          </w:tcPr>
          <w:p>
            <w:pPr>
              <w:pStyle w:val="65"/>
              <w:rPr>
                <w:rFonts w:cstheme="minorBidi"/>
              </w:rPr>
            </w:pPr>
            <w:r>
              <w:rPr>
                <w:rFonts w:hint="eastAsia" w:cstheme="minorBidi"/>
              </w:rPr>
              <w:t>22LB</w:t>
            </w:r>
          </w:p>
        </w:tc>
        <w:tc>
          <w:tcPr>
            <w:tcW w:w="1400" w:type="dxa"/>
            <w:vAlign w:val="center"/>
          </w:tcPr>
          <w:p>
            <w:pPr>
              <w:pStyle w:val="65"/>
              <w:rPr>
                <w:rFonts w:cstheme="minorBidi"/>
              </w:rPr>
            </w:pPr>
            <w:r>
              <w:rPr>
                <w:rFonts w:hint="eastAsia" w:cstheme="minorBidi"/>
              </w:rPr>
              <w:t>2把</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八角铁锤</w:t>
            </w:r>
          </w:p>
        </w:tc>
        <w:tc>
          <w:tcPr>
            <w:tcW w:w="2723" w:type="dxa"/>
            <w:vAlign w:val="center"/>
          </w:tcPr>
          <w:p>
            <w:pPr>
              <w:pStyle w:val="65"/>
              <w:rPr>
                <w:rFonts w:cstheme="minorBidi"/>
              </w:rPr>
            </w:pPr>
            <w:r>
              <w:rPr>
                <w:rFonts w:hint="eastAsia" w:cstheme="minorBidi"/>
              </w:rPr>
              <w:t>4磅</w:t>
            </w:r>
          </w:p>
        </w:tc>
        <w:tc>
          <w:tcPr>
            <w:tcW w:w="1400" w:type="dxa"/>
            <w:vAlign w:val="center"/>
          </w:tcPr>
          <w:p>
            <w:pPr>
              <w:pStyle w:val="65"/>
              <w:rPr>
                <w:rFonts w:cstheme="minorBidi"/>
              </w:rPr>
            </w:pPr>
            <w:r>
              <w:rPr>
                <w:rFonts w:hint="eastAsia" w:cstheme="minorBidi"/>
              </w:rPr>
              <w:t>2把</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手拉葫芦</w:t>
            </w:r>
          </w:p>
        </w:tc>
        <w:tc>
          <w:tcPr>
            <w:tcW w:w="2723" w:type="dxa"/>
            <w:vAlign w:val="center"/>
          </w:tcPr>
          <w:p>
            <w:pPr>
              <w:pStyle w:val="65"/>
              <w:rPr>
                <w:rFonts w:cstheme="minorBidi"/>
              </w:rPr>
            </w:pPr>
            <w:r>
              <w:rPr>
                <w:rFonts w:hint="eastAsia" w:cstheme="minorBidi"/>
              </w:rPr>
              <w:t>1T</w:t>
            </w:r>
          </w:p>
        </w:tc>
        <w:tc>
          <w:tcPr>
            <w:tcW w:w="1400" w:type="dxa"/>
            <w:vAlign w:val="center"/>
          </w:tcPr>
          <w:p>
            <w:pPr>
              <w:pStyle w:val="65"/>
              <w:rPr>
                <w:rFonts w:cstheme="minorBidi"/>
              </w:rPr>
            </w:pPr>
            <w:r>
              <w:rPr>
                <w:rFonts w:hint="eastAsia" w:cstheme="minorBidi"/>
              </w:rPr>
              <w:t>3套</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手拉葫芦</w:t>
            </w:r>
          </w:p>
        </w:tc>
        <w:tc>
          <w:tcPr>
            <w:tcW w:w="2723" w:type="dxa"/>
            <w:vAlign w:val="center"/>
          </w:tcPr>
          <w:p>
            <w:pPr>
              <w:pStyle w:val="65"/>
              <w:rPr>
                <w:rFonts w:cstheme="minorBidi"/>
              </w:rPr>
            </w:pPr>
            <w:r>
              <w:rPr>
                <w:rFonts w:hint="eastAsia" w:cstheme="minorBidi"/>
              </w:rPr>
              <w:t>3T</w:t>
            </w:r>
          </w:p>
        </w:tc>
        <w:tc>
          <w:tcPr>
            <w:tcW w:w="1400" w:type="dxa"/>
            <w:vAlign w:val="center"/>
          </w:tcPr>
          <w:p>
            <w:pPr>
              <w:pStyle w:val="65"/>
              <w:rPr>
                <w:rFonts w:cstheme="minorBidi"/>
              </w:rPr>
            </w:pPr>
            <w:r>
              <w:rPr>
                <w:rFonts w:hint="eastAsia" w:cstheme="minorBidi"/>
              </w:rPr>
              <w:t>1套</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重型套管</w:t>
            </w:r>
          </w:p>
        </w:tc>
        <w:tc>
          <w:tcPr>
            <w:tcW w:w="2723" w:type="dxa"/>
            <w:vAlign w:val="center"/>
          </w:tcPr>
          <w:p>
            <w:pPr>
              <w:pStyle w:val="65"/>
              <w:rPr>
                <w:rFonts w:cstheme="minorBidi"/>
              </w:rPr>
            </w:pPr>
            <w:r>
              <w:rPr>
                <w:rFonts w:hint="eastAsia" w:cstheme="minorBidi"/>
              </w:rPr>
              <w:t>套装</w:t>
            </w:r>
          </w:p>
        </w:tc>
        <w:tc>
          <w:tcPr>
            <w:tcW w:w="1400" w:type="dxa"/>
            <w:vAlign w:val="center"/>
          </w:tcPr>
          <w:p>
            <w:pPr>
              <w:pStyle w:val="65"/>
              <w:rPr>
                <w:rFonts w:cstheme="minorBidi"/>
              </w:rPr>
            </w:pPr>
            <w:r>
              <w:rPr>
                <w:rFonts w:hint="eastAsia" w:cstheme="minorBidi"/>
              </w:rPr>
              <w:t>1套</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90" w:hRule="atLeast"/>
        </w:trPr>
        <w:tc>
          <w:tcPr>
            <w:tcW w:w="2010" w:type="dxa"/>
            <w:vAlign w:val="center"/>
          </w:tcPr>
          <w:p>
            <w:pPr>
              <w:pStyle w:val="65"/>
              <w:rPr>
                <w:rFonts w:cstheme="minorBidi"/>
              </w:rPr>
            </w:pPr>
            <w:r>
              <w:rPr>
                <w:rFonts w:hint="eastAsia" w:cstheme="minorBidi"/>
              </w:rPr>
              <w:t>活动扳手</w:t>
            </w:r>
          </w:p>
        </w:tc>
        <w:tc>
          <w:tcPr>
            <w:tcW w:w="2723" w:type="dxa"/>
            <w:vAlign w:val="center"/>
          </w:tcPr>
          <w:p>
            <w:pPr>
              <w:pStyle w:val="65"/>
              <w:rPr>
                <w:rFonts w:cstheme="minorBidi"/>
              </w:rPr>
            </w:pPr>
            <w:r>
              <w:rPr>
                <w:rFonts w:hint="eastAsia" w:cstheme="minorBidi"/>
              </w:rPr>
              <w:t>300mm</w:t>
            </w:r>
          </w:p>
        </w:tc>
        <w:tc>
          <w:tcPr>
            <w:tcW w:w="1400" w:type="dxa"/>
            <w:vAlign w:val="center"/>
          </w:tcPr>
          <w:p>
            <w:pPr>
              <w:pStyle w:val="65"/>
              <w:rPr>
                <w:rFonts w:cstheme="minorBidi"/>
              </w:rPr>
            </w:pPr>
            <w:r>
              <w:rPr>
                <w:rFonts w:hint="eastAsia" w:cstheme="minorBidi"/>
              </w:rPr>
              <w:t>2把</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活动扳手</w:t>
            </w:r>
          </w:p>
        </w:tc>
        <w:tc>
          <w:tcPr>
            <w:tcW w:w="2723" w:type="dxa"/>
            <w:vAlign w:val="center"/>
          </w:tcPr>
          <w:p>
            <w:pPr>
              <w:pStyle w:val="65"/>
              <w:rPr>
                <w:rFonts w:cstheme="minorBidi"/>
              </w:rPr>
            </w:pPr>
            <w:r>
              <w:rPr>
                <w:rFonts w:hint="eastAsia" w:cstheme="minorBidi"/>
              </w:rPr>
              <w:t>150mm</w:t>
            </w:r>
          </w:p>
        </w:tc>
        <w:tc>
          <w:tcPr>
            <w:tcW w:w="1400" w:type="dxa"/>
            <w:vAlign w:val="center"/>
          </w:tcPr>
          <w:p>
            <w:pPr>
              <w:pStyle w:val="65"/>
              <w:rPr>
                <w:rFonts w:cstheme="minorBidi"/>
              </w:rPr>
            </w:pPr>
            <w:r>
              <w:rPr>
                <w:rFonts w:hint="eastAsia" w:cstheme="minorBidi"/>
              </w:rPr>
              <w:t>2把</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内六角扳手</w:t>
            </w:r>
          </w:p>
        </w:tc>
        <w:tc>
          <w:tcPr>
            <w:tcW w:w="2723" w:type="dxa"/>
            <w:vAlign w:val="center"/>
          </w:tcPr>
          <w:p>
            <w:pPr>
              <w:pStyle w:val="65"/>
              <w:rPr>
                <w:rFonts w:cstheme="minorBidi"/>
              </w:rPr>
            </w:pPr>
            <w:r>
              <w:rPr>
                <w:rFonts w:hint="eastAsia" w:cstheme="minorBidi"/>
              </w:rPr>
              <w:t>套装</w:t>
            </w:r>
          </w:p>
        </w:tc>
        <w:tc>
          <w:tcPr>
            <w:tcW w:w="1400" w:type="dxa"/>
            <w:vAlign w:val="center"/>
          </w:tcPr>
          <w:p>
            <w:pPr>
              <w:pStyle w:val="65"/>
              <w:rPr>
                <w:rFonts w:cstheme="minorBidi"/>
              </w:rPr>
            </w:pPr>
            <w:r>
              <w:rPr>
                <w:rFonts w:hint="eastAsia" w:cstheme="minorBidi"/>
              </w:rPr>
              <w:t>1套</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梅花扳手</w:t>
            </w:r>
          </w:p>
        </w:tc>
        <w:tc>
          <w:tcPr>
            <w:tcW w:w="2723" w:type="dxa"/>
            <w:vAlign w:val="center"/>
          </w:tcPr>
          <w:p>
            <w:pPr>
              <w:pStyle w:val="65"/>
              <w:rPr>
                <w:rFonts w:cstheme="minorBidi"/>
              </w:rPr>
            </w:pPr>
            <w:r>
              <w:rPr>
                <w:rFonts w:hint="eastAsia" w:cstheme="minorBidi"/>
              </w:rPr>
              <w:t>套装</w:t>
            </w:r>
          </w:p>
        </w:tc>
        <w:tc>
          <w:tcPr>
            <w:tcW w:w="1400" w:type="dxa"/>
            <w:vAlign w:val="center"/>
          </w:tcPr>
          <w:p>
            <w:pPr>
              <w:pStyle w:val="65"/>
              <w:rPr>
                <w:rFonts w:cstheme="minorBidi"/>
              </w:rPr>
            </w:pPr>
            <w:r>
              <w:rPr>
                <w:rFonts w:hint="eastAsia" w:cstheme="minorBidi"/>
              </w:rPr>
              <w:t>1套</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开口扳手</w:t>
            </w:r>
          </w:p>
        </w:tc>
        <w:tc>
          <w:tcPr>
            <w:tcW w:w="2723" w:type="dxa"/>
            <w:vAlign w:val="center"/>
          </w:tcPr>
          <w:p>
            <w:pPr>
              <w:pStyle w:val="65"/>
              <w:rPr>
                <w:rFonts w:cstheme="minorBidi"/>
              </w:rPr>
            </w:pPr>
            <w:r>
              <w:rPr>
                <w:rFonts w:hint="eastAsia" w:cstheme="minorBidi"/>
              </w:rPr>
              <w:t>套装</w:t>
            </w:r>
          </w:p>
        </w:tc>
        <w:tc>
          <w:tcPr>
            <w:tcW w:w="1400" w:type="dxa"/>
            <w:vAlign w:val="center"/>
          </w:tcPr>
          <w:p>
            <w:pPr>
              <w:pStyle w:val="65"/>
              <w:rPr>
                <w:rFonts w:cstheme="minorBidi"/>
              </w:rPr>
            </w:pPr>
            <w:r>
              <w:rPr>
                <w:rFonts w:hint="eastAsia" w:cstheme="minorBidi"/>
              </w:rPr>
              <w:t>1套</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90" w:hRule="atLeast"/>
        </w:trPr>
        <w:tc>
          <w:tcPr>
            <w:tcW w:w="2010" w:type="dxa"/>
            <w:vAlign w:val="center"/>
          </w:tcPr>
          <w:p>
            <w:pPr>
              <w:pStyle w:val="65"/>
              <w:rPr>
                <w:rFonts w:cstheme="minorBidi"/>
              </w:rPr>
            </w:pPr>
            <w:r>
              <w:rPr>
                <w:rFonts w:hint="eastAsia" w:cstheme="minorBidi"/>
              </w:rPr>
              <w:t>眼冲子</w:t>
            </w:r>
          </w:p>
        </w:tc>
        <w:tc>
          <w:tcPr>
            <w:tcW w:w="2723" w:type="dxa"/>
            <w:vAlign w:val="center"/>
          </w:tcPr>
          <w:p>
            <w:pPr>
              <w:pStyle w:val="65"/>
              <w:rPr>
                <w:rFonts w:cstheme="minorBidi"/>
              </w:rPr>
            </w:pPr>
          </w:p>
        </w:tc>
        <w:tc>
          <w:tcPr>
            <w:tcW w:w="1400" w:type="dxa"/>
            <w:vAlign w:val="center"/>
          </w:tcPr>
          <w:p>
            <w:pPr>
              <w:pStyle w:val="65"/>
              <w:rPr>
                <w:rFonts w:cstheme="minorBidi"/>
              </w:rPr>
            </w:pPr>
            <w:r>
              <w:rPr>
                <w:rFonts w:hint="eastAsia" w:cstheme="minorBidi"/>
              </w:rPr>
              <w:t>1套</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钳工常用工具</w:t>
            </w:r>
          </w:p>
        </w:tc>
        <w:tc>
          <w:tcPr>
            <w:tcW w:w="2723" w:type="dxa"/>
            <w:vAlign w:val="center"/>
          </w:tcPr>
          <w:p>
            <w:pPr>
              <w:pStyle w:val="65"/>
              <w:rPr>
                <w:rFonts w:cstheme="minorBidi"/>
              </w:rPr>
            </w:pPr>
          </w:p>
        </w:tc>
        <w:tc>
          <w:tcPr>
            <w:tcW w:w="1400" w:type="dxa"/>
            <w:vAlign w:val="center"/>
          </w:tcPr>
          <w:p>
            <w:pPr>
              <w:pStyle w:val="65"/>
              <w:rPr>
                <w:rFonts w:cstheme="minorBidi"/>
              </w:rPr>
            </w:pPr>
            <w:r>
              <w:rPr>
                <w:rFonts w:hint="eastAsia" w:cstheme="minorBidi"/>
              </w:rPr>
              <w:t>1套</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撬棍</w:t>
            </w:r>
          </w:p>
        </w:tc>
        <w:tc>
          <w:tcPr>
            <w:tcW w:w="2723" w:type="dxa"/>
            <w:vAlign w:val="center"/>
          </w:tcPr>
          <w:p>
            <w:pPr>
              <w:pStyle w:val="65"/>
              <w:rPr>
                <w:rFonts w:cstheme="minorBidi"/>
              </w:rPr>
            </w:pPr>
            <w:r>
              <w:rPr>
                <w:rFonts w:hint="eastAsia" w:cstheme="minorBidi"/>
              </w:rPr>
              <w:t>30mm</w:t>
            </w:r>
          </w:p>
        </w:tc>
        <w:tc>
          <w:tcPr>
            <w:tcW w:w="1400" w:type="dxa"/>
            <w:vAlign w:val="center"/>
          </w:tcPr>
          <w:p>
            <w:pPr>
              <w:pStyle w:val="65"/>
              <w:rPr>
                <w:rFonts w:cstheme="minorBidi"/>
              </w:rPr>
            </w:pPr>
            <w:r>
              <w:rPr>
                <w:rFonts w:hint="eastAsia" w:cstheme="minorBidi"/>
              </w:rPr>
              <w:t>5把</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钢卷尺</w:t>
            </w:r>
          </w:p>
        </w:tc>
        <w:tc>
          <w:tcPr>
            <w:tcW w:w="2723" w:type="dxa"/>
            <w:vAlign w:val="center"/>
          </w:tcPr>
          <w:p>
            <w:pPr>
              <w:pStyle w:val="65"/>
              <w:rPr>
                <w:rFonts w:cstheme="minorBidi"/>
              </w:rPr>
            </w:pPr>
            <w:r>
              <w:rPr>
                <w:rFonts w:hint="eastAsia" w:cstheme="minorBidi"/>
              </w:rPr>
              <w:t>30m</w:t>
            </w:r>
          </w:p>
        </w:tc>
        <w:tc>
          <w:tcPr>
            <w:tcW w:w="1400" w:type="dxa"/>
            <w:vAlign w:val="center"/>
          </w:tcPr>
          <w:p>
            <w:pPr>
              <w:pStyle w:val="65"/>
              <w:rPr>
                <w:rFonts w:cstheme="minorBidi"/>
              </w:rPr>
            </w:pPr>
            <w:r>
              <w:rPr>
                <w:rFonts w:hint="eastAsia" w:cstheme="minorBidi"/>
              </w:rPr>
              <w:t>1个</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卸扣</w:t>
            </w:r>
          </w:p>
        </w:tc>
        <w:tc>
          <w:tcPr>
            <w:tcW w:w="2723" w:type="dxa"/>
            <w:vAlign w:val="center"/>
          </w:tcPr>
          <w:p>
            <w:pPr>
              <w:pStyle w:val="65"/>
              <w:rPr>
                <w:rFonts w:cstheme="minorBidi"/>
              </w:rPr>
            </w:pPr>
            <w:r>
              <w:rPr>
                <w:rFonts w:hint="eastAsia" w:cstheme="minorBidi"/>
              </w:rPr>
              <w:t>1T、2T、5T</w:t>
            </w:r>
          </w:p>
        </w:tc>
        <w:tc>
          <w:tcPr>
            <w:tcW w:w="1400" w:type="dxa"/>
            <w:vAlign w:val="center"/>
          </w:tcPr>
          <w:p>
            <w:pPr>
              <w:pStyle w:val="65"/>
              <w:rPr>
                <w:rFonts w:cstheme="minorBidi"/>
              </w:rPr>
            </w:pPr>
            <w:r>
              <w:rPr>
                <w:rFonts w:hint="eastAsia" w:cstheme="minorBidi"/>
              </w:rPr>
              <w:t>各4个</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吊索钢丝绳</w:t>
            </w:r>
          </w:p>
        </w:tc>
        <w:tc>
          <w:tcPr>
            <w:tcW w:w="2723" w:type="dxa"/>
            <w:vAlign w:val="center"/>
          </w:tcPr>
          <w:p>
            <w:pPr>
              <w:pStyle w:val="325"/>
              <w:ind w:firstLine="0" w:firstLineChars="0"/>
              <w:rPr>
                <w:rFonts w:hint="default" w:eastAsia="宋体" w:cstheme="minorBidi"/>
                <w:lang w:val="en-US" w:eastAsia="zh-CN"/>
              </w:rPr>
            </w:pPr>
            <w:r>
              <w:rPr>
                <w:rFonts w:hint="eastAsia" w:cs="Times New Roman"/>
                <w:b w:val="0"/>
                <w:bCs w:val="0"/>
                <w:lang w:val="en-US" w:eastAsia="zh-CN"/>
              </w:rPr>
              <w:t>22</w:t>
            </w:r>
            <w:r>
              <w:rPr>
                <w:rFonts w:cs="Times New Roman"/>
                <w:b w:val="0"/>
                <w:bCs w:val="0"/>
              </w:rPr>
              <w:t>mm</w:t>
            </w:r>
            <w:r>
              <w:rPr>
                <w:rFonts w:eastAsia="仿宋" w:cs="Times New Roman"/>
                <w:b w:val="0"/>
                <w:bCs w:val="0"/>
              </w:rPr>
              <w:t>6×19S+FC1</w:t>
            </w:r>
            <w:r>
              <w:rPr>
                <w:rFonts w:cs="Times New Roman"/>
                <w:b w:val="0"/>
                <w:bCs w:val="0"/>
              </w:rPr>
              <w:t>8</w:t>
            </w:r>
            <w:r>
              <w:rPr>
                <w:rFonts w:eastAsia="仿宋" w:cs="Times New Roman"/>
                <w:b w:val="0"/>
                <w:bCs w:val="0"/>
              </w:rPr>
              <w:t>70</w:t>
            </w:r>
            <w:r>
              <w:rPr>
                <w:rFonts w:cs="Times New Roman"/>
                <w:b w:val="0"/>
                <w:bCs w:val="0"/>
              </w:rPr>
              <w:t>Mpa</w:t>
            </w:r>
            <w:r>
              <w:rPr>
                <w:rFonts w:hint="eastAsia" w:cs="Times New Roman"/>
                <w:b w:val="0"/>
                <w:bCs w:val="0"/>
                <w:lang w:eastAsia="zh-CN"/>
              </w:rPr>
              <w:t>，</w:t>
            </w:r>
            <w:r>
              <w:rPr>
                <w:rFonts w:hint="eastAsia" w:cs="Times New Roman"/>
                <w:b w:val="0"/>
                <w:bCs w:val="0"/>
                <w:lang w:val="en-US" w:eastAsia="zh-CN"/>
              </w:rPr>
              <w:t>8m</w:t>
            </w:r>
          </w:p>
        </w:tc>
        <w:tc>
          <w:tcPr>
            <w:tcW w:w="1400" w:type="dxa"/>
            <w:vAlign w:val="center"/>
          </w:tcPr>
          <w:p>
            <w:pPr>
              <w:pStyle w:val="65"/>
              <w:rPr>
                <w:rFonts w:cstheme="minorBidi"/>
              </w:rPr>
            </w:pPr>
            <w:r>
              <w:rPr>
                <w:rFonts w:hint="eastAsia" w:cstheme="minorBidi"/>
              </w:rPr>
              <w:t>4根</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90" w:hRule="atLeast"/>
        </w:trPr>
        <w:tc>
          <w:tcPr>
            <w:tcW w:w="2010" w:type="dxa"/>
            <w:vAlign w:val="center"/>
          </w:tcPr>
          <w:p>
            <w:pPr>
              <w:pStyle w:val="65"/>
              <w:rPr>
                <w:rFonts w:cstheme="minorBidi"/>
              </w:rPr>
            </w:pPr>
            <w:r>
              <w:rPr>
                <w:rFonts w:hint="eastAsia" w:cstheme="minorBidi"/>
              </w:rPr>
              <w:t>吊索钢丝绳</w:t>
            </w:r>
          </w:p>
        </w:tc>
        <w:tc>
          <w:tcPr>
            <w:tcW w:w="2723" w:type="dxa"/>
            <w:vAlign w:val="center"/>
          </w:tcPr>
          <w:p>
            <w:pPr>
              <w:pStyle w:val="325"/>
              <w:ind w:firstLine="0" w:firstLineChars="0"/>
              <w:rPr>
                <w:rFonts w:hint="default" w:eastAsia="宋体" w:cstheme="minorBidi"/>
                <w:lang w:val="en-US" w:eastAsia="zh-CN"/>
              </w:rPr>
            </w:pPr>
            <w:r>
              <w:rPr>
                <w:rFonts w:cs="Times New Roman"/>
                <w:b w:val="0"/>
                <w:bCs w:val="0"/>
              </w:rPr>
              <w:t>20mm</w:t>
            </w:r>
            <w:r>
              <w:rPr>
                <w:rFonts w:eastAsia="仿宋" w:cs="Times New Roman"/>
                <w:b w:val="0"/>
                <w:bCs w:val="0"/>
              </w:rPr>
              <w:t>6×19S+FC1</w:t>
            </w:r>
            <w:r>
              <w:rPr>
                <w:rFonts w:cs="Times New Roman"/>
                <w:b w:val="0"/>
                <w:bCs w:val="0"/>
              </w:rPr>
              <w:t>8</w:t>
            </w:r>
            <w:r>
              <w:rPr>
                <w:rFonts w:eastAsia="仿宋" w:cs="Times New Roman"/>
                <w:b w:val="0"/>
                <w:bCs w:val="0"/>
              </w:rPr>
              <w:t>70</w:t>
            </w:r>
            <w:r>
              <w:rPr>
                <w:rFonts w:cs="Times New Roman"/>
                <w:b w:val="0"/>
                <w:bCs w:val="0"/>
              </w:rPr>
              <w:t>Mpa</w:t>
            </w:r>
            <w:r>
              <w:rPr>
                <w:rFonts w:hint="eastAsia" w:cs="Times New Roman"/>
                <w:b w:val="0"/>
                <w:bCs w:val="0"/>
                <w:lang w:eastAsia="zh-CN"/>
              </w:rPr>
              <w:t>，</w:t>
            </w:r>
            <w:r>
              <w:rPr>
                <w:rFonts w:hint="eastAsia" w:cs="Times New Roman"/>
                <w:b w:val="0"/>
                <w:bCs w:val="0"/>
                <w:lang w:val="en-US" w:eastAsia="zh-CN"/>
              </w:rPr>
              <w:t>6m</w:t>
            </w:r>
          </w:p>
        </w:tc>
        <w:tc>
          <w:tcPr>
            <w:tcW w:w="1400" w:type="dxa"/>
            <w:vAlign w:val="center"/>
          </w:tcPr>
          <w:p>
            <w:pPr>
              <w:pStyle w:val="65"/>
              <w:rPr>
                <w:rFonts w:cstheme="minorBidi"/>
              </w:rPr>
            </w:pPr>
            <w:r>
              <w:rPr>
                <w:rFonts w:hint="eastAsia" w:cstheme="minorBidi"/>
              </w:rPr>
              <w:t>4根</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吊索钢丝绳</w:t>
            </w:r>
          </w:p>
        </w:tc>
        <w:tc>
          <w:tcPr>
            <w:tcW w:w="2723" w:type="dxa"/>
            <w:vAlign w:val="center"/>
          </w:tcPr>
          <w:p>
            <w:pPr>
              <w:pStyle w:val="65"/>
              <w:rPr>
                <w:rFonts w:cstheme="minorBidi"/>
              </w:rPr>
            </w:pPr>
            <w:r>
              <w:rPr>
                <w:rFonts w:hint="eastAsia" w:cs="Times New Roman"/>
                <w:b w:val="0"/>
                <w:bCs w:val="0"/>
                <w:lang w:val="en-US" w:eastAsia="zh-CN"/>
              </w:rPr>
              <w:t>22</w:t>
            </w:r>
            <w:r>
              <w:rPr>
                <w:rFonts w:cs="Times New Roman"/>
                <w:b w:val="0"/>
                <w:bCs w:val="0"/>
              </w:rPr>
              <w:t>mm</w:t>
            </w:r>
            <w:r>
              <w:rPr>
                <w:rFonts w:eastAsia="仿宋" w:cs="Times New Roman"/>
                <w:b w:val="0"/>
                <w:bCs w:val="0"/>
              </w:rPr>
              <w:t>6×19S+FC1</w:t>
            </w:r>
            <w:r>
              <w:rPr>
                <w:rFonts w:cs="Times New Roman"/>
                <w:b w:val="0"/>
                <w:bCs w:val="0"/>
              </w:rPr>
              <w:t>8</w:t>
            </w:r>
            <w:r>
              <w:rPr>
                <w:rFonts w:eastAsia="仿宋" w:cs="Times New Roman"/>
                <w:b w:val="0"/>
                <w:bCs w:val="0"/>
              </w:rPr>
              <w:t>70</w:t>
            </w:r>
            <w:r>
              <w:rPr>
                <w:rFonts w:cs="Times New Roman"/>
                <w:b w:val="0"/>
                <w:bCs w:val="0"/>
              </w:rPr>
              <w:t>Mpa</w:t>
            </w:r>
            <w:r>
              <w:rPr>
                <w:rFonts w:hint="eastAsia" w:cs="Times New Roman"/>
                <w:b w:val="0"/>
                <w:bCs w:val="0"/>
                <w:lang w:eastAsia="zh-CN"/>
              </w:rPr>
              <w:t>，</w:t>
            </w:r>
            <w:r>
              <w:rPr>
                <w:rFonts w:hint="eastAsia" w:cstheme="minorBidi"/>
              </w:rPr>
              <w:t>3m</w:t>
            </w:r>
          </w:p>
        </w:tc>
        <w:tc>
          <w:tcPr>
            <w:tcW w:w="1400" w:type="dxa"/>
            <w:vAlign w:val="center"/>
          </w:tcPr>
          <w:p>
            <w:pPr>
              <w:pStyle w:val="65"/>
              <w:rPr>
                <w:rFonts w:cstheme="minorBidi"/>
              </w:rPr>
            </w:pPr>
            <w:r>
              <w:rPr>
                <w:rFonts w:hint="eastAsia" w:cstheme="minorBidi"/>
              </w:rPr>
              <w:t>4根</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白棕绳</w:t>
            </w:r>
          </w:p>
        </w:tc>
        <w:tc>
          <w:tcPr>
            <w:tcW w:w="2723" w:type="dxa"/>
            <w:vAlign w:val="center"/>
          </w:tcPr>
          <w:p>
            <w:pPr>
              <w:pStyle w:val="65"/>
              <w:rPr>
                <w:rFonts w:cstheme="minorBidi"/>
              </w:rPr>
            </w:pPr>
            <w:r>
              <w:rPr>
                <w:rFonts w:hint="eastAsia" w:cstheme="minorBidi"/>
              </w:rPr>
              <w:t>φ16mm×50m</w:t>
            </w:r>
          </w:p>
        </w:tc>
        <w:tc>
          <w:tcPr>
            <w:tcW w:w="1400" w:type="dxa"/>
            <w:vAlign w:val="center"/>
          </w:tcPr>
          <w:p>
            <w:pPr>
              <w:pStyle w:val="65"/>
              <w:rPr>
                <w:rFonts w:cstheme="minorBidi"/>
              </w:rPr>
            </w:pPr>
            <w:r>
              <w:rPr>
                <w:rFonts w:hint="eastAsia" w:cstheme="minorBidi"/>
              </w:rPr>
              <w:t>1根</w:t>
            </w:r>
          </w:p>
        </w:tc>
        <w:tc>
          <w:tcPr>
            <w:tcW w:w="2939" w:type="dxa"/>
            <w:vAlign w:val="center"/>
          </w:tcPr>
          <w:p>
            <w:pPr>
              <w:pStyle w:val="65"/>
              <w:rPr>
                <w:rFonts w:cstheme="minorBidi"/>
              </w:rPr>
            </w:pPr>
            <w:r>
              <w:rPr>
                <w:rFonts w:hint="eastAsia" w:cstheme="minorBidi"/>
              </w:rPr>
              <w:t>2根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对讲机</w:t>
            </w:r>
          </w:p>
        </w:tc>
        <w:tc>
          <w:tcPr>
            <w:tcW w:w="2723" w:type="dxa"/>
            <w:vAlign w:val="center"/>
          </w:tcPr>
          <w:p>
            <w:pPr>
              <w:pStyle w:val="65"/>
              <w:rPr>
                <w:rFonts w:cstheme="minorBidi"/>
              </w:rPr>
            </w:pPr>
          </w:p>
        </w:tc>
        <w:tc>
          <w:tcPr>
            <w:tcW w:w="1400" w:type="dxa"/>
            <w:vAlign w:val="center"/>
          </w:tcPr>
          <w:p>
            <w:pPr>
              <w:pStyle w:val="65"/>
              <w:rPr>
                <w:rFonts w:cstheme="minorBidi"/>
              </w:rPr>
            </w:pPr>
            <w:r>
              <w:rPr>
                <w:rFonts w:hint="eastAsia" w:cstheme="minorBidi"/>
              </w:rPr>
              <w:t>4部</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电工常用工具</w:t>
            </w:r>
          </w:p>
        </w:tc>
        <w:tc>
          <w:tcPr>
            <w:tcW w:w="2723" w:type="dxa"/>
            <w:vAlign w:val="center"/>
          </w:tcPr>
          <w:p>
            <w:pPr>
              <w:pStyle w:val="65"/>
              <w:rPr>
                <w:rFonts w:cstheme="minorBidi"/>
              </w:rPr>
            </w:pPr>
          </w:p>
        </w:tc>
        <w:tc>
          <w:tcPr>
            <w:tcW w:w="1400" w:type="dxa"/>
            <w:vAlign w:val="center"/>
          </w:tcPr>
          <w:p>
            <w:pPr>
              <w:pStyle w:val="65"/>
              <w:rPr>
                <w:rFonts w:cstheme="minorBidi"/>
              </w:rPr>
            </w:pPr>
            <w:r>
              <w:rPr>
                <w:rFonts w:hint="eastAsia" w:cstheme="minorBidi"/>
              </w:rPr>
              <w:t>1套</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90" w:hRule="atLeast"/>
        </w:trPr>
        <w:tc>
          <w:tcPr>
            <w:tcW w:w="2010" w:type="dxa"/>
            <w:vAlign w:val="center"/>
          </w:tcPr>
          <w:p>
            <w:pPr>
              <w:pStyle w:val="65"/>
              <w:rPr>
                <w:rFonts w:cstheme="minorBidi"/>
              </w:rPr>
            </w:pPr>
            <w:r>
              <w:rPr>
                <w:rFonts w:hint="eastAsia" w:cstheme="minorBidi"/>
              </w:rPr>
              <w:t>万用表</w:t>
            </w:r>
          </w:p>
        </w:tc>
        <w:tc>
          <w:tcPr>
            <w:tcW w:w="2723" w:type="dxa"/>
            <w:vAlign w:val="center"/>
          </w:tcPr>
          <w:p>
            <w:pPr>
              <w:pStyle w:val="65"/>
              <w:rPr>
                <w:rFonts w:cstheme="minorBidi"/>
              </w:rPr>
            </w:pPr>
          </w:p>
        </w:tc>
        <w:tc>
          <w:tcPr>
            <w:tcW w:w="1400" w:type="dxa"/>
            <w:vAlign w:val="center"/>
          </w:tcPr>
          <w:p>
            <w:pPr>
              <w:pStyle w:val="65"/>
              <w:rPr>
                <w:rFonts w:cstheme="minorBidi"/>
              </w:rPr>
            </w:pPr>
            <w:r>
              <w:rPr>
                <w:rFonts w:hint="eastAsia" w:cstheme="minorBidi"/>
              </w:rPr>
              <w:t>1块</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钳式电流表</w:t>
            </w:r>
          </w:p>
        </w:tc>
        <w:tc>
          <w:tcPr>
            <w:tcW w:w="2723" w:type="dxa"/>
            <w:vAlign w:val="center"/>
          </w:tcPr>
          <w:p>
            <w:pPr>
              <w:pStyle w:val="65"/>
              <w:rPr>
                <w:rFonts w:cstheme="minorBidi"/>
              </w:rPr>
            </w:pPr>
          </w:p>
        </w:tc>
        <w:tc>
          <w:tcPr>
            <w:tcW w:w="1400" w:type="dxa"/>
            <w:vAlign w:val="center"/>
          </w:tcPr>
          <w:p>
            <w:pPr>
              <w:pStyle w:val="65"/>
              <w:rPr>
                <w:rFonts w:cstheme="minorBidi"/>
              </w:rPr>
            </w:pPr>
            <w:r>
              <w:rPr>
                <w:rFonts w:hint="eastAsia" w:cstheme="minorBidi"/>
              </w:rPr>
              <w:t>1块</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绝缘摇表</w:t>
            </w:r>
          </w:p>
        </w:tc>
        <w:tc>
          <w:tcPr>
            <w:tcW w:w="2723" w:type="dxa"/>
            <w:vAlign w:val="center"/>
          </w:tcPr>
          <w:p>
            <w:pPr>
              <w:pStyle w:val="65"/>
              <w:rPr>
                <w:rFonts w:cstheme="minorBidi"/>
              </w:rPr>
            </w:pPr>
          </w:p>
        </w:tc>
        <w:tc>
          <w:tcPr>
            <w:tcW w:w="1400" w:type="dxa"/>
            <w:vAlign w:val="center"/>
          </w:tcPr>
          <w:p>
            <w:pPr>
              <w:pStyle w:val="65"/>
              <w:rPr>
                <w:rFonts w:cstheme="minorBidi"/>
              </w:rPr>
            </w:pPr>
            <w:r>
              <w:rPr>
                <w:rFonts w:hint="eastAsia" w:cstheme="minorBidi"/>
              </w:rPr>
              <w:t>1块</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水平仪、经纬仪</w:t>
            </w:r>
          </w:p>
        </w:tc>
        <w:tc>
          <w:tcPr>
            <w:tcW w:w="2723" w:type="dxa"/>
            <w:vAlign w:val="center"/>
          </w:tcPr>
          <w:p>
            <w:pPr>
              <w:pStyle w:val="65"/>
              <w:rPr>
                <w:rFonts w:cstheme="minorBidi"/>
              </w:rPr>
            </w:pPr>
          </w:p>
        </w:tc>
        <w:tc>
          <w:tcPr>
            <w:tcW w:w="1400" w:type="dxa"/>
            <w:vAlign w:val="center"/>
          </w:tcPr>
          <w:p>
            <w:pPr>
              <w:pStyle w:val="65"/>
              <w:rPr>
                <w:rFonts w:cstheme="minorBidi"/>
              </w:rPr>
            </w:pPr>
            <w:r>
              <w:rPr>
                <w:rFonts w:hint="eastAsia" w:cstheme="minorBidi"/>
              </w:rPr>
              <w:t>各1架</w:t>
            </w:r>
          </w:p>
        </w:tc>
        <w:tc>
          <w:tcPr>
            <w:tcW w:w="2939" w:type="dxa"/>
            <w:vAlign w:val="center"/>
          </w:tcPr>
          <w:p>
            <w:pPr>
              <w:pStyle w:val="65"/>
              <w:rPr>
                <w:rFonts w:cstheme="minorBid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10" w:type="dxa"/>
            <w:vAlign w:val="center"/>
          </w:tcPr>
          <w:p>
            <w:pPr>
              <w:pStyle w:val="65"/>
              <w:rPr>
                <w:rFonts w:cstheme="minorBidi"/>
              </w:rPr>
            </w:pPr>
            <w:r>
              <w:rPr>
                <w:rFonts w:hint="eastAsia" w:cstheme="minorBidi"/>
              </w:rPr>
              <w:t>安全带、安全帽、救生衣</w:t>
            </w:r>
          </w:p>
        </w:tc>
        <w:tc>
          <w:tcPr>
            <w:tcW w:w="2723" w:type="dxa"/>
            <w:vAlign w:val="center"/>
          </w:tcPr>
          <w:p>
            <w:pPr>
              <w:pStyle w:val="65"/>
              <w:rPr>
                <w:rFonts w:cstheme="minorBidi"/>
              </w:rPr>
            </w:pPr>
          </w:p>
        </w:tc>
        <w:tc>
          <w:tcPr>
            <w:tcW w:w="1400" w:type="dxa"/>
            <w:vAlign w:val="center"/>
          </w:tcPr>
          <w:p>
            <w:pPr>
              <w:pStyle w:val="65"/>
              <w:rPr>
                <w:rFonts w:cstheme="minorBidi"/>
              </w:rPr>
            </w:pPr>
            <w:r>
              <w:rPr>
                <w:rFonts w:hint="eastAsia" w:cstheme="minorBidi"/>
              </w:rPr>
              <w:t>每人一套</w:t>
            </w:r>
          </w:p>
        </w:tc>
        <w:tc>
          <w:tcPr>
            <w:tcW w:w="2939" w:type="dxa"/>
            <w:vAlign w:val="center"/>
          </w:tcPr>
          <w:p>
            <w:pPr>
              <w:pStyle w:val="65"/>
              <w:rPr>
                <w:rFonts w:cstheme="minorBidi"/>
              </w:rPr>
            </w:pPr>
          </w:p>
        </w:tc>
      </w:tr>
    </w:tbl>
    <w:p>
      <w:pPr>
        <w:ind w:firstLine="480"/>
      </w:pPr>
    </w:p>
    <w:p>
      <w:pPr>
        <w:pStyle w:val="3"/>
        <w:rPr>
          <w:rFonts w:hint="eastAsia"/>
          <w:sz w:val="32"/>
          <w:szCs w:val="32"/>
        </w:rPr>
      </w:pPr>
      <w:bookmarkStart w:id="42" w:name="_Toc19153"/>
      <w:r>
        <w:rPr>
          <w:rFonts w:hint="eastAsia"/>
          <w:sz w:val="32"/>
          <w:szCs w:val="32"/>
        </w:rPr>
        <w:t>施工工艺</w:t>
      </w:r>
      <w:bookmarkEnd w:id="42"/>
    </w:p>
    <w:p>
      <w:pPr>
        <w:pStyle w:val="4"/>
      </w:pPr>
      <w:bookmarkStart w:id="43" w:name="_Toc1791"/>
      <w:r>
        <w:rPr>
          <w:rFonts w:hint="eastAsia"/>
        </w:rPr>
        <w:t>塔吊安装施工工艺流程</w:t>
      </w:r>
      <w:bookmarkEnd w:id="43"/>
    </w:p>
    <w:p>
      <w:pPr>
        <w:pStyle w:val="16"/>
      </w:pPr>
      <w:r>
        <w:rPr>
          <w:rFonts w:hint="eastAsia" w:ascii="仿宋_GB2312" w:hAnsi="仿宋_GB2312" w:eastAsia="仿宋_GB2312" w:cs="仿宋_GB2312"/>
          <w:color w:val="auto"/>
          <w:kern w:val="0"/>
          <w:sz w:val="24"/>
          <w:szCs w:val="24"/>
          <w:lang w:val="en-US" w:eastAsia="zh-CN" w:bidi="ar"/>
        </w:rPr>
        <w:drawing>
          <wp:inline distT="0" distB="0" distL="114300" distR="114300">
            <wp:extent cx="4407535" cy="3365500"/>
            <wp:effectExtent l="0" t="0" r="12065" b="6350"/>
            <wp:docPr id="139"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descr="IMG_256"/>
                    <pic:cNvPicPr>
                      <a:picLocks noChangeAspect="1"/>
                    </pic:cNvPicPr>
                  </pic:nvPicPr>
                  <pic:blipFill>
                    <a:blip r:embed="rId39"/>
                    <a:stretch>
                      <a:fillRect/>
                    </a:stretch>
                  </pic:blipFill>
                  <pic:spPr>
                    <a:xfrm>
                      <a:off x="0" y="0"/>
                      <a:ext cx="4407535" cy="3365500"/>
                    </a:xfrm>
                    <a:prstGeom prst="rect">
                      <a:avLst/>
                    </a:prstGeom>
                    <a:noFill/>
                    <a:ln w="9525">
                      <a:noFill/>
                    </a:ln>
                  </pic:spPr>
                </pic:pic>
              </a:graphicData>
            </a:graphic>
          </wp:inline>
        </w:drawing>
      </w:r>
    </w:p>
    <w:p>
      <w:pPr>
        <w:pStyle w:val="16"/>
      </w:pPr>
      <w:r>
        <w:rPr>
          <w:rFonts w:hint="eastAsia"/>
        </w:rPr>
        <w:t xml:space="preserve">图 </w:t>
      </w:r>
      <w:r>
        <w:rPr>
          <w:rFonts w:hint="eastAsia"/>
          <w:lang w:val="en-US" w:eastAsia="zh-CN"/>
        </w:rPr>
        <w:t>4.1</w:t>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1</w:t>
      </w:r>
      <w:r>
        <w:fldChar w:fldCharType="end"/>
      </w:r>
      <w:r>
        <w:rPr>
          <w:rFonts w:hint="eastAsia"/>
        </w:rPr>
        <w:t>施工工艺流程图</w:t>
      </w:r>
    </w:p>
    <w:p>
      <w:pPr>
        <w:pStyle w:val="4"/>
      </w:pPr>
      <w:bookmarkStart w:id="44" w:name="_Toc25073"/>
      <w:r>
        <w:rPr>
          <w:rFonts w:hint="eastAsia"/>
        </w:rPr>
        <w:t>主要设备选型</w:t>
      </w:r>
      <w:bookmarkEnd w:id="44"/>
    </w:p>
    <w:p>
      <w:pPr>
        <w:pStyle w:val="5"/>
        <w:bidi w:val="0"/>
        <w:ind w:left="0" w:leftChars="0" w:firstLine="0" w:firstLineChars="0"/>
        <w:rPr>
          <w:rFonts w:hint="eastAsia"/>
          <w:sz w:val="24"/>
          <w:szCs w:val="24"/>
          <w:lang w:val="en-US" w:eastAsia="zh-CN"/>
        </w:rPr>
      </w:pPr>
      <w:r>
        <w:rPr>
          <w:rFonts w:hint="eastAsia"/>
          <w:sz w:val="24"/>
          <w:szCs w:val="24"/>
          <w:lang w:val="en-US" w:eastAsia="zh-CN"/>
        </w:rPr>
        <w:t>辅助起重设备选型</w:t>
      </w:r>
    </w:p>
    <w:p>
      <w:pPr>
        <w:ind w:firstLine="480"/>
      </w:pPr>
      <w:r>
        <w:rPr>
          <w:rFonts w:hint="eastAsia"/>
        </w:rPr>
        <w:t>安装时，现场场地平整后，辅助安装的</w:t>
      </w:r>
      <w:r>
        <w:rPr>
          <w:rFonts w:hint="eastAsia"/>
          <w:lang w:eastAsia="zh-CN"/>
        </w:rPr>
        <w:t>汽车吊</w:t>
      </w:r>
      <w:r>
        <w:rPr>
          <w:rFonts w:hint="eastAsia"/>
        </w:rPr>
        <w:t>可行驶并支设于塔吊基础旁，</w:t>
      </w:r>
      <w:r>
        <w:rPr>
          <w:rFonts w:hint="eastAsia"/>
          <w:lang w:val="en-US" w:eastAsia="zh-CN"/>
        </w:rPr>
        <w:t>T7020-10</w:t>
      </w:r>
      <w:r>
        <w:rPr>
          <w:rFonts w:hint="eastAsia"/>
        </w:rPr>
        <w:t>选用</w:t>
      </w:r>
      <w:r>
        <w:rPr>
          <w:rFonts w:hint="eastAsia"/>
          <w:lang w:eastAsia="zh-CN"/>
        </w:rPr>
        <w:t>50t汽车吊</w:t>
      </w:r>
      <w:r>
        <w:rPr>
          <w:rFonts w:hint="eastAsia"/>
        </w:rPr>
        <w:t>，满足塔机的安装。</w:t>
      </w:r>
      <w:r>
        <w:rPr>
          <w:rFonts w:hint="eastAsia"/>
          <w:highlight w:val="none"/>
        </w:rPr>
        <w:t>相应计算详见第1</w:t>
      </w:r>
      <w:r>
        <w:rPr>
          <w:highlight w:val="none"/>
        </w:rPr>
        <w:t>1章节。</w:t>
      </w:r>
    </w:p>
    <w:p>
      <w:pPr>
        <w:widowControl w:val="0"/>
        <w:spacing w:line="240" w:lineRule="auto"/>
        <w:ind w:firstLine="0" w:firstLineChars="0"/>
        <w:jc w:val="center"/>
        <w:rPr>
          <w:rFonts w:hint="default" w:ascii="Times New Roman" w:hAnsi="Times New Roman" w:eastAsia="宋体" w:cstheme="majorBidi"/>
          <w:b/>
          <w:kern w:val="2"/>
          <w:sz w:val="21"/>
          <w:szCs w:val="20"/>
          <w:lang w:val="en-US" w:eastAsia="zh-CN" w:bidi="ar-SA"/>
        </w:rPr>
      </w:pPr>
      <w:r>
        <w:rPr>
          <w:rFonts w:hint="eastAsia" w:ascii="Times New Roman" w:hAnsi="Times New Roman" w:eastAsia="宋体" w:cstheme="majorBidi"/>
          <w:b/>
          <w:kern w:val="2"/>
          <w:sz w:val="21"/>
          <w:szCs w:val="20"/>
          <w:lang w:val="en-US" w:eastAsia="zh-CN" w:bidi="ar-SA"/>
        </w:rPr>
        <w:t xml:space="preserve">表 </w:t>
      </w:r>
      <w:r>
        <w:rPr>
          <w:rFonts w:ascii="Times New Roman" w:hAnsi="Times New Roman" w:eastAsia="宋体" w:cstheme="majorBidi"/>
          <w:b/>
          <w:kern w:val="2"/>
          <w:sz w:val="21"/>
          <w:szCs w:val="20"/>
          <w:lang w:val="en-US" w:eastAsia="zh-CN" w:bidi="ar-SA"/>
        </w:rPr>
        <w:fldChar w:fldCharType="begin"/>
      </w:r>
      <w:r>
        <w:rPr>
          <w:rFonts w:ascii="Times New Roman" w:hAnsi="Times New Roman" w:eastAsia="宋体" w:cstheme="majorBidi"/>
          <w:b/>
          <w:kern w:val="2"/>
          <w:sz w:val="21"/>
          <w:szCs w:val="20"/>
          <w:lang w:val="en-US" w:eastAsia="zh-CN" w:bidi="ar-SA"/>
        </w:rPr>
        <w:instrText xml:space="preserve"> </w:instrText>
      </w:r>
      <w:r>
        <w:rPr>
          <w:rFonts w:hint="eastAsia" w:ascii="Times New Roman" w:hAnsi="Times New Roman" w:eastAsia="宋体" w:cstheme="majorBidi"/>
          <w:b/>
          <w:kern w:val="2"/>
          <w:sz w:val="21"/>
          <w:szCs w:val="20"/>
          <w:lang w:val="en-US" w:eastAsia="zh-CN" w:bidi="ar-SA"/>
        </w:rPr>
        <w:instrText xml:space="preserve">STYLEREF 3 \s</w:instrText>
      </w:r>
      <w:r>
        <w:rPr>
          <w:rFonts w:ascii="Times New Roman" w:hAnsi="Times New Roman" w:eastAsia="宋体" w:cstheme="majorBidi"/>
          <w:b/>
          <w:kern w:val="2"/>
          <w:sz w:val="21"/>
          <w:szCs w:val="20"/>
          <w:lang w:val="en-US" w:eastAsia="zh-CN" w:bidi="ar-SA"/>
        </w:rPr>
        <w:instrText xml:space="preserve"> </w:instrText>
      </w:r>
      <w:r>
        <w:rPr>
          <w:rFonts w:ascii="Times New Roman" w:hAnsi="Times New Roman" w:eastAsia="宋体" w:cstheme="majorBidi"/>
          <w:b/>
          <w:kern w:val="2"/>
          <w:sz w:val="21"/>
          <w:szCs w:val="20"/>
          <w:lang w:val="en-US" w:eastAsia="zh-CN" w:bidi="ar-SA"/>
        </w:rPr>
        <w:fldChar w:fldCharType="separate"/>
      </w:r>
      <w:r>
        <w:rPr>
          <w:rFonts w:ascii="Times New Roman" w:hAnsi="Times New Roman" w:eastAsia="宋体" w:cstheme="majorBidi"/>
          <w:b/>
          <w:kern w:val="2"/>
          <w:sz w:val="21"/>
          <w:szCs w:val="20"/>
          <w:lang w:val="en-US" w:eastAsia="zh-CN" w:bidi="ar-SA"/>
        </w:rPr>
        <w:t>4.2.1</w:t>
      </w:r>
      <w:r>
        <w:rPr>
          <w:rFonts w:ascii="Times New Roman" w:hAnsi="Times New Roman" w:eastAsia="宋体" w:cstheme="majorBidi"/>
          <w:b/>
          <w:kern w:val="2"/>
          <w:sz w:val="21"/>
          <w:szCs w:val="20"/>
          <w:lang w:val="en-US" w:eastAsia="zh-CN" w:bidi="ar-SA"/>
        </w:rPr>
        <w:fldChar w:fldCharType="end"/>
      </w:r>
      <w:r>
        <w:rPr>
          <w:rFonts w:ascii="Times New Roman" w:hAnsi="Times New Roman" w:eastAsia="宋体" w:cstheme="majorBidi"/>
          <w:b/>
          <w:kern w:val="2"/>
          <w:sz w:val="21"/>
          <w:szCs w:val="20"/>
          <w:lang w:val="en-US" w:eastAsia="zh-CN" w:bidi="ar-SA"/>
        </w:rPr>
        <w:noBreakHyphen/>
      </w:r>
      <w:r>
        <w:rPr>
          <w:rFonts w:ascii="Times New Roman" w:hAnsi="Times New Roman" w:eastAsia="宋体" w:cstheme="majorBidi"/>
          <w:b/>
          <w:kern w:val="2"/>
          <w:sz w:val="21"/>
          <w:szCs w:val="20"/>
          <w:lang w:val="en-US" w:eastAsia="zh-CN" w:bidi="ar-SA"/>
        </w:rPr>
        <w:fldChar w:fldCharType="begin"/>
      </w:r>
      <w:r>
        <w:rPr>
          <w:rFonts w:ascii="Times New Roman" w:hAnsi="Times New Roman" w:eastAsia="宋体" w:cstheme="majorBidi"/>
          <w:b/>
          <w:kern w:val="2"/>
          <w:sz w:val="21"/>
          <w:szCs w:val="20"/>
          <w:lang w:val="en-US" w:eastAsia="zh-CN" w:bidi="ar-SA"/>
        </w:rPr>
        <w:instrText xml:space="preserve"> </w:instrText>
      </w:r>
      <w:r>
        <w:rPr>
          <w:rFonts w:hint="eastAsia" w:ascii="Times New Roman" w:hAnsi="Times New Roman" w:eastAsia="宋体" w:cstheme="majorBidi"/>
          <w:b/>
          <w:kern w:val="2"/>
          <w:sz w:val="21"/>
          <w:szCs w:val="20"/>
          <w:lang w:val="en-US" w:eastAsia="zh-CN" w:bidi="ar-SA"/>
        </w:rPr>
        <w:instrText xml:space="preserve">SEQ 表 \* ARABIC \s 3</w:instrText>
      </w:r>
      <w:r>
        <w:rPr>
          <w:rFonts w:ascii="Times New Roman" w:hAnsi="Times New Roman" w:eastAsia="宋体" w:cstheme="majorBidi"/>
          <w:b/>
          <w:kern w:val="2"/>
          <w:sz w:val="21"/>
          <w:szCs w:val="20"/>
          <w:lang w:val="en-US" w:eastAsia="zh-CN" w:bidi="ar-SA"/>
        </w:rPr>
        <w:instrText xml:space="preserve"> </w:instrText>
      </w:r>
      <w:r>
        <w:rPr>
          <w:rFonts w:ascii="Times New Roman" w:hAnsi="Times New Roman" w:eastAsia="宋体" w:cstheme="majorBidi"/>
          <w:b/>
          <w:kern w:val="2"/>
          <w:sz w:val="21"/>
          <w:szCs w:val="20"/>
          <w:lang w:val="en-US" w:eastAsia="zh-CN" w:bidi="ar-SA"/>
        </w:rPr>
        <w:fldChar w:fldCharType="separate"/>
      </w:r>
      <w:r>
        <w:rPr>
          <w:rFonts w:ascii="Times New Roman" w:hAnsi="Times New Roman" w:eastAsia="宋体" w:cstheme="majorBidi"/>
          <w:b/>
          <w:kern w:val="2"/>
          <w:sz w:val="21"/>
          <w:szCs w:val="20"/>
          <w:lang w:val="en-US" w:eastAsia="zh-CN" w:bidi="ar-SA"/>
        </w:rPr>
        <w:t>1</w:t>
      </w:r>
      <w:r>
        <w:rPr>
          <w:rFonts w:ascii="Times New Roman" w:hAnsi="Times New Roman" w:eastAsia="宋体" w:cstheme="majorBidi"/>
          <w:b/>
          <w:kern w:val="2"/>
          <w:sz w:val="21"/>
          <w:szCs w:val="20"/>
          <w:lang w:val="en-US" w:eastAsia="zh-CN" w:bidi="ar-SA"/>
        </w:rPr>
        <w:fldChar w:fldCharType="end"/>
      </w:r>
      <w:r>
        <w:rPr>
          <w:rFonts w:hint="eastAsia" w:cstheme="majorBidi"/>
          <w:b/>
          <w:kern w:val="2"/>
          <w:sz w:val="21"/>
          <w:szCs w:val="20"/>
          <w:lang w:val="en-US" w:eastAsia="zh-CN" w:bidi="ar-SA"/>
        </w:rPr>
        <w:t>汽车吊</w:t>
      </w:r>
      <w:r>
        <w:rPr>
          <w:rFonts w:hint="eastAsia" w:ascii="Times New Roman" w:hAnsi="Times New Roman" w:eastAsia="宋体" w:cstheme="majorBidi"/>
          <w:b/>
          <w:kern w:val="2"/>
          <w:sz w:val="21"/>
          <w:szCs w:val="20"/>
          <w:lang w:val="en-US" w:eastAsia="zh-CN" w:bidi="ar-SA"/>
        </w:rPr>
        <w:t>性能表</w:t>
      </w:r>
    </w:p>
    <w:p>
      <w:pPr>
        <w:pStyle w:val="13"/>
      </w:pPr>
    </w:p>
    <w:p>
      <w:pPr>
        <w:pStyle w:val="14"/>
        <w:ind w:left="0" w:leftChars="0" w:firstLine="0" w:firstLineChars="0"/>
      </w:pPr>
      <w:r>
        <w:rPr>
          <w:rFonts w:hint="eastAsia" w:ascii="宋体" w:hAnsi="宋体" w:eastAsia="宋体" w:cs="宋体"/>
          <w:kern w:val="2"/>
          <w:sz w:val="24"/>
          <w:szCs w:val="24"/>
          <w:lang w:val="en-US" w:eastAsia="zh-CN" w:bidi="ar-SA"/>
        </w:rPr>
        <w:drawing>
          <wp:inline distT="0" distB="0" distL="114300" distR="114300">
            <wp:extent cx="5753735" cy="4946015"/>
            <wp:effectExtent l="0" t="0" r="18415" b="6985"/>
            <wp:docPr id="129" name="图片 129" descr="165771726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1657717263473"/>
                    <pic:cNvPicPr>
                      <a:picLocks noChangeAspect="1"/>
                    </pic:cNvPicPr>
                  </pic:nvPicPr>
                  <pic:blipFill>
                    <a:blip r:embed="rId40"/>
                    <a:stretch>
                      <a:fillRect/>
                    </a:stretch>
                  </pic:blipFill>
                  <pic:spPr>
                    <a:xfrm>
                      <a:off x="0" y="0"/>
                      <a:ext cx="5753735" cy="4946015"/>
                    </a:xfrm>
                    <a:prstGeom prst="rect">
                      <a:avLst/>
                    </a:prstGeom>
                  </pic:spPr>
                </pic:pic>
              </a:graphicData>
            </a:graphic>
          </wp:inline>
        </w:drawing>
      </w:r>
    </w:p>
    <w:p>
      <w:pPr>
        <w:pStyle w:val="16"/>
        <w:rPr>
          <w:rFonts w:hint="default"/>
          <w:lang w:val="en-US"/>
        </w:rPr>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4.2.1</w:t>
      </w:r>
      <w:r>
        <w:fldChar w:fldCharType="end"/>
      </w:r>
      <w:r>
        <w:noBreakHyphen/>
      </w:r>
      <w:r>
        <w:rPr>
          <w:rFonts w:hint="eastAsia"/>
          <w:lang w:val="en-US" w:eastAsia="zh-CN"/>
        </w:rPr>
        <w:t>2 T7020-10各部件吊装说明</w:t>
      </w:r>
    </w:p>
    <w:p>
      <w:pPr>
        <w:rPr>
          <w:rFonts w:hint="eastAsia"/>
        </w:rPr>
      </w:pPr>
      <w:r>
        <w:rPr>
          <w:rFonts w:hint="eastAsia" w:ascii="仿宋_GB2312" w:hAnsi="仿宋" w:eastAsia="仿宋_GB2312" w:cs="宋体"/>
          <w:color w:val="auto"/>
          <w:kern w:val="0"/>
          <w:szCs w:val="24"/>
          <w:lang w:bidi="ar"/>
        </w:rPr>
        <w:drawing>
          <wp:inline distT="0" distB="0" distL="114300" distR="114300">
            <wp:extent cx="3922395" cy="3792220"/>
            <wp:effectExtent l="0" t="0" r="1905" b="17780"/>
            <wp:docPr id="25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31" descr="IMG_256"/>
                    <pic:cNvPicPr>
                      <a:picLocks noChangeAspect="1"/>
                    </pic:cNvPicPr>
                  </pic:nvPicPr>
                  <pic:blipFill>
                    <a:blip r:embed="rId41"/>
                    <a:srcRect l="2533" t="3661" r="571" b="24079"/>
                    <a:stretch>
                      <a:fillRect/>
                    </a:stretch>
                  </pic:blipFill>
                  <pic:spPr>
                    <a:xfrm>
                      <a:off x="0" y="0"/>
                      <a:ext cx="3922395" cy="3792220"/>
                    </a:xfrm>
                    <a:prstGeom prst="rect">
                      <a:avLst/>
                    </a:prstGeom>
                    <a:noFill/>
                    <a:ln w="9525">
                      <a:noFill/>
                    </a:ln>
                  </pic:spPr>
                </pic:pic>
              </a:graphicData>
            </a:graphic>
          </wp:inline>
        </w:drawing>
      </w:r>
    </w:p>
    <w:p>
      <w:pPr>
        <w:rPr>
          <w:rFonts w:hint="eastAsia"/>
        </w:rPr>
      </w:pPr>
    </w:p>
    <w:p>
      <w:pPr>
        <w:pStyle w:val="16"/>
      </w:pPr>
      <w:r>
        <w:drawing>
          <wp:inline distT="0" distB="0" distL="114300" distR="114300">
            <wp:extent cx="5655310" cy="3413125"/>
            <wp:effectExtent l="0" t="0" r="13970" b="635"/>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pic:cNvPicPr>
                      <a:picLocks noChangeAspect="1"/>
                    </pic:cNvPicPr>
                  </pic:nvPicPr>
                  <pic:blipFill>
                    <a:blip r:embed="rId42"/>
                    <a:stretch>
                      <a:fillRect/>
                    </a:stretch>
                  </pic:blipFill>
                  <pic:spPr>
                    <a:xfrm>
                      <a:off x="0" y="0"/>
                      <a:ext cx="5655310" cy="3413125"/>
                    </a:xfrm>
                    <a:prstGeom prst="rect">
                      <a:avLst/>
                    </a:prstGeom>
                    <a:noFill/>
                    <a:ln>
                      <a:noFill/>
                    </a:ln>
                  </pic:spPr>
                </pic:pic>
              </a:graphicData>
            </a:graphic>
          </wp:inline>
        </w:drawing>
      </w:r>
    </w:p>
    <w:p>
      <w:pPr>
        <w:pStyle w:val="16"/>
        <w:spacing w:after="120"/>
        <w:ind w:firstLine="480"/>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t>4.2.1</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1</w:t>
      </w:r>
      <w:r>
        <w:fldChar w:fldCharType="end"/>
      </w:r>
      <w:r>
        <w:t xml:space="preserve">  </w:t>
      </w:r>
      <w:r>
        <w:rPr>
          <w:rFonts w:hint="eastAsia"/>
          <w:lang w:val="en-US" w:eastAsia="zh-CN"/>
        </w:rPr>
        <w:t>汽车吊</w:t>
      </w:r>
      <w:r>
        <w:rPr>
          <w:rFonts w:hint="eastAsia"/>
        </w:rPr>
        <w:t>就位平面图</w:t>
      </w:r>
    </w:p>
    <w:p>
      <w:pPr>
        <w:pStyle w:val="5"/>
        <w:bidi w:val="0"/>
        <w:ind w:left="0" w:leftChars="0" w:firstLine="0" w:firstLineChars="0"/>
        <w:rPr>
          <w:rFonts w:hint="eastAsia"/>
          <w:sz w:val="24"/>
          <w:szCs w:val="24"/>
          <w:lang w:val="en-US" w:eastAsia="zh-CN"/>
        </w:rPr>
      </w:pPr>
      <w:r>
        <w:rPr>
          <w:rFonts w:hint="eastAsia"/>
          <w:sz w:val="24"/>
          <w:szCs w:val="24"/>
          <w:lang w:val="en-US" w:eastAsia="zh-CN"/>
        </w:rPr>
        <w:t>吊装钢丝绳选型</w:t>
      </w:r>
    </w:p>
    <w:p>
      <w:pPr>
        <w:ind w:firstLine="480"/>
        <w:rPr>
          <w:rFonts w:ascii="宋体" w:hAnsi="宋体" w:cs="宋体"/>
        </w:rPr>
      </w:pPr>
      <w:r>
        <w:rPr>
          <w:rFonts w:hint="eastAsia" w:ascii="宋体" w:hAnsi="宋体" w:cs="宋体"/>
        </w:rPr>
        <w:t>相应验算详见第1</w:t>
      </w:r>
      <w:r>
        <w:rPr>
          <w:rFonts w:ascii="宋体" w:hAnsi="宋体" w:cs="宋体"/>
        </w:rPr>
        <w:t>1</w:t>
      </w:r>
      <w:r>
        <w:rPr>
          <w:rFonts w:hint="eastAsia" w:ascii="宋体" w:hAnsi="宋体" w:cs="宋体"/>
        </w:rPr>
        <w:t>章节</w:t>
      </w:r>
    </w:p>
    <w:p>
      <w:pPr>
        <w:pStyle w:val="4"/>
      </w:pPr>
      <w:bookmarkStart w:id="45" w:name="_Toc21468"/>
      <w:r>
        <w:rPr>
          <w:rFonts w:hint="eastAsia"/>
        </w:rPr>
        <w:t>塔吊安装前施工准备</w:t>
      </w:r>
      <w:bookmarkEnd w:id="45"/>
    </w:p>
    <w:p>
      <w:pPr>
        <w:pStyle w:val="5"/>
        <w:bidi w:val="0"/>
        <w:ind w:left="0" w:leftChars="0" w:firstLine="0" w:firstLineChars="0"/>
        <w:rPr>
          <w:rFonts w:hint="eastAsia"/>
          <w:sz w:val="24"/>
          <w:szCs w:val="24"/>
          <w:lang w:val="en-US" w:eastAsia="zh-CN"/>
        </w:rPr>
      </w:pPr>
      <w:r>
        <w:rPr>
          <w:rFonts w:hint="eastAsia"/>
          <w:sz w:val="24"/>
          <w:szCs w:val="24"/>
          <w:lang w:val="en-US" w:eastAsia="zh-CN"/>
        </w:rPr>
        <w:t>技术准备</w:t>
      </w:r>
    </w:p>
    <w:p>
      <w:pPr>
        <w:ind w:firstLine="480"/>
      </w:pPr>
      <w:r>
        <w:rPr>
          <w:rFonts w:hint="eastAsia"/>
        </w:rPr>
        <w:t>设备技术资料查验、安装方案、人员及工器具审核及报备工作。</w:t>
      </w:r>
    </w:p>
    <w:p>
      <w:pPr>
        <w:pStyle w:val="5"/>
        <w:bidi w:val="0"/>
        <w:ind w:left="0" w:leftChars="0" w:firstLine="0" w:firstLineChars="0"/>
        <w:rPr>
          <w:rFonts w:hint="eastAsia"/>
          <w:sz w:val="24"/>
          <w:szCs w:val="24"/>
          <w:lang w:val="en-US" w:eastAsia="zh-CN"/>
        </w:rPr>
      </w:pPr>
      <w:r>
        <w:rPr>
          <w:rFonts w:hint="eastAsia"/>
          <w:sz w:val="24"/>
          <w:szCs w:val="24"/>
          <w:lang w:val="en-US" w:eastAsia="zh-CN"/>
        </w:rPr>
        <w:t>组织准备</w:t>
      </w:r>
    </w:p>
    <w:p>
      <w:pPr>
        <w:ind w:firstLine="480"/>
      </w:pPr>
      <w:r>
        <w:rPr>
          <w:rFonts w:hint="eastAsia"/>
        </w:rPr>
        <w:t>（1）施工队伍应有合格的安装资质，且熟悉塔式起重机安装工艺。</w:t>
      </w:r>
    </w:p>
    <w:p>
      <w:pPr>
        <w:ind w:firstLine="480"/>
      </w:pPr>
      <w:r>
        <w:rPr>
          <w:rFonts w:hint="eastAsia"/>
        </w:rPr>
        <w:t>（2）成立安装安全领导小组和安装工作小组，对整个安装过程进行有效监管。</w:t>
      </w:r>
    </w:p>
    <w:p>
      <w:pPr>
        <w:ind w:firstLine="480"/>
      </w:pPr>
      <w:r>
        <w:rPr>
          <w:rFonts w:hint="eastAsia"/>
        </w:rPr>
        <w:t>（3）组织学习安全技术措施，现场进行技术交底，落实每项工作。</w:t>
      </w:r>
    </w:p>
    <w:p>
      <w:pPr>
        <w:ind w:firstLine="480"/>
      </w:pPr>
      <w:r>
        <w:rPr>
          <w:rFonts w:hint="eastAsia"/>
        </w:rPr>
        <w:t>（4）所有进行安装的有关人员，均需持证上岗，并针对本工程经过培训。</w:t>
      </w:r>
    </w:p>
    <w:p>
      <w:pPr>
        <w:pStyle w:val="5"/>
        <w:bidi w:val="0"/>
        <w:ind w:left="0" w:leftChars="0" w:firstLine="0" w:firstLineChars="0"/>
        <w:rPr>
          <w:rFonts w:hint="eastAsia"/>
          <w:sz w:val="24"/>
          <w:szCs w:val="24"/>
          <w:lang w:val="en-US" w:eastAsia="zh-CN"/>
        </w:rPr>
      </w:pPr>
      <w:r>
        <w:rPr>
          <w:rFonts w:hint="eastAsia"/>
          <w:sz w:val="24"/>
          <w:szCs w:val="24"/>
          <w:lang w:val="en-US" w:eastAsia="zh-CN"/>
        </w:rPr>
        <w:t>工索具、起重设备准备</w:t>
      </w:r>
    </w:p>
    <w:p>
      <w:pPr>
        <w:ind w:firstLine="480"/>
      </w:pPr>
      <w:r>
        <w:rPr>
          <w:rFonts w:hint="eastAsia"/>
        </w:rPr>
        <w:t>（1）准备好安装人员的安全带，安全绳，防滑鞋，安全帽等。</w:t>
      </w:r>
    </w:p>
    <w:p>
      <w:pPr>
        <w:ind w:firstLine="480"/>
      </w:pPr>
      <w:r>
        <w:rPr>
          <w:rFonts w:hint="eastAsia"/>
        </w:rPr>
        <w:t>（2）定好吊装主要部件的尺寸，重量，高度，确定起重设备规格，并准备好吊装机具，安装工具（扳手、大锤、钢丝绳、手拉葫芦、氧气乙炔）等。</w:t>
      </w:r>
    </w:p>
    <w:p>
      <w:pPr>
        <w:ind w:firstLine="480"/>
      </w:pPr>
      <w:r>
        <w:rPr>
          <w:rFonts w:hint="eastAsia"/>
        </w:rPr>
        <w:t>（3）所有起重设备应进行试吊，确保设备完好。</w:t>
      </w:r>
    </w:p>
    <w:p>
      <w:pPr>
        <w:ind w:firstLine="480"/>
      </w:pPr>
      <w:r>
        <w:rPr>
          <w:rFonts w:hint="eastAsia"/>
        </w:rPr>
        <w:t>（4）所有手动吊装、焊接、测量等工具，均需经计量检验合格，方可用于本工程。</w:t>
      </w:r>
    </w:p>
    <w:p>
      <w:pPr>
        <w:pStyle w:val="5"/>
        <w:bidi w:val="0"/>
        <w:ind w:left="0" w:leftChars="0" w:firstLine="0" w:firstLineChars="0"/>
        <w:rPr>
          <w:rFonts w:hint="eastAsia"/>
          <w:sz w:val="24"/>
          <w:szCs w:val="24"/>
          <w:lang w:val="en-US" w:eastAsia="zh-CN"/>
        </w:rPr>
      </w:pPr>
      <w:r>
        <w:rPr>
          <w:rFonts w:hint="eastAsia"/>
          <w:sz w:val="24"/>
          <w:szCs w:val="24"/>
          <w:lang w:val="en-US" w:eastAsia="zh-CN"/>
        </w:rPr>
        <w:t>检查准备</w:t>
      </w:r>
    </w:p>
    <w:p>
      <w:pPr>
        <w:ind w:firstLine="480"/>
      </w:pPr>
      <w:r>
        <w:rPr>
          <w:rFonts w:hint="eastAsia"/>
        </w:rPr>
        <w:t>正式施工前，做好主要施工机具和分项工艺的检验工作。根据检验结果，对工艺进行进一步的修改及细化。</w:t>
      </w:r>
    </w:p>
    <w:p>
      <w:pPr>
        <w:ind w:firstLine="480"/>
      </w:pPr>
      <w:r>
        <w:rPr>
          <w:rFonts w:hint="eastAsia"/>
        </w:rPr>
        <w:t>（1）设备检查</w:t>
      </w:r>
    </w:p>
    <w:p>
      <w:pPr>
        <w:ind w:firstLine="480"/>
      </w:pPr>
      <w:r>
        <w:rPr>
          <w:rFonts w:hint="eastAsia"/>
        </w:rPr>
        <w:t>a塔吊所有钢构件无变形、无裂纹；塔吊所有电机机座是否固定牢靠，传动部位有无变形、裂纹；</w:t>
      </w:r>
    </w:p>
    <w:p>
      <w:pPr>
        <w:ind w:firstLine="480"/>
      </w:pPr>
      <w:r>
        <w:rPr>
          <w:rFonts w:hint="eastAsia"/>
        </w:rPr>
        <w:t>b塔吊所有滑轮部位有无防钢丝绳脱槽装置，滑轮轴有无磨损，滑轮座是否固定牢靠；塔吊所有防护栏杆是否完好，焊接牢靠，无锈蚀；</w:t>
      </w:r>
    </w:p>
    <w:p>
      <w:pPr>
        <w:ind w:firstLine="480"/>
      </w:pPr>
      <w:r>
        <w:rPr>
          <w:rFonts w:hint="eastAsia"/>
        </w:rPr>
        <w:t>c塔吊所有柱销孔和销柱体符合要求，无晃动、无严重磨损；</w:t>
      </w:r>
    </w:p>
    <w:p>
      <w:pPr>
        <w:ind w:firstLine="480"/>
      </w:pPr>
      <w:r>
        <w:rPr>
          <w:rFonts w:hint="eastAsia"/>
        </w:rPr>
        <w:t>d塔吊所有柱销上的开口销是否配套，并开口；</w:t>
      </w:r>
    </w:p>
    <w:p>
      <w:pPr>
        <w:ind w:firstLine="480"/>
      </w:pPr>
      <w:r>
        <w:rPr>
          <w:rFonts w:hint="eastAsia"/>
        </w:rPr>
        <w:t>e检查钢丝绳磨损状况；检查顶升套架围栏支撑连接部位部件是否完好；</w:t>
      </w:r>
    </w:p>
    <w:p>
      <w:pPr>
        <w:ind w:firstLine="480"/>
      </w:pPr>
      <w:r>
        <w:rPr>
          <w:rFonts w:hint="eastAsia"/>
        </w:rPr>
        <w:t>f检查顶升套架机构滑动部位及支撑的爪钩等处是否完好；</w:t>
      </w:r>
    </w:p>
    <w:p>
      <w:pPr>
        <w:ind w:firstLine="480"/>
      </w:pPr>
      <w:r>
        <w:rPr>
          <w:rFonts w:hint="eastAsia"/>
        </w:rPr>
        <w:t xml:space="preserve">g检查顶升套架标准节安装推入机构是否完好，各部件无变形； </w:t>
      </w:r>
    </w:p>
    <w:p>
      <w:pPr>
        <w:ind w:firstLine="480"/>
      </w:pPr>
      <w:r>
        <w:rPr>
          <w:rFonts w:hint="eastAsia"/>
        </w:rPr>
        <w:t>h检查回转支撑机构是否润滑良好，螺栓是否紧固；</w:t>
      </w:r>
    </w:p>
    <w:p>
      <w:pPr>
        <w:ind w:firstLine="480"/>
      </w:pPr>
      <w:r>
        <w:rPr>
          <w:rFonts w:hint="eastAsia"/>
        </w:rPr>
        <w:t>i检查电器是否完好无损，电缆线无老化、裸露，各电气绝缘保证良好；</w:t>
      </w:r>
    </w:p>
    <w:p>
      <w:pPr>
        <w:ind w:firstLine="480"/>
      </w:pPr>
      <w:r>
        <w:rPr>
          <w:rFonts w:hint="eastAsia"/>
        </w:rPr>
        <w:t>j幅度、力矩、超重、回转、吊钩高度限位器和电铃等安全装置齐全，并保证其灵敏可靠；检查吊钩保险、大钢丝绳卷筒保险、防小钢丝绳断绳装置等保险装置是否完好；检查司机楼、闸箱等是否完好，固定牢靠；</w:t>
      </w:r>
    </w:p>
    <w:p>
      <w:pPr>
        <w:ind w:firstLine="480"/>
      </w:pPr>
      <w:r>
        <w:rPr>
          <w:rFonts w:hint="eastAsia"/>
        </w:rPr>
        <w:t>k检查刹车部位是否完好，刹车皮是否磨损严重；</w:t>
      </w:r>
    </w:p>
    <w:p>
      <w:pPr>
        <w:ind w:firstLine="480"/>
      </w:pPr>
      <w:r>
        <w:rPr>
          <w:rFonts w:hint="eastAsia"/>
        </w:rPr>
        <w:t>l查塔吊小车行走轮是否润滑良好，有无严重磨损和裂纹；检查配重、配重吊环是否牢固，完好。</w:t>
      </w:r>
    </w:p>
    <w:p>
      <w:pPr>
        <w:pStyle w:val="5"/>
        <w:bidi w:val="0"/>
        <w:ind w:left="0" w:leftChars="0" w:firstLine="0" w:firstLineChars="0"/>
        <w:rPr>
          <w:rFonts w:hint="eastAsia"/>
          <w:sz w:val="24"/>
          <w:szCs w:val="24"/>
          <w:lang w:val="en-US" w:eastAsia="zh-CN"/>
        </w:rPr>
      </w:pPr>
      <w:r>
        <w:rPr>
          <w:rFonts w:hint="eastAsia"/>
          <w:sz w:val="24"/>
          <w:szCs w:val="24"/>
          <w:lang w:val="en-US" w:eastAsia="zh-CN"/>
        </w:rPr>
        <w:t>其他</w:t>
      </w:r>
    </w:p>
    <w:p>
      <w:pPr>
        <w:ind w:firstLine="480"/>
      </w:pPr>
      <w:r>
        <w:rPr>
          <w:rFonts w:hint="eastAsia"/>
        </w:rPr>
        <w:t>（1）在吊装前应</w:t>
      </w:r>
      <w:r>
        <w:rPr>
          <w:rFonts w:hint="eastAsia"/>
          <w:color w:val="000000" w:themeColor="text1"/>
          <w14:textFill>
            <w14:solidFill>
              <w14:schemeClr w14:val="tx1"/>
            </w14:solidFill>
          </w14:textFill>
        </w:rPr>
        <w:t>做好</w:t>
      </w:r>
      <w:r>
        <w:rPr>
          <w:rFonts w:hint="eastAsia"/>
        </w:rPr>
        <w:t>现场气象资料的预报和收集工作，在吊装过程中应对现场气象情况进行实时监控并要安装单位提供当地气象局三天内的天气报告。</w:t>
      </w:r>
    </w:p>
    <w:p>
      <w:pPr>
        <w:ind w:firstLine="480"/>
      </w:pPr>
      <w:r>
        <w:rPr>
          <w:rFonts w:hint="eastAsia"/>
        </w:rPr>
        <w:t>（2）划分安全警戒区域，指定监护人员，非工作人员不得进入警戒区。</w:t>
      </w:r>
    </w:p>
    <w:p>
      <w:pPr>
        <w:ind w:firstLine="480"/>
      </w:pPr>
      <w:r>
        <w:rPr>
          <w:rFonts w:hint="eastAsia"/>
        </w:rPr>
        <w:t>（3）每台塔式起重机设立专用配电箱，符合临时用电《施工现场临时用电安全技术规范》（JGJ46-2005）相关要求。</w:t>
      </w:r>
    </w:p>
    <w:p>
      <w:pPr>
        <w:pStyle w:val="4"/>
      </w:pPr>
      <w:bookmarkStart w:id="46" w:name="_Toc8777"/>
      <w:r>
        <w:rPr>
          <w:rFonts w:hint="eastAsia"/>
        </w:rPr>
        <w:t>塔吊安装具体步骤</w:t>
      </w:r>
      <w:bookmarkEnd w:id="46"/>
    </w:p>
    <w:p>
      <w:pPr>
        <w:pStyle w:val="5"/>
        <w:bidi w:val="0"/>
        <w:ind w:left="0" w:leftChars="0" w:firstLine="0" w:firstLineChars="0"/>
        <w:rPr>
          <w:rFonts w:hint="eastAsia"/>
          <w:sz w:val="24"/>
          <w:szCs w:val="24"/>
          <w:lang w:val="en-US" w:eastAsia="zh-CN"/>
        </w:rPr>
      </w:pPr>
      <w:r>
        <w:rPr>
          <w:rFonts w:hint="eastAsia"/>
          <w:sz w:val="24"/>
          <w:szCs w:val="24"/>
          <w:lang w:val="en-US" w:eastAsia="zh-CN"/>
        </w:rPr>
        <w:t>塔吊基础安装与验收</w:t>
      </w:r>
    </w:p>
    <w:p>
      <w:pPr>
        <w:pStyle w:val="16"/>
      </w:pPr>
      <w:r>
        <w:object>
          <v:shape id="_x0000_i1025" o:spt="75" type="#_x0000_t75" style="height:41.3pt;width:276.1pt;" o:ole="t" filled="f" o:preferrelative="t" stroked="f" coordsize="21600,21600">
            <v:path/>
            <v:fill on="f" focussize="0,0"/>
            <v:stroke on="f" joinstyle="miter"/>
            <v:imagedata r:id="rId43" o:title=""/>
            <o:lock v:ext="edit" aspectratio="t"/>
            <w10:wrap type="none"/>
            <w10:anchorlock/>
          </v:shape>
          <o:OLEObject Type="Embed" ProgID="Visio.Drawing.15" ShapeID="_x0000_i1025" DrawAspect="Content" ObjectID="_1468075725">
            <o:LockedField>false</o:LockedField>
          </o:OLEObject>
        </w:object>
      </w:r>
    </w:p>
    <w:p>
      <w:pPr>
        <w:pStyle w:val="16"/>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t>4.4.1</w:t>
      </w:r>
      <w:r>
        <w:fldChar w:fldCharType="end"/>
      </w:r>
      <w:r>
        <w:noBreakHyphen/>
      </w:r>
      <w:r>
        <w:rPr>
          <w:rFonts w:hint="eastAsia"/>
          <w:lang w:val="en-US" w:eastAsia="zh-CN"/>
        </w:rPr>
        <w:t>1</w:t>
      </w:r>
      <w:r>
        <w:t xml:space="preserve">  </w:t>
      </w:r>
      <w:r>
        <w:rPr>
          <w:rFonts w:hint="eastAsia"/>
        </w:rPr>
        <w:t>塔吊基础施工流程图</w:t>
      </w:r>
    </w:p>
    <w:p>
      <w:pPr>
        <w:pStyle w:val="6"/>
        <w:bidi w:val="0"/>
        <w:ind w:left="864" w:leftChars="0" w:hanging="864" w:firstLineChars="0"/>
        <w:rPr>
          <w:rFonts w:hint="eastAsia"/>
          <w:b/>
          <w:bCs/>
          <w:sz w:val="24"/>
          <w:szCs w:val="24"/>
          <w:lang w:val="en-US" w:eastAsia="zh-CN"/>
        </w:rPr>
      </w:pPr>
      <w:r>
        <w:rPr>
          <w:rFonts w:hint="eastAsia"/>
          <w:b/>
          <w:bCs/>
          <w:sz w:val="24"/>
          <w:szCs w:val="24"/>
          <w:lang w:val="en-US" w:eastAsia="zh-CN"/>
        </w:rPr>
        <w:t>基础施工</w:t>
      </w:r>
    </w:p>
    <w:p>
      <w:pPr>
        <w:pStyle w:val="16"/>
        <w:rPr>
          <w:rFonts w:hint="eastAsia"/>
          <w:color w:val="auto"/>
          <w:highlight w:val="none"/>
        </w:rPr>
      </w:pPr>
    </w:p>
    <w:p>
      <w:pPr>
        <w:pStyle w:val="16"/>
        <w:rPr>
          <w:rFonts w:hint="eastAsia"/>
          <w:color w:val="auto"/>
          <w:highlight w:val="none"/>
        </w:rPr>
      </w:pPr>
    </w:p>
    <w:p>
      <w:pPr>
        <w:pStyle w:val="16"/>
      </w:pPr>
      <w:r>
        <w:drawing>
          <wp:inline distT="0" distB="0" distL="114300" distR="114300">
            <wp:extent cx="5189855" cy="4315460"/>
            <wp:effectExtent l="0" t="0" r="6985" b="12700"/>
            <wp:docPr id="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pic:cNvPicPr>
                      <a:picLocks noChangeAspect="1"/>
                    </pic:cNvPicPr>
                  </pic:nvPicPr>
                  <pic:blipFill>
                    <a:blip r:embed="rId44"/>
                    <a:stretch>
                      <a:fillRect/>
                    </a:stretch>
                  </pic:blipFill>
                  <pic:spPr>
                    <a:xfrm>
                      <a:off x="0" y="0"/>
                      <a:ext cx="5189855" cy="4315460"/>
                    </a:xfrm>
                    <a:prstGeom prst="rect">
                      <a:avLst/>
                    </a:prstGeom>
                    <a:noFill/>
                    <a:ln>
                      <a:noFill/>
                    </a:ln>
                  </pic:spPr>
                </pic:pic>
              </a:graphicData>
            </a:graphic>
          </wp:inline>
        </w:drawing>
      </w:r>
    </w:p>
    <w:p>
      <w:pPr>
        <w:widowControl w:val="0"/>
        <w:spacing w:line="240" w:lineRule="auto"/>
        <w:ind w:firstLine="0" w:firstLineChars="0"/>
        <w:jc w:val="center"/>
        <w:rPr>
          <w:rFonts w:hint="default" w:ascii="Times New Roman" w:hAnsi="Times New Roman" w:eastAsia="宋体" w:cstheme="majorBidi"/>
          <w:b/>
          <w:color w:val="auto"/>
          <w:kern w:val="2"/>
          <w:sz w:val="21"/>
          <w:szCs w:val="20"/>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 xml:space="preserve">图 </w:t>
      </w:r>
      <w:r>
        <w:rPr>
          <w:rFonts w:ascii="Times New Roman" w:hAnsi="Times New Roman" w:eastAsia="宋体" w:cstheme="majorBidi"/>
          <w:b/>
          <w:color w:val="auto"/>
          <w:kern w:val="2"/>
          <w:sz w:val="21"/>
          <w:szCs w:val="20"/>
          <w:highlight w:val="none"/>
          <w:lang w:val="en-US" w:eastAsia="zh-CN" w:bidi="ar-SA"/>
        </w:rPr>
        <w:fldChar w:fldCharType="begin"/>
      </w:r>
      <w:r>
        <w:rPr>
          <w:rFonts w:ascii="Times New Roman" w:hAnsi="Times New Roman" w:eastAsia="宋体" w:cstheme="majorBidi"/>
          <w:b/>
          <w:color w:val="auto"/>
          <w:kern w:val="2"/>
          <w:sz w:val="21"/>
          <w:szCs w:val="20"/>
          <w:highlight w:val="none"/>
          <w:lang w:val="en-US" w:eastAsia="zh-CN" w:bidi="ar-SA"/>
        </w:rPr>
        <w:instrText xml:space="preserve"> </w:instrText>
      </w:r>
      <w:r>
        <w:rPr>
          <w:rFonts w:hint="eastAsia" w:ascii="Times New Roman" w:hAnsi="Times New Roman" w:eastAsia="宋体" w:cstheme="majorBidi"/>
          <w:b/>
          <w:color w:val="auto"/>
          <w:kern w:val="2"/>
          <w:sz w:val="21"/>
          <w:szCs w:val="20"/>
          <w:highlight w:val="none"/>
          <w:lang w:val="en-US" w:eastAsia="zh-CN" w:bidi="ar-SA"/>
        </w:rPr>
        <w:instrText xml:space="preserve">STYLEREF 3 \s</w:instrText>
      </w:r>
      <w:r>
        <w:rPr>
          <w:rFonts w:ascii="Times New Roman" w:hAnsi="Times New Roman" w:eastAsia="宋体" w:cstheme="majorBidi"/>
          <w:b/>
          <w:color w:val="auto"/>
          <w:kern w:val="2"/>
          <w:sz w:val="21"/>
          <w:szCs w:val="20"/>
          <w:highlight w:val="none"/>
          <w:lang w:val="en-US" w:eastAsia="zh-CN" w:bidi="ar-SA"/>
        </w:rPr>
        <w:instrText xml:space="preserve"> </w:instrText>
      </w:r>
      <w:r>
        <w:rPr>
          <w:rFonts w:ascii="Times New Roman" w:hAnsi="Times New Roman" w:eastAsia="宋体" w:cstheme="majorBidi"/>
          <w:b/>
          <w:color w:val="auto"/>
          <w:kern w:val="2"/>
          <w:sz w:val="21"/>
          <w:szCs w:val="20"/>
          <w:highlight w:val="none"/>
          <w:lang w:val="en-US" w:eastAsia="zh-CN" w:bidi="ar-SA"/>
        </w:rPr>
        <w:fldChar w:fldCharType="separate"/>
      </w:r>
      <w:r>
        <w:rPr>
          <w:rFonts w:ascii="Times New Roman" w:hAnsi="Times New Roman" w:eastAsia="宋体" w:cstheme="majorBidi"/>
          <w:b/>
          <w:color w:val="auto"/>
          <w:kern w:val="2"/>
          <w:sz w:val="21"/>
          <w:szCs w:val="20"/>
          <w:highlight w:val="none"/>
          <w:lang w:val="en-US" w:eastAsia="zh-CN" w:bidi="ar-SA"/>
        </w:rPr>
        <w:t>4.4.1</w:t>
      </w:r>
      <w:r>
        <w:rPr>
          <w:rFonts w:ascii="Times New Roman" w:hAnsi="Times New Roman" w:eastAsia="宋体" w:cstheme="majorBidi"/>
          <w:b/>
          <w:color w:val="auto"/>
          <w:kern w:val="2"/>
          <w:sz w:val="21"/>
          <w:szCs w:val="20"/>
          <w:highlight w:val="none"/>
          <w:lang w:val="en-US" w:eastAsia="zh-CN" w:bidi="ar-SA"/>
        </w:rPr>
        <w:fldChar w:fldCharType="end"/>
      </w:r>
      <w:r>
        <w:rPr>
          <w:rFonts w:hint="eastAsia" w:ascii="Times New Roman" w:hAnsi="Times New Roman" w:eastAsia="宋体" w:cstheme="majorBidi"/>
          <w:b/>
          <w:color w:val="auto"/>
          <w:kern w:val="2"/>
          <w:sz w:val="21"/>
          <w:szCs w:val="20"/>
          <w:highlight w:val="none"/>
          <w:lang w:val="en-US" w:eastAsia="zh-CN" w:bidi="ar-SA"/>
        </w:rPr>
        <w:t>.1</w:t>
      </w:r>
      <w:r>
        <w:rPr>
          <w:rFonts w:ascii="Times New Roman" w:hAnsi="Times New Roman" w:eastAsia="宋体" w:cstheme="majorBidi"/>
          <w:b/>
          <w:color w:val="auto"/>
          <w:kern w:val="2"/>
          <w:sz w:val="21"/>
          <w:szCs w:val="20"/>
          <w:highlight w:val="none"/>
          <w:lang w:val="en-US" w:eastAsia="zh-CN" w:bidi="ar-SA"/>
        </w:rPr>
        <w:noBreakHyphen/>
      </w:r>
      <w:r>
        <w:rPr>
          <w:rFonts w:hint="eastAsia" w:ascii="Times New Roman" w:hAnsi="Times New Roman" w:eastAsia="宋体" w:cstheme="majorBidi"/>
          <w:b/>
          <w:color w:val="auto"/>
          <w:kern w:val="2"/>
          <w:sz w:val="21"/>
          <w:szCs w:val="20"/>
          <w:highlight w:val="none"/>
          <w:lang w:val="en-US" w:eastAsia="zh-CN" w:bidi="ar-SA"/>
        </w:rPr>
        <w:t>1</w:t>
      </w:r>
      <w:r>
        <w:rPr>
          <w:rFonts w:ascii="Times New Roman" w:hAnsi="Times New Roman" w:eastAsia="宋体" w:cstheme="majorBidi"/>
          <w:b/>
          <w:color w:val="auto"/>
          <w:kern w:val="2"/>
          <w:sz w:val="21"/>
          <w:szCs w:val="20"/>
          <w:highlight w:val="none"/>
          <w:lang w:val="en-US" w:eastAsia="zh-CN" w:bidi="ar-SA"/>
        </w:rPr>
        <w:t xml:space="preserve">  </w:t>
      </w:r>
      <w:r>
        <w:rPr>
          <w:rFonts w:hint="eastAsia" w:ascii="Times New Roman" w:hAnsi="Times New Roman" w:eastAsia="宋体" w:cstheme="majorBidi"/>
          <w:b/>
          <w:color w:val="auto"/>
          <w:kern w:val="2"/>
          <w:sz w:val="21"/>
          <w:szCs w:val="20"/>
          <w:highlight w:val="none"/>
          <w:lang w:val="en-US" w:eastAsia="zh-CN" w:bidi="ar-SA"/>
        </w:rPr>
        <w:t>塔机基础图1</w:t>
      </w:r>
    </w:p>
    <w:p/>
    <w:p>
      <w:pPr>
        <w:jc w:val="center"/>
        <w:rPr>
          <w:rFonts w:hint="eastAsia"/>
        </w:rPr>
      </w:pPr>
      <w:r>
        <w:drawing>
          <wp:inline distT="0" distB="0" distL="114300" distR="114300">
            <wp:extent cx="3048000" cy="3512820"/>
            <wp:effectExtent l="0" t="0" r="0" b="7620"/>
            <wp:docPr id="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pic:cNvPicPr>
                      <a:picLocks noChangeAspect="1"/>
                    </pic:cNvPicPr>
                  </pic:nvPicPr>
                  <pic:blipFill>
                    <a:blip r:embed="rId45"/>
                    <a:stretch>
                      <a:fillRect/>
                    </a:stretch>
                  </pic:blipFill>
                  <pic:spPr>
                    <a:xfrm>
                      <a:off x="0" y="0"/>
                      <a:ext cx="3048000" cy="3512820"/>
                    </a:xfrm>
                    <a:prstGeom prst="rect">
                      <a:avLst/>
                    </a:prstGeom>
                    <a:noFill/>
                    <a:ln>
                      <a:noFill/>
                    </a:ln>
                  </pic:spPr>
                </pic:pic>
              </a:graphicData>
            </a:graphic>
          </wp:inline>
        </w:drawing>
      </w:r>
    </w:p>
    <w:p>
      <w:pPr>
        <w:pStyle w:val="16"/>
        <w:rPr>
          <w:rFonts w:hint="eastAsia"/>
          <w:color w:val="auto"/>
          <w:highlight w:val="none"/>
        </w:rPr>
      </w:pPr>
    </w:p>
    <w:p>
      <w:pPr>
        <w:pStyle w:val="16"/>
        <w:rPr>
          <w:rFonts w:hint="eastAsia"/>
          <w:color w:val="auto"/>
          <w:highlight w:val="none"/>
        </w:rPr>
      </w:pPr>
    </w:p>
    <w:p>
      <w:pPr>
        <w:pStyle w:val="16"/>
        <w:rPr>
          <w:rFonts w:hint="eastAsia"/>
          <w:color w:val="auto"/>
          <w:highlight w:val="none"/>
          <w:lang w:val="en-US" w:eastAsia="zh-CN"/>
        </w:rPr>
      </w:pPr>
      <w:r>
        <w:rPr>
          <w:rFonts w:hint="eastAsia"/>
          <w:color w:val="auto"/>
          <w:highlight w:val="none"/>
        </w:rPr>
        <w:t xml:space="preserve">图 </w:t>
      </w:r>
      <w:r>
        <w:rPr>
          <w:color w:val="auto"/>
          <w:highlight w:val="none"/>
        </w:rPr>
        <w:fldChar w:fldCharType="begin"/>
      </w:r>
      <w:r>
        <w:rPr>
          <w:color w:val="auto"/>
          <w:highlight w:val="none"/>
        </w:rPr>
        <w:instrText xml:space="preserve"> </w:instrText>
      </w:r>
      <w:r>
        <w:rPr>
          <w:rFonts w:hint="eastAsia"/>
          <w:color w:val="auto"/>
          <w:highlight w:val="none"/>
        </w:rPr>
        <w:instrText xml:space="preserve">STYLEREF 3 \s</w:instrText>
      </w:r>
      <w:r>
        <w:rPr>
          <w:color w:val="auto"/>
          <w:highlight w:val="none"/>
        </w:rPr>
        <w:instrText xml:space="preserve"> </w:instrText>
      </w:r>
      <w:r>
        <w:rPr>
          <w:color w:val="auto"/>
          <w:highlight w:val="none"/>
        </w:rPr>
        <w:fldChar w:fldCharType="separate"/>
      </w:r>
      <w:r>
        <w:rPr>
          <w:color w:val="auto"/>
          <w:highlight w:val="none"/>
        </w:rPr>
        <w:t>4.4.1</w:t>
      </w:r>
      <w:r>
        <w:rPr>
          <w:color w:val="auto"/>
          <w:highlight w:val="none"/>
        </w:rPr>
        <w:fldChar w:fldCharType="end"/>
      </w:r>
      <w:r>
        <w:rPr>
          <w:rFonts w:hint="eastAsia"/>
          <w:color w:val="auto"/>
          <w:highlight w:val="none"/>
          <w:lang w:val="en-US" w:eastAsia="zh-CN"/>
        </w:rPr>
        <w:t>.1</w:t>
      </w:r>
      <w:r>
        <w:rPr>
          <w:color w:val="auto"/>
          <w:highlight w:val="none"/>
        </w:rPr>
        <w:noBreakHyphen/>
      </w:r>
      <w:r>
        <w:rPr>
          <w:rFonts w:hint="eastAsia"/>
          <w:color w:val="auto"/>
          <w:highlight w:val="none"/>
          <w:lang w:val="en-US" w:eastAsia="zh-CN"/>
        </w:rPr>
        <w:t>2</w:t>
      </w:r>
      <w:r>
        <w:rPr>
          <w:color w:val="auto"/>
          <w:highlight w:val="none"/>
        </w:rPr>
        <w:t xml:space="preserve">  </w:t>
      </w:r>
      <w:r>
        <w:rPr>
          <w:rFonts w:hint="eastAsia"/>
          <w:color w:val="auto"/>
          <w:highlight w:val="none"/>
          <w:lang w:val="en-US" w:eastAsia="zh-CN"/>
        </w:rPr>
        <w:t>塔机基础图2</w:t>
      </w:r>
    </w:p>
    <w:p>
      <w:r>
        <w:drawing>
          <wp:inline distT="0" distB="0" distL="114300" distR="114300">
            <wp:extent cx="4920615" cy="3320415"/>
            <wp:effectExtent l="0" t="0" r="1905" b="1905"/>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46"/>
                    <a:stretch>
                      <a:fillRect/>
                    </a:stretch>
                  </pic:blipFill>
                  <pic:spPr>
                    <a:xfrm>
                      <a:off x="0" y="0"/>
                      <a:ext cx="4920615" cy="3320415"/>
                    </a:xfrm>
                    <a:prstGeom prst="rect">
                      <a:avLst/>
                    </a:prstGeom>
                    <a:noFill/>
                    <a:ln>
                      <a:noFill/>
                    </a:ln>
                  </pic:spPr>
                </pic:pic>
              </a:graphicData>
            </a:graphic>
          </wp:inline>
        </w:drawing>
      </w:r>
    </w:p>
    <w:p>
      <w:pPr>
        <w:widowControl w:val="0"/>
        <w:spacing w:line="240" w:lineRule="auto"/>
        <w:ind w:firstLine="0" w:firstLineChars="0"/>
        <w:jc w:val="center"/>
        <w:rPr>
          <w:rFonts w:hint="default" w:ascii="Times New Roman" w:hAnsi="Times New Roman" w:eastAsia="宋体" w:cstheme="majorBidi"/>
          <w:b/>
          <w:color w:val="auto"/>
          <w:kern w:val="2"/>
          <w:sz w:val="21"/>
          <w:szCs w:val="20"/>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 xml:space="preserve">图 </w:t>
      </w:r>
      <w:r>
        <w:rPr>
          <w:rFonts w:ascii="Times New Roman" w:hAnsi="Times New Roman" w:eastAsia="宋体" w:cstheme="majorBidi"/>
          <w:b/>
          <w:color w:val="auto"/>
          <w:kern w:val="2"/>
          <w:sz w:val="21"/>
          <w:szCs w:val="20"/>
          <w:highlight w:val="none"/>
          <w:lang w:val="en-US" w:eastAsia="zh-CN" w:bidi="ar-SA"/>
        </w:rPr>
        <w:fldChar w:fldCharType="begin"/>
      </w:r>
      <w:r>
        <w:rPr>
          <w:rFonts w:ascii="Times New Roman" w:hAnsi="Times New Roman" w:eastAsia="宋体" w:cstheme="majorBidi"/>
          <w:b/>
          <w:color w:val="auto"/>
          <w:kern w:val="2"/>
          <w:sz w:val="21"/>
          <w:szCs w:val="20"/>
          <w:highlight w:val="none"/>
          <w:lang w:val="en-US" w:eastAsia="zh-CN" w:bidi="ar-SA"/>
        </w:rPr>
        <w:instrText xml:space="preserve"> </w:instrText>
      </w:r>
      <w:r>
        <w:rPr>
          <w:rFonts w:hint="eastAsia" w:ascii="Times New Roman" w:hAnsi="Times New Roman" w:eastAsia="宋体" w:cstheme="majorBidi"/>
          <w:b/>
          <w:color w:val="auto"/>
          <w:kern w:val="2"/>
          <w:sz w:val="21"/>
          <w:szCs w:val="20"/>
          <w:highlight w:val="none"/>
          <w:lang w:val="en-US" w:eastAsia="zh-CN" w:bidi="ar-SA"/>
        </w:rPr>
        <w:instrText xml:space="preserve">STYLEREF 3 \s</w:instrText>
      </w:r>
      <w:r>
        <w:rPr>
          <w:rFonts w:ascii="Times New Roman" w:hAnsi="Times New Roman" w:eastAsia="宋体" w:cstheme="majorBidi"/>
          <w:b/>
          <w:color w:val="auto"/>
          <w:kern w:val="2"/>
          <w:sz w:val="21"/>
          <w:szCs w:val="20"/>
          <w:highlight w:val="none"/>
          <w:lang w:val="en-US" w:eastAsia="zh-CN" w:bidi="ar-SA"/>
        </w:rPr>
        <w:instrText xml:space="preserve"> </w:instrText>
      </w:r>
      <w:r>
        <w:rPr>
          <w:rFonts w:ascii="Times New Roman" w:hAnsi="Times New Roman" w:eastAsia="宋体" w:cstheme="majorBidi"/>
          <w:b/>
          <w:color w:val="auto"/>
          <w:kern w:val="2"/>
          <w:sz w:val="21"/>
          <w:szCs w:val="20"/>
          <w:highlight w:val="none"/>
          <w:lang w:val="en-US" w:eastAsia="zh-CN" w:bidi="ar-SA"/>
        </w:rPr>
        <w:fldChar w:fldCharType="separate"/>
      </w:r>
      <w:r>
        <w:rPr>
          <w:rFonts w:ascii="Times New Roman" w:hAnsi="Times New Roman" w:eastAsia="宋体" w:cstheme="majorBidi"/>
          <w:b/>
          <w:color w:val="auto"/>
          <w:kern w:val="2"/>
          <w:sz w:val="21"/>
          <w:szCs w:val="20"/>
          <w:highlight w:val="none"/>
          <w:lang w:val="en-US" w:eastAsia="zh-CN" w:bidi="ar-SA"/>
        </w:rPr>
        <w:t>4.4.1</w:t>
      </w:r>
      <w:r>
        <w:rPr>
          <w:rFonts w:ascii="Times New Roman" w:hAnsi="Times New Roman" w:eastAsia="宋体" w:cstheme="majorBidi"/>
          <w:b/>
          <w:color w:val="auto"/>
          <w:kern w:val="2"/>
          <w:sz w:val="21"/>
          <w:szCs w:val="20"/>
          <w:highlight w:val="none"/>
          <w:lang w:val="en-US" w:eastAsia="zh-CN" w:bidi="ar-SA"/>
        </w:rPr>
        <w:fldChar w:fldCharType="end"/>
      </w:r>
      <w:r>
        <w:rPr>
          <w:rFonts w:hint="eastAsia" w:ascii="Times New Roman" w:hAnsi="Times New Roman" w:eastAsia="宋体" w:cstheme="majorBidi"/>
          <w:b/>
          <w:color w:val="auto"/>
          <w:kern w:val="2"/>
          <w:sz w:val="21"/>
          <w:szCs w:val="20"/>
          <w:highlight w:val="none"/>
          <w:lang w:val="en-US" w:eastAsia="zh-CN" w:bidi="ar-SA"/>
        </w:rPr>
        <w:t>.1</w:t>
      </w:r>
      <w:r>
        <w:rPr>
          <w:rFonts w:ascii="Times New Roman" w:hAnsi="Times New Roman" w:eastAsia="宋体" w:cstheme="majorBidi"/>
          <w:b/>
          <w:color w:val="auto"/>
          <w:kern w:val="2"/>
          <w:sz w:val="21"/>
          <w:szCs w:val="20"/>
          <w:highlight w:val="none"/>
          <w:lang w:val="en-US" w:eastAsia="zh-CN" w:bidi="ar-SA"/>
        </w:rPr>
        <w:noBreakHyphen/>
      </w:r>
      <w:r>
        <w:rPr>
          <w:rFonts w:hint="eastAsia" w:ascii="Times New Roman" w:hAnsi="Times New Roman" w:eastAsia="宋体" w:cstheme="majorBidi"/>
          <w:b/>
          <w:color w:val="auto"/>
          <w:kern w:val="2"/>
          <w:sz w:val="21"/>
          <w:szCs w:val="20"/>
          <w:highlight w:val="none"/>
          <w:lang w:val="en-US" w:eastAsia="zh-CN" w:bidi="ar-SA"/>
        </w:rPr>
        <w:t>3</w:t>
      </w:r>
      <w:r>
        <w:rPr>
          <w:rFonts w:ascii="Times New Roman" w:hAnsi="Times New Roman" w:eastAsia="宋体" w:cstheme="majorBidi"/>
          <w:b/>
          <w:color w:val="auto"/>
          <w:kern w:val="2"/>
          <w:sz w:val="21"/>
          <w:szCs w:val="20"/>
          <w:highlight w:val="none"/>
          <w:lang w:val="en-US" w:eastAsia="zh-CN" w:bidi="ar-SA"/>
        </w:rPr>
        <w:t xml:space="preserve">  </w:t>
      </w:r>
      <w:r>
        <w:rPr>
          <w:rFonts w:hint="eastAsia" w:ascii="Times New Roman" w:hAnsi="Times New Roman" w:eastAsia="宋体" w:cstheme="majorBidi"/>
          <w:b/>
          <w:color w:val="auto"/>
          <w:kern w:val="2"/>
          <w:sz w:val="21"/>
          <w:szCs w:val="20"/>
          <w:highlight w:val="none"/>
          <w:lang w:val="en-US" w:eastAsia="zh-CN" w:bidi="ar-SA"/>
        </w:rPr>
        <w:t>塔机基础图3</w:t>
      </w:r>
    </w:p>
    <w:p>
      <w:pPr>
        <w:pStyle w:val="13"/>
        <w:jc w:val="center"/>
      </w:pPr>
      <w:r>
        <w:drawing>
          <wp:inline distT="0" distB="0" distL="114300" distR="114300">
            <wp:extent cx="2560320" cy="3710940"/>
            <wp:effectExtent l="0" t="0" r="0" b="7620"/>
            <wp:docPr id="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
                    <pic:cNvPicPr>
                      <a:picLocks noChangeAspect="1"/>
                    </pic:cNvPicPr>
                  </pic:nvPicPr>
                  <pic:blipFill>
                    <a:blip r:embed="rId47"/>
                    <a:stretch>
                      <a:fillRect/>
                    </a:stretch>
                  </pic:blipFill>
                  <pic:spPr>
                    <a:xfrm>
                      <a:off x="0" y="0"/>
                      <a:ext cx="2560320" cy="3710940"/>
                    </a:xfrm>
                    <a:prstGeom prst="rect">
                      <a:avLst/>
                    </a:prstGeom>
                    <a:noFill/>
                    <a:ln>
                      <a:noFill/>
                    </a:ln>
                  </pic:spPr>
                </pic:pic>
              </a:graphicData>
            </a:graphic>
          </wp:inline>
        </w:drawing>
      </w:r>
    </w:p>
    <w:p>
      <w:pPr>
        <w:widowControl w:val="0"/>
        <w:spacing w:line="240" w:lineRule="auto"/>
        <w:ind w:firstLine="0" w:firstLineChars="0"/>
        <w:jc w:val="center"/>
        <w:rPr>
          <w:rFonts w:hint="default" w:ascii="Times New Roman" w:hAnsi="Times New Roman" w:eastAsia="宋体" w:cstheme="majorBidi"/>
          <w:b/>
          <w:color w:val="auto"/>
          <w:kern w:val="2"/>
          <w:sz w:val="21"/>
          <w:szCs w:val="20"/>
          <w:highlight w:val="none"/>
          <w:lang w:val="en-US" w:eastAsia="zh-CN" w:bidi="ar-SA"/>
        </w:rPr>
      </w:pPr>
      <w:r>
        <w:rPr>
          <w:rFonts w:hint="eastAsia" w:ascii="Times New Roman" w:hAnsi="Times New Roman" w:eastAsia="宋体" w:cstheme="majorBidi"/>
          <w:b/>
          <w:color w:val="auto"/>
          <w:kern w:val="2"/>
          <w:sz w:val="21"/>
          <w:szCs w:val="20"/>
          <w:highlight w:val="none"/>
          <w:lang w:val="en-US" w:eastAsia="zh-CN" w:bidi="ar-SA"/>
        </w:rPr>
        <w:t xml:space="preserve">图 </w:t>
      </w:r>
      <w:r>
        <w:rPr>
          <w:rFonts w:ascii="Times New Roman" w:hAnsi="Times New Roman" w:eastAsia="宋体" w:cstheme="majorBidi"/>
          <w:b/>
          <w:color w:val="auto"/>
          <w:kern w:val="2"/>
          <w:sz w:val="21"/>
          <w:szCs w:val="20"/>
          <w:highlight w:val="none"/>
          <w:lang w:val="en-US" w:eastAsia="zh-CN" w:bidi="ar-SA"/>
        </w:rPr>
        <w:fldChar w:fldCharType="begin"/>
      </w:r>
      <w:r>
        <w:rPr>
          <w:rFonts w:ascii="Times New Roman" w:hAnsi="Times New Roman" w:eastAsia="宋体" w:cstheme="majorBidi"/>
          <w:b/>
          <w:color w:val="auto"/>
          <w:kern w:val="2"/>
          <w:sz w:val="21"/>
          <w:szCs w:val="20"/>
          <w:highlight w:val="none"/>
          <w:lang w:val="en-US" w:eastAsia="zh-CN" w:bidi="ar-SA"/>
        </w:rPr>
        <w:instrText xml:space="preserve"> </w:instrText>
      </w:r>
      <w:r>
        <w:rPr>
          <w:rFonts w:hint="eastAsia" w:ascii="Times New Roman" w:hAnsi="Times New Roman" w:eastAsia="宋体" w:cstheme="majorBidi"/>
          <w:b/>
          <w:color w:val="auto"/>
          <w:kern w:val="2"/>
          <w:sz w:val="21"/>
          <w:szCs w:val="20"/>
          <w:highlight w:val="none"/>
          <w:lang w:val="en-US" w:eastAsia="zh-CN" w:bidi="ar-SA"/>
        </w:rPr>
        <w:instrText xml:space="preserve">STYLEREF 3 \s</w:instrText>
      </w:r>
      <w:r>
        <w:rPr>
          <w:rFonts w:ascii="Times New Roman" w:hAnsi="Times New Roman" w:eastAsia="宋体" w:cstheme="majorBidi"/>
          <w:b/>
          <w:color w:val="auto"/>
          <w:kern w:val="2"/>
          <w:sz w:val="21"/>
          <w:szCs w:val="20"/>
          <w:highlight w:val="none"/>
          <w:lang w:val="en-US" w:eastAsia="zh-CN" w:bidi="ar-SA"/>
        </w:rPr>
        <w:instrText xml:space="preserve"> </w:instrText>
      </w:r>
      <w:r>
        <w:rPr>
          <w:rFonts w:ascii="Times New Roman" w:hAnsi="Times New Roman" w:eastAsia="宋体" w:cstheme="majorBidi"/>
          <w:b/>
          <w:color w:val="auto"/>
          <w:kern w:val="2"/>
          <w:sz w:val="21"/>
          <w:szCs w:val="20"/>
          <w:highlight w:val="none"/>
          <w:lang w:val="en-US" w:eastAsia="zh-CN" w:bidi="ar-SA"/>
        </w:rPr>
        <w:fldChar w:fldCharType="separate"/>
      </w:r>
      <w:r>
        <w:rPr>
          <w:rFonts w:ascii="Times New Roman" w:hAnsi="Times New Roman" w:eastAsia="宋体" w:cstheme="majorBidi"/>
          <w:b/>
          <w:color w:val="auto"/>
          <w:kern w:val="2"/>
          <w:sz w:val="21"/>
          <w:szCs w:val="20"/>
          <w:highlight w:val="none"/>
          <w:lang w:val="en-US" w:eastAsia="zh-CN" w:bidi="ar-SA"/>
        </w:rPr>
        <w:t>4.4.1</w:t>
      </w:r>
      <w:r>
        <w:rPr>
          <w:rFonts w:ascii="Times New Roman" w:hAnsi="Times New Roman" w:eastAsia="宋体" w:cstheme="majorBidi"/>
          <w:b/>
          <w:color w:val="auto"/>
          <w:kern w:val="2"/>
          <w:sz w:val="21"/>
          <w:szCs w:val="20"/>
          <w:highlight w:val="none"/>
          <w:lang w:val="en-US" w:eastAsia="zh-CN" w:bidi="ar-SA"/>
        </w:rPr>
        <w:fldChar w:fldCharType="end"/>
      </w:r>
      <w:r>
        <w:rPr>
          <w:rFonts w:hint="eastAsia" w:ascii="Times New Roman" w:hAnsi="Times New Roman" w:eastAsia="宋体" w:cstheme="majorBidi"/>
          <w:b/>
          <w:color w:val="auto"/>
          <w:kern w:val="2"/>
          <w:sz w:val="21"/>
          <w:szCs w:val="20"/>
          <w:highlight w:val="none"/>
          <w:lang w:val="en-US" w:eastAsia="zh-CN" w:bidi="ar-SA"/>
        </w:rPr>
        <w:t>.1</w:t>
      </w:r>
      <w:r>
        <w:rPr>
          <w:rFonts w:ascii="Times New Roman" w:hAnsi="Times New Roman" w:eastAsia="宋体" w:cstheme="majorBidi"/>
          <w:b/>
          <w:color w:val="auto"/>
          <w:kern w:val="2"/>
          <w:sz w:val="21"/>
          <w:szCs w:val="20"/>
          <w:highlight w:val="none"/>
          <w:lang w:val="en-US" w:eastAsia="zh-CN" w:bidi="ar-SA"/>
        </w:rPr>
        <w:noBreakHyphen/>
      </w:r>
      <w:r>
        <w:rPr>
          <w:rFonts w:hint="eastAsia" w:ascii="Times New Roman" w:hAnsi="Times New Roman" w:eastAsia="宋体" w:cstheme="majorBidi"/>
          <w:b/>
          <w:color w:val="auto"/>
          <w:kern w:val="2"/>
          <w:sz w:val="21"/>
          <w:szCs w:val="20"/>
          <w:highlight w:val="none"/>
          <w:lang w:val="en-US" w:eastAsia="zh-CN" w:bidi="ar-SA"/>
        </w:rPr>
        <w:t>4</w:t>
      </w:r>
      <w:r>
        <w:rPr>
          <w:rFonts w:ascii="Times New Roman" w:hAnsi="Times New Roman" w:eastAsia="宋体" w:cstheme="majorBidi"/>
          <w:b/>
          <w:color w:val="auto"/>
          <w:kern w:val="2"/>
          <w:sz w:val="21"/>
          <w:szCs w:val="20"/>
          <w:highlight w:val="none"/>
          <w:lang w:val="en-US" w:eastAsia="zh-CN" w:bidi="ar-SA"/>
        </w:rPr>
        <w:t xml:space="preserve">  </w:t>
      </w:r>
      <w:r>
        <w:rPr>
          <w:rFonts w:hint="eastAsia" w:ascii="Times New Roman" w:hAnsi="Times New Roman" w:eastAsia="宋体" w:cstheme="majorBidi"/>
          <w:b/>
          <w:color w:val="auto"/>
          <w:kern w:val="2"/>
          <w:sz w:val="21"/>
          <w:szCs w:val="20"/>
          <w:highlight w:val="none"/>
          <w:lang w:val="en-US" w:eastAsia="zh-CN" w:bidi="ar-SA"/>
        </w:rPr>
        <w:t>塔机基础图4</w:t>
      </w:r>
    </w:p>
    <w:p>
      <w:pPr>
        <w:pStyle w:val="14"/>
        <w:rPr>
          <w:rFonts w:hint="default"/>
          <w:lang w:val="en-US" w:eastAsia="zh-CN"/>
        </w:rPr>
      </w:pPr>
    </w:p>
    <w:p>
      <w:pPr>
        <w:pStyle w:val="6"/>
        <w:bidi w:val="0"/>
        <w:ind w:left="864" w:leftChars="0" w:hanging="864" w:firstLineChars="0"/>
        <w:rPr>
          <w:rFonts w:hint="eastAsia"/>
          <w:b/>
          <w:bCs/>
          <w:sz w:val="24"/>
          <w:szCs w:val="24"/>
          <w:lang w:val="en-US" w:eastAsia="zh-CN"/>
        </w:rPr>
      </w:pPr>
      <w:r>
        <w:rPr>
          <w:rFonts w:hint="eastAsia"/>
          <w:b/>
          <w:bCs/>
          <w:sz w:val="24"/>
          <w:szCs w:val="24"/>
          <w:lang w:val="en-US" w:eastAsia="zh-CN"/>
        </w:rPr>
        <w:t>基础验收</w:t>
      </w:r>
    </w:p>
    <w:p>
      <w:r>
        <w:t>塔吊基础验收的主要内容有：标高、尺寸、预埋固定支腿位置和垂直度、防雷接地装置。</w:t>
      </w:r>
    </w:p>
    <w:p>
      <w:pPr>
        <w:rPr>
          <w:rFonts w:hint="default" w:eastAsia="宋体"/>
          <w:lang w:val="en-US" w:eastAsia="zh-CN"/>
        </w:rPr>
      </w:pPr>
      <w:r>
        <w:t>塔吊基础验收由项目部、监理单位、安装单位及产权单位相关负责人共同进行，验收合格后方可进行塔吊的安装。</w:t>
      </w:r>
    </w:p>
    <w:p>
      <w:pPr>
        <w:pStyle w:val="5"/>
        <w:bidi w:val="0"/>
        <w:ind w:left="0" w:leftChars="0" w:firstLine="0" w:firstLineChars="0"/>
        <w:rPr>
          <w:rFonts w:hint="eastAsia"/>
          <w:sz w:val="24"/>
          <w:szCs w:val="24"/>
          <w:lang w:val="en-US" w:eastAsia="zh-CN"/>
        </w:rPr>
      </w:pPr>
      <w:r>
        <w:rPr>
          <w:rFonts w:hint="eastAsia"/>
          <w:sz w:val="24"/>
          <w:szCs w:val="24"/>
          <w:lang w:val="en-US" w:eastAsia="zh-CN"/>
        </w:rPr>
        <w:t>安装基础节及标准节</w:t>
      </w:r>
    </w:p>
    <w:p>
      <w:pPr>
        <w:pStyle w:val="6"/>
        <w:bidi w:val="0"/>
        <w:ind w:left="864" w:leftChars="0" w:hanging="864" w:firstLineChars="0"/>
        <w:rPr>
          <w:rFonts w:hint="eastAsia"/>
          <w:b/>
          <w:bCs/>
          <w:sz w:val="24"/>
          <w:szCs w:val="24"/>
          <w:lang w:val="en-US" w:eastAsia="zh-CN"/>
        </w:rPr>
      </w:pPr>
      <w:r>
        <w:rPr>
          <w:rFonts w:hint="eastAsia"/>
          <w:b/>
          <w:bCs/>
          <w:sz w:val="24"/>
          <w:szCs w:val="24"/>
          <w:lang w:val="en-US" w:eastAsia="zh-CN"/>
        </w:rPr>
        <w:t>安装前的条件</w:t>
      </w:r>
    </w:p>
    <w:p>
      <w:pPr>
        <w:pStyle w:val="16"/>
        <w:rPr>
          <w:rFonts w:ascii="宋体" w:hAnsi="宋体" w:cs="宋体"/>
          <w:bCs/>
          <w:color w:val="000000" w:themeColor="text1"/>
          <w14:textFill>
            <w14:solidFill>
              <w14:schemeClr w14:val="tx1"/>
            </w14:solidFill>
          </w14:textFill>
        </w:rPr>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4.4.2</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t>1</w:t>
      </w:r>
      <w:r>
        <w:fldChar w:fldCharType="end"/>
      </w:r>
      <w:r>
        <w:rPr>
          <w:rFonts w:hint="eastAsia" w:ascii="宋体" w:hAnsi="宋体" w:cs="宋体"/>
          <w:bCs/>
          <w:color w:val="000000" w:themeColor="text1"/>
          <w14:textFill>
            <w14:solidFill>
              <w14:schemeClr w14:val="tx1"/>
            </w14:solidFill>
          </w14:textFill>
        </w:rPr>
        <w:t>安装前提表</w:t>
      </w:r>
    </w:p>
    <w:tbl>
      <w:tblPr>
        <w:tblStyle w:val="155"/>
        <w:tblW w:w="9072"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533"/>
        <w:gridCol w:w="653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56" w:type="dxa"/>
            <w:shd w:val="clear" w:color="auto" w:fill="C6D9F0" w:themeFill="text2" w:themeFillTint="33"/>
            <w:vAlign w:val="center"/>
          </w:tcPr>
          <w:p>
            <w:pPr>
              <w:pStyle w:val="65"/>
              <w:rPr>
                <w:rFonts w:ascii="Times New Roman" w:hAnsi="Times New Roman" w:eastAsia="宋体" w:cstheme="minorBidi"/>
                <w:b/>
                <w:i w:val="0"/>
              </w:rPr>
            </w:pPr>
            <w:r>
              <w:rPr>
                <w:rFonts w:hint="eastAsia" w:ascii="Times New Roman" w:hAnsi="Times New Roman" w:eastAsia="宋体" w:cstheme="minorBidi"/>
                <w:b/>
                <w:i w:val="0"/>
              </w:rPr>
              <w:t>序号</w:t>
            </w:r>
          </w:p>
        </w:tc>
        <w:tc>
          <w:tcPr>
            <w:tcW w:w="6604" w:type="dxa"/>
            <w:shd w:val="clear" w:color="auto" w:fill="C6D9F0" w:themeFill="text2" w:themeFillTint="33"/>
            <w:vAlign w:val="center"/>
          </w:tcPr>
          <w:p>
            <w:pPr>
              <w:pStyle w:val="65"/>
              <w:rPr>
                <w:rFonts w:ascii="Times New Roman" w:hAnsi="Times New Roman" w:eastAsia="宋体" w:cstheme="minorBidi"/>
                <w:b/>
                <w:i w:val="0"/>
              </w:rPr>
            </w:pPr>
            <w:r>
              <w:rPr>
                <w:rFonts w:hint="eastAsia" w:ascii="Times New Roman" w:hAnsi="Times New Roman" w:eastAsia="宋体" w:cstheme="minorBidi"/>
                <w:b/>
                <w:i w:val="0"/>
              </w:rPr>
              <w:t>安装前需具备条件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397" w:hRule="atLeast"/>
        </w:trPr>
        <w:tc>
          <w:tcPr>
            <w:tcW w:w="2556" w:type="dxa"/>
            <w:vAlign w:val="center"/>
          </w:tcPr>
          <w:p>
            <w:pPr>
              <w:pStyle w:val="65"/>
              <w:rPr>
                <w:rFonts w:ascii="Times New Roman" w:hAnsi="Times New Roman" w:eastAsia="宋体" w:cstheme="minorBidi"/>
                <w:b w:val="0"/>
                <w:i w:val="0"/>
              </w:rPr>
            </w:pPr>
            <w:r>
              <w:rPr>
                <w:rFonts w:hint="eastAsia" w:ascii="Times New Roman" w:hAnsi="Times New Roman" w:eastAsia="宋体" w:cstheme="minorBidi"/>
                <w:b w:val="0"/>
                <w:i w:val="0"/>
              </w:rPr>
              <w:t>1</w:t>
            </w:r>
          </w:p>
        </w:tc>
        <w:tc>
          <w:tcPr>
            <w:tcW w:w="6604" w:type="dxa"/>
            <w:vAlign w:val="center"/>
          </w:tcPr>
          <w:p>
            <w:pPr>
              <w:pStyle w:val="65"/>
              <w:rPr>
                <w:rFonts w:cstheme="minorBidi"/>
              </w:rPr>
            </w:pPr>
            <w:r>
              <w:rPr>
                <w:rFonts w:hint="eastAsia" w:cstheme="minorBidi"/>
              </w:rPr>
              <w:t>基础验收合格并出具验收表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56" w:type="dxa"/>
            <w:vAlign w:val="center"/>
          </w:tcPr>
          <w:p>
            <w:pPr>
              <w:pStyle w:val="65"/>
              <w:rPr>
                <w:rFonts w:ascii="Times New Roman" w:hAnsi="Times New Roman" w:eastAsia="宋体" w:cstheme="minorBidi"/>
                <w:b w:val="0"/>
                <w:i w:val="0"/>
              </w:rPr>
            </w:pPr>
            <w:r>
              <w:rPr>
                <w:rFonts w:hint="eastAsia" w:ascii="Times New Roman" w:hAnsi="Times New Roman" w:eastAsia="宋体" w:cstheme="minorBidi"/>
                <w:b w:val="0"/>
                <w:i w:val="0"/>
              </w:rPr>
              <w:t>2</w:t>
            </w:r>
          </w:p>
        </w:tc>
        <w:tc>
          <w:tcPr>
            <w:tcW w:w="6604" w:type="dxa"/>
            <w:vAlign w:val="center"/>
          </w:tcPr>
          <w:p>
            <w:pPr>
              <w:pStyle w:val="65"/>
              <w:rPr>
                <w:rFonts w:cstheme="minorBidi"/>
              </w:rPr>
            </w:pPr>
            <w:r>
              <w:rPr>
                <w:rFonts w:hint="eastAsia" w:cstheme="minorBidi"/>
              </w:rPr>
              <w:t>配置符合要求的塔机专用配电箱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56" w:type="dxa"/>
            <w:vAlign w:val="center"/>
          </w:tcPr>
          <w:p>
            <w:pPr>
              <w:pStyle w:val="65"/>
              <w:rPr>
                <w:rFonts w:ascii="Times New Roman" w:hAnsi="Times New Roman" w:eastAsia="宋体" w:cstheme="minorBidi"/>
                <w:b w:val="0"/>
                <w:i w:val="0"/>
              </w:rPr>
            </w:pPr>
            <w:r>
              <w:rPr>
                <w:rFonts w:hint="eastAsia" w:ascii="Times New Roman" w:hAnsi="Times New Roman" w:eastAsia="宋体" w:cstheme="minorBidi"/>
                <w:b w:val="0"/>
                <w:i w:val="0"/>
              </w:rPr>
              <w:t>3</w:t>
            </w:r>
          </w:p>
        </w:tc>
        <w:tc>
          <w:tcPr>
            <w:tcW w:w="6604" w:type="dxa"/>
            <w:vAlign w:val="center"/>
          </w:tcPr>
          <w:p>
            <w:pPr>
              <w:pStyle w:val="65"/>
              <w:rPr>
                <w:rFonts w:cstheme="minorBidi"/>
              </w:rPr>
            </w:pPr>
            <w:r>
              <w:rPr>
                <w:rFonts w:hint="eastAsia" w:cstheme="minorBidi"/>
              </w:rPr>
              <w:t>现场具备</w:t>
            </w:r>
            <w:r>
              <w:rPr>
                <w:rFonts w:hint="eastAsia" w:cstheme="minorBidi"/>
                <w:lang w:eastAsia="zh-CN"/>
              </w:rPr>
              <w:t>汽车吊</w:t>
            </w:r>
            <w:r>
              <w:rPr>
                <w:rFonts w:hint="eastAsia" w:cstheme="minorBidi"/>
              </w:rPr>
              <w:t>及运输车辆的行驶条件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56" w:type="dxa"/>
            <w:vAlign w:val="center"/>
          </w:tcPr>
          <w:p>
            <w:pPr>
              <w:pStyle w:val="65"/>
              <w:rPr>
                <w:rFonts w:ascii="Times New Roman" w:hAnsi="Times New Roman" w:eastAsia="宋体" w:cstheme="minorBidi"/>
                <w:b w:val="0"/>
                <w:i w:val="0"/>
              </w:rPr>
            </w:pPr>
            <w:r>
              <w:rPr>
                <w:rFonts w:hint="eastAsia" w:ascii="Times New Roman" w:hAnsi="Times New Roman" w:eastAsia="宋体" w:cstheme="minorBidi"/>
                <w:b w:val="0"/>
                <w:i w:val="0"/>
              </w:rPr>
              <w:t>4</w:t>
            </w:r>
          </w:p>
        </w:tc>
        <w:tc>
          <w:tcPr>
            <w:tcW w:w="6604" w:type="dxa"/>
            <w:vAlign w:val="center"/>
          </w:tcPr>
          <w:p>
            <w:pPr>
              <w:pStyle w:val="65"/>
              <w:rPr>
                <w:rFonts w:cstheme="minorBidi"/>
              </w:rPr>
            </w:pPr>
            <w:r>
              <w:rPr>
                <w:rFonts w:hint="eastAsia" w:cstheme="minorBidi"/>
              </w:rPr>
              <w:t>现场具备辅助</w:t>
            </w:r>
            <w:r>
              <w:rPr>
                <w:rFonts w:hint="eastAsia" w:cstheme="minorBidi"/>
                <w:lang w:eastAsia="zh-CN"/>
              </w:rPr>
              <w:t>汽车吊</w:t>
            </w:r>
            <w:r>
              <w:rPr>
                <w:rFonts w:hint="eastAsia" w:cstheme="minorBidi"/>
              </w:rPr>
              <w:t>支设的场地及塔机拼装场地</w:t>
            </w:r>
          </w:p>
        </w:tc>
      </w:tr>
    </w:tbl>
    <w:p>
      <w:pPr>
        <w:pStyle w:val="6"/>
        <w:bidi w:val="0"/>
        <w:ind w:left="864" w:leftChars="0" w:hanging="864" w:firstLineChars="0"/>
      </w:pPr>
      <w:r>
        <w:rPr>
          <w:rFonts w:hint="eastAsia"/>
          <w:b/>
          <w:bCs/>
          <w:sz w:val="24"/>
          <w:szCs w:val="24"/>
          <w:lang w:val="en-US" w:eastAsia="zh-CN"/>
        </w:rPr>
        <w:t>安装加强节</w:t>
      </w:r>
    </w:p>
    <w:p>
      <w:pPr>
        <w:ind w:firstLine="480"/>
      </w:pPr>
      <w:r>
        <w:rPr>
          <w:rFonts w:hint="eastAsia"/>
          <w:sz w:val="24"/>
          <w:szCs w:val="24"/>
          <w:lang w:val="en-US" w:eastAsia="zh-CN"/>
        </w:rPr>
        <w:t>加强</w:t>
      </w:r>
      <w:r>
        <w:rPr>
          <w:rFonts w:hint="default"/>
          <w:sz w:val="24"/>
          <w:szCs w:val="24"/>
          <w:lang w:val="en-US" w:eastAsia="zh-CN"/>
        </w:rPr>
        <w:t>节安装至预埋</w:t>
      </w:r>
      <w:r>
        <w:rPr>
          <w:rFonts w:hint="eastAsia"/>
          <w:sz w:val="24"/>
          <w:szCs w:val="24"/>
          <w:lang w:val="en-US" w:eastAsia="zh-CN"/>
        </w:rPr>
        <w:t>螺栓</w:t>
      </w:r>
      <w:r>
        <w:rPr>
          <w:rFonts w:hint="default"/>
          <w:sz w:val="24"/>
          <w:szCs w:val="24"/>
          <w:lang w:val="en-US" w:eastAsia="zh-CN"/>
        </w:rPr>
        <w:t>连接牢固，连接方式下图：注意安装时应考虑顶升时标准节在套架的进出方向，充分考虑到塔机使用完毕后能方便地拆除，一般情况下是顶升耳座所在的面垂直于建筑物，即垂直于顶升耳座面的方向具有较大的安装空间。</w:t>
      </w:r>
    </w:p>
    <w:p>
      <w:pPr>
        <w:pStyle w:val="16"/>
      </w:pPr>
      <w:r>
        <w:rPr>
          <w:rFonts w:hint="default"/>
          <w:lang w:val="en-US" w:eastAsia="zh-CN"/>
        </w:rPr>
        <w:drawing>
          <wp:inline distT="0" distB="0" distL="114300" distR="114300">
            <wp:extent cx="2545080" cy="2455545"/>
            <wp:effectExtent l="0" t="0" r="7620" b="1905"/>
            <wp:docPr id="143"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8" descr="IMG_256"/>
                    <pic:cNvPicPr>
                      <a:picLocks noChangeAspect="1"/>
                    </pic:cNvPicPr>
                  </pic:nvPicPr>
                  <pic:blipFill>
                    <a:blip r:embed="rId48"/>
                    <a:srcRect l="718" b="10153"/>
                    <a:stretch>
                      <a:fillRect/>
                    </a:stretch>
                  </pic:blipFill>
                  <pic:spPr>
                    <a:xfrm>
                      <a:off x="0" y="0"/>
                      <a:ext cx="2545080" cy="2455545"/>
                    </a:xfrm>
                    <a:prstGeom prst="rect">
                      <a:avLst/>
                    </a:prstGeom>
                    <a:noFill/>
                    <a:ln w="9525">
                      <a:noFill/>
                    </a:ln>
                  </pic:spPr>
                </pic:pic>
              </a:graphicData>
            </a:graphic>
          </wp:inline>
        </w:drawing>
      </w:r>
    </w:p>
    <w:p>
      <w:pPr>
        <w:pStyle w:val="16"/>
        <w:rPr>
          <w:rFonts w:hint="eastAsia" w:eastAsia="宋体"/>
          <w:lang w:eastAsia="zh-CN"/>
        </w:rPr>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t>4.4.2</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1</w:t>
      </w:r>
      <w:r>
        <w:fldChar w:fldCharType="end"/>
      </w:r>
      <w:r>
        <w:rPr>
          <w:rFonts w:hint="eastAsia"/>
        </w:rPr>
        <w:t>安装</w:t>
      </w:r>
      <w:r>
        <w:rPr>
          <w:rFonts w:hint="eastAsia"/>
          <w:lang w:val="en-US" w:eastAsia="zh-CN"/>
        </w:rPr>
        <w:t>加强节</w:t>
      </w:r>
    </w:p>
    <w:p>
      <w:pPr>
        <w:pStyle w:val="5"/>
        <w:bidi w:val="0"/>
        <w:ind w:left="0" w:leftChars="0" w:firstLine="0" w:firstLineChars="0"/>
        <w:rPr>
          <w:rFonts w:hint="eastAsia"/>
          <w:sz w:val="24"/>
          <w:szCs w:val="24"/>
          <w:lang w:val="en-US" w:eastAsia="zh-CN"/>
        </w:rPr>
      </w:pPr>
      <w:r>
        <w:rPr>
          <w:rFonts w:hint="eastAsia"/>
          <w:sz w:val="24"/>
          <w:szCs w:val="24"/>
          <w:lang w:val="en-US" w:eastAsia="zh-CN"/>
        </w:rPr>
        <w:t>安装顶升套架</w:t>
      </w:r>
    </w:p>
    <w:p>
      <w:pPr>
        <w:numPr>
          <w:ilvl w:val="0"/>
          <w:numId w:val="0"/>
        </w:numPr>
        <w:ind w:firstLine="480" w:firstLineChars="200"/>
        <w:rPr>
          <w:rFonts w:hint="default" w:cs="Times New Roman"/>
          <w:kern w:val="2"/>
          <w:sz w:val="24"/>
          <w:szCs w:val="24"/>
          <w:highlight w:val="none"/>
          <w:lang w:val="en-US" w:eastAsia="zh-CN" w:bidi="ar-SA"/>
        </w:rPr>
      </w:pPr>
      <w:r>
        <w:rPr>
          <w:rFonts w:hint="eastAsia" w:cs="Times New Roman"/>
          <w:kern w:val="2"/>
          <w:sz w:val="24"/>
          <w:szCs w:val="24"/>
          <w:highlight w:val="none"/>
          <w:lang w:val="en-US" w:eastAsia="zh-CN" w:bidi="ar-SA"/>
        </w:rPr>
        <w:t>加强</w:t>
      </w:r>
      <w:r>
        <w:rPr>
          <w:rFonts w:hint="default" w:cs="Times New Roman"/>
          <w:kern w:val="2"/>
          <w:sz w:val="24"/>
          <w:szCs w:val="24"/>
          <w:highlight w:val="none"/>
          <w:lang w:val="en-US" w:eastAsia="zh-CN" w:bidi="ar-SA"/>
        </w:rPr>
        <w:t>节安装完成后，将地面上已组装好的顶升套架套到标准节外（注意：顶升套架上有顶升油缸的一面应对应塔身上有踏步的一面），用套架制动块将其支撑在底部过渡节的踏步上。如下图：</w:t>
      </w:r>
      <w:r>
        <w:rPr>
          <w:rFonts w:hint="default" w:cs="Times New Roman"/>
          <w:kern w:val="2"/>
          <w:sz w:val="24"/>
          <w:szCs w:val="24"/>
          <w:highlight w:val="none"/>
          <w:lang w:val="en-US" w:eastAsia="zh-CN" w:bidi="ar-SA"/>
        </w:rPr>
        <w:drawing>
          <wp:inline distT="0" distB="0" distL="114300" distR="114300">
            <wp:extent cx="635" cy="0"/>
            <wp:effectExtent l="0" t="0" r="0" b="0"/>
            <wp:docPr id="1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rFonts w:hint="default" w:cs="Times New Roman"/>
          <w:kern w:val="2"/>
          <w:sz w:val="24"/>
          <w:szCs w:val="24"/>
          <w:highlight w:val="none"/>
          <w:lang w:val="en-US" w:eastAsia="zh-CN" w:bidi="ar-SA"/>
        </w:rPr>
        <w:t xml:space="preserve"> </w:t>
      </w:r>
    </w:p>
    <w:p>
      <w:pPr>
        <w:numPr>
          <w:ilvl w:val="0"/>
          <w:numId w:val="0"/>
        </w:numPr>
        <w:ind w:leftChars="200"/>
        <w:rPr>
          <w:rFonts w:hint="default" w:cs="Times New Roman"/>
          <w:kern w:val="2"/>
          <w:sz w:val="24"/>
          <w:szCs w:val="24"/>
          <w:highlight w:val="none"/>
          <w:lang w:val="en-US" w:eastAsia="zh-CN" w:bidi="ar-SA"/>
        </w:rPr>
      </w:pPr>
    </w:p>
    <w:p>
      <w:pPr>
        <w:pStyle w:val="16"/>
        <w:rPr>
          <w:rFonts w:hint="default" w:cs="Times New Roman"/>
          <w:kern w:val="2"/>
          <w:sz w:val="24"/>
          <w:szCs w:val="24"/>
          <w:highlight w:val="none"/>
          <w:lang w:val="en-US" w:eastAsia="zh-CN" w:bidi="ar-SA"/>
        </w:rPr>
      </w:pPr>
      <w:r>
        <w:rPr>
          <w:rFonts w:hint="default" w:cs="Times New Roman"/>
          <w:kern w:val="2"/>
          <w:sz w:val="24"/>
          <w:szCs w:val="24"/>
          <w:highlight w:val="none"/>
          <w:lang w:val="en-US" w:eastAsia="zh-CN" w:bidi="ar-SA"/>
        </w:rPr>
        <w:drawing>
          <wp:inline distT="0" distB="0" distL="114300" distR="114300">
            <wp:extent cx="1413510" cy="3296920"/>
            <wp:effectExtent l="0" t="0" r="15240" b="17780"/>
            <wp:docPr id="147"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5" descr="IMG_256"/>
                    <pic:cNvPicPr>
                      <a:picLocks noChangeAspect="1"/>
                    </pic:cNvPicPr>
                  </pic:nvPicPr>
                  <pic:blipFill>
                    <a:blip r:embed="rId49"/>
                    <a:srcRect r="6076" b="6197"/>
                    <a:stretch>
                      <a:fillRect/>
                    </a:stretch>
                  </pic:blipFill>
                  <pic:spPr>
                    <a:xfrm>
                      <a:off x="0" y="0"/>
                      <a:ext cx="1413510" cy="3296920"/>
                    </a:xfrm>
                    <a:prstGeom prst="rect">
                      <a:avLst/>
                    </a:prstGeom>
                    <a:noFill/>
                    <a:ln w="9525">
                      <a:noFill/>
                    </a:ln>
                  </pic:spPr>
                </pic:pic>
              </a:graphicData>
            </a:graphic>
          </wp:inline>
        </w:drawing>
      </w:r>
    </w:p>
    <w:p>
      <w:pPr>
        <w:pStyle w:val="16"/>
        <w:rPr>
          <w:rFonts w:hint="eastAsia" w:ascii="宋体" w:hAnsi="宋体" w:cs="宋体"/>
          <w:bCs/>
          <w:color w:val="000000" w:themeColor="text1"/>
          <w:lang w:val="en-US" w:eastAsia="zh-CN"/>
          <w14:textFill>
            <w14:solidFill>
              <w14:schemeClr w14:val="tx1"/>
            </w14:solidFill>
          </w14:textFill>
        </w:rPr>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t>4.4.3</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1</w:t>
      </w:r>
      <w:r>
        <w:fldChar w:fldCharType="end"/>
      </w:r>
      <w:r>
        <w:rPr>
          <w:rFonts w:hint="eastAsia" w:ascii="宋体" w:hAnsi="宋体" w:cs="宋体"/>
          <w:bCs/>
          <w:color w:val="000000" w:themeColor="text1"/>
          <w14:textFill>
            <w14:solidFill>
              <w14:schemeClr w14:val="tx1"/>
            </w14:solidFill>
          </w14:textFill>
        </w:rPr>
        <w:t>安装</w:t>
      </w:r>
      <w:r>
        <w:rPr>
          <w:rFonts w:hint="eastAsia" w:ascii="宋体" w:hAnsi="宋体" w:cs="宋体"/>
          <w:bCs/>
          <w:color w:val="000000" w:themeColor="text1"/>
          <w:lang w:val="en-US" w:eastAsia="zh-CN"/>
          <w14:textFill>
            <w14:solidFill>
              <w14:schemeClr w14:val="tx1"/>
            </w14:solidFill>
          </w14:textFill>
        </w:rPr>
        <w:t>顶升套架</w:t>
      </w:r>
    </w:p>
    <w:p>
      <w:pPr>
        <w:numPr>
          <w:ilvl w:val="0"/>
          <w:numId w:val="0"/>
        </w:numPr>
        <w:ind w:firstLine="480" w:firstLineChars="200"/>
      </w:pPr>
      <w:r>
        <w:rPr>
          <w:rFonts w:hint="default" w:cs="Times New Roman"/>
          <w:kern w:val="2"/>
          <w:sz w:val="24"/>
          <w:szCs w:val="24"/>
          <w:highlight w:val="none"/>
          <w:lang w:val="en-US" w:eastAsia="zh-CN" w:bidi="ar-SA"/>
        </w:rPr>
        <w:t>注意：安装时应考虑顶升时标准节在套架的进出方向，便于塔机使用完毕后的拆除，一般情况下是顶升耳座所在的面垂直于建筑物，即垂直于顶升耳座面的方向具有较大的安装空间。</w:t>
      </w:r>
    </w:p>
    <w:p>
      <w:pPr>
        <w:pStyle w:val="5"/>
        <w:bidi w:val="0"/>
        <w:ind w:left="0" w:leftChars="0" w:firstLine="0" w:firstLineChars="0"/>
        <w:rPr>
          <w:rFonts w:hint="eastAsia"/>
          <w:sz w:val="24"/>
          <w:szCs w:val="24"/>
          <w:lang w:val="en-US" w:eastAsia="zh-CN"/>
        </w:rPr>
      </w:pPr>
      <w:r>
        <w:rPr>
          <w:rFonts w:hint="eastAsia"/>
          <w:sz w:val="24"/>
          <w:szCs w:val="24"/>
          <w:lang w:val="en-US" w:eastAsia="zh-CN"/>
        </w:rPr>
        <w:t>安装回转总成及驾驶室</w:t>
      </w:r>
    </w:p>
    <w:p>
      <w:pPr>
        <w:rPr>
          <w:rFonts w:hint="eastAsia" w:ascii="宋体" w:hAnsi="宋体" w:eastAsia="宋体"/>
          <w:szCs w:val="21"/>
          <w:lang w:eastAsia="zh-CN"/>
        </w:rPr>
      </w:pPr>
      <w:r>
        <w:rPr>
          <w:rFonts w:hint="eastAsia" w:ascii="宋体" w:hAnsi="宋体"/>
          <w:szCs w:val="21"/>
          <w:lang w:val="en-US" w:eastAsia="zh-CN"/>
        </w:rPr>
        <w:t>1、</w:t>
      </w:r>
      <w:r>
        <w:rPr>
          <w:rFonts w:hint="eastAsia" w:ascii="宋体" w:hAnsi="宋体"/>
          <w:szCs w:val="21"/>
        </w:rPr>
        <w:t>在地面上用吊索吊挂回转总成，找好平衡后将其吊至过渡节上，每个脚用2件销轴和1件纵销连接，并用开口肖锁牢。注意：与塔身连接时注意回转下支座的移动门和标准节爬梯的方向，使移动门的位置和标准节上爬梯的位置一致，以方便工作人员上下。</w:t>
      </w:r>
    </w:p>
    <w:p>
      <w:pPr>
        <w:rPr>
          <w:rFonts w:hint="eastAsia" w:ascii="宋体" w:hAnsi="宋体"/>
          <w:szCs w:val="21"/>
        </w:rPr>
      </w:pPr>
      <w:r>
        <w:rPr>
          <w:rFonts w:hint="eastAsia" w:ascii="宋体" w:hAnsi="宋体"/>
          <w:szCs w:val="21"/>
          <w:lang w:val="en-US" w:eastAsia="zh-CN"/>
        </w:rPr>
        <w:t>2、</w:t>
      </w:r>
      <w:r>
        <w:rPr>
          <w:rFonts w:hint="eastAsia" w:ascii="宋体" w:hAnsi="宋体"/>
          <w:szCs w:val="21"/>
        </w:rPr>
        <w:t>将司机室吊装到回转上支座的司机平台上，通过3件销轴与平台连接牢固。如下图：</w:t>
      </w:r>
    </w:p>
    <w:p>
      <w:pPr>
        <w:pStyle w:val="16"/>
      </w:pPr>
      <w:r>
        <w:rPr>
          <w:rFonts w:hint="eastAsia" w:ascii="宋体" w:hAnsi="宋体"/>
          <w:szCs w:val="21"/>
          <w:lang w:val="en-US" w:eastAsia="zh-CN"/>
        </w:rPr>
        <w:drawing>
          <wp:inline distT="0" distB="0" distL="114300" distR="114300">
            <wp:extent cx="1361440" cy="2428875"/>
            <wp:effectExtent l="0" t="0" r="10160" b="9525"/>
            <wp:docPr id="14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7" descr="IMG_256"/>
                    <pic:cNvPicPr>
                      <a:picLocks noChangeAspect="1"/>
                    </pic:cNvPicPr>
                  </pic:nvPicPr>
                  <pic:blipFill>
                    <a:blip r:embed="rId50"/>
                    <a:stretch>
                      <a:fillRect/>
                    </a:stretch>
                  </pic:blipFill>
                  <pic:spPr>
                    <a:xfrm>
                      <a:off x="0" y="0"/>
                      <a:ext cx="1361440" cy="2428875"/>
                    </a:xfrm>
                    <a:prstGeom prst="rect">
                      <a:avLst/>
                    </a:prstGeom>
                    <a:noFill/>
                    <a:ln w="9525">
                      <a:noFill/>
                    </a:ln>
                  </pic:spPr>
                </pic:pic>
              </a:graphicData>
            </a:graphic>
          </wp:inline>
        </w:drawing>
      </w:r>
    </w:p>
    <w:p>
      <w:pPr>
        <w:pStyle w:val="16"/>
        <w:rPr>
          <w:rFonts w:hint="eastAsia"/>
          <w:lang w:val="en-US" w:eastAsia="zh-CN"/>
        </w:rPr>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t>4.4.4</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1</w:t>
      </w:r>
      <w:r>
        <w:fldChar w:fldCharType="end"/>
      </w:r>
      <w:r>
        <w:rPr>
          <w:rFonts w:hint="eastAsia"/>
        </w:rPr>
        <w:t>安装</w:t>
      </w:r>
      <w:r>
        <w:rPr>
          <w:rFonts w:hint="eastAsia"/>
          <w:lang w:val="en-US" w:eastAsia="zh-CN"/>
        </w:rPr>
        <w:t>回转总成及驾驶室</w:t>
      </w:r>
    </w:p>
    <w:p>
      <w:pPr>
        <w:numPr>
          <w:ilvl w:val="0"/>
          <w:numId w:val="13"/>
        </w:numPr>
        <w:ind w:firstLine="480" w:firstLineChars="200"/>
        <w:rPr>
          <w:rFonts w:hint="default"/>
          <w:lang w:val="en-US" w:eastAsia="zh-CN"/>
        </w:rPr>
      </w:pPr>
      <w:r>
        <w:rPr>
          <w:rFonts w:hint="eastAsia" w:ascii="宋体" w:hAnsi="宋体"/>
          <w:szCs w:val="21"/>
        </w:rPr>
        <w:t>根据本说明书中操作维护指南部分电气连接的相关内容连接好回转机构的电气设备，使回转机构能正常运行，以方便后面的安装。</w:t>
      </w:r>
    </w:p>
    <w:p>
      <w:pPr>
        <w:pStyle w:val="5"/>
        <w:bidi w:val="0"/>
        <w:ind w:left="0" w:leftChars="0" w:firstLine="0" w:firstLineChars="0"/>
        <w:rPr>
          <w:rFonts w:hint="eastAsia"/>
          <w:sz w:val="24"/>
          <w:szCs w:val="24"/>
          <w:lang w:val="en-US" w:eastAsia="zh-CN"/>
        </w:rPr>
      </w:pPr>
      <w:r>
        <w:rPr>
          <w:rFonts w:hint="eastAsia"/>
          <w:sz w:val="24"/>
          <w:szCs w:val="24"/>
          <w:lang w:val="en-US" w:eastAsia="zh-CN"/>
        </w:rPr>
        <w:t>回转塔身的安装</w:t>
      </w:r>
    </w:p>
    <w:p>
      <w:pPr>
        <w:pStyle w:val="15"/>
        <w:spacing w:line="360" w:lineRule="auto"/>
        <w:ind w:firstLine="560"/>
        <w:rPr>
          <w:rFonts w:hint="eastAsia" w:ascii="宋体" w:hAnsi="宋体" w:eastAsia="宋体" w:cs="宋体"/>
          <w:color w:val="auto"/>
          <w:sz w:val="24"/>
          <w:szCs w:val="24"/>
        </w:rPr>
      </w:pPr>
      <w:r>
        <w:rPr>
          <w:rFonts w:hint="eastAsia" w:ascii="宋体" w:hAnsi="宋体" w:eastAsia="宋体" w:cs="宋体"/>
          <w:color w:val="auto"/>
          <w:sz w:val="24"/>
          <w:szCs w:val="24"/>
        </w:rPr>
        <w:t>选择好吊点，将回转塔身垂直吊起放入回转上支座的耳座中并用销轴和开口销连接牢。见下图：</w:t>
      </w:r>
    </w:p>
    <w:p>
      <w:pPr>
        <w:pStyle w:val="16"/>
      </w:pPr>
      <w:r>
        <w:rPr>
          <w:rFonts w:hint="eastAsia" w:ascii="仿宋_GB2312" w:hAnsi="仿宋" w:eastAsia="仿宋_GB2312" w:cs="宋体"/>
          <w:color w:val="auto"/>
          <w:kern w:val="0"/>
          <w:szCs w:val="24"/>
          <w:lang w:bidi="ar"/>
        </w:rPr>
        <w:drawing>
          <wp:inline distT="0" distB="0" distL="114300" distR="114300">
            <wp:extent cx="1375410" cy="2910205"/>
            <wp:effectExtent l="0" t="0" r="15240" b="4445"/>
            <wp:docPr id="14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8" descr="IMG_256"/>
                    <pic:cNvPicPr>
                      <a:picLocks noChangeAspect="1"/>
                    </pic:cNvPicPr>
                  </pic:nvPicPr>
                  <pic:blipFill>
                    <a:blip r:embed="rId51"/>
                    <a:srcRect b="4521"/>
                    <a:stretch>
                      <a:fillRect/>
                    </a:stretch>
                  </pic:blipFill>
                  <pic:spPr>
                    <a:xfrm>
                      <a:off x="0" y="0"/>
                      <a:ext cx="1375410" cy="2910205"/>
                    </a:xfrm>
                    <a:prstGeom prst="rect">
                      <a:avLst/>
                    </a:prstGeom>
                    <a:noFill/>
                    <a:ln w="9525">
                      <a:noFill/>
                    </a:ln>
                  </pic:spPr>
                </pic:pic>
              </a:graphicData>
            </a:graphic>
          </wp:inline>
        </w:drawing>
      </w:r>
    </w:p>
    <w:p>
      <w:pPr>
        <w:pStyle w:val="16"/>
        <w:rPr>
          <w:rFonts w:hint="default" w:eastAsia="宋体"/>
          <w:lang w:val="en-US" w:eastAsia="zh-CN"/>
        </w:rPr>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t>4.4.5</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1</w:t>
      </w:r>
      <w:r>
        <w:fldChar w:fldCharType="end"/>
      </w:r>
      <w:r>
        <w:rPr>
          <w:rFonts w:hint="eastAsia"/>
        </w:rPr>
        <w:t>安装</w:t>
      </w:r>
      <w:r>
        <w:rPr>
          <w:rFonts w:hint="eastAsia"/>
          <w:lang w:val="en-US" w:eastAsia="zh-CN"/>
        </w:rPr>
        <w:t>回转塔身</w:t>
      </w:r>
    </w:p>
    <w:p>
      <w:pPr>
        <w:pStyle w:val="5"/>
        <w:bidi w:val="0"/>
        <w:ind w:left="0" w:leftChars="0" w:firstLine="0" w:firstLineChars="0"/>
        <w:rPr>
          <w:rFonts w:hint="eastAsia"/>
          <w:sz w:val="24"/>
          <w:szCs w:val="24"/>
          <w:lang w:val="en-US" w:eastAsia="zh-CN"/>
        </w:rPr>
      </w:pPr>
      <w:r>
        <w:rPr>
          <w:rFonts w:hint="eastAsia"/>
          <w:sz w:val="24"/>
          <w:szCs w:val="24"/>
          <w:lang w:val="en-US" w:eastAsia="zh-CN"/>
        </w:rPr>
        <w:t>安装平衡臂、起重臂及配重</w:t>
      </w:r>
    </w:p>
    <w:p>
      <w:pPr>
        <w:numPr>
          <w:ilvl w:val="0"/>
          <w:numId w:val="14"/>
        </w:numPr>
        <w:ind w:firstLine="720" w:firstLineChars="300"/>
        <w:rPr>
          <w:rFonts w:hint="eastAsia"/>
          <w:lang w:val="en-US" w:eastAsia="zh-CN"/>
        </w:rPr>
      </w:pPr>
      <w:r>
        <w:rPr>
          <w:rFonts w:hint="eastAsia" w:ascii="宋体" w:hAnsi="宋体" w:eastAsia="宋体" w:cs="宋体"/>
          <w:szCs w:val="21"/>
          <w:lang w:val="en-US" w:eastAsia="zh-CN"/>
        </w:rPr>
        <w:t>安装注意事项</w:t>
      </w:r>
    </w:p>
    <w:p>
      <w:pPr>
        <w:ind w:firstLine="600" w:firstLineChars="250"/>
        <w:rPr>
          <w:rFonts w:hint="eastAsia" w:ascii="宋体" w:hAnsi="宋体"/>
          <w:szCs w:val="21"/>
        </w:rPr>
      </w:pPr>
      <w:r>
        <w:rPr>
          <w:rFonts w:hint="eastAsia" w:ascii="宋体" w:hAnsi="宋体" w:eastAsia="宋体" w:cs="宋体"/>
          <w:szCs w:val="21"/>
          <w:lang w:val="en-US" w:eastAsia="zh-CN"/>
        </w:rPr>
        <w:t>①</w:t>
      </w:r>
      <w:r>
        <w:rPr>
          <w:rFonts w:hint="eastAsia" w:ascii="宋体" w:hAnsi="宋体"/>
          <w:szCs w:val="21"/>
        </w:rPr>
        <w:t>平衡臂和起重臂的安装不能间断，因此在安装前应确保其相关部件已全部就位。</w:t>
      </w:r>
    </w:p>
    <w:p>
      <w:pPr>
        <w:ind w:firstLine="600" w:firstLineChars="250"/>
        <w:rPr>
          <w:rFonts w:hint="eastAsia" w:ascii="宋体" w:hAnsi="宋体"/>
          <w:szCs w:val="21"/>
        </w:rPr>
      </w:pPr>
      <w:r>
        <w:rPr>
          <w:rFonts w:hint="eastAsia" w:ascii="宋体" w:hAnsi="宋体"/>
          <w:szCs w:val="21"/>
          <w:lang w:val="en-US" w:eastAsia="zh-CN"/>
        </w:rPr>
        <w:t>②</w:t>
      </w:r>
      <w:r>
        <w:rPr>
          <w:rFonts w:hint="eastAsia" w:ascii="宋体" w:hAnsi="宋体"/>
          <w:szCs w:val="21"/>
        </w:rPr>
        <w:t>安装时将起重小车始终固定在起重臂根节上。</w:t>
      </w:r>
    </w:p>
    <w:p>
      <w:pPr>
        <w:ind w:firstLine="600" w:firstLineChars="250"/>
        <w:rPr>
          <w:rFonts w:hint="eastAsia" w:ascii="宋体" w:hAnsi="宋体"/>
          <w:szCs w:val="21"/>
        </w:rPr>
      </w:pPr>
      <w:r>
        <w:rPr>
          <w:rFonts w:hint="eastAsia" w:ascii="宋体" w:hAnsi="宋体"/>
          <w:szCs w:val="21"/>
          <w:lang w:val="en-US" w:eastAsia="zh-CN"/>
        </w:rPr>
        <w:t>③</w:t>
      </w:r>
      <w:r>
        <w:rPr>
          <w:rFonts w:hint="eastAsia" w:ascii="宋体" w:hAnsi="宋体"/>
          <w:szCs w:val="21"/>
        </w:rPr>
        <w:t>平衡臂和起重臂安装时不得和塔身轴线存在夹角。如下图：</w:t>
      </w:r>
    </w:p>
    <w:p>
      <w:pPr>
        <w:ind w:firstLine="120" w:firstLineChars="50"/>
        <w:rPr>
          <w:rFonts w:hint="eastAsia" w:ascii="宋体" w:hAnsi="宋体"/>
          <w:szCs w:val="21"/>
        </w:rPr>
      </w:pPr>
      <w:r>
        <w:rPr>
          <w:rFonts w:hint="eastAsia" w:ascii="宋体" w:hAnsi="宋体"/>
          <w:szCs w:val="21"/>
        </w:rPr>
        <w:fldChar w:fldCharType="begin"/>
      </w:r>
      <w:r>
        <w:rPr>
          <w:rFonts w:hint="eastAsia" w:ascii="宋体" w:hAnsi="宋体"/>
          <w:szCs w:val="21"/>
        </w:rPr>
        <w:instrText xml:space="preserve">INCLUDEPICTURE \d "C:\\Documents and Settings\\Administrator\\Application Data\\Tencent\\Users\\387702944\\QQ\\WinTemp\\RichOle\\%DZIV@}3{AJ$_OOC$_GZBVY.png" \* MERGEFORMATINET </w:instrText>
      </w:r>
      <w:r>
        <w:rPr>
          <w:rFonts w:hint="eastAsia" w:ascii="宋体" w:hAnsi="宋体"/>
          <w:szCs w:val="21"/>
        </w:rPr>
        <w:fldChar w:fldCharType="separate"/>
      </w:r>
      <w:r>
        <w:rPr>
          <w:rFonts w:hint="eastAsia" w:ascii="宋体" w:hAnsi="宋体"/>
          <w:szCs w:val="21"/>
        </w:rPr>
        <w:drawing>
          <wp:inline distT="0" distB="0" distL="114300" distR="114300">
            <wp:extent cx="4887595" cy="986155"/>
            <wp:effectExtent l="0" t="0" r="8255" b="4445"/>
            <wp:docPr id="18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6" descr="IMG_256"/>
                    <pic:cNvPicPr>
                      <a:picLocks noChangeAspect="1"/>
                    </pic:cNvPicPr>
                  </pic:nvPicPr>
                  <pic:blipFill>
                    <a:blip r:embed="rId52"/>
                    <a:srcRect l="1216" t="52449" r="3328" b="12547"/>
                    <a:stretch>
                      <a:fillRect/>
                    </a:stretch>
                  </pic:blipFill>
                  <pic:spPr>
                    <a:xfrm>
                      <a:off x="0" y="0"/>
                      <a:ext cx="4887595" cy="986155"/>
                    </a:xfrm>
                    <a:prstGeom prst="rect">
                      <a:avLst/>
                    </a:prstGeom>
                    <a:noFill/>
                    <a:ln w="9525">
                      <a:noFill/>
                    </a:ln>
                  </pic:spPr>
                </pic:pic>
              </a:graphicData>
            </a:graphic>
          </wp:inline>
        </w:drawing>
      </w:r>
      <w:r>
        <w:rPr>
          <w:rFonts w:hint="eastAsia" w:ascii="宋体" w:hAnsi="宋体"/>
          <w:szCs w:val="21"/>
        </w:rPr>
        <w:fldChar w:fldCharType="end"/>
      </w:r>
    </w:p>
    <w:p>
      <w:pPr>
        <w:pStyle w:val="16"/>
        <w:tabs>
          <w:tab w:val="left" w:pos="360"/>
        </w:tabs>
        <w:rPr>
          <w:rFonts w:hint="eastAsia" w:cs="Times New Roman"/>
          <w:kern w:val="2"/>
          <w:sz w:val="21"/>
          <w:szCs w:val="22"/>
          <w:highlight w:val="none"/>
          <w:lang w:val="en-US" w:eastAsia="zh-CN" w:bidi="ar-SA"/>
        </w:rPr>
      </w:pPr>
      <w:r>
        <w:rPr>
          <w:rFonts w:hint="eastAsia" w:ascii="Times New Roman" w:hAnsi="Times New Roman" w:eastAsia="黑体" w:cs="Times New Roman"/>
          <w:kern w:val="2"/>
          <w:sz w:val="21"/>
          <w:szCs w:val="22"/>
          <w:highlight w:val="none"/>
          <w:lang w:val="en-US" w:eastAsia="zh-CN" w:bidi="ar-SA"/>
        </w:rPr>
        <w:t>图4.4.6-</w:t>
      </w:r>
      <w:r>
        <w:rPr>
          <w:rFonts w:hint="eastAsia" w:cs="Times New Roman"/>
          <w:kern w:val="2"/>
          <w:sz w:val="21"/>
          <w:szCs w:val="22"/>
          <w:highlight w:val="none"/>
          <w:lang w:val="en-US" w:eastAsia="zh-CN" w:bidi="ar-SA"/>
        </w:rPr>
        <w:t>1</w:t>
      </w:r>
      <w:r>
        <w:rPr>
          <w:rFonts w:hint="eastAsia" w:ascii="Times New Roman" w:hAnsi="Times New Roman" w:eastAsia="黑体" w:cs="Times New Roman"/>
          <w:kern w:val="2"/>
          <w:sz w:val="21"/>
          <w:szCs w:val="22"/>
          <w:highlight w:val="none"/>
          <w:lang w:val="en-US" w:eastAsia="zh-CN" w:bidi="ar-SA"/>
        </w:rPr>
        <w:t xml:space="preserve"> </w:t>
      </w:r>
      <w:r>
        <w:rPr>
          <w:rFonts w:hint="eastAsia" w:ascii="Times New Roman" w:hAnsi="Times New Roman" w:cs="Times New Roman"/>
          <w:kern w:val="2"/>
          <w:sz w:val="21"/>
          <w:szCs w:val="22"/>
          <w:highlight w:val="none"/>
          <w:lang w:val="en-US" w:eastAsia="zh-CN" w:bidi="ar-SA"/>
        </w:rPr>
        <w:t>臂与塔身正确</w:t>
      </w:r>
      <w:r>
        <w:rPr>
          <w:rFonts w:hint="eastAsia" w:cs="Times New Roman"/>
          <w:kern w:val="2"/>
          <w:sz w:val="21"/>
          <w:szCs w:val="22"/>
          <w:highlight w:val="none"/>
          <w:lang w:val="en-US" w:eastAsia="zh-CN" w:bidi="ar-SA"/>
        </w:rPr>
        <w:t>安装</w:t>
      </w:r>
    </w:p>
    <w:p>
      <w:pPr>
        <w:ind w:firstLine="600" w:firstLineChars="250"/>
        <w:rPr>
          <w:rFonts w:hint="eastAsia" w:ascii="宋体" w:hAnsi="宋体"/>
          <w:szCs w:val="21"/>
        </w:rPr>
      </w:pPr>
      <w:r>
        <w:rPr>
          <w:rFonts w:hint="eastAsia" w:ascii="宋体" w:hAnsi="宋体"/>
          <w:szCs w:val="21"/>
          <w:lang w:val="en-US" w:eastAsia="zh-CN"/>
        </w:rPr>
        <w:t>④</w:t>
      </w:r>
      <w:r>
        <w:rPr>
          <w:rFonts w:hint="eastAsia" w:ascii="宋体" w:hAnsi="宋体"/>
          <w:szCs w:val="21"/>
        </w:rPr>
        <w:t>安装人员在操作时必须系好安全带。</w:t>
      </w:r>
    </w:p>
    <w:p>
      <w:pPr>
        <w:ind w:firstLine="600" w:firstLineChars="250"/>
        <w:rPr>
          <w:rFonts w:hint="eastAsia" w:ascii="宋体" w:hAnsi="宋体"/>
          <w:szCs w:val="21"/>
        </w:rPr>
      </w:pPr>
      <w:r>
        <w:rPr>
          <w:rFonts w:hint="eastAsia" w:ascii="宋体" w:hAnsi="宋体"/>
          <w:szCs w:val="21"/>
          <w:lang w:val="en-US" w:eastAsia="zh-CN"/>
        </w:rPr>
        <w:t>⑤</w:t>
      </w:r>
      <w:r>
        <w:rPr>
          <w:rFonts w:hint="eastAsia" w:ascii="宋体" w:hAnsi="宋体"/>
          <w:szCs w:val="21"/>
        </w:rPr>
        <w:t xml:space="preserve"> 在风中进行平衡臂和起重臂的安装时风速不得大于10m/s。</w:t>
      </w:r>
    </w:p>
    <w:p>
      <w:pPr>
        <w:ind w:firstLine="600" w:firstLineChars="250"/>
        <w:rPr>
          <w:rFonts w:hint="eastAsia" w:ascii="宋体" w:hAnsi="宋体"/>
          <w:szCs w:val="21"/>
        </w:rPr>
      </w:pPr>
      <w:r>
        <w:rPr>
          <w:rFonts w:hint="eastAsia" w:ascii="宋体" w:hAnsi="宋体"/>
          <w:szCs w:val="21"/>
          <w:lang w:val="en-US" w:eastAsia="zh-CN"/>
        </w:rPr>
        <w:t>⑥</w:t>
      </w:r>
      <w:r>
        <w:rPr>
          <w:rFonts w:hint="eastAsia" w:ascii="宋体" w:hAnsi="宋体"/>
          <w:szCs w:val="21"/>
        </w:rPr>
        <w:t xml:space="preserve"> 注意臂节挂绳方法，见下图：</w:t>
      </w:r>
    </w:p>
    <w:p>
      <w:pPr>
        <w:jc w:val="center"/>
        <w:rPr>
          <w:rFonts w:hint="eastAsia" w:ascii="宋体" w:hAnsi="宋体"/>
          <w:szCs w:val="21"/>
        </w:rPr>
      </w:pPr>
      <w:r>
        <w:rPr>
          <w:rFonts w:hint="eastAsia" w:ascii="宋体" w:hAnsi="宋体"/>
          <w:szCs w:val="21"/>
        </w:rPr>
        <w:fldChar w:fldCharType="begin"/>
      </w:r>
      <w:r>
        <w:rPr>
          <w:rFonts w:hint="eastAsia" w:ascii="宋体" w:hAnsi="宋体"/>
          <w:szCs w:val="21"/>
        </w:rPr>
        <w:instrText xml:space="preserve">INCLUDEPICTURE \d "C:\\Documents and Settings\\Administrator\\Application Data\\Tencent\\Users\\387702944\\QQ\\WinTemp\\RichOle\\E`KRJ%{[F@}667$J~MO23[1.png" \* MERGEFORMATINET </w:instrText>
      </w:r>
      <w:r>
        <w:rPr>
          <w:rFonts w:hint="eastAsia" w:ascii="宋体" w:hAnsi="宋体"/>
          <w:szCs w:val="21"/>
        </w:rPr>
        <w:fldChar w:fldCharType="separate"/>
      </w:r>
      <w:r>
        <w:rPr>
          <w:rFonts w:hint="eastAsia" w:ascii="宋体" w:hAnsi="宋体"/>
          <w:szCs w:val="21"/>
        </w:rPr>
        <w:drawing>
          <wp:inline distT="0" distB="0" distL="114300" distR="114300">
            <wp:extent cx="3441700" cy="1102995"/>
            <wp:effectExtent l="0" t="0" r="6350" b="1905"/>
            <wp:docPr id="15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8" descr="IMG_256"/>
                    <pic:cNvPicPr>
                      <a:picLocks noChangeAspect="1"/>
                    </pic:cNvPicPr>
                  </pic:nvPicPr>
                  <pic:blipFill>
                    <a:blip r:embed="rId53"/>
                    <a:srcRect l="3885" t="56921" r="13885" b="-597"/>
                    <a:stretch>
                      <a:fillRect/>
                    </a:stretch>
                  </pic:blipFill>
                  <pic:spPr>
                    <a:xfrm>
                      <a:off x="0" y="0"/>
                      <a:ext cx="3441700" cy="1102995"/>
                    </a:xfrm>
                    <a:prstGeom prst="rect">
                      <a:avLst/>
                    </a:prstGeom>
                    <a:noFill/>
                    <a:ln w="9525">
                      <a:noFill/>
                    </a:ln>
                  </pic:spPr>
                </pic:pic>
              </a:graphicData>
            </a:graphic>
          </wp:inline>
        </w:drawing>
      </w:r>
      <w:r>
        <w:rPr>
          <w:rFonts w:hint="eastAsia" w:ascii="宋体" w:hAnsi="宋体"/>
          <w:szCs w:val="21"/>
        </w:rPr>
        <w:fldChar w:fldCharType="end"/>
      </w:r>
    </w:p>
    <w:p>
      <w:pPr>
        <w:pStyle w:val="41"/>
        <w:numPr>
          <w:ilvl w:val="0"/>
          <w:numId w:val="0"/>
        </w:numPr>
        <w:ind w:left="0" w:leftChars="0" w:firstLine="480" w:firstLineChars="200"/>
        <w:rPr>
          <w:rFonts w:hint="eastAsia"/>
          <w:lang w:val="en-US" w:eastAsia="zh-CN"/>
        </w:rPr>
      </w:pPr>
      <w:r>
        <w:rPr>
          <w:rFonts w:hint="eastAsia" w:ascii="Times New Roman" w:hAnsi="Times New Roman" w:eastAsia="宋体" w:cstheme="minorBidi"/>
          <w:kern w:val="0"/>
          <w:sz w:val="24"/>
          <w:szCs w:val="21"/>
          <w:lang w:val="en-US" w:eastAsia="zh-CN" w:bidi="ar-SA"/>
        </w:rPr>
        <w:t>2、</w:t>
      </w:r>
      <w:r>
        <w:rPr>
          <w:rFonts w:hint="eastAsia"/>
          <w:lang w:val="en-US" w:eastAsia="zh-CN"/>
        </w:rPr>
        <w:t>安装步骤</w:t>
      </w:r>
    </w:p>
    <w:p>
      <w:pPr>
        <w:ind w:firstLine="600" w:firstLineChars="250"/>
        <w:rPr>
          <w:rFonts w:hint="eastAsia" w:ascii="宋体" w:hAnsi="宋体"/>
          <w:szCs w:val="21"/>
        </w:rPr>
      </w:pPr>
      <w:r>
        <w:rPr>
          <w:rFonts w:hint="eastAsia" w:ascii="宋体" w:hAnsi="宋体"/>
          <w:szCs w:val="21"/>
          <w:lang w:val="en-US" w:eastAsia="zh-CN"/>
        </w:rPr>
        <w:t>①</w:t>
      </w:r>
      <w:r>
        <w:rPr>
          <w:rFonts w:hint="eastAsia" w:ascii="宋体" w:hAnsi="宋体"/>
          <w:szCs w:val="21"/>
        </w:rPr>
        <w:t>根据现场实际情况，起重臂安装臂长为</w:t>
      </w:r>
      <w:r>
        <w:rPr>
          <w:rFonts w:hint="eastAsia" w:ascii="宋体" w:hAnsi="宋体"/>
          <w:szCs w:val="21"/>
          <w:lang w:val="en-US" w:eastAsia="zh-CN"/>
        </w:rPr>
        <w:t>60</w:t>
      </w:r>
      <w:r>
        <w:rPr>
          <w:rFonts w:hint="eastAsia" w:ascii="宋体" w:hAnsi="宋体"/>
          <w:szCs w:val="21"/>
        </w:rPr>
        <w:t>米，如下图：</w:t>
      </w:r>
    </w:p>
    <w:p>
      <w:pPr>
        <w:ind w:firstLine="120" w:firstLineChars="50"/>
        <w:rPr>
          <w:rFonts w:hint="eastAsia" w:ascii="宋体" w:hAnsi="宋体" w:eastAsiaTheme="minorEastAsia"/>
          <w:szCs w:val="21"/>
          <w:lang w:eastAsia="zh-CN"/>
        </w:rPr>
      </w:pPr>
      <w:r>
        <w:drawing>
          <wp:inline distT="0" distB="0" distL="114300" distR="114300">
            <wp:extent cx="5757545" cy="619760"/>
            <wp:effectExtent l="0" t="0" r="14605" b="8890"/>
            <wp:docPr id="1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9"/>
                    <pic:cNvPicPr>
                      <a:picLocks noChangeAspect="1"/>
                    </pic:cNvPicPr>
                  </pic:nvPicPr>
                  <pic:blipFill>
                    <a:blip r:embed="rId54"/>
                    <a:stretch>
                      <a:fillRect/>
                    </a:stretch>
                  </pic:blipFill>
                  <pic:spPr>
                    <a:xfrm>
                      <a:off x="0" y="0"/>
                      <a:ext cx="5757545" cy="619760"/>
                    </a:xfrm>
                    <a:prstGeom prst="rect">
                      <a:avLst/>
                    </a:prstGeom>
                    <a:noFill/>
                    <a:ln>
                      <a:noFill/>
                    </a:ln>
                  </pic:spPr>
                </pic:pic>
              </a:graphicData>
            </a:graphic>
          </wp:inline>
        </w:drawing>
      </w:r>
    </w:p>
    <w:p>
      <w:pPr>
        <w:ind w:firstLine="600" w:firstLineChars="250"/>
        <w:rPr>
          <w:rFonts w:hint="eastAsia" w:ascii="宋体" w:hAnsi="宋体"/>
          <w:szCs w:val="21"/>
        </w:rPr>
      </w:pPr>
      <w:r>
        <w:rPr>
          <w:rFonts w:hint="eastAsia" w:ascii="宋体" w:hAnsi="宋体"/>
          <w:szCs w:val="21"/>
          <w:lang w:val="en-US" w:eastAsia="zh-CN"/>
        </w:rPr>
        <w:t>②</w:t>
      </w:r>
      <w:r>
        <w:rPr>
          <w:rFonts w:hint="eastAsia" w:ascii="宋体" w:hAnsi="宋体"/>
          <w:szCs w:val="21"/>
        </w:rPr>
        <w:t>安装起重臂第一节，按</w:t>
      </w:r>
      <w:r>
        <w:rPr>
          <w:rFonts w:hint="eastAsia" w:ascii="宋体" w:hAnsi="宋体"/>
          <w:szCs w:val="21"/>
          <w:lang w:eastAsia="zh-CN"/>
        </w:rPr>
        <w:t>说明书要求</w:t>
      </w:r>
      <w:r>
        <w:rPr>
          <w:rFonts w:hint="eastAsia" w:ascii="宋体" w:hAnsi="宋体"/>
          <w:szCs w:val="21"/>
        </w:rPr>
        <w:t>所示挂绳方法挂绳，使臂节靠回转塔身侧略向下倾，以方便臂节上弦杆耳板连接。</w:t>
      </w:r>
    </w:p>
    <w:p>
      <w:pPr>
        <w:ind w:firstLine="600" w:firstLineChars="250"/>
        <w:rPr>
          <w:rFonts w:hint="eastAsia" w:ascii="宋体" w:hAnsi="宋体"/>
          <w:szCs w:val="21"/>
        </w:rPr>
      </w:pPr>
      <w:r>
        <w:rPr>
          <w:rFonts w:hint="eastAsia" w:ascii="宋体" w:hAnsi="宋体"/>
          <w:szCs w:val="21"/>
          <w:lang w:val="en-US" w:eastAsia="zh-CN"/>
        </w:rPr>
        <w:t>③</w:t>
      </w:r>
      <w:r>
        <w:rPr>
          <w:rFonts w:hint="eastAsia" w:ascii="宋体" w:hAnsi="宋体"/>
          <w:szCs w:val="21"/>
        </w:rPr>
        <w:t>先将臂节</w:t>
      </w:r>
      <w:r>
        <w:rPr>
          <w:rFonts w:hint="eastAsia" w:ascii="宋体" w:hAnsi="宋体"/>
          <w:szCs w:val="21"/>
          <w:lang w:eastAsia="zh-CN"/>
        </w:rPr>
        <w:t>一</w:t>
      </w:r>
      <w:r>
        <w:rPr>
          <w:rFonts w:hint="eastAsia" w:ascii="宋体" w:hAnsi="宋体"/>
          <w:szCs w:val="21"/>
        </w:rPr>
        <w:t>的上弦杆单耳板与回转塔身的双耳板用销轴连接牢固，然后缓缓入下臂节，使臂节下弦杆的定位销孔与回转塔身的定位销对牢并顺利插入，连接好下弦杆连接板上的螺栓，见下图：</w:t>
      </w:r>
    </w:p>
    <w:p>
      <w:pPr>
        <w:ind w:firstLine="120" w:firstLineChars="50"/>
        <w:jc w:val="center"/>
        <w:rPr>
          <w:rFonts w:hint="eastAsia" w:ascii="宋体" w:hAnsi="宋体"/>
          <w:szCs w:val="21"/>
        </w:rPr>
      </w:pPr>
      <w:r>
        <w:rPr>
          <w:rFonts w:hint="eastAsia" w:ascii="宋体" w:hAnsi="宋体"/>
          <w:szCs w:val="21"/>
          <w:lang w:val="en-US" w:eastAsia="zh-CN"/>
        </w:rPr>
        <w:drawing>
          <wp:inline distT="0" distB="0" distL="114300" distR="114300">
            <wp:extent cx="2073910" cy="1590675"/>
            <wp:effectExtent l="0" t="0" r="2540" b="9525"/>
            <wp:docPr id="152"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3" descr="IMG_256"/>
                    <pic:cNvPicPr>
                      <a:picLocks noChangeAspect="1"/>
                    </pic:cNvPicPr>
                  </pic:nvPicPr>
                  <pic:blipFill>
                    <a:blip r:embed="rId55"/>
                    <a:stretch>
                      <a:fillRect/>
                    </a:stretch>
                  </pic:blipFill>
                  <pic:spPr>
                    <a:xfrm>
                      <a:off x="0" y="0"/>
                      <a:ext cx="2073910" cy="1590675"/>
                    </a:xfrm>
                    <a:prstGeom prst="rect">
                      <a:avLst/>
                    </a:prstGeom>
                    <a:noFill/>
                    <a:ln w="9525">
                      <a:noFill/>
                    </a:ln>
                  </pic:spPr>
                </pic:pic>
              </a:graphicData>
            </a:graphic>
          </wp:inline>
        </w:drawing>
      </w:r>
    </w:p>
    <w:p>
      <w:pPr>
        <w:pStyle w:val="16"/>
        <w:tabs>
          <w:tab w:val="left" w:pos="360"/>
        </w:tabs>
        <w:rPr>
          <w:rFonts w:hint="default" w:cs="Times New Roman"/>
          <w:kern w:val="2"/>
          <w:sz w:val="21"/>
          <w:szCs w:val="22"/>
          <w:highlight w:val="none"/>
          <w:lang w:val="en-US" w:eastAsia="zh-CN" w:bidi="ar-SA"/>
        </w:rPr>
      </w:pPr>
      <w:r>
        <w:rPr>
          <w:rFonts w:hint="eastAsia" w:ascii="Times New Roman" w:hAnsi="Times New Roman" w:eastAsia="黑体" w:cs="Times New Roman"/>
          <w:kern w:val="2"/>
          <w:sz w:val="21"/>
          <w:szCs w:val="22"/>
          <w:highlight w:val="none"/>
          <w:lang w:val="en-US" w:eastAsia="zh-CN" w:bidi="ar-SA"/>
        </w:rPr>
        <w:t>图4.4.6-</w:t>
      </w:r>
      <w:r>
        <w:rPr>
          <w:rFonts w:hint="eastAsia" w:cs="Times New Roman"/>
          <w:kern w:val="2"/>
          <w:sz w:val="21"/>
          <w:szCs w:val="22"/>
          <w:highlight w:val="none"/>
          <w:lang w:val="en-US" w:eastAsia="zh-CN" w:bidi="ar-SA"/>
        </w:rPr>
        <w:t>2</w:t>
      </w:r>
      <w:r>
        <w:rPr>
          <w:rFonts w:hint="eastAsia" w:ascii="Times New Roman" w:hAnsi="Times New Roman" w:eastAsia="黑体" w:cs="Times New Roman"/>
          <w:kern w:val="2"/>
          <w:sz w:val="21"/>
          <w:szCs w:val="22"/>
          <w:highlight w:val="none"/>
          <w:lang w:val="en-US" w:eastAsia="zh-CN" w:bidi="ar-SA"/>
        </w:rPr>
        <w:t xml:space="preserve"> </w:t>
      </w:r>
      <w:r>
        <w:rPr>
          <w:rFonts w:hint="eastAsia" w:cs="Times New Roman"/>
          <w:kern w:val="2"/>
          <w:sz w:val="21"/>
          <w:szCs w:val="22"/>
          <w:highlight w:val="none"/>
          <w:lang w:val="en-US" w:eastAsia="zh-CN" w:bidi="ar-SA"/>
        </w:rPr>
        <w:t>安装起重臂第一节</w:t>
      </w:r>
    </w:p>
    <w:p>
      <w:pPr>
        <w:ind w:firstLine="600" w:firstLineChars="250"/>
        <w:rPr>
          <w:rFonts w:hint="eastAsia" w:ascii="宋体" w:hAnsi="宋体"/>
          <w:szCs w:val="21"/>
        </w:rPr>
      </w:pPr>
      <w:r>
        <w:rPr>
          <w:rFonts w:hint="eastAsia" w:ascii="宋体" w:hAnsi="宋体"/>
          <w:szCs w:val="21"/>
          <w:lang w:val="en-US" w:eastAsia="zh-CN"/>
        </w:rPr>
        <w:t>④</w:t>
      </w:r>
      <w:r>
        <w:rPr>
          <w:rFonts w:hint="eastAsia" w:ascii="宋体" w:hAnsi="宋体"/>
          <w:szCs w:val="21"/>
        </w:rPr>
        <w:t>安装起重臂第二节，安装方法同上面安装起重臂第一节相同。</w:t>
      </w:r>
    </w:p>
    <w:p>
      <w:pPr>
        <w:ind w:firstLine="120" w:firstLineChars="50"/>
        <w:rPr>
          <w:rFonts w:hint="eastAsia" w:ascii="宋体" w:hAnsi="宋体"/>
          <w:szCs w:val="21"/>
          <w:lang w:val="en-US" w:eastAsia="zh-CN"/>
        </w:rPr>
      </w:pPr>
      <w:r>
        <w:rPr>
          <w:rFonts w:hint="eastAsia" w:ascii="宋体" w:hAnsi="宋体"/>
          <w:szCs w:val="21"/>
          <w:lang w:val="en-US" w:eastAsia="zh-CN"/>
        </w:rPr>
        <w:drawing>
          <wp:inline distT="0" distB="0" distL="114300" distR="114300">
            <wp:extent cx="3029585" cy="1188085"/>
            <wp:effectExtent l="0" t="0" r="18415" b="12065"/>
            <wp:docPr id="153"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4" descr="IMG_256"/>
                    <pic:cNvPicPr>
                      <a:picLocks noChangeAspect="1"/>
                    </pic:cNvPicPr>
                  </pic:nvPicPr>
                  <pic:blipFill>
                    <a:blip r:embed="rId56"/>
                    <a:stretch>
                      <a:fillRect/>
                    </a:stretch>
                  </pic:blipFill>
                  <pic:spPr>
                    <a:xfrm>
                      <a:off x="0" y="0"/>
                      <a:ext cx="3029585" cy="1188085"/>
                    </a:xfrm>
                    <a:prstGeom prst="rect">
                      <a:avLst/>
                    </a:prstGeom>
                    <a:noFill/>
                    <a:ln w="9525">
                      <a:noFill/>
                    </a:ln>
                  </pic:spPr>
                </pic:pic>
              </a:graphicData>
            </a:graphic>
          </wp:inline>
        </w:drawing>
      </w:r>
    </w:p>
    <w:p>
      <w:pPr>
        <w:pStyle w:val="16"/>
        <w:tabs>
          <w:tab w:val="left" w:pos="360"/>
        </w:tabs>
        <w:rPr>
          <w:rFonts w:hint="default" w:cs="Times New Roman"/>
          <w:kern w:val="2"/>
          <w:sz w:val="21"/>
          <w:szCs w:val="22"/>
          <w:highlight w:val="none"/>
          <w:lang w:val="en-US" w:eastAsia="zh-CN" w:bidi="ar-SA"/>
        </w:rPr>
      </w:pPr>
      <w:r>
        <w:rPr>
          <w:rFonts w:hint="eastAsia" w:ascii="Times New Roman" w:hAnsi="Times New Roman" w:eastAsia="黑体" w:cs="Times New Roman"/>
          <w:kern w:val="2"/>
          <w:sz w:val="21"/>
          <w:szCs w:val="22"/>
          <w:highlight w:val="none"/>
          <w:lang w:val="en-US" w:eastAsia="zh-CN" w:bidi="ar-SA"/>
        </w:rPr>
        <w:t>图4.4.6-</w:t>
      </w:r>
      <w:r>
        <w:rPr>
          <w:rFonts w:hint="eastAsia" w:cs="Times New Roman"/>
          <w:kern w:val="2"/>
          <w:sz w:val="21"/>
          <w:szCs w:val="22"/>
          <w:highlight w:val="none"/>
          <w:lang w:val="en-US" w:eastAsia="zh-CN" w:bidi="ar-SA"/>
        </w:rPr>
        <w:t>3</w:t>
      </w:r>
      <w:r>
        <w:rPr>
          <w:rFonts w:hint="eastAsia" w:ascii="Times New Roman" w:hAnsi="Times New Roman" w:eastAsia="黑体" w:cs="Times New Roman"/>
          <w:kern w:val="2"/>
          <w:sz w:val="21"/>
          <w:szCs w:val="22"/>
          <w:highlight w:val="none"/>
          <w:lang w:val="en-US" w:eastAsia="zh-CN" w:bidi="ar-SA"/>
        </w:rPr>
        <w:t xml:space="preserve"> </w:t>
      </w:r>
      <w:r>
        <w:rPr>
          <w:rFonts w:hint="eastAsia" w:cs="Times New Roman"/>
          <w:kern w:val="2"/>
          <w:sz w:val="21"/>
          <w:szCs w:val="22"/>
          <w:highlight w:val="none"/>
          <w:lang w:val="en-US" w:eastAsia="zh-CN" w:bidi="ar-SA"/>
        </w:rPr>
        <w:t>安装起重臂第二节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⑤</w:t>
      </w:r>
      <w:r>
        <w:rPr>
          <w:rFonts w:hint="eastAsia" w:ascii="宋体" w:hAnsi="宋体"/>
          <w:szCs w:val="21"/>
        </w:rPr>
        <w:t>安装起重臂第三节，安装方法同上面安装起重臂第一节相同。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⑥</w:t>
      </w:r>
      <w:r>
        <w:rPr>
          <w:rFonts w:hint="eastAsia" w:ascii="宋体" w:hAnsi="宋体"/>
          <w:szCs w:val="21"/>
        </w:rPr>
        <w:t>安装平衡臂第一节，安装方法同上面安装起重臂第一节相同。</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szCs w:val="21"/>
        </w:rPr>
      </w:pPr>
      <w:r>
        <w:rPr>
          <w:rFonts w:hint="eastAsia" w:ascii="宋体" w:hAnsi="宋体"/>
          <w:szCs w:val="21"/>
          <w:lang w:val="en-US" w:eastAsia="zh-CN"/>
        </w:rPr>
        <w:t>⑦</w:t>
      </w:r>
      <w:r>
        <w:rPr>
          <w:rFonts w:hint="eastAsia" w:ascii="宋体" w:hAnsi="宋体"/>
          <w:szCs w:val="21"/>
        </w:rPr>
        <w:t>吊装拼装好的平衡臂第二节，见下图。</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ascii="宋体" w:hAnsi="宋体"/>
          <w:szCs w:val="21"/>
        </w:rPr>
      </w:pPr>
      <w:r>
        <w:rPr>
          <w:rFonts w:hint="eastAsia" w:ascii="宋体" w:hAnsi="宋体"/>
          <w:szCs w:val="21"/>
          <w:lang w:val="en-US" w:eastAsia="zh-CN"/>
        </w:rPr>
        <w:drawing>
          <wp:inline distT="0" distB="0" distL="114300" distR="114300">
            <wp:extent cx="3667760" cy="943610"/>
            <wp:effectExtent l="0" t="0" r="8890" b="8890"/>
            <wp:docPr id="154"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1" descr="IMG_256"/>
                    <pic:cNvPicPr>
                      <a:picLocks noChangeAspect="1"/>
                    </pic:cNvPicPr>
                  </pic:nvPicPr>
                  <pic:blipFill>
                    <a:blip r:embed="rId57"/>
                    <a:stretch>
                      <a:fillRect/>
                    </a:stretch>
                  </pic:blipFill>
                  <pic:spPr>
                    <a:xfrm>
                      <a:off x="0" y="0"/>
                      <a:ext cx="3667760" cy="9436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szCs w:val="21"/>
        </w:rPr>
      </w:pPr>
      <w:r>
        <w:rPr>
          <w:rFonts w:hint="eastAsia" w:ascii="宋体" w:hAnsi="宋体"/>
          <w:szCs w:val="21"/>
          <w:lang w:val="en-US" w:eastAsia="zh-CN"/>
        </w:rPr>
        <w:t>⑧</w:t>
      </w:r>
      <w:r>
        <w:rPr>
          <w:rFonts w:hint="eastAsia" w:ascii="宋体" w:hAnsi="宋体"/>
          <w:szCs w:val="21"/>
        </w:rPr>
        <w:t>安装2块靠近回转塔身侧的平衡重。见下图：</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ascii="宋体" w:hAnsi="宋体"/>
          <w:szCs w:val="21"/>
        </w:rPr>
      </w:pPr>
      <w:r>
        <w:rPr>
          <w:rFonts w:hint="eastAsia" w:ascii="宋体" w:hAnsi="宋体"/>
          <w:szCs w:val="21"/>
          <w:lang w:val="en-US" w:eastAsia="zh-CN"/>
        </w:rPr>
        <w:drawing>
          <wp:inline distT="0" distB="0" distL="114300" distR="114300">
            <wp:extent cx="3990975" cy="1045210"/>
            <wp:effectExtent l="0" t="0" r="9525" b="2540"/>
            <wp:docPr id="155"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8" descr="IMG_256"/>
                    <pic:cNvPicPr>
                      <a:picLocks noChangeAspect="1"/>
                    </pic:cNvPicPr>
                  </pic:nvPicPr>
                  <pic:blipFill>
                    <a:blip r:embed="rId58"/>
                    <a:stretch>
                      <a:fillRect/>
                    </a:stretch>
                  </pic:blipFill>
                  <pic:spPr>
                    <a:xfrm>
                      <a:off x="0" y="0"/>
                      <a:ext cx="3990975" cy="10452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szCs w:val="21"/>
        </w:rPr>
      </w:pPr>
      <w:r>
        <w:rPr>
          <w:rFonts w:hint="eastAsia" w:ascii="宋体" w:hAnsi="宋体"/>
          <w:szCs w:val="21"/>
          <w:lang w:val="en-US" w:eastAsia="zh-CN"/>
        </w:rPr>
        <w:t>⑨</w:t>
      </w:r>
      <w:r>
        <w:rPr>
          <w:rFonts w:hint="eastAsia" w:ascii="宋体" w:hAnsi="宋体"/>
          <w:szCs w:val="21"/>
        </w:rPr>
        <w:t>按顺序安装起重臂第四节、第五节</w:t>
      </w:r>
      <w:r>
        <w:rPr>
          <w:rFonts w:hint="eastAsia" w:ascii="宋体" w:hAnsi="宋体"/>
          <w:szCs w:val="21"/>
          <w:lang w:eastAsia="zh-CN"/>
        </w:rPr>
        <w:t>、第六节、</w:t>
      </w:r>
      <w:r>
        <w:rPr>
          <w:rFonts w:hint="eastAsia" w:ascii="宋体" w:hAnsi="宋体"/>
          <w:szCs w:val="21"/>
          <w:lang w:val="en-US" w:eastAsia="zh-CN"/>
        </w:rPr>
        <w:t>第七节、第八节</w:t>
      </w:r>
      <w:r>
        <w:rPr>
          <w:rFonts w:hint="eastAsia" w:ascii="宋体" w:hAnsi="宋体"/>
          <w:szCs w:val="21"/>
        </w:rPr>
        <w:t>和</w:t>
      </w:r>
      <w:r>
        <w:rPr>
          <w:rFonts w:hint="eastAsia" w:ascii="宋体" w:hAnsi="宋体"/>
          <w:szCs w:val="21"/>
          <w:lang w:eastAsia="zh-CN"/>
        </w:rPr>
        <w:t>第九节</w:t>
      </w:r>
      <w:r>
        <w:rPr>
          <w:rFonts w:hint="eastAsia" w:ascii="宋体" w:hAnsi="宋体"/>
          <w:szCs w:val="21"/>
        </w:rPr>
        <w:t>（方法同安装第一节臂相同）。</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ascii="宋体" w:hAnsi="宋体"/>
          <w:szCs w:val="21"/>
        </w:rPr>
      </w:pPr>
      <w:r>
        <w:rPr>
          <w:rFonts w:hint="eastAsia" w:ascii="宋体" w:hAnsi="宋体"/>
          <w:szCs w:val="21"/>
          <w:lang w:val="en-US" w:eastAsia="zh-CN"/>
        </w:rPr>
        <w:drawing>
          <wp:inline distT="0" distB="0" distL="114300" distR="114300">
            <wp:extent cx="3726180" cy="1032510"/>
            <wp:effectExtent l="0" t="0" r="7620" b="15240"/>
            <wp:docPr id="181"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3" descr="IMG_256"/>
                    <pic:cNvPicPr>
                      <a:picLocks noChangeAspect="1"/>
                    </pic:cNvPicPr>
                  </pic:nvPicPr>
                  <pic:blipFill>
                    <a:blip r:embed="rId59"/>
                    <a:stretch>
                      <a:fillRect/>
                    </a:stretch>
                  </pic:blipFill>
                  <pic:spPr>
                    <a:xfrm>
                      <a:off x="0" y="0"/>
                      <a:ext cx="3726180" cy="10325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szCs w:val="21"/>
        </w:rPr>
      </w:pPr>
      <w:r>
        <w:rPr>
          <w:rFonts w:hint="eastAsia" w:ascii="宋体" w:hAnsi="宋体"/>
          <w:szCs w:val="21"/>
          <w:lang w:val="en-US" w:eastAsia="zh-CN"/>
        </w:rPr>
        <w:t>⑩</w:t>
      </w:r>
      <w:r>
        <w:rPr>
          <w:rFonts w:hint="eastAsia" w:ascii="宋体" w:hAnsi="宋体"/>
          <w:szCs w:val="21"/>
        </w:rPr>
        <w:t>安装剩下的平衡重。</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szCs w:val="21"/>
        </w:rPr>
      </w:pPr>
      <w:r>
        <w:rPr>
          <w:rFonts w:hint="eastAsia" w:ascii="微软雅黑" w:hAnsi="微软雅黑" w:eastAsia="微软雅黑" w:cs="微软雅黑"/>
          <w:szCs w:val="21"/>
        </w:rPr>
        <w:t>⑪</w:t>
      </w:r>
      <w:r>
        <w:rPr>
          <w:rFonts w:hint="eastAsia" w:ascii="宋体" w:hAnsi="宋体"/>
          <w:szCs w:val="21"/>
        </w:rPr>
        <w:t>平衡重有三种重量规格：分别为A=4吨，B=2.2吨和C=1.5吨，</w:t>
      </w:r>
      <w:r>
        <w:rPr>
          <w:rFonts w:hint="eastAsia" w:ascii="宋体" w:hAnsi="宋体"/>
          <w:szCs w:val="21"/>
          <w:lang w:val="en-US" w:eastAsia="zh-CN"/>
        </w:rPr>
        <w:t>70</w:t>
      </w:r>
      <w:r>
        <w:rPr>
          <w:rFonts w:hint="eastAsia" w:ascii="宋体" w:hAnsi="宋体"/>
          <w:szCs w:val="21"/>
        </w:rPr>
        <w:t>米臂所配置的平衡重及安装位置如下图：</w:t>
      </w:r>
    </w:p>
    <w:p>
      <w:pPr>
        <w:ind w:left="0" w:leftChars="0" w:firstLine="0" w:firstLineChars="0"/>
        <w:jc w:val="center"/>
        <w:rPr>
          <w:rFonts w:hint="eastAsia" w:ascii="宋体" w:hAnsi="宋体"/>
          <w:szCs w:val="21"/>
        </w:rPr>
      </w:pPr>
      <w:r>
        <w:rPr>
          <w:rFonts w:hint="eastAsia" w:ascii="宋体" w:hAnsi="宋体"/>
          <w:szCs w:val="21"/>
          <w:lang w:val="en-US" w:eastAsia="zh-CN"/>
        </w:rPr>
        <w:drawing>
          <wp:inline distT="0" distB="0" distL="114300" distR="114300">
            <wp:extent cx="5135880" cy="1254125"/>
            <wp:effectExtent l="0" t="0" r="7620" b="3175"/>
            <wp:docPr id="157"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3" descr="IMG_256"/>
                    <pic:cNvPicPr>
                      <a:picLocks noChangeAspect="1"/>
                    </pic:cNvPicPr>
                  </pic:nvPicPr>
                  <pic:blipFill>
                    <a:blip r:embed="rId60"/>
                    <a:stretch>
                      <a:fillRect/>
                    </a:stretch>
                  </pic:blipFill>
                  <pic:spPr>
                    <a:xfrm>
                      <a:off x="0" y="0"/>
                      <a:ext cx="5135880" cy="1254125"/>
                    </a:xfrm>
                    <a:prstGeom prst="rect">
                      <a:avLst/>
                    </a:prstGeom>
                    <a:noFill/>
                    <a:ln w="9525">
                      <a:noFill/>
                    </a:ln>
                  </pic:spPr>
                </pic:pic>
              </a:graphicData>
            </a:graphic>
          </wp:inline>
        </w:drawing>
      </w:r>
    </w:p>
    <w:p>
      <w:pPr>
        <w:pStyle w:val="15"/>
        <w:ind w:left="0" w:leftChars="0" w:firstLine="0" w:firstLineChars="0"/>
        <w:jc w:val="center"/>
      </w:pPr>
      <w:r>
        <w:drawing>
          <wp:inline distT="0" distB="0" distL="114300" distR="114300">
            <wp:extent cx="5047615" cy="1805305"/>
            <wp:effectExtent l="0" t="0" r="635" b="4445"/>
            <wp:docPr id="1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0"/>
                    <pic:cNvPicPr>
                      <a:picLocks noChangeAspect="1"/>
                    </pic:cNvPicPr>
                  </pic:nvPicPr>
                  <pic:blipFill>
                    <a:blip r:embed="rId61"/>
                    <a:stretch>
                      <a:fillRect/>
                    </a:stretch>
                  </pic:blipFill>
                  <pic:spPr>
                    <a:xfrm>
                      <a:off x="0" y="0"/>
                      <a:ext cx="5047615" cy="1805305"/>
                    </a:xfrm>
                    <a:prstGeom prst="rect">
                      <a:avLst/>
                    </a:prstGeom>
                    <a:noFill/>
                    <a:ln>
                      <a:noFill/>
                    </a:ln>
                  </pic:spPr>
                </pic:pic>
              </a:graphicData>
            </a:graphic>
          </wp:inline>
        </w:drawing>
      </w:r>
    </w:p>
    <w:p>
      <w:pPr>
        <w:pStyle w:val="5"/>
        <w:bidi w:val="0"/>
        <w:ind w:left="0" w:leftChars="0" w:firstLine="0" w:firstLineChars="0"/>
        <w:rPr>
          <w:rFonts w:hint="eastAsia"/>
          <w:sz w:val="24"/>
          <w:szCs w:val="24"/>
          <w:lang w:val="en-US" w:eastAsia="zh-CN"/>
        </w:rPr>
      </w:pPr>
      <w:r>
        <w:rPr>
          <w:rFonts w:hint="eastAsia"/>
          <w:sz w:val="24"/>
          <w:szCs w:val="24"/>
          <w:lang w:val="en-US" w:eastAsia="zh-CN"/>
        </w:rPr>
        <w:t>塔机的电气连接</w:t>
      </w:r>
    </w:p>
    <w:p>
      <w:pPr>
        <w:rPr>
          <w:rFonts w:ascii="宋体" w:hAnsi="宋体" w:cs="宋体"/>
          <w:color w:val="000000" w:themeColor="text1"/>
          <w14:textFill>
            <w14:solidFill>
              <w14:schemeClr w14:val="tx1"/>
            </w14:solidFill>
          </w14:textFill>
        </w:rPr>
      </w:pPr>
      <w:r>
        <w:rPr>
          <w:rFonts w:hint="eastAsia" w:ascii="宋体" w:hAnsi="宋体"/>
          <w:szCs w:val="21"/>
        </w:rPr>
        <w:t>根据说明书中操作维护指南部分电气连接的相关内容连接好起升机构、回转机构、变幅机构、顶升机构及司机室内的电气设备，使整个塔机电气设备均可以正常工作。</w:t>
      </w:r>
    </w:p>
    <w:p>
      <w:pPr>
        <w:pStyle w:val="5"/>
        <w:bidi w:val="0"/>
        <w:ind w:left="0" w:leftChars="0" w:firstLine="0" w:firstLineChars="0"/>
        <w:rPr>
          <w:rFonts w:hint="eastAsia"/>
          <w:sz w:val="24"/>
          <w:szCs w:val="24"/>
          <w:lang w:val="en-US" w:eastAsia="zh-CN"/>
        </w:rPr>
      </w:pPr>
      <w:r>
        <w:rPr>
          <w:rFonts w:hint="eastAsia"/>
          <w:sz w:val="24"/>
          <w:szCs w:val="24"/>
          <w:lang w:val="en-US" w:eastAsia="zh-CN"/>
        </w:rPr>
        <w:t>穿绕钢丝绳</w:t>
      </w:r>
    </w:p>
    <w:p>
      <w:pPr>
        <w:pStyle w:val="15"/>
        <w:numPr>
          <w:ilvl w:val="0"/>
          <w:numId w:val="15"/>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变幅钢丝绳的穿绕及张紧</w:t>
      </w:r>
    </w:p>
    <w:p>
      <w:pPr>
        <w:numPr>
          <w:ilvl w:val="0"/>
          <w:numId w:val="0"/>
        </w:numPr>
        <w:rPr>
          <w:rFonts w:hint="eastAsia"/>
          <w:lang w:val="en-US" w:eastAsia="zh-CN"/>
        </w:rPr>
      </w:pPr>
      <w:r>
        <w:rPr>
          <w:rFonts w:hint="eastAsia"/>
          <w:lang w:val="en-US" w:eastAsia="zh-CN"/>
        </w:rPr>
        <w:t xml:space="preserve">        </w:t>
      </w:r>
      <w:r>
        <w:rPr>
          <w:rFonts w:hint="eastAsia" w:ascii="微软雅黑" w:hAnsi="微软雅黑" w:eastAsia="微软雅黑" w:cs="微软雅黑"/>
          <w:lang w:val="en-US" w:eastAsia="zh-CN"/>
        </w:rPr>
        <w:t>①</w:t>
      </w:r>
      <w:r>
        <w:rPr>
          <w:rFonts w:hint="eastAsia"/>
          <w:lang w:val="en-US" w:eastAsia="zh-CN"/>
        </w:rPr>
        <w:t>变幅钢丝绳的规格及长度</w:t>
      </w:r>
    </w:p>
    <w:tbl>
      <w:tblPr>
        <w:tblStyle w:val="42"/>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3488"/>
        <w:gridCol w:w="1147"/>
        <w:gridCol w:w="1050"/>
        <w:gridCol w:w="1215"/>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2" w:type="dxa"/>
            <w:gridSpan w:val="2"/>
            <w:vAlign w:val="center"/>
          </w:tcPr>
          <w:p>
            <w:pPr>
              <w:numPr>
                <w:ilvl w:val="0"/>
                <w:numId w:val="0"/>
              </w:numPr>
              <w:rPr>
                <w:rFonts w:hint="eastAsia"/>
                <w:lang w:val="en-US" w:eastAsia="zh-CN"/>
              </w:rPr>
            </w:pPr>
            <w:r>
              <w:rPr>
                <w:rFonts w:hint="eastAsia"/>
                <w:lang w:val="en-US" w:eastAsia="zh-CN"/>
              </w:rPr>
              <w:t>标准号及规格</w:t>
            </w:r>
          </w:p>
        </w:tc>
        <w:tc>
          <w:tcPr>
            <w:tcW w:w="1147" w:type="dxa"/>
            <w:vAlign w:val="center"/>
          </w:tcPr>
          <w:p>
            <w:pPr>
              <w:numPr>
                <w:ilvl w:val="0"/>
                <w:numId w:val="0"/>
              </w:numPr>
              <w:rPr>
                <w:rFonts w:hint="eastAsia"/>
                <w:lang w:val="en-US" w:eastAsia="zh-CN"/>
              </w:rPr>
            </w:pPr>
            <w:r>
              <w:rPr>
                <w:rFonts w:hint="eastAsia"/>
                <w:lang w:val="en-US" w:eastAsia="zh-CN"/>
              </w:rPr>
              <w:t>绳径（mm）</w:t>
            </w:r>
          </w:p>
        </w:tc>
        <w:tc>
          <w:tcPr>
            <w:tcW w:w="1050" w:type="dxa"/>
            <w:vAlign w:val="center"/>
          </w:tcPr>
          <w:p>
            <w:pPr>
              <w:numPr>
                <w:ilvl w:val="0"/>
                <w:numId w:val="0"/>
              </w:numPr>
              <w:rPr>
                <w:rFonts w:hint="eastAsia"/>
                <w:lang w:val="en-US" w:eastAsia="zh-CN"/>
              </w:rPr>
            </w:pPr>
            <w:r>
              <w:rPr>
                <w:rFonts w:hint="eastAsia"/>
                <w:lang w:val="en-US" w:eastAsia="zh-CN"/>
              </w:rPr>
              <w:t>臂长（m）</w:t>
            </w:r>
          </w:p>
        </w:tc>
        <w:tc>
          <w:tcPr>
            <w:tcW w:w="1215" w:type="dxa"/>
            <w:vAlign w:val="center"/>
          </w:tcPr>
          <w:p>
            <w:pPr>
              <w:numPr>
                <w:ilvl w:val="0"/>
                <w:numId w:val="0"/>
              </w:numPr>
              <w:rPr>
                <w:rFonts w:hint="eastAsia"/>
                <w:lang w:val="en-US" w:eastAsia="zh-CN"/>
              </w:rPr>
            </w:pPr>
            <w:r>
              <w:rPr>
                <w:rFonts w:hint="eastAsia"/>
                <w:lang w:val="en-US" w:eastAsia="zh-CN"/>
              </w:rPr>
              <w:t>数量（根）</w:t>
            </w:r>
          </w:p>
        </w:tc>
        <w:tc>
          <w:tcPr>
            <w:tcW w:w="1485" w:type="dxa"/>
            <w:vAlign w:val="center"/>
          </w:tcPr>
          <w:p>
            <w:pPr>
              <w:numPr>
                <w:ilvl w:val="0"/>
                <w:numId w:val="0"/>
              </w:numPr>
              <w:rPr>
                <w:rFonts w:hint="eastAsia"/>
                <w:lang w:val="en-US" w:eastAsia="zh-CN"/>
              </w:rPr>
            </w:pPr>
            <w:r>
              <w:rPr>
                <w:rFonts w:hint="eastAsia"/>
                <w:lang w:val="en-US" w:eastAsia="zh-CN"/>
              </w:rPr>
              <w:t>每根长度（m）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numPr>
                <w:ilvl w:val="0"/>
                <w:numId w:val="0"/>
              </w:numPr>
              <w:rPr>
                <w:rFonts w:hint="eastAsia"/>
                <w:lang w:val="en-US" w:eastAsia="zh-CN"/>
              </w:rPr>
            </w:pPr>
            <w:r>
              <w:rPr>
                <w:rFonts w:hint="eastAsia"/>
                <w:lang w:val="en-US" w:eastAsia="zh-CN"/>
              </w:rPr>
              <w:t>绳1</w:t>
            </w:r>
          </w:p>
        </w:tc>
        <w:tc>
          <w:tcPr>
            <w:tcW w:w="3488" w:type="dxa"/>
            <w:vAlign w:val="center"/>
          </w:tcPr>
          <w:p>
            <w:pPr>
              <w:numPr>
                <w:ilvl w:val="0"/>
                <w:numId w:val="0"/>
              </w:numPr>
              <w:rPr>
                <w:rFonts w:hint="eastAsia"/>
                <w:lang w:val="en-US" w:eastAsia="zh-CN"/>
              </w:rPr>
            </w:pPr>
            <w:r>
              <w:rPr>
                <w:rFonts w:hint="eastAsia"/>
                <w:lang w:val="en-US" w:eastAsia="zh-CN"/>
              </w:rPr>
              <w:t>6*19+FC-8-1870(GB/T 20118-2006)</w:t>
            </w:r>
          </w:p>
        </w:tc>
        <w:tc>
          <w:tcPr>
            <w:tcW w:w="1147" w:type="dxa"/>
            <w:vAlign w:val="center"/>
          </w:tcPr>
          <w:p>
            <w:pPr>
              <w:numPr>
                <w:ilvl w:val="0"/>
                <w:numId w:val="0"/>
              </w:numPr>
              <w:rPr>
                <w:rFonts w:hint="eastAsia"/>
                <w:lang w:val="en-US" w:eastAsia="zh-CN"/>
              </w:rPr>
            </w:pPr>
            <w:r>
              <w:rPr>
                <w:rFonts w:hint="eastAsia"/>
                <w:lang w:val="en-US" w:eastAsia="zh-CN"/>
              </w:rPr>
              <w:t>￠8</w:t>
            </w:r>
          </w:p>
        </w:tc>
        <w:tc>
          <w:tcPr>
            <w:tcW w:w="1050" w:type="dxa"/>
            <w:vAlign w:val="center"/>
          </w:tcPr>
          <w:p>
            <w:pPr>
              <w:numPr>
                <w:ilvl w:val="0"/>
                <w:numId w:val="0"/>
              </w:numPr>
              <w:rPr>
                <w:rFonts w:hint="default"/>
                <w:lang w:val="en-US" w:eastAsia="zh-CN"/>
              </w:rPr>
            </w:pPr>
            <w:r>
              <w:rPr>
                <w:rFonts w:hint="eastAsia"/>
                <w:lang w:val="en-US" w:eastAsia="zh-CN"/>
              </w:rPr>
              <w:t>70</w:t>
            </w:r>
          </w:p>
        </w:tc>
        <w:tc>
          <w:tcPr>
            <w:tcW w:w="1215" w:type="dxa"/>
            <w:vAlign w:val="center"/>
          </w:tcPr>
          <w:p>
            <w:pPr>
              <w:numPr>
                <w:ilvl w:val="0"/>
                <w:numId w:val="0"/>
              </w:numPr>
              <w:rPr>
                <w:rFonts w:hint="eastAsia"/>
                <w:lang w:val="en-US" w:eastAsia="zh-CN"/>
              </w:rPr>
            </w:pPr>
            <w:r>
              <w:rPr>
                <w:rFonts w:hint="eastAsia"/>
                <w:lang w:val="en-US" w:eastAsia="zh-CN"/>
              </w:rPr>
              <w:t>1</w:t>
            </w:r>
          </w:p>
        </w:tc>
        <w:tc>
          <w:tcPr>
            <w:tcW w:w="1485" w:type="dxa"/>
            <w:vAlign w:val="center"/>
          </w:tcPr>
          <w:p>
            <w:pPr>
              <w:numPr>
                <w:ilvl w:val="0"/>
                <w:numId w:val="0"/>
              </w:numPr>
              <w:rPr>
                <w:rFonts w:hint="default"/>
                <w:lang w:val="en-US" w:eastAsia="zh-CN"/>
              </w:rPr>
            </w:pPr>
            <w:r>
              <w:rPr>
                <w:rFonts w:hint="eastAsia"/>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numPr>
                <w:ilvl w:val="0"/>
                <w:numId w:val="0"/>
              </w:numPr>
              <w:rPr>
                <w:rFonts w:hint="eastAsia"/>
                <w:lang w:val="en-US" w:eastAsia="zh-CN"/>
              </w:rPr>
            </w:pPr>
            <w:r>
              <w:rPr>
                <w:rFonts w:hint="eastAsia"/>
                <w:lang w:val="en-US" w:eastAsia="zh-CN"/>
              </w:rPr>
              <w:t>绳2</w:t>
            </w:r>
          </w:p>
        </w:tc>
        <w:tc>
          <w:tcPr>
            <w:tcW w:w="3488" w:type="dxa"/>
            <w:vAlign w:val="center"/>
          </w:tcPr>
          <w:p>
            <w:pPr>
              <w:numPr>
                <w:ilvl w:val="0"/>
                <w:numId w:val="0"/>
              </w:numPr>
              <w:rPr>
                <w:rFonts w:hint="eastAsia"/>
                <w:lang w:val="en-US" w:eastAsia="zh-CN"/>
              </w:rPr>
            </w:pPr>
            <w:r>
              <w:rPr>
                <w:rFonts w:hint="eastAsia"/>
                <w:lang w:val="en-US" w:eastAsia="zh-CN"/>
              </w:rPr>
              <w:t>6*19+FC-8-1870(GB/T 20118-2006)</w:t>
            </w:r>
          </w:p>
        </w:tc>
        <w:tc>
          <w:tcPr>
            <w:tcW w:w="1147" w:type="dxa"/>
            <w:vAlign w:val="center"/>
          </w:tcPr>
          <w:p>
            <w:pPr>
              <w:numPr>
                <w:ilvl w:val="0"/>
                <w:numId w:val="0"/>
              </w:numPr>
              <w:rPr>
                <w:rFonts w:hint="eastAsia"/>
                <w:lang w:val="en-US" w:eastAsia="zh-CN"/>
              </w:rPr>
            </w:pPr>
            <w:r>
              <w:rPr>
                <w:rFonts w:hint="eastAsia"/>
                <w:lang w:val="en-US" w:eastAsia="zh-CN"/>
              </w:rPr>
              <w:t>￠8</w:t>
            </w:r>
          </w:p>
        </w:tc>
        <w:tc>
          <w:tcPr>
            <w:tcW w:w="1050" w:type="dxa"/>
            <w:vAlign w:val="center"/>
          </w:tcPr>
          <w:p>
            <w:pPr>
              <w:numPr>
                <w:ilvl w:val="0"/>
                <w:numId w:val="0"/>
              </w:numPr>
              <w:rPr>
                <w:rFonts w:hint="default"/>
                <w:lang w:val="en-US" w:eastAsia="zh-CN"/>
              </w:rPr>
            </w:pPr>
            <w:r>
              <w:rPr>
                <w:rFonts w:hint="eastAsia"/>
                <w:lang w:val="en-US" w:eastAsia="zh-CN"/>
              </w:rPr>
              <w:t>70</w:t>
            </w:r>
          </w:p>
        </w:tc>
        <w:tc>
          <w:tcPr>
            <w:tcW w:w="1215" w:type="dxa"/>
            <w:vAlign w:val="center"/>
          </w:tcPr>
          <w:p>
            <w:pPr>
              <w:numPr>
                <w:ilvl w:val="0"/>
                <w:numId w:val="0"/>
              </w:numPr>
              <w:rPr>
                <w:rFonts w:hint="eastAsia"/>
                <w:lang w:val="en-US" w:eastAsia="zh-CN"/>
              </w:rPr>
            </w:pPr>
            <w:r>
              <w:rPr>
                <w:rFonts w:hint="eastAsia"/>
                <w:lang w:val="en-US" w:eastAsia="zh-CN"/>
              </w:rPr>
              <w:t>1</w:t>
            </w:r>
          </w:p>
        </w:tc>
        <w:tc>
          <w:tcPr>
            <w:tcW w:w="1485" w:type="dxa"/>
            <w:vAlign w:val="center"/>
          </w:tcPr>
          <w:p>
            <w:pPr>
              <w:numPr>
                <w:ilvl w:val="0"/>
                <w:numId w:val="0"/>
              </w:numPr>
              <w:rPr>
                <w:rFonts w:hint="default"/>
                <w:lang w:val="en-US" w:eastAsia="zh-CN"/>
              </w:rPr>
            </w:pPr>
            <w:r>
              <w:rPr>
                <w:rFonts w:hint="eastAsia"/>
                <w:lang w:val="en-US" w:eastAsia="zh-CN"/>
              </w:rPr>
              <w:t>138</w:t>
            </w:r>
          </w:p>
        </w:tc>
      </w:tr>
    </w:tbl>
    <w:p>
      <w:pPr>
        <w:numPr>
          <w:ilvl w:val="0"/>
          <w:numId w:val="0"/>
        </w:numPr>
        <w:rPr>
          <w:rFonts w:hint="eastAsia"/>
          <w:lang w:val="en-US" w:eastAsia="zh-CN"/>
        </w:rPr>
      </w:pPr>
    </w:p>
    <w:p>
      <w:pPr>
        <w:numPr>
          <w:ilvl w:val="0"/>
          <w:numId w:val="0"/>
        </w:numPr>
        <w:ind w:firstLine="480" w:firstLineChars="200"/>
        <w:rPr>
          <w:rFonts w:hint="eastAsia"/>
          <w:lang w:val="en-US" w:eastAsia="zh-CN"/>
        </w:rPr>
      </w:pPr>
      <w:r>
        <w:rPr>
          <w:rFonts w:hint="eastAsia"/>
          <w:lang w:val="en-US" w:eastAsia="zh-CN"/>
        </w:rPr>
        <w:t>②小车断绳止动装置的工作原理。</w:t>
      </w:r>
    </w:p>
    <w:p>
      <w:pPr>
        <w:numPr>
          <w:ilvl w:val="0"/>
          <w:numId w:val="0"/>
        </w:numPr>
        <w:ind w:firstLine="480" w:firstLineChars="200"/>
        <w:rPr>
          <w:rFonts w:hint="eastAsia"/>
          <w:lang w:val="en-US" w:eastAsia="zh-CN"/>
        </w:rPr>
      </w:pPr>
      <w:r>
        <w:rPr>
          <w:rFonts w:hint="eastAsia"/>
          <w:lang w:val="en-US" w:eastAsia="zh-CN"/>
        </w:rPr>
        <w:t>如遇小车变幅钢丝绳断绳，此装置即可将行走小车停止在臂架上。安装起重小车钢丝绳时：</w:t>
      </w:r>
    </w:p>
    <w:p>
      <w:pPr>
        <w:numPr>
          <w:ilvl w:val="0"/>
          <w:numId w:val="0"/>
        </w:numPr>
        <w:ind w:firstLine="480" w:firstLineChars="200"/>
        <w:rPr>
          <w:rFonts w:hint="eastAsia"/>
          <w:lang w:val="en-US" w:eastAsia="zh-CN"/>
        </w:rPr>
      </w:pPr>
      <w:r>
        <w:rPr>
          <w:rFonts w:hint="eastAsia"/>
          <w:lang w:val="en-US" w:eastAsia="zh-CN"/>
        </w:rPr>
        <w:t>a.检查断绳止动装置的工作状态。</w:t>
      </w:r>
    </w:p>
    <w:p>
      <w:pPr>
        <w:numPr>
          <w:ilvl w:val="0"/>
          <w:numId w:val="0"/>
        </w:numPr>
        <w:ind w:firstLine="480" w:firstLineChars="200"/>
        <w:rPr>
          <w:rFonts w:hint="eastAsia"/>
          <w:lang w:val="en-US" w:eastAsia="zh-CN"/>
        </w:rPr>
      </w:pPr>
      <w:r>
        <w:rPr>
          <w:rFonts w:hint="eastAsia"/>
          <w:lang w:val="en-US" w:eastAsia="zh-CN"/>
        </w:rPr>
        <w:t xml:space="preserve">b.将钢丝绳穿过断绳止动装置上安全装置中心的圆孔。 </w:t>
      </w:r>
    </w:p>
    <w:p>
      <w:pPr>
        <w:numPr>
          <w:ilvl w:val="0"/>
          <w:numId w:val="0"/>
        </w:numPr>
        <w:ind w:firstLine="480" w:firstLineChars="200"/>
        <w:rPr>
          <w:rFonts w:hint="eastAsia"/>
          <w:lang w:val="en-US" w:eastAsia="zh-CN"/>
        </w:rPr>
      </w:pPr>
      <w:r>
        <w:rPr>
          <w:rFonts w:hint="eastAsia"/>
          <w:lang w:val="en-US" w:eastAsia="zh-CN"/>
        </w:rPr>
        <w:t>在塔机工作过程中，要定期检查钢丝绳张紧情况，以确保正常情况下断绳止动装置处于水平位置。</w:t>
      </w:r>
    </w:p>
    <w:p>
      <w:pPr>
        <w:numPr>
          <w:ilvl w:val="0"/>
          <w:numId w:val="0"/>
        </w:numPr>
        <w:ind w:firstLine="480" w:firstLineChars="200"/>
        <w:rPr>
          <w:rFonts w:hint="eastAsia"/>
          <w:lang w:val="en-US" w:eastAsia="zh-CN"/>
        </w:rPr>
      </w:pPr>
      <w:r>
        <w:rPr>
          <w:rFonts w:hint="eastAsia"/>
          <w:lang w:val="en-US" w:eastAsia="zh-CN"/>
        </w:rPr>
        <w:t>以下分别是钢丝绳张紧时和钢丝绳断绳后断绳止动装置的位置：</w:t>
      </w:r>
    </w:p>
    <w:p>
      <w:pPr>
        <w:numPr>
          <w:ilvl w:val="0"/>
          <w:numId w:val="0"/>
        </w:numPr>
        <w:jc w:val="center"/>
        <w:rPr>
          <w:rFonts w:hint="eastAsia"/>
          <w:lang w:val="en-US" w:eastAsia="zh-CN"/>
        </w:rPr>
      </w:pPr>
      <w:r>
        <w:rPr>
          <w:rFonts w:hint="eastAsia"/>
          <w:lang w:val="en-US" w:eastAsia="zh-CN"/>
        </w:rPr>
        <w:fldChar w:fldCharType="begin"/>
      </w:r>
      <w:r>
        <w:rPr>
          <w:rFonts w:hint="eastAsia"/>
          <w:lang w:val="en-US" w:eastAsia="zh-CN"/>
        </w:rPr>
        <w:instrText xml:space="preserve">INCLUDEPICTURE \d "C:\\Documents and Settings\\Administrator\\Application Data\\Tencent\\Users\\387702944\\QQ\\WinTemp\\RichOle\\{K@WA)[L}$1YTEUXVWAICQE.png" \* MERGEFORMATINET </w:instrText>
      </w:r>
      <w:r>
        <w:rPr>
          <w:rFonts w:hint="eastAsia"/>
          <w:lang w:val="en-US" w:eastAsia="zh-CN"/>
        </w:rPr>
        <w:fldChar w:fldCharType="separate"/>
      </w:r>
      <w:r>
        <w:rPr>
          <w:rFonts w:hint="eastAsia"/>
          <w:lang w:val="en-US" w:eastAsia="zh-CN"/>
        </w:rPr>
        <w:drawing>
          <wp:inline distT="0" distB="0" distL="114300" distR="114300">
            <wp:extent cx="2296160" cy="1086485"/>
            <wp:effectExtent l="0" t="0" r="8890" b="18415"/>
            <wp:docPr id="184"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7" descr="IMG_256"/>
                    <pic:cNvPicPr>
                      <a:picLocks noChangeAspect="1"/>
                    </pic:cNvPicPr>
                  </pic:nvPicPr>
                  <pic:blipFill>
                    <a:blip r:embed="rId62"/>
                    <a:srcRect l="21967" t="37289" r="24361" b="12816"/>
                    <a:stretch>
                      <a:fillRect/>
                    </a:stretch>
                  </pic:blipFill>
                  <pic:spPr>
                    <a:xfrm>
                      <a:off x="0" y="0"/>
                      <a:ext cx="2296160" cy="1086485"/>
                    </a:xfrm>
                    <a:prstGeom prst="rect">
                      <a:avLst/>
                    </a:prstGeom>
                    <a:noFill/>
                    <a:ln w="9525">
                      <a:noFill/>
                    </a:ln>
                  </pic:spPr>
                </pic:pic>
              </a:graphicData>
            </a:graphic>
          </wp:inline>
        </w:drawing>
      </w:r>
      <w:r>
        <w:rPr>
          <w:rFonts w:hint="eastAsia"/>
          <w:lang w:val="en-US" w:eastAsia="zh-CN"/>
        </w:rPr>
        <w:fldChar w:fldCharType="end"/>
      </w:r>
    </w:p>
    <w:p>
      <w:pPr>
        <w:numPr>
          <w:ilvl w:val="0"/>
          <w:numId w:val="0"/>
        </w:numPr>
        <w:ind w:firstLine="480" w:firstLineChars="200"/>
        <w:rPr>
          <w:rFonts w:hint="eastAsia"/>
          <w:lang w:val="en-US" w:eastAsia="zh-CN"/>
        </w:rPr>
      </w:pPr>
      <w:r>
        <w:rPr>
          <w:rFonts w:hint="eastAsia"/>
          <w:lang w:val="en-US" w:eastAsia="zh-CN"/>
        </w:rPr>
        <w:t>③小车防断轴装置的工作原理</w:t>
      </w:r>
    </w:p>
    <w:p>
      <w:pPr>
        <w:numPr>
          <w:ilvl w:val="0"/>
          <w:numId w:val="0"/>
        </w:numPr>
        <w:ind w:firstLine="480" w:firstLineChars="200"/>
        <w:rPr>
          <w:rFonts w:hint="eastAsia"/>
          <w:lang w:val="en-US" w:eastAsia="zh-CN"/>
        </w:rPr>
      </w:pPr>
      <w:r>
        <w:rPr>
          <w:rFonts w:hint="eastAsia"/>
          <w:lang w:val="en-US" w:eastAsia="zh-CN"/>
        </w:rPr>
        <w:t>小车防断轴装置由焊接在小车滚轮旁的四个耳板组成，如遇小车轮轴断裂，此装置可将小车止动在臂加下弦杆上，以防止起重小车附落：</w:t>
      </w:r>
    </w:p>
    <w:p>
      <w:pPr>
        <w:numPr>
          <w:ilvl w:val="0"/>
          <w:numId w:val="0"/>
        </w:numPr>
        <w:jc w:val="center"/>
        <w:rPr>
          <w:rFonts w:hint="eastAsia"/>
          <w:lang w:val="en-US" w:eastAsia="zh-CN"/>
        </w:rPr>
      </w:pPr>
      <w:r>
        <w:rPr>
          <w:rFonts w:hint="eastAsia"/>
          <w:lang w:val="en-US" w:eastAsia="zh-CN"/>
        </w:rPr>
        <w:fldChar w:fldCharType="begin"/>
      </w:r>
      <w:r>
        <w:rPr>
          <w:rFonts w:hint="eastAsia"/>
          <w:lang w:val="en-US" w:eastAsia="zh-CN"/>
        </w:rPr>
        <w:instrText xml:space="preserve">INCLUDEPICTURE \d "C:\\Documents and Settings\\Administrator\\Application Data\\Tencent\\Users\\387702944\\QQ\\WinTemp\\RichOle\\323L7SRQNK9DYU}%K1[SOB1.png" \* MERGEFORMATINET </w:instrText>
      </w:r>
      <w:r>
        <w:rPr>
          <w:rFonts w:hint="eastAsia"/>
          <w:lang w:val="en-US" w:eastAsia="zh-CN"/>
        </w:rPr>
        <w:fldChar w:fldCharType="separate"/>
      </w:r>
      <w:r>
        <w:rPr>
          <w:rFonts w:hint="eastAsia"/>
          <w:lang w:val="en-US" w:eastAsia="zh-CN"/>
        </w:rPr>
        <w:drawing>
          <wp:inline distT="0" distB="0" distL="114300" distR="114300">
            <wp:extent cx="1710055" cy="1181735"/>
            <wp:effectExtent l="0" t="0" r="4445" b="18415"/>
            <wp:docPr id="185"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 descr="IMG_256"/>
                    <pic:cNvPicPr>
                      <a:picLocks noChangeAspect="1"/>
                    </pic:cNvPicPr>
                  </pic:nvPicPr>
                  <pic:blipFill>
                    <a:blip r:embed="rId63"/>
                    <a:srcRect r="-656" b="7866"/>
                    <a:stretch>
                      <a:fillRect/>
                    </a:stretch>
                  </pic:blipFill>
                  <pic:spPr>
                    <a:xfrm>
                      <a:off x="0" y="0"/>
                      <a:ext cx="1710055" cy="1181735"/>
                    </a:xfrm>
                    <a:prstGeom prst="rect">
                      <a:avLst/>
                    </a:prstGeom>
                    <a:noFill/>
                    <a:ln w="9525">
                      <a:noFill/>
                    </a:ln>
                  </pic:spPr>
                </pic:pic>
              </a:graphicData>
            </a:graphic>
          </wp:inline>
        </w:drawing>
      </w:r>
      <w:r>
        <w:rPr>
          <w:rFonts w:hint="eastAsia"/>
          <w:lang w:val="en-US" w:eastAsia="zh-CN"/>
        </w:rPr>
        <w:fldChar w:fldCharType="end"/>
      </w:r>
    </w:p>
    <w:p>
      <w:pPr>
        <w:numPr>
          <w:ilvl w:val="0"/>
          <w:numId w:val="0"/>
        </w:numPr>
        <w:ind w:firstLine="480" w:firstLineChars="200"/>
        <w:rPr>
          <w:rFonts w:hint="eastAsia"/>
          <w:lang w:val="en-US" w:eastAsia="zh-CN"/>
        </w:rPr>
      </w:pPr>
      <w:r>
        <w:rPr>
          <w:rFonts w:hint="eastAsia"/>
          <w:lang w:val="en-US" w:eastAsia="zh-CN"/>
        </w:rPr>
        <w:t>④变幅钢丝绳的穿绕</w:t>
      </w:r>
    </w:p>
    <w:p>
      <w:pPr>
        <w:numPr>
          <w:ilvl w:val="0"/>
          <w:numId w:val="0"/>
        </w:numPr>
        <w:jc w:val="center"/>
        <w:rPr>
          <w:rFonts w:hint="eastAsia"/>
          <w:lang w:val="en-US" w:eastAsia="zh-CN"/>
        </w:rPr>
      </w:pPr>
      <w:r>
        <w:rPr>
          <w:rFonts w:hint="eastAsia"/>
          <w:lang w:val="en-US" w:eastAsia="zh-CN"/>
        </w:rPr>
        <w:drawing>
          <wp:inline distT="0" distB="0" distL="114300" distR="114300">
            <wp:extent cx="4695825" cy="1433195"/>
            <wp:effectExtent l="0" t="0" r="9525" b="14605"/>
            <wp:docPr id="164"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5" descr="IMG_256"/>
                    <pic:cNvPicPr>
                      <a:picLocks noChangeAspect="1"/>
                    </pic:cNvPicPr>
                  </pic:nvPicPr>
                  <pic:blipFill>
                    <a:blip r:embed="rId64"/>
                    <a:stretch>
                      <a:fillRect/>
                    </a:stretch>
                  </pic:blipFill>
                  <pic:spPr>
                    <a:xfrm>
                      <a:off x="0" y="0"/>
                      <a:ext cx="4695825" cy="1433195"/>
                    </a:xfrm>
                    <a:prstGeom prst="rect">
                      <a:avLst/>
                    </a:prstGeom>
                    <a:noFill/>
                    <a:ln w="9525">
                      <a:noFill/>
                    </a:ln>
                  </pic:spPr>
                </pic:pic>
              </a:graphicData>
            </a:graphic>
          </wp:inline>
        </w:drawing>
      </w:r>
    </w:p>
    <w:p>
      <w:pPr>
        <w:numPr>
          <w:ilvl w:val="0"/>
          <w:numId w:val="0"/>
        </w:numPr>
        <w:ind w:firstLine="480" w:firstLineChars="200"/>
        <w:rPr>
          <w:rFonts w:hint="eastAsia"/>
          <w:lang w:val="en-US" w:eastAsia="zh-CN"/>
        </w:rPr>
      </w:pPr>
      <w:r>
        <w:rPr>
          <w:rFonts w:hint="eastAsia"/>
          <w:lang w:val="en-US" w:eastAsia="zh-CN"/>
        </w:rPr>
        <w:t>⑤变幅钢丝绳的张紧</w:t>
      </w:r>
    </w:p>
    <w:p>
      <w:pPr>
        <w:numPr>
          <w:ilvl w:val="0"/>
          <w:numId w:val="0"/>
        </w:numPr>
        <w:ind w:firstLine="480" w:firstLineChars="200"/>
        <w:rPr>
          <w:rFonts w:hint="eastAsia"/>
          <w:lang w:val="en-US" w:eastAsia="zh-CN"/>
        </w:rPr>
      </w:pPr>
      <w:r>
        <w:rPr>
          <w:rFonts w:hint="eastAsia"/>
          <w:lang w:val="en-US" w:eastAsia="zh-CN"/>
        </w:rPr>
        <w:t>a.将安装好并固定在起重臂第一节的起重小车松开，转动小车上带有棘轮的小储绳卷筒，把变幅钢丝绳尽力张紧，见下图：</w:t>
      </w:r>
    </w:p>
    <w:p>
      <w:pPr>
        <w:numPr>
          <w:ilvl w:val="0"/>
          <w:numId w:val="0"/>
        </w:numPr>
        <w:rPr>
          <w:rFonts w:hint="eastAsia"/>
          <w:lang w:val="en-US" w:eastAsia="zh-CN"/>
        </w:rPr>
      </w:pPr>
      <w:r>
        <w:rPr>
          <w:rFonts w:hint="eastAsia"/>
          <w:lang w:val="en-US" w:eastAsia="zh-CN"/>
        </w:rPr>
        <w:fldChar w:fldCharType="begin"/>
      </w:r>
      <w:r>
        <w:rPr>
          <w:rFonts w:hint="eastAsia"/>
          <w:lang w:val="en-US" w:eastAsia="zh-CN"/>
        </w:rPr>
        <w:instrText xml:space="preserve">INCLUDEPICTURE \d "C:\\Documents and Settings\\Administrator\\Application Data\\Tencent\\Users\\387702944\\QQ\\WinTemp\\RichOle\\RNY}(L8TEVQ]UPEAB]``7UR.png" \* MERGEFORMATINET </w:instrText>
      </w:r>
      <w:r>
        <w:rPr>
          <w:rFonts w:hint="eastAsia"/>
          <w:lang w:val="en-US" w:eastAsia="zh-CN"/>
        </w:rPr>
        <w:fldChar w:fldCharType="separate"/>
      </w:r>
      <w:r>
        <w:rPr>
          <w:rFonts w:hint="eastAsia"/>
          <w:lang w:val="en-US" w:eastAsia="zh-CN"/>
        </w:rPr>
        <w:drawing>
          <wp:inline distT="0" distB="0" distL="114300" distR="114300">
            <wp:extent cx="5520690" cy="1156335"/>
            <wp:effectExtent l="0" t="0" r="3810" b="5715"/>
            <wp:docPr id="165"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0" descr="IMG_256"/>
                    <pic:cNvPicPr>
                      <a:picLocks noChangeAspect="1"/>
                    </pic:cNvPicPr>
                  </pic:nvPicPr>
                  <pic:blipFill>
                    <a:blip r:embed="rId65"/>
                    <a:srcRect l="1886" t="33447" r="3870" b="33150"/>
                    <a:stretch>
                      <a:fillRect/>
                    </a:stretch>
                  </pic:blipFill>
                  <pic:spPr>
                    <a:xfrm>
                      <a:off x="0" y="0"/>
                      <a:ext cx="5520690" cy="1156335"/>
                    </a:xfrm>
                    <a:prstGeom prst="rect">
                      <a:avLst/>
                    </a:prstGeom>
                    <a:noFill/>
                    <a:ln w="9525">
                      <a:noFill/>
                    </a:ln>
                  </pic:spPr>
                </pic:pic>
              </a:graphicData>
            </a:graphic>
          </wp:inline>
        </w:drawing>
      </w:r>
      <w:r>
        <w:rPr>
          <w:rFonts w:hint="eastAsia"/>
          <w:lang w:val="en-US" w:eastAsia="zh-CN"/>
        </w:rPr>
        <w:fldChar w:fldCharType="end"/>
      </w:r>
    </w:p>
    <w:p>
      <w:pPr>
        <w:numPr>
          <w:ilvl w:val="0"/>
          <w:numId w:val="0"/>
        </w:numPr>
        <w:ind w:firstLine="480" w:firstLineChars="200"/>
        <w:rPr>
          <w:rFonts w:hint="eastAsia"/>
          <w:lang w:val="en-US" w:eastAsia="zh-CN"/>
        </w:rPr>
      </w:pPr>
      <w:r>
        <w:rPr>
          <w:rFonts w:hint="eastAsia"/>
          <w:lang w:val="en-US" w:eastAsia="zh-CN"/>
        </w:rPr>
        <w:t>b.空载状态下使小车在起重臂全长上来回走数次，将张力均匀分布在前后钢丝绳上。</w:t>
      </w:r>
    </w:p>
    <w:p>
      <w:pPr>
        <w:numPr>
          <w:ilvl w:val="0"/>
          <w:numId w:val="0"/>
        </w:numPr>
        <w:ind w:firstLine="480" w:firstLineChars="200"/>
        <w:rPr>
          <w:rFonts w:hint="eastAsia"/>
          <w:lang w:val="en-US" w:eastAsia="zh-CN"/>
        </w:rPr>
      </w:pPr>
      <w:r>
        <w:rPr>
          <w:rFonts w:hint="eastAsia"/>
          <w:lang w:val="en-US" w:eastAsia="zh-CN"/>
        </w:rPr>
        <w:t>c.必要时继续调整钢丝绳张力。</w:t>
      </w:r>
    </w:p>
    <w:p>
      <w:pPr>
        <w:numPr>
          <w:ilvl w:val="0"/>
          <w:numId w:val="0"/>
        </w:numPr>
        <w:ind w:firstLine="480" w:firstLineChars="200"/>
        <w:rPr>
          <w:rFonts w:hint="eastAsia"/>
          <w:lang w:val="en-US" w:eastAsia="zh-CN"/>
        </w:rPr>
      </w:pPr>
      <w:r>
        <w:rPr>
          <w:rFonts w:hint="eastAsia"/>
          <w:lang w:val="en-US" w:eastAsia="zh-CN"/>
        </w:rPr>
        <w:t>2、起升钢丝绳的穿绕及固定</w:t>
      </w:r>
    </w:p>
    <w:p>
      <w:pPr>
        <w:numPr>
          <w:ilvl w:val="0"/>
          <w:numId w:val="0"/>
        </w:numPr>
        <w:ind w:firstLine="480" w:firstLineChars="200"/>
        <w:rPr>
          <w:rFonts w:hint="eastAsia"/>
          <w:lang w:val="en-US" w:eastAsia="zh-CN"/>
        </w:rPr>
      </w:pPr>
      <w:r>
        <w:rPr>
          <w:rFonts w:hint="eastAsia"/>
          <w:lang w:val="en-US" w:eastAsia="zh-CN"/>
        </w:rPr>
        <w:t>①起升钢丝绳的选择</w:t>
      </w:r>
    </w:p>
    <w:p>
      <w:pPr>
        <w:numPr>
          <w:ilvl w:val="0"/>
          <w:numId w:val="0"/>
        </w:numPr>
        <w:ind w:firstLine="480" w:firstLineChars="200"/>
        <w:rPr>
          <w:rFonts w:hint="eastAsia"/>
          <w:lang w:val="en-US" w:eastAsia="zh-CN"/>
        </w:rPr>
      </w:pPr>
      <w:r>
        <w:rPr>
          <w:rFonts w:hint="eastAsia"/>
          <w:lang w:val="en-US" w:eastAsia="zh-CN"/>
        </w:rPr>
        <w:t>a.根据塔机器的工作高度和使用期限选择钢丝绳的规格和长度。</w:t>
      </w:r>
    </w:p>
    <w:p>
      <w:pPr>
        <w:numPr>
          <w:ilvl w:val="0"/>
          <w:numId w:val="0"/>
        </w:numPr>
        <w:ind w:firstLine="480" w:firstLineChars="200"/>
        <w:rPr>
          <w:rFonts w:hint="eastAsia"/>
          <w:lang w:val="en-US" w:eastAsia="zh-CN"/>
        </w:rPr>
      </w:pPr>
      <w:r>
        <w:rPr>
          <w:rFonts w:hint="eastAsia"/>
          <w:lang w:val="en-US" w:eastAsia="zh-CN"/>
        </w:rPr>
        <w:t>b.该塔机按标准节状态塔机独立高度60.7米、起重臂长为70米时提供钢丝绳，钢丝绳规格见下表：</w:t>
      </w:r>
    </w:p>
    <w:tbl>
      <w:tblPr>
        <w:tblStyle w:val="42"/>
        <w:tblW w:w="9330" w:type="dxa"/>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3420"/>
        <w:gridCol w:w="1560"/>
        <w:gridCol w:w="1155"/>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pPr>
              <w:numPr>
                <w:ilvl w:val="0"/>
                <w:numId w:val="0"/>
              </w:numPr>
              <w:rPr>
                <w:rFonts w:hint="eastAsia"/>
                <w:lang w:val="en-US" w:eastAsia="zh-CN"/>
              </w:rPr>
            </w:pPr>
            <w:r>
              <w:rPr>
                <w:rFonts w:hint="eastAsia"/>
                <w:lang w:val="en-US" w:eastAsia="zh-CN"/>
              </w:rPr>
              <w:t>使用部位</w:t>
            </w:r>
          </w:p>
        </w:tc>
        <w:tc>
          <w:tcPr>
            <w:tcW w:w="3420" w:type="dxa"/>
            <w:vAlign w:val="center"/>
          </w:tcPr>
          <w:p>
            <w:pPr>
              <w:numPr>
                <w:ilvl w:val="0"/>
                <w:numId w:val="0"/>
              </w:numPr>
              <w:rPr>
                <w:rFonts w:hint="eastAsia"/>
                <w:lang w:val="en-US" w:eastAsia="zh-CN"/>
              </w:rPr>
            </w:pPr>
            <w:r>
              <w:rPr>
                <w:rFonts w:hint="eastAsia"/>
                <w:lang w:val="en-US" w:eastAsia="zh-CN"/>
              </w:rPr>
              <w:t>标准号及规格</w:t>
            </w:r>
          </w:p>
        </w:tc>
        <w:tc>
          <w:tcPr>
            <w:tcW w:w="1560" w:type="dxa"/>
            <w:vAlign w:val="center"/>
          </w:tcPr>
          <w:p>
            <w:pPr>
              <w:numPr>
                <w:ilvl w:val="0"/>
                <w:numId w:val="0"/>
              </w:numPr>
              <w:rPr>
                <w:rFonts w:hint="eastAsia"/>
                <w:lang w:val="en-US" w:eastAsia="zh-CN"/>
              </w:rPr>
            </w:pPr>
            <w:r>
              <w:rPr>
                <w:rFonts w:hint="eastAsia"/>
                <w:lang w:val="en-US" w:eastAsia="zh-CN"/>
              </w:rPr>
              <w:t>绳径（mm）</w:t>
            </w:r>
          </w:p>
        </w:tc>
        <w:tc>
          <w:tcPr>
            <w:tcW w:w="1155" w:type="dxa"/>
            <w:vAlign w:val="center"/>
          </w:tcPr>
          <w:p>
            <w:pPr>
              <w:numPr>
                <w:ilvl w:val="0"/>
                <w:numId w:val="0"/>
              </w:numPr>
              <w:rPr>
                <w:rFonts w:hint="eastAsia"/>
                <w:lang w:val="en-US" w:eastAsia="zh-CN"/>
              </w:rPr>
            </w:pPr>
            <w:r>
              <w:rPr>
                <w:rFonts w:hint="eastAsia"/>
                <w:lang w:val="en-US" w:eastAsia="zh-CN"/>
              </w:rPr>
              <w:t>数量</w:t>
            </w:r>
          </w:p>
        </w:tc>
        <w:tc>
          <w:tcPr>
            <w:tcW w:w="1845" w:type="dxa"/>
            <w:vAlign w:val="center"/>
          </w:tcPr>
          <w:p>
            <w:pPr>
              <w:numPr>
                <w:ilvl w:val="0"/>
                <w:numId w:val="0"/>
              </w:numPr>
              <w:rPr>
                <w:rFonts w:hint="eastAsia"/>
                <w:lang w:val="en-US" w:eastAsia="zh-CN"/>
              </w:rPr>
            </w:pPr>
            <w:r>
              <w:rPr>
                <w:rFonts w:hint="eastAsia"/>
                <w:lang w:val="en-US" w:eastAsia="zh-CN"/>
              </w:rPr>
              <w:t>每根长度（m）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center"/>
          </w:tcPr>
          <w:p>
            <w:pPr>
              <w:numPr>
                <w:ilvl w:val="0"/>
                <w:numId w:val="0"/>
              </w:numPr>
              <w:rPr>
                <w:rFonts w:hint="eastAsia"/>
                <w:lang w:val="en-US" w:eastAsia="zh-CN"/>
              </w:rPr>
            </w:pPr>
            <w:r>
              <w:rPr>
                <w:rFonts w:hint="eastAsia"/>
                <w:lang w:val="en-US" w:eastAsia="zh-CN"/>
              </w:rPr>
              <w:t>起升机构</w:t>
            </w:r>
          </w:p>
        </w:tc>
        <w:tc>
          <w:tcPr>
            <w:tcW w:w="3420" w:type="dxa"/>
            <w:vAlign w:val="center"/>
          </w:tcPr>
          <w:p>
            <w:pPr>
              <w:numPr>
                <w:ilvl w:val="0"/>
                <w:numId w:val="0"/>
              </w:numPr>
              <w:rPr>
                <w:rFonts w:hint="eastAsia"/>
                <w:lang w:val="en-US" w:eastAsia="zh-CN"/>
              </w:rPr>
            </w:pPr>
            <w:r>
              <w:rPr>
                <w:rFonts w:hint="eastAsia"/>
                <w:lang w:val="en-US" w:eastAsia="zh-CN"/>
              </w:rPr>
              <w:t>35W×7-14-1960</w:t>
            </w:r>
          </w:p>
          <w:p>
            <w:pPr>
              <w:numPr>
                <w:ilvl w:val="0"/>
                <w:numId w:val="0"/>
              </w:numPr>
              <w:rPr>
                <w:rFonts w:hint="eastAsia"/>
                <w:lang w:val="en-US" w:eastAsia="zh-CN"/>
              </w:rPr>
            </w:pPr>
            <w:r>
              <w:rPr>
                <w:rFonts w:hint="eastAsia"/>
                <w:lang w:val="en-US" w:eastAsia="zh-CN"/>
              </w:rPr>
              <w:t>（GB/T20118-2006）</w:t>
            </w:r>
          </w:p>
        </w:tc>
        <w:tc>
          <w:tcPr>
            <w:tcW w:w="1560" w:type="dxa"/>
            <w:vAlign w:val="center"/>
          </w:tcPr>
          <w:p>
            <w:pPr>
              <w:numPr>
                <w:ilvl w:val="0"/>
                <w:numId w:val="0"/>
              </w:numPr>
              <w:rPr>
                <w:rFonts w:hint="eastAsia"/>
                <w:lang w:val="en-US" w:eastAsia="zh-CN"/>
              </w:rPr>
            </w:pPr>
            <w:r>
              <w:rPr>
                <w:rFonts w:hint="eastAsia"/>
                <w:lang w:val="en-US" w:eastAsia="zh-CN"/>
              </w:rPr>
              <w:t>14</w:t>
            </w:r>
          </w:p>
        </w:tc>
        <w:tc>
          <w:tcPr>
            <w:tcW w:w="1155" w:type="dxa"/>
            <w:vAlign w:val="center"/>
          </w:tcPr>
          <w:p>
            <w:pPr>
              <w:numPr>
                <w:ilvl w:val="0"/>
                <w:numId w:val="0"/>
              </w:numPr>
              <w:rPr>
                <w:rFonts w:hint="eastAsia"/>
                <w:lang w:val="en-US" w:eastAsia="zh-CN"/>
              </w:rPr>
            </w:pPr>
            <w:r>
              <w:rPr>
                <w:rFonts w:hint="eastAsia"/>
                <w:lang w:val="en-US" w:eastAsia="zh-CN"/>
              </w:rPr>
              <w:t>1</w:t>
            </w:r>
          </w:p>
        </w:tc>
        <w:tc>
          <w:tcPr>
            <w:tcW w:w="1845" w:type="dxa"/>
            <w:vAlign w:val="center"/>
          </w:tcPr>
          <w:p>
            <w:pPr>
              <w:numPr>
                <w:ilvl w:val="0"/>
                <w:numId w:val="0"/>
              </w:numPr>
              <w:rPr>
                <w:rFonts w:hint="default"/>
                <w:lang w:val="en-US" w:eastAsia="zh-CN"/>
              </w:rPr>
            </w:pPr>
            <w:r>
              <w:rPr>
                <w:rFonts w:hint="eastAsia"/>
                <w:lang w:val="en-US" w:eastAsia="zh-CN"/>
              </w:rPr>
              <w:t xml:space="preserve"> 360m</w:t>
            </w:r>
          </w:p>
        </w:tc>
      </w:tr>
    </w:tbl>
    <w:p>
      <w:pPr>
        <w:numPr>
          <w:ilvl w:val="0"/>
          <w:numId w:val="0"/>
        </w:numPr>
        <w:ind w:firstLine="480" w:firstLineChars="200"/>
        <w:rPr>
          <w:rFonts w:hint="eastAsia"/>
          <w:lang w:val="en-US" w:eastAsia="zh-CN"/>
        </w:rPr>
      </w:pPr>
      <w:r>
        <w:rPr>
          <w:rFonts w:hint="eastAsia"/>
          <w:lang w:val="en-US" w:eastAsia="zh-CN"/>
        </w:rPr>
        <w:t>②钢丝绳绕到卷筒上的方法</w:t>
      </w:r>
    </w:p>
    <w:p>
      <w:pPr>
        <w:numPr>
          <w:ilvl w:val="0"/>
          <w:numId w:val="0"/>
        </w:numPr>
        <w:ind w:firstLine="480" w:firstLineChars="200"/>
        <w:rPr>
          <w:rFonts w:hint="eastAsia"/>
          <w:lang w:val="en-US" w:eastAsia="zh-CN"/>
        </w:rPr>
      </w:pPr>
      <w:r>
        <w:rPr>
          <w:rFonts w:hint="eastAsia"/>
          <w:lang w:val="en-US" w:eastAsia="zh-CN"/>
        </w:rPr>
        <w:t>a.此操作可在地面或待平衡臂安装好后进行。</w:t>
      </w:r>
    </w:p>
    <w:p>
      <w:pPr>
        <w:numPr>
          <w:ilvl w:val="0"/>
          <w:numId w:val="0"/>
        </w:numPr>
        <w:ind w:firstLine="480" w:firstLineChars="200"/>
        <w:rPr>
          <w:rFonts w:hint="eastAsia"/>
          <w:lang w:val="en-US" w:eastAsia="zh-CN"/>
        </w:rPr>
      </w:pPr>
      <w:r>
        <w:rPr>
          <w:rFonts w:hint="eastAsia"/>
          <w:lang w:val="en-US" w:eastAsia="zh-CN"/>
        </w:rPr>
        <w:t>b.连接好起升机构电气设备，用一根牵引绳将钢丝绳尾端提起，引到起升卷筒，用钢丝绳锲块将其固定在卷筒上的钢丝绳锲套上。</w:t>
      </w:r>
    </w:p>
    <w:p>
      <w:pPr>
        <w:numPr>
          <w:ilvl w:val="0"/>
          <w:numId w:val="0"/>
        </w:numPr>
        <w:jc w:val="center"/>
        <w:rPr>
          <w:rFonts w:hint="eastAsia"/>
          <w:lang w:val="en-US" w:eastAsia="zh-CN"/>
        </w:rPr>
      </w:pPr>
      <w:r>
        <w:rPr>
          <w:rFonts w:hint="eastAsia"/>
          <w:lang w:val="en-US" w:eastAsia="zh-CN"/>
        </w:rPr>
        <w:drawing>
          <wp:inline distT="0" distB="0" distL="114300" distR="114300">
            <wp:extent cx="1390650" cy="581025"/>
            <wp:effectExtent l="0" t="0" r="0" b="9525"/>
            <wp:docPr id="166"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8" descr="IMG_256"/>
                    <pic:cNvPicPr>
                      <a:picLocks noChangeAspect="1"/>
                    </pic:cNvPicPr>
                  </pic:nvPicPr>
                  <pic:blipFill>
                    <a:blip r:embed="rId66"/>
                    <a:srcRect l="15524" t="10073" r="14952" b="56410"/>
                    <a:stretch>
                      <a:fillRect/>
                    </a:stretch>
                  </pic:blipFill>
                  <pic:spPr>
                    <a:xfrm>
                      <a:off x="0" y="0"/>
                      <a:ext cx="1390650" cy="581025"/>
                    </a:xfrm>
                    <a:prstGeom prst="rect">
                      <a:avLst/>
                    </a:prstGeom>
                    <a:noFill/>
                    <a:ln w="9525">
                      <a:noFill/>
                    </a:ln>
                  </pic:spPr>
                </pic:pic>
              </a:graphicData>
            </a:graphic>
          </wp:inline>
        </w:drawing>
      </w:r>
    </w:p>
    <w:p>
      <w:pPr>
        <w:numPr>
          <w:ilvl w:val="0"/>
          <w:numId w:val="0"/>
        </w:numPr>
        <w:ind w:firstLine="480" w:firstLineChars="200"/>
        <w:rPr>
          <w:rFonts w:hint="eastAsia"/>
          <w:lang w:val="en-US" w:eastAsia="zh-CN"/>
        </w:rPr>
      </w:pPr>
      <w:r>
        <w:rPr>
          <w:rFonts w:hint="eastAsia"/>
          <w:lang w:val="en-US" w:eastAsia="zh-CN"/>
        </w:rPr>
        <w:t>c.确定起升机构电气联接正常后操纵低速起各项运动，确保钢丝绳完全缠绕在卷筒绳槽内，然后逐层均匀整齐缠绕在卷筒内，如有乱绳必须重绕。</w:t>
      </w:r>
    </w:p>
    <w:p>
      <w:pPr>
        <w:numPr>
          <w:ilvl w:val="0"/>
          <w:numId w:val="0"/>
        </w:numPr>
        <w:ind w:firstLine="480" w:firstLineChars="200"/>
        <w:rPr>
          <w:rFonts w:hint="eastAsia"/>
          <w:lang w:val="en-US" w:eastAsia="zh-CN"/>
        </w:rPr>
      </w:pPr>
      <w:r>
        <w:rPr>
          <w:rFonts w:hint="eastAsia"/>
          <w:lang w:val="en-US" w:eastAsia="zh-CN"/>
        </w:rPr>
        <w:t>d.若拆塔时发现钢丝绳破损或钢丝绳长度不符合新的工作高度时应将卷筒钢丝绳拆除并重新安装。</w:t>
      </w:r>
    </w:p>
    <w:p>
      <w:pPr>
        <w:numPr>
          <w:ilvl w:val="0"/>
          <w:numId w:val="0"/>
        </w:numPr>
        <w:ind w:firstLine="480" w:firstLineChars="200"/>
        <w:rPr>
          <w:rFonts w:hint="eastAsia"/>
          <w:lang w:val="en-US" w:eastAsia="zh-CN"/>
        </w:rPr>
      </w:pPr>
      <w:r>
        <w:rPr>
          <w:rFonts w:hint="eastAsia"/>
          <w:lang w:val="en-US" w:eastAsia="zh-CN"/>
        </w:rPr>
        <w:t>e.将钢丝绳绕在起升卷筒上时，要求绕新绳的绳筒和起升卷筒之间保持最大距离，以方便钢丝绳能够正确的进入起升卷筒绳槽内。</w:t>
      </w:r>
    </w:p>
    <w:p>
      <w:pPr>
        <w:numPr>
          <w:ilvl w:val="0"/>
          <w:numId w:val="0"/>
        </w:numPr>
        <w:jc w:val="center"/>
        <w:rPr>
          <w:rFonts w:hint="eastAsia"/>
          <w:lang w:val="en-US" w:eastAsia="zh-CN"/>
        </w:rPr>
      </w:pPr>
      <w:r>
        <w:rPr>
          <w:rFonts w:hint="eastAsia"/>
          <w:lang w:val="en-US" w:eastAsia="zh-CN"/>
        </w:rPr>
        <w:drawing>
          <wp:inline distT="0" distB="0" distL="114300" distR="114300">
            <wp:extent cx="2077085" cy="1536700"/>
            <wp:effectExtent l="0" t="0" r="18415" b="6350"/>
            <wp:docPr id="167"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9" descr="IMG_256"/>
                    <pic:cNvPicPr>
                      <a:picLocks noChangeAspect="1"/>
                    </pic:cNvPicPr>
                  </pic:nvPicPr>
                  <pic:blipFill>
                    <a:blip r:embed="rId67"/>
                    <a:stretch>
                      <a:fillRect/>
                    </a:stretch>
                  </pic:blipFill>
                  <pic:spPr>
                    <a:xfrm>
                      <a:off x="0" y="0"/>
                      <a:ext cx="2077085" cy="1536700"/>
                    </a:xfrm>
                    <a:prstGeom prst="rect">
                      <a:avLst/>
                    </a:prstGeom>
                    <a:noFill/>
                    <a:ln w="9525">
                      <a:noFill/>
                    </a:ln>
                  </pic:spPr>
                </pic:pic>
              </a:graphicData>
            </a:graphic>
          </wp:inline>
        </w:drawing>
      </w:r>
    </w:p>
    <w:p>
      <w:pPr>
        <w:numPr>
          <w:ilvl w:val="0"/>
          <w:numId w:val="0"/>
        </w:numPr>
        <w:ind w:firstLine="480" w:firstLineChars="200"/>
        <w:rPr>
          <w:rFonts w:hint="eastAsia"/>
          <w:lang w:val="en-US" w:eastAsia="zh-CN"/>
        </w:rPr>
      </w:pPr>
      <w:r>
        <w:rPr>
          <w:rFonts w:hint="eastAsia"/>
          <w:lang w:val="en-US" w:eastAsia="zh-CN"/>
        </w:rPr>
        <w:t>③按下图进行起升钢丝绳的穿绕</w:t>
      </w:r>
    </w:p>
    <w:p>
      <w:pPr>
        <w:pStyle w:val="5"/>
        <w:numPr>
          <w:ilvl w:val="2"/>
          <w:numId w:val="0"/>
        </w:numPr>
        <w:bidi w:val="0"/>
        <w:ind w:leftChars="0"/>
        <w:jc w:val="center"/>
        <w:rPr>
          <w:rFonts w:hint="eastAsia"/>
          <w:lang w:val="en-US" w:eastAsia="zh-CN"/>
        </w:rPr>
      </w:pPr>
      <w:r>
        <w:rPr>
          <w:rFonts w:hint="eastAsia"/>
          <w:lang w:val="en-US" w:eastAsia="zh-CN"/>
        </w:rPr>
        <w:drawing>
          <wp:inline distT="0" distB="0" distL="114300" distR="114300">
            <wp:extent cx="3857625" cy="1901825"/>
            <wp:effectExtent l="0" t="0" r="9525" b="3175"/>
            <wp:docPr id="168"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40" descr="IMG_256"/>
                    <pic:cNvPicPr>
                      <a:picLocks noChangeAspect="1"/>
                    </pic:cNvPicPr>
                  </pic:nvPicPr>
                  <pic:blipFill>
                    <a:blip r:embed="rId68"/>
                    <a:stretch>
                      <a:fillRect/>
                    </a:stretch>
                  </pic:blipFill>
                  <pic:spPr>
                    <a:xfrm>
                      <a:off x="0" y="0"/>
                      <a:ext cx="3857625" cy="1901825"/>
                    </a:xfrm>
                    <a:prstGeom prst="rect">
                      <a:avLst/>
                    </a:prstGeom>
                    <a:noFill/>
                    <a:ln w="9525">
                      <a:noFill/>
                    </a:ln>
                  </pic:spPr>
                </pic:pic>
              </a:graphicData>
            </a:graphic>
          </wp:inline>
        </w:drawing>
      </w:r>
    </w:p>
    <w:p>
      <w:pPr>
        <w:pStyle w:val="5"/>
        <w:bidi w:val="0"/>
        <w:ind w:left="0" w:leftChars="0" w:firstLine="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电气安装</w:t>
      </w:r>
    </w:p>
    <w:p>
      <w:pPr>
        <w:numPr>
          <w:ilvl w:val="0"/>
          <w:numId w:val="16"/>
        </w:numPr>
        <w:ind w:firstLine="600" w:firstLineChars="250"/>
        <w:rPr>
          <w:rFonts w:hint="eastAsia" w:ascii="宋体" w:hAnsi="宋体"/>
          <w:szCs w:val="21"/>
        </w:rPr>
      </w:pPr>
      <w:r>
        <w:rPr>
          <w:rFonts w:hint="eastAsia" w:ascii="宋体" w:hAnsi="宋体"/>
          <w:szCs w:val="21"/>
        </w:rPr>
        <w:t>起重机电源主电缆线截面</w:t>
      </w:r>
      <w:r>
        <w:rPr>
          <w:rFonts w:hint="eastAsia" w:ascii="宋体" w:hAnsi="宋体"/>
          <w:szCs w:val="21"/>
          <w:lang w:eastAsia="zh-CN"/>
        </w:rPr>
        <w:t>按说明书要求配置</w:t>
      </w:r>
      <w:r>
        <w:rPr>
          <w:rFonts w:hint="eastAsia" w:ascii="宋体" w:hAnsi="宋体"/>
          <w:szCs w:val="21"/>
        </w:rPr>
        <w:t>；</w:t>
      </w:r>
    </w:p>
    <w:p>
      <w:pPr>
        <w:numPr>
          <w:ilvl w:val="0"/>
          <w:numId w:val="16"/>
        </w:numPr>
        <w:ind w:firstLine="600" w:firstLineChars="250"/>
        <w:rPr>
          <w:rFonts w:hint="eastAsia" w:ascii="宋体" w:hAnsi="宋体"/>
          <w:szCs w:val="21"/>
        </w:rPr>
      </w:pPr>
      <w:r>
        <w:rPr>
          <w:rFonts w:hint="eastAsia" w:ascii="宋体" w:hAnsi="宋体"/>
          <w:szCs w:val="21"/>
        </w:rPr>
        <w:t xml:space="preserve">电气安装应在塔机安装完毕后(塔机处于安装高度时)进行，参看原理图、外部接线图及控制接线图。联接控制与动力电缆、制动器电缆、安全装置、接地装置、障碍灯、探照灯、风速仪等的线路； </w:t>
      </w:r>
    </w:p>
    <w:p>
      <w:pPr>
        <w:numPr>
          <w:ilvl w:val="0"/>
          <w:numId w:val="16"/>
        </w:numPr>
        <w:ind w:firstLine="600" w:firstLineChars="250"/>
        <w:rPr>
          <w:rFonts w:hint="eastAsia" w:ascii="宋体" w:hAnsi="宋体"/>
          <w:szCs w:val="21"/>
        </w:rPr>
      </w:pPr>
      <w:r>
        <w:rPr>
          <w:rFonts w:hint="eastAsia" w:ascii="宋体" w:hAnsi="宋体"/>
          <w:szCs w:val="21"/>
        </w:rPr>
        <w:t>送电之前对电气系统进行检查，符合要求后方可通电；</w:t>
      </w:r>
    </w:p>
    <w:p>
      <w:pPr>
        <w:rPr>
          <w:rFonts w:hint="eastAsia" w:ascii="宋体" w:hAnsi="宋体"/>
          <w:szCs w:val="21"/>
        </w:rPr>
      </w:pPr>
      <w:r>
        <w:rPr>
          <w:rFonts w:hint="eastAsia" w:ascii="宋体" w:hAnsi="宋体"/>
          <w:szCs w:val="21"/>
        </w:rPr>
        <w:t>所有线路联接必须正确无误，该固定的电线电缆应有可靠的固定，防止塔机在运行时损伤电缆；</w:t>
      </w:r>
    </w:p>
    <w:p>
      <w:pPr>
        <w:rPr>
          <w:rFonts w:hint="eastAsia" w:ascii="宋体" w:hAnsi="宋体"/>
          <w:szCs w:val="21"/>
        </w:rPr>
      </w:pPr>
      <w:r>
        <w:rPr>
          <w:rFonts w:hint="eastAsia" w:ascii="宋体" w:hAnsi="宋体"/>
          <w:szCs w:val="21"/>
          <w:lang w:val="en-US" w:eastAsia="zh-CN"/>
        </w:rPr>
        <w:t>4、</w:t>
      </w:r>
      <w:r>
        <w:rPr>
          <w:rFonts w:hint="eastAsia" w:ascii="宋体" w:hAnsi="宋体"/>
          <w:szCs w:val="21"/>
        </w:rPr>
        <w:t>在通电之前应对电气进行绝缘检查，电路对地绝缘电阻不应小于0.5MΩ，塔身对地的接地电阻应不大于4Ω，重复接地电阻应不大于10Ω；</w:t>
      </w:r>
    </w:p>
    <w:p>
      <w:pPr>
        <w:rPr>
          <w:rFonts w:hint="eastAsia" w:ascii="宋体" w:hAnsi="宋体"/>
          <w:szCs w:val="21"/>
        </w:rPr>
      </w:pPr>
      <w:r>
        <w:rPr>
          <w:rFonts w:hint="eastAsia" w:ascii="宋体" w:hAnsi="宋体"/>
          <w:szCs w:val="21"/>
        </w:rPr>
        <w:t xml:space="preserve">塔机接地时要求：a 接地杆插入地面以下长度不得小于1.5米，不要与建筑物基础的金属加固件连接；b 与基础节连接的绝缘铜电缆截面不得小于16mm2，且必须把与塔机基础节连接处的涂料清理干净；c 不得安装保险丝或开关；d接地装置应由专门人员安装；e检测接地电阻时要用高效精密仪器，且需定期检查接地线和电阻；  </w:t>
      </w:r>
    </w:p>
    <w:p>
      <w:pPr>
        <w:numPr>
          <w:ilvl w:val="0"/>
          <w:numId w:val="0"/>
        </w:numPr>
        <w:ind w:left="0" w:leftChars="0" w:firstLine="600" w:firstLineChars="250"/>
        <w:rPr>
          <w:rFonts w:hint="eastAsia" w:ascii="宋体" w:hAnsi="宋体"/>
          <w:szCs w:val="21"/>
        </w:rPr>
      </w:pPr>
      <w:r>
        <w:rPr>
          <w:rFonts w:hint="eastAsia" w:ascii="宋体" w:hAnsi="宋体" w:cstheme="minorBidi"/>
          <w:kern w:val="2"/>
          <w:sz w:val="24"/>
          <w:szCs w:val="21"/>
          <w:lang w:val="en-US" w:eastAsia="zh-CN" w:bidi="ar-SA"/>
        </w:rPr>
        <w:t>5</w:t>
      </w:r>
      <w:r>
        <w:rPr>
          <w:rFonts w:hint="eastAsia" w:ascii="宋体" w:hAnsi="宋体" w:eastAsia="宋体" w:cstheme="minorBidi"/>
          <w:kern w:val="2"/>
          <w:sz w:val="24"/>
          <w:szCs w:val="21"/>
          <w:lang w:val="en-US" w:eastAsia="zh-CN" w:bidi="ar-SA"/>
        </w:rPr>
        <w:t>、</w:t>
      </w:r>
      <w:r>
        <w:rPr>
          <w:rFonts w:hint="eastAsia" w:ascii="宋体" w:hAnsi="宋体"/>
          <w:szCs w:val="21"/>
        </w:rPr>
        <w:t>主电缆（地面加司机室电缆）在进入司机室前应穿入电缆保护圈后再进入司机室，并留适当长度，保证塔机在左右一圈半的旋转时不致损坏电缆，且保证爬升时不损伤电缆；</w:t>
      </w:r>
    </w:p>
    <w:p>
      <w:pPr>
        <w:numPr>
          <w:ilvl w:val="0"/>
          <w:numId w:val="0"/>
        </w:numPr>
        <w:ind w:left="0" w:leftChars="0" w:firstLine="600" w:firstLineChars="250"/>
        <w:rPr>
          <w:rFonts w:hint="eastAsia" w:ascii="宋体" w:hAnsi="宋体"/>
          <w:szCs w:val="21"/>
        </w:rPr>
      </w:pPr>
      <w:r>
        <w:rPr>
          <w:rFonts w:hint="eastAsia" w:cstheme="minorBidi"/>
          <w:kern w:val="2"/>
          <w:sz w:val="24"/>
          <w:szCs w:val="21"/>
          <w:lang w:val="en-US" w:eastAsia="zh-CN" w:bidi="ar-SA"/>
        </w:rPr>
        <w:t>6、</w:t>
      </w:r>
      <w:r>
        <w:rPr>
          <w:rFonts w:hint="eastAsia" w:ascii="宋体" w:hAnsi="宋体"/>
          <w:szCs w:val="21"/>
        </w:rPr>
        <w:t>将司机室所有操作机构放置在安全位置，主开关放在断电位置，最后联接好地面电源电缆。</w:t>
      </w:r>
    </w:p>
    <w:p>
      <w:pPr>
        <w:pStyle w:val="5"/>
        <w:bidi w:val="0"/>
        <w:rPr>
          <w:rFonts w:hint="eastAsia"/>
        </w:rPr>
      </w:pPr>
      <w:r>
        <w:rPr>
          <w:rFonts w:hint="eastAsia"/>
        </w:rPr>
        <w:t>通电调试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1、</w:t>
      </w:r>
      <w:r>
        <w:rPr>
          <w:rFonts w:hint="eastAsia" w:ascii="宋体" w:hAnsi="宋体"/>
          <w:szCs w:val="21"/>
        </w:rPr>
        <w:t>将地面电源开关合上，送电到司机室，检查三相电源应三相平衡，且电压应为380V±10%（地面电网应能提供足够的容量，以保证电机正常启动和运转）。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2、</w:t>
      </w:r>
      <w:r>
        <w:rPr>
          <w:rFonts w:hint="eastAsia" w:ascii="宋体" w:hAnsi="宋体"/>
          <w:szCs w:val="21"/>
        </w:rPr>
        <w:t>塔机供电容量为97.5kw，电缆线规格为YC 3×50mm2+2×16mm2。</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3、</w:t>
      </w:r>
      <w:r>
        <w:rPr>
          <w:rFonts w:hint="eastAsia" w:ascii="宋体" w:hAnsi="宋体"/>
          <w:szCs w:val="21"/>
        </w:rPr>
        <w:t>起升机构的调试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先操作起升手柄，观察起升运转情况，当变幅手柄向内拉时，吊钩应向上运动，向外推时，吊钩应向下运动，否则应调整接至起升电机的电源的相序，以符合以上要求。</w:t>
      </w:r>
    </w:p>
    <w:p>
      <w:pPr>
        <w:numPr>
          <w:ilvl w:val="0"/>
          <w:numId w:val="0"/>
        </w:numPr>
        <w:jc w:val="both"/>
      </w:pPr>
      <w:r>
        <w:rPr>
          <w:rFonts w:hint="eastAsia" w:ascii="宋体" w:hAnsi="宋体"/>
          <w:szCs w:val="21"/>
          <w:lang w:val="en-US" w:eastAsia="zh-CN"/>
        </w:rPr>
        <w:t xml:space="preserve">    4、</w:t>
      </w:r>
      <w:r>
        <w:rPr>
          <w:rFonts w:hint="eastAsia" w:ascii="宋体" w:hAnsi="宋体"/>
          <w:szCs w:val="21"/>
        </w:rPr>
        <w:t>起升调试完毕后，分别操作回转和变幅手柄，回转手柄向内拉时小车向内走，手柄向外推时，小车应向外走，否则应调整接至各电机电源线的相序，以符合以上要求。</w:t>
      </w:r>
    </w:p>
    <w:p>
      <w:pPr>
        <w:pStyle w:val="5"/>
        <w:bidi w:val="0"/>
        <w:ind w:left="0" w:leftChars="0" w:firstLine="0" w:firstLineChars="0"/>
        <w:rPr>
          <w:rFonts w:hint="eastAsia"/>
          <w:sz w:val="24"/>
          <w:szCs w:val="24"/>
          <w:lang w:val="en-US" w:eastAsia="zh-CN"/>
        </w:rPr>
      </w:pPr>
      <w:r>
        <w:rPr>
          <w:rFonts w:hint="eastAsia" w:ascii="宋体" w:hAnsi="宋体"/>
          <w:szCs w:val="21"/>
        </w:rPr>
        <w:t>安全保护装置及调试</w:t>
      </w:r>
    </w:p>
    <w:p>
      <w:pPr>
        <w:bidi w:val="0"/>
      </w:pPr>
      <w:r>
        <w:rPr>
          <w:rFonts w:hint="eastAsia"/>
          <w:lang w:val="en-US" w:eastAsia="zh-CN"/>
        </w:rPr>
        <w:t>1、</w:t>
      </w:r>
      <w:r>
        <w:rPr>
          <w:rFonts w:hint="eastAsia"/>
        </w:rPr>
        <w:t>起升高度限位器</w:t>
      </w:r>
    </w:p>
    <w:p>
      <w:pPr>
        <w:ind w:firstLine="480"/>
        <w:rPr>
          <w:rFonts w:cs="Times New Roman"/>
        </w:rPr>
      </w:pPr>
      <w:r>
        <w:rPr>
          <w:rFonts w:hint="eastAsia" w:cs="Times New Roman"/>
        </w:rPr>
        <w:t>起升高度限位器是通过装在起升卷筒轴一端的减速机构和限位开关来实现的。起升机构运行时，轴端减速机构随着转动，当吊钩超过设定的起升高度时，限位开关被触发，切断起升机构电机的电源并制动，向上不能提升。</w:t>
      </w:r>
    </w:p>
    <w:p>
      <w:pPr>
        <w:bidi w:val="0"/>
      </w:pPr>
      <w:r>
        <w:rPr>
          <w:rFonts w:hint="eastAsia"/>
          <w:lang w:val="en-US" w:eastAsia="zh-CN"/>
        </w:rPr>
        <w:t>2、</w:t>
      </w:r>
      <w:r>
        <w:rPr>
          <w:rFonts w:hint="eastAsia"/>
        </w:rPr>
        <w:t>回转限位器</w:t>
      </w:r>
    </w:p>
    <w:p>
      <w:pPr>
        <w:ind w:firstLine="480"/>
        <w:rPr>
          <w:rFonts w:cs="Times New Roman"/>
        </w:rPr>
      </w:pPr>
      <w:r>
        <w:rPr>
          <w:rFonts w:hint="eastAsia" w:cs="Times New Roman"/>
        </w:rPr>
        <w:t>回转限位器是通过装在回转上支座前方并与回转支承外齿圈相啮合的一套机构和限位开关来实现的。塔机回转时，回转限位机构随之转动，当塔机起重臂向左（或向右）回转超过540°时，限位开关被触发，从而切断回转电机电源，使之不能再向左（或向右）回转，只能向右（或向左）回转。</w:t>
      </w:r>
    </w:p>
    <w:p>
      <w:pPr>
        <w:bidi w:val="0"/>
      </w:pPr>
      <w:r>
        <w:rPr>
          <w:rFonts w:hint="eastAsia"/>
          <w:lang w:val="en-US" w:eastAsia="zh-CN"/>
        </w:rPr>
        <w:t>3、</w:t>
      </w:r>
      <w:r>
        <w:rPr>
          <w:rFonts w:hint="eastAsia"/>
        </w:rPr>
        <w:t>变幅限位器</w:t>
      </w:r>
    </w:p>
    <w:p>
      <w:pPr>
        <w:ind w:firstLine="480"/>
        <w:rPr>
          <w:rFonts w:cs="Times New Roman"/>
        </w:rPr>
      </w:pPr>
      <w:r>
        <w:rPr>
          <w:rFonts w:hint="eastAsia" w:cs="Times New Roman"/>
        </w:rPr>
        <w:t>变幅限位器是通过装在变幅卷筒轴一端的减速装置和限位开关来实现的。当小车在变幅运行中将超过最大幅度</w:t>
      </w:r>
      <w:r>
        <w:rPr>
          <w:rFonts w:hint="eastAsia" w:cs="Times New Roman"/>
          <w:lang w:val="en-US" w:eastAsia="zh-CN"/>
        </w:rPr>
        <w:t>6</w:t>
      </w:r>
      <w:r>
        <w:rPr>
          <w:rFonts w:hint="eastAsia" w:cs="Times New Roman"/>
        </w:rPr>
        <w:t>0m或超出最小幅度</w:t>
      </w:r>
      <w:r>
        <w:rPr>
          <w:rFonts w:hint="eastAsia" w:cs="Times New Roman"/>
          <w:lang w:val="en-US" w:eastAsia="zh-CN"/>
        </w:rPr>
        <w:t>2.5</w:t>
      </w:r>
      <w:r>
        <w:rPr>
          <w:rFonts w:hint="eastAsia" w:cs="Times New Roman"/>
        </w:rPr>
        <w:t>m时，限位开关分别被触发，切断变幅电机电源，使小车不能再向外（或向内）运行，只能向内（或向外）变幅。</w:t>
      </w:r>
    </w:p>
    <w:p>
      <w:pPr>
        <w:bidi w:val="0"/>
      </w:pPr>
      <w:r>
        <w:rPr>
          <w:rFonts w:hint="eastAsia"/>
          <w:lang w:val="en-US" w:eastAsia="zh-CN"/>
        </w:rPr>
        <w:t>4、</w:t>
      </w:r>
      <w:r>
        <w:rPr>
          <w:rFonts w:hint="eastAsia"/>
        </w:rPr>
        <w:t>起重量限位器</w:t>
      </w:r>
    </w:p>
    <w:p>
      <w:pPr>
        <w:ind w:firstLine="480"/>
        <w:rPr>
          <w:rFonts w:cs="Times New Roman"/>
        </w:rPr>
      </w:pPr>
      <w:r>
        <w:rPr>
          <w:rFonts w:hint="eastAsia" w:cs="Times New Roman"/>
          <w:lang w:val="en-US" w:eastAsia="zh-CN"/>
        </w:rPr>
        <w:t>①</w:t>
      </w:r>
      <w:r>
        <w:rPr>
          <w:rFonts w:hint="eastAsia" w:cs="Times New Roman"/>
        </w:rPr>
        <w:t>当起重量达50%额定值时，限制起升高速上升，自动转换为中速提升运行，下降则容许以任意档速度运行。</w:t>
      </w:r>
    </w:p>
    <w:p>
      <w:pPr>
        <w:ind w:firstLine="480"/>
        <w:rPr>
          <w:rFonts w:cs="Times New Roman"/>
        </w:rPr>
      </w:pPr>
      <w:r>
        <w:rPr>
          <w:rFonts w:hint="eastAsia" w:cs="Times New Roman"/>
          <w:lang w:val="en-US" w:eastAsia="zh-CN"/>
        </w:rPr>
        <w:t>②</w:t>
      </w:r>
      <w:r>
        <w:rPr>
          <w:rFonts w:hint="eastAsia" w:cs="Times New Roman"/>
        </w:rPr>
        <w:t>当起重量达90%额定值时，司机室联动台上闪光蜂鸣器发讯。</w:t>
      </w:r>
    </w:p>
    <w:p>
      <w:pPr>
        <w:ind w:firstLine="480"/>
        <w:rPr>
          <w:rFonts w:cs="Times New Roman"/>
        </w:rPr>
      </w:pPr>
      <w:r>
        <w:rPr>
          <w:rFonts w:hint="eastAsia" w:cs="Times New Roman"/>
          <w:lang w:val="en-US" w:eastAsia="zh-CN"/>
        </w:rPr>
        <w:t>③</w:t>
      </w:r>
      <w:r>
        <w:rPr>
          <w:rFonts w:hint="eastAsia" w:cs="Times New Roman"/>
        </w:rPr>
        <w:t>当起重量达100%额定值时，限制提升运行，容许下降运行，变幅小车停止向外运行。司机室联动台上起重红色信号灯亮。</w:t>
      </w:r>
    </w:p>
    <w:p>
      <w:pPr>
        <w:bidi w:val="0"/>
      </w:pPr>
      <w:r>
        <w:rPr>
          <w:rFonts w:hint="eastAsia"/>
          <w:lang w:eastAsia="zh-CN"/>
        </w:rPr>
        <w:t>（</w:t>
      </w:r>
      <w:r>
        <w:rPr>
          <w:rFonts w:hint="eastAsia"/>
          <w:lang w:val="en-US" w:eastAsia="zh-CN"/>
        </w:rPr>
        <w:t>5</w:t>
      </w:r>
      <w:r>
        <w:rPr>
          <w:rFonts w:hint="eastAsia"/>
          <w:lang w:eastAsia="zh-CN"/>
        </w:rPr>
        <w:t>）</w:t>
      </w:r>
      <w:r>
        <w:rPr>
          <w:rFonts w:hint="eastAsia"/>
        </w:rPr>
        <w:t>起重力矩限位器</w:t>
      </w:r>
    </w:p>
    <w:p>
      <w:pPr>
        <w:bidi w:val="0"/>
        <w:rPr>
          <w:rFonts w:hint="eastAsia"/>
        </w:rPr>
      </w:pPr>
      <w:r>
        <w:rPr>
          <w:rFonts w:hint="eastAsia"/>
          <w:lang w:val="en-US" w:eastAsia="zh-CN"/>
        </w:rPr>
        <w:t>在塔机的塔顶（或回转塔身）后侧主弦杆上装有起重力矩限位器。起重力矩限位器由变形装置和两个行程开关组成。当力矩达到额定力矩的90%时，其中一个行程开关被触发，发出音响警告，提示司机注意，同时限制小车高速档位向外，自动转换为低速向外运行，当达到额定力矩的100%时，另一个行程开关被触发，切断起升电机和变幅电机电源。吊钩不能起升，小车不能向外变幅，只能下降和向内变幅。</w:t>
      </w:r>
    </w:p>
    <w:p>
      <w:pPr>
        <w:pStyle w:val="4"/>
      </w:pPr>
      <w:bookmarkStart w:id="47" w:name="_Toc1319"/>
      <w:r>
        <w:rPr>
          <w:rFonts w:hint="eastAsia"/>
        </w:rPr>
        <w:t>顶升加节</w:t>
      </w:r>
      <w:bookmarkEnd w:id="47"/>
    </w:p>
    <w:p>
      <w:pPr>
        <w:pStyle w:val="5"/>
        <w:bidi w:val="0"/>
        <w:ind w:left="0" w:leftChars="0" w:firstLine="0" w:firstLineChars="0"/>
        <w:rPr>
          <w:rFonts w:hint="eastAsia"/>
          <w:sz w:val="24"/>
          <w:szCs w:val="24"/>
          <w:lang w:val="en-US" w:eastAsia="zh-CN"/>
        </w:rPr>
      </w:pPr>
      <w:r>
        <w:rPr>
          <w:rFonts w:hint="eastAsia"/>
          <w:sz w:val="24"/>
          <w:szCs w:val="24"/>
          <w:lang w:val="en-US" w:eastAsia="zh-CN"/>
        </w:rPr>
        <w:t>顶升前的准备工作</w:t>
      </w:r>
    </w:p>
    <w:p>
      <w:pPr>
        <w:bidi w:val="0"/>
        <w:rPr>
          <w:rFonts w:hint="eastAsia" w:ascii="宋体" w:hAnsi="宋体"/>
          <w:szCs w:val="21"/>
        </w:rPr>
      </w:pPr>
      <w:r>
        <w:rPr>
          <w:rFonts w:hint="eastAsia"/>
          <w:lang w:val="en-US" w:eastAsia="zh-CN"/>
        </w:rPr>
        <w:t>1、</w:t>
      </w:r>
      <w:r>
        <w:rPr>
          <w:rFonts w:hint="eastAsia"/>
        </w:rPr>
        <w:t>顶升部件的安装</w:t>
      </w:r>
      <w:r>
        <w:rPr>
          <w:rFonts w:hint="eastAsia"/>
          <w:lang w:eastAsia="zh-CN"/>
        </w:rPr>
        <w:t>，</w:t>
      </w:r>
      <w:r>
        <w:rPr>
          <w:rFonts w:hint="eastAsia"/>
        </w:rPr>
        <w:t>顶升部件包括液压油缸、泵站、顶升横梁、引进梁、引进小车、套架制动块和挂靴等。</w:t>
      </w:r>
      <w:r>
        <w:rPr>
          <w:rFonts w:hint="eastAsia" w:ascii="宋体" w:hAnsi="宋体"/>
          <w:szCs w:val="21"/>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2、</w:t>
      </w:r>
      <w:r>
        <w:rPr>
          <w:rFonts w:hint="eastAsia" w:ascii="宋体" w:hAnsi="宋体"/>
          <w:szCs w:val="21"/>
        </w:rPr>
        <w:t>将顶</w:t>
      </w:r>
      <w:r>
        <w:rPr>
          <w:rFonts w:hint="eastAsia" w:ascii="宋体" w:hAnsi="宋体"/>
          <w:szCs w:val="21"/>
          <w:lang w:eastAsia="zh-CN"/>
        </w:rPr>
        <w:t>升</w:t>
      </w:r>
      <w:r>
        <w:rPr>
          <w:rFonts w:hint="eastAsia" w:ascii="宋体" w:hAnsi="宋体"/>
          <w:szCs w:val="21"/>
        </w:rPr>
        <w:t>油缸用销轴安装到顶升套架上，并装好顶</w:t>
      </w:r>
      <w:r>
        <w:rPr>
          <w:rFonts w:hint="eastAsia" w:ascii="宋体" w:hAnsi="宋体"/>
          <w:szCs w:val="21"/>
          <w:lang w:eastAsia="zh-CN"/>
        </w:rPr>
        <w:t>升</w:t>
      </w:r>
      <w:r>
        <w:rPr>
          <w:rFonts w:hint="eastAsia" w:ascii="宋体" w:hAnsi="宋体"/>
          <w:szCs w:val="21"/>
        </w:rPr>
        <w:t>横梁=挂靴</w:t>
      </w:r>
      <w:r>
        <w:rPr>
          <w:rFonts w:hint="eastAsia" w:ascii="宋体" w:hAnsi="宋体"/>
          <w:szCs w:val="21"/>
          <w:lang w:eastAsia="zh-CN"/>
        </w:rPr>
        <w:t>和后</w:t>
      </w:r>
      <w:r>
        <w:rPr>
          <w:rFonts w:hint="eastAsia" w:ascii="宋体" w:hAnsi="宋体"/>
          <w:szCs w:val="21"/>
        </w:rPr>
        <w:t>梁平台等。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3、</w:t>
      </w:r>
      <w:r>
        <w:rPr>
          <w:rFonts w:hint="eastAsia" w:ascii="宋体" w:hAnsi="宋体"/>
          <w:szCs w:val="21"/>
        </w:rPr>
        <w:t>将液压泵站放置到顶升套架的平台上，连接好液压系统和电气设备。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4、</w:t>
      </w:r>
      <w:r>
        <w:rPr>
          <w:rFonts w:hint="eastAsia" w:ascii="宋体" w:hAnsi="宋体"/>
          <w:szCs w:val="21"/>
        </w:rPr>
        <w:t>利用顶升油缸将套架顶起并用销轴与下支座联接。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5、</w:t>
      </w:r>
      <w:r>
        <w:rPr>
          <w:rFonts w:hint="eastAsia" w:ascii="宋体" w:hAnsi="宋体"/>
          <w:szCs w:val="21"/>
        </w:rPr>
        <w:t>安装引进梁。引进梁在安装回转总成前在地面进行安装。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lang w:val="en-US" w:eastAsia="zh-CN"/>
        </w:rPr>
      </w:pPr>
      <w:r>
        <w:rPr>
          <w:rFonts w:hint="eastAsia" w:ascii="宋体" w:hAnsi="宋体"/>
          <w:szCs w:val="21"/>
          <w:lang w:val="en-US" w:eastAsia="zh-CN"/>
        </w:rPr>
        <w:t>6、空中安装时用一根吊索吊起引进梁（1），待吊至与下支座安装高度时在缓慢向下支座内部送入。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lang w:val="en-US" w:eastAsia="zh-CN"/>
        </w:rPr>
      </w:pPr>
      <w:r>
        <w:rPr>
          <w:rFonts w:hint="eastAsia" w:ascii="宋体" w:hAnsi="宋体"/>
          <w:szCs w:val="21"/>
          <w:lang w:val="en-US" w:eastAsia="zh-CN"/>
        </w:rPr>
        <w:t>7、将引进梁瑟上支座上的耳板用销轴（2)装好开口销。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lang w:val="en-US" w:eastAsia="zh-CN"/>
        </w:rPr>
      </w:pPr>
      <w:r>
        <w:rPr>
          <w:rFonts w:hint="eastAsia" w:ascii="宋体" w:hAnsi="宋体"/>
          <w:szCs w:val="21"/>
          <w:lang w:val="en-US" w:eastAsia="zh-CN"/>
        </w:rPr>
        <w:t>8、慢慢松掉吊索，使引进梁尾部向上翘与下支座的靠板接触，再安装好销轴（3），见下图</w:t>
      </w:r>
    </w:p>
    <w:p>
      <w:pPr>
        <w:pStyle w:val="2"/>
        <w:jc w:val="center"/>
        <w:rPr>
          <w:rFonts w:hint="eastAsia" w:ascii="宋体" w:hAnsi="宋体"/>
          <w:szCs w:val="21"/>
          <w:lang w:val="en-US" w:eastAsia="zh-CN"/>
        </w:rPr>
      </w:pPr>
      <w:r>
        <w:rPr>
          <w:rFonts w:hint="eastAsia" w:ascii="宋体" w:hAnsi="宋体"/>
          <w:szCs w:val="21"/>
          <w:lang w:val="en-US" w:eastAsia="zh-CN"/>
        </w:rPr>
        <w:drawing>
          <wp:inline distT="0" distB="0" distL="114300" distR="114300">
            <wp:extent cx="2840355" cy="2153920"/>
            <wp:effectExtent l="0" t="0" r="17145" b="17780"/>
            <wp:docPr id="17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7" descr="IMG_256"/>
                    <pic:cNvPicPr>
                      <a:picLocks noChangeAspect="1"/>
                    </pic:cNvPicPr>
                  </pic:nvPicPr>
                  <pic:blipFill>
                    <a:blip r:embed="rId69"/>
                    <a:stretch>
                      <a:fillRect/>
                    </a:stretch>
                  </pic:blipFill>
                  <pic:spPr>
                    <a:xfrm>
                      <a:off x="0" y="0"/>
                      <a:ext cx="2840355" cy="2153920"/>
                    </a:xfrm>
                    <a:prstGeom prst="rect">
                      <a:avLst/>
                    </a:prstGeom>
                    <a:noFill/>
                    <a:ln w="9525">
                      <a:noFill/>
                    </a:ln>
                  </pic:spPr>
                </pic:pic>
              </a:graphicData>
            </a:graphic>
          </wp:inline>
        </w:drawing>
      </w:r>
    </w:p>
    <w:p>
      <w:pPr>
        <w:pStyle w:val="5"/>
        <w:bidi w:val="0"/>
        <w:rPr>
          <w:rFonts w:hint="eastAsia"/>
          <w:lang w:val="en-US" w:eastAsia="zh-CN"/>
        </w:rPr>
      </w:pPr>
      <w:r>
        <w:rPr>
          <w:rFonts w:hint="eastAsia"/>
          <w:lang w:val="en-US" w:eastAsia="zh-CN"/>
        </w:rPr>
        <w:t>检查工作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lang w:val="en-US" w:eastAsia="zh-CN"/>
        </w:rPr>
      </w:pPr>
      <w:r>
        <w:rPr>
          <w:rFonts w:hint="eastAsia" w:ascii="宋体" w:hAnsi="宋体"/>
          <w:szCs w:val="21"/>
          <w:lang w:val="en-US" w:eastAsia="zh-CN"/>
        </w:rPr>
        <w:t>1、检查顶升部件的安装是否正确并使液压系统处于完好状态。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lang w:val="en-US" w:eastAsia="zh-CN"/>
        </w:rPr>
      </w:pPr>
      <w:r>
        <w:rPr>
          <w:rFonts w:hint="eastAsia" w:ascii="宋体" w:hAnsi="宋体"/>
          <w:szCs w:val="21"/>
          <w:lang w:val="en-US" w:eastAsia="zh-CN"/>
        </w:rPr>
        <w:t>2、在顶升前检查顶升套架是否安装连接好。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lang w:val="en-US" w:eastAsia="zh-CN"/>
        </w:rPr>
      </w:pPr>
      <w:r>
        <w:rPr>
          <w:rFonts w:hint="eastAsia" w:ascii="宋体" w:hAnsi="宋体"/>
          <w:szCs w:val="21"/>
          <w:lang w:val="en-US" w:eastAsia="zh-CN"/>
        </w:rPr>
        <w:t>3、检查引进梁和引进小车是否安装连接好。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lang w:val="en-US" w:eastAsia="zh-CN"/>
        </w:rPr>
      </w:pPr>
      <w:r>
        <w:rPr>
          <w:rFonts w:hint="eastAsia" w:ascii="宋体" w:hAnsi="宋体"/>
          <w:szCs w:val="21"/>
          <w:lang w:val="en-US" w:eastAsia="zh-CN"/>
        </w:rPr>
        <w:t>4、检查顶横梁是否与油缸连接好并检查挂靴是否在顶升耳座内。</w:t>
      </w:r>
    </w:p>
    <w:p>
      <w:pPr>
        <w:pStyle w:val="5"/>
        <w:bidi w:val="0"/>
        <w:ind w:left="0" w:leftChars="0" w:firstLine="0" w:firstLineChars="0"/>
        <w:rPr>
          <w:rFonts w:hint="eastAsia"/>
          <w:sz w:val="24"/>
          <w:szCs w:val="24"/>
          <w:lang w:val="en-US" w:eastAsia="zh-CN"/>
        </w:rPr>
      </w:pPr>
      <w:r>
        <w:rPr>
          <w:rFonts w:hint="eastAsia"/>
          <w:sz w:val="24"/>
          <w:szCs w:val="24"/>
          <w:lang w:val="en-US" w:eastAsia="zh-CN"/>
        </w:rPr>
        <w:t>顶升原理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1、</w:t>
      </w:r>
      <w:r>
        <w:rPr>
          <w:rFonts w:hint="eastAsia" w:ascii="宋体" w:hAnsi="宋体"/>
          <w:szCs w:val="21"/>
        </w:rPr>
        <w:t>顶升程序包括一系列操作过程，这些操作过程需要重复进行几次。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2、</w:t>
      </w:r>
      <w:r>
        <w:rPr>
          <w:rFonts w:hint="eastAsia" w:ascii="宋体" w:hAnsi="宋体"/>
          <w:szCs w:val="21"/>
        </w:rPr>
        <w:t>将顶升横梁上的挂靴放入标准节上就近的一组顶升耳座内，并用安全销将挂靴与标准节固定，防止挂靴脱出顶升耳座。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3、</w:t>
      </w:r>
      <w:r>
        <w:rPr>
          <w:rFonts w:hint="eastAsia" w:ascii="宋体" w:hAnsi="宋体"/>
          <w:szCs w:val="21"/>
        </w:rPr>
        <w:t>将塔机回转以上部分配平，使其重心位置落在顶升油缸上。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4、</w:t>
      </w:r>
      <w:r>
        <w:rPr>
          <w:rFonts w:hint="eastAsia" w:ascii="宋体" w:hAnsi="宋体"/>
          <w:szCs w:val="21"/>
        </w:rPr>
        <w:t>用顶升横梁上的顶升油缸顶起塔机下支座及以上部分。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5、</w:t>
      </w:r>
      <w:r>
        <w:rPr>
          <w:rFonts w:hint="eastAsia" w:ascii="宋体" w:hAnsi="宋体"/>
          <w:szCs w:val="21"/>
        </w:rPr>
        <w:t>用套架制动块将顶起的塔机部分支撑在塔身的顶各项耳座上。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6、</w:t>
      </w:r>
      <w:r>
        <w:rPr>
          <w:rFonts w:hint="eastAsia" w:ascii="宋体" w:hAnsi="宋体"/>
          <w:szCs w:val="21"/>
        </w:rPr>
        <w:t>抽出将挂靴锁闭在耳座上的安全销。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7、</w:t>
      </w:r>
      <w:r>
        <w:rPr>
          <w:rFonts w:hint="eastAsia" w:ascii="宋体" w:hAnsi="宋体"/>
          <w:szCs w:val="21"/>
        </w:rPr>
        <w:t>收回油缸活塞杆，将顶升横梁组件提起。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8、</w:t>
      </w:r>
      <w:r>
        <w:rPr>
          <w:rFonts w:hint="eastAsia" w:ascii="宋体" w:hAnsi="宋体"/>
          <w:szCs w:val="21"/>
        </w:rPr>
        <w:t>重新将顶升横梁放到上一对顶升耳座内，再开始做下一个工作循环。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9、</w:t>
      </w:r>
      <w:r>
        <w:rPr>
          <w:rFonts w:hint="eastAsia" w:ascii="宋体" w:hAnsi="宋体"/>
          <w:szCs w:val="21"/>
        </w:rPr>
        <w:t>顶升油缸活塞杆的工作行程略为1.6米，顶升两次可安装一节标准节。</w:t>
      </w:r>
    </w:p>
    <w:p>
      <w:pPr>
        <w:pStyle w:val="5"/>
        <w:bidi w:val="0"/>
        <w:ind w:left="0" w:leftChars="0" w:firstLine="0" w:firstLineChars="0"/>
        <w:rPr>
          <w:rFonts w:hint="eastAsia"/>
          <w:sz w:val="24"/>
          <w:szCs w:val="24"/>
          <w:lang w:val="en-US" w:eastAsia="zh-CN"/>
        </w:rPr>
      </w:pPr>
      <w:r>
        <w:rPr>
          <w:rFonts w:hint="eastAsia"/>
          <w:sz w:val="24"/>
          <w:szCs w:val="24"/>
          <w:lang w:val="en-US" w:eastAsia="zh-CN"/>
        </w:rPr>
        <w:t>顶升过程的注意事项</w:t>
      </w:r>
    </w:p>
    <w:p>
      <w:pPr>
        <w:spacing w:after="120"/>
        <w:ind w:firstLine="480"/>
      </w:pPr>
      <w:r>
        <w:rPr>
          <w:rFonts w:hint="eastAsia"/>
        </w:rPr>
        <w:t>a) 塔机最高处风速大于 12m/s 时，不得进行顶升作业；</w:t>
      </w:r>
    </w:p>
    <w:p>
      <w:pPr>
        <w:spacing w:after="120"/>
        <w:ind w:firstLine="480"/>
      </w:pPr>
      <w:r>
        <w:rPr>
          <w:rFonts w:hint="eastAsia"/>
        </w:rPr>
        <w:t>b) 塔机的爬升机构，其爬升作业时应确保套架上支承在塔身上的受力部位与塔身顶升支承部位应可靠定位和结合。并应及时查看顶升支承部位焊缝情况，若有异常情况应排除后才能继续进行爬升作业。</w:t>
      </w:r>
    </w:p>
    <w:p>
      <w:pPr>
        <w:spacing w:after="120"/>
        <w:ind w:firstLine="480"/>
      </w:pPr>
      <w:r>
        <w:rPr>
          <w:rFonts w:hint="eastAsia"/>
        </w:rPr>
        <w:t>c) 顶升过程中必须保证起重臂与引入标准节方向一致，并利用回转机构制动器将起重臂制动住，载重小车必须停靠在顶升配平位置；</w:t>
      </w:r>
    </w:p>
    <w:p>
      <w:pPr>
        <w:spacing w:after="120"/>
        <w:ind w:firstLine="480"/>
      </w:pPr>
      <w:r>
        <w:rPr>
          <w:rFonts w:hint="eastAsia"/>
        </w:rPr>
        <w:t>d) 所加标准节上的踏步，必须与已有塔身节对正；</w:t>
      </w:r>
    </w:p>
    <w:p>
      <w:pPr>
        <w:spacing w:after="120"/>
        <w:ind w:firstLine="480"/>
      </w:pPr>
      <w:r>
        <w:rPr>
          <w:rFonts w:hint="eastAsia"/>
        </w:rPr>
        <w:t>e) 在下支座与塔身没有用销轴连接好之前，严禁起重臂回转、载重小车变幅和吊装作业；</w:t>
      </w:r>
    </w:p>
    <w:p>
      <w:pPr>
        <w:pStyle w:val="2"/>
      </w:pPr>
      <w:r>
        <w:rPr>
          <w:rFonts w:hint="eastAsia"/>
        </w:rPr>
        <w:t>f) 在顶升过程中，若液压顶升系统出现异常，应立即停止顶升，收回油缸，将下支座落在塔身顶部，并用 8 个销轴将下支座与塔身连接牢靠后，再排除液压系统的故障；</w:t>
      </w:r>
    </w:p>
    <w:p>
      <w:pPr>
        <w:pStyle w:val="5"/>
        <w:bidi w:val="0"/>
        <w:ind w:left="0" w:leftChars="0" w:firstLine="0" w:firstLineChars="0"/>
        <w:rPr>
          <w:rFonts w:hint="eastAsia"/>
          <w:sz w:val="24"/>
          <w:szCs w:val="24"/>
          <w:lang w:val="en-US" w:eastAsia="zh-CN"/>
        </w:rPr>
      </w:pPr>
      <w:r>
        <w:rPr>
          <w:rFonts w:hint="eastAsia"/>
          <w:sz w:val="24"/>
          <w:szCs w:val="24"/>
          <w:lang w:val="en-US" w:eastAsia="zh-CN"/>
        </w:rPr>
        <w:t>顶升前的配平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1、</w:t>
      </w:r>
      <w:r>
        <w:rPr>
          <w:rFonts w:hint="eastAsia" w:ascii="宋体" w:hAnsi="宋体"/>
          <w:szCs w:val="21"/>
        </w:rPr>
        <w:t>将起重臂旋转至引进梁的方向（起重臂位于下支座上外伸引进梁的正上方）。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2、</w:t>
      </w:r>
      <w:r>
        <w:rPr>
          <w:rFonts w:hint="eastAsia" w:ascii="宋体" w:hAnsi="宋体"/>
          <w:szCs w:val="21"/>
        </w:rPr>
        <w:t>放松电缆长度略大于总的顶</w:t>
      </w:r>
      <w:r>
        <w:rPr>
          <w:rFonts w:hint="eastAsia" w:ascii="宋体" w:hAnsi="宋体"/>
          <w:szCs w:val="21"/>
          <w:lang w:eastAsia="zh-CN"/>
        </w:rPr>
        <w:t>升</w:t>
      </w:r>
      <w:r>
        <w:rPr>
          <w:rFonts w:hint="eastAsia" w:ascii="宋体" w:hAnsi="宋体"/>
          <w:szCs w:val="21"/>
        </w:rPr>
        <w:t>高度。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3、</w:t>
      </w:r>
      <w:r>
        <w:rPr>
          <w:rFonts w:hint="eastAsia" w:ascii="宋体" w:hAnsi="宋体"/>
          <w:szCs w:val="21"/>
        </w:rPr>
        <w:t>安装好引进小车，将起重小车由四倍率变为二倍率，并将吊钩的连接架和顶各项钩安装到靠近回转中心的单滑轮组上。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4、</w:t>
      </w:r>
      <w:r>
        <w:rPr>
          <w:rFonts w:hint="eastAsia" w:ascii="宋体" w:hAnsi="宋体"/>
          <w:szCs w:val="21"/>
        </w:rPr>
        <w:t>吊起拼装好的标准节（待加入）并安放在下支座的引进横梁上，注意标准节的方向（顶各项耳座应与安装好的标准节的顶升耳座在同一个面上）。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5、</w:t>
      </w:r>
      <w:r>
        <w:rPr>
          <w:rFonts w:hint="eastAsia" w:ascii="宋体" w:hAnsi="宋体"/>
          <w:szCs w:val="21"/>
        </w:rPr>
        <w:t>再调整小车的位置，使得塔机的上部重心落在顶各项油缸横梁的位置上：小车（或加吊重）停放位置如下：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drawing>
          <wp:inline distT="0" distB="0" distL="114300" distR="114300">
            <wp:extent cx="3963035" cy="1535430"/>
            <wp:effectExtent l="0" t="0" r="18415" b="7620"/>
            <wp:docPr id="18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2" descr="IMG_256"/>
                    <pic:cNvPicPr>
                      <a:picLocks noChangeAspect="1"/>
                    </pic:cNvPicPr>
                  </pic:nvPicPr>
                  <pic:blipFill>
                    <a:blip r:embed="rId70"/>
                    <a:stretch>
                      <a:fillRect/>
                    </a:stretch>
                  </pic:blipFill>
                  <pic:spPr>
                    <a:xfrm>
                      <a:off x="0" y="0"/>
                      <a:ext cx="3963035" cy="1535430"/>
                    </a:xfrm>
                    <a:prstGeom prst="rect">
                      <a:avLst/>
                    </a:prstGeom>
                    <a:noFill/>
                    <a:ln w="9525">
                      <a:noFill/>
                    </a:ln>
                  </pic:spPr>
                </pic:pic>
              </a:graphicData>
            </a:graphic>
          </wp:inline>
        </w:drawing>
      </w:r>
    </w:p>
    <w:tbl>
      <w:tblPr>
        <w:tblStyle w:val="43"/>
        <w:tblW w:w="4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1515"/>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宋体" w:hAnsi="宋体"/>
                <w:szCs w:val="21"/>
              </w:rPr>
            </w:pPr>
            <w:r>
              <w:rPr>
                <w:rFonts w:hint="eastAsia" w:ascii="宋体" w:hAnsi="宋体"/>
                <w:szCs w:val="21"/>
              </w:rPr>
              <w:t>臂长（米）</w:t>
            </w:r>
          </w:p>
        </w:tc>
        <w:tc>
          <w:tcPr>
            <w:tcW w:w="1515" w:type="dxa"/>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70</w:t>
            </w:r>
            <w:r>
              <w:rPr>
                <w:rFonts w:hint="eastAsia" w:ascii="宋体" w:hAnsi="宋体"/>
                <w:szCs w:val="21"/>
              </w:rPr>
              <w:t>.0</w:t>
            </w:r>
          </w:p>
        </w:tc>
        <w:tc>
          <w:tcPr>
            <w:tcW w:w="1395" w:type="dxa"/>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宋体" w:hAnsi="宋体"/>
                <w:szCs w:val="21"/>
              </w:rPr>
            </w:pPr>
            <w:r>
              <w:rPr>
                <w:rFonts w:hint="eastAsia" w:ascii="宋体" w:hAnsi="宋体"/>
                <w:szCs w:val="21"/>
              </w:rPr>
              <w:t>吊重G(公斤)</w:t>
            </w:r>
          </w:p>
        </w:tc>
        <w:tc>
          <w:tcPr>
            <w:tcW w:w="1515" w:type="dxa"/>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lang w:val="en-US" w:eastAsia="zh-CN"/>
              </w:rPr>
            </w:pPr>
            <w:r>
              <w:rPr>
                <w:rFonts w:hint="eastAsia" w:ascii="宋体" w:hAnsi="宋体"/>
                <w:szCs w:val="21"/>
                <w:lang w:val="en-US" w:eastAsia="zh-CN"/>
              </w:rPr>
              <w:t>1660</w:t>
            </w:r>
          </w:p>
        </w:tc>
        <w:tc>
          <w:tcPr>
            <w:tcW w:w="1395" w:type="dxa"/>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宋体" w:hAnsi="宋体"/>
                <w:szCs w:val="21"/>
              </w:rPr>
            </w:pPr>
            <w:r>
              <w:rPr>
                <w:rFonts w:hint="eastAsia" w:ascii="宋体" w:hAnsi="宋体"/>
                <w:szCs w:val="21"/>
              </w:rPr>
              <w:t>L(米）</w:t>
            </w:r>
          </w:p>
        </w:tc>
        <w:tc>
          <w:tcPr>
            <w:tcW w:w="1515" w:type="dxa"/>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szCs w:val="21"/>
                <w:lang w:val="en-US" w:eastAsia="zh-CN"/>
              </w:rPr>
            </w:pPr>
            <w:r>
              <w:rPr>
                <w:rFonts w:hint="eastAsia" w:ascii="宋体" w:hAnsi="宋体"/>
                <w:szCs w:val="21"/>
                <w:lang w:val="en-US" w:eastAsia="zh-CN"/>
              </w:rPr>
              <w:t>15.2</w:t>
            </w:r>
          </w:p>
        </w:tc>
        <w:tc>
          <w:tcPr>
            <w:tcW w:w="1395" w:type="dxa"/>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p>
        </w:tc>
      </w:tr>
    </w:tbl>
    <w:p>
      <w:pPr>
        <w:pStyle w:val="67"/>
        <w:numPr>
          <w:ilvl w:val="0"/>
          <w:numId w:val="17"/>
        </w:numPr>
        <w:ind w:left="0" w:firstLine="480" w:firstLineChars="200"/>
      </w:pPr>
      <w:r>
        <w:rPr>
          <w:rFonts w:hint="eastAsia" w:ascii="宋体" w:hAnsi="宋体"/>
          <w:szCs w:val="21"/>
        </w:rPr>
        <w:t>注意：这里给出的重心位置只是理论数据，实际操作中，观察到顶升套架上四周16个导轮基本上与塔身标准节主弦杆脱开时，即为理想位置。</w:t>
      </w:r>
    </w:p>
    <w:p>
      <w:pPr>
        <w:pStyle w:val="5"/>
        <w:bidi w:val="0"/>
        <w:ind w:left="0" w:leftChars="0" w:firstLine="0" w:firstLineChars="0"/>
        <w:rPr>
          <w:rFonts w:hint="eastAsia"/>
          <w:sz w:val="24"/>
          <w:szCs w:val="24"/>
          <w:lang w:val="en-US" w:eastAsia="zh-CN"/>
        </w:rPr>
      </w:pPr>
      <w:r>
        <w:rPr>
          <w:rFonts w:hint="eastAsia"/>
          <w:sz w:val="24"/>
          <w:szCs w:val="24"/>
          <w:lang w:val="en-US" w:eastAsia="zh-CN"/>
        </w:rPr>
        <w:t>顶升加节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1、</w:t>
      </w:r>
      <w:r>
        <w:rPr>
          <w:rFonts w:hint="eastAsia" w:ascii="宋体" w:hAnsi="宋体"/>
          <w:szCs w:val="21"/>
        </w:rPr>
        <w:t>当塔机配平后，拆除标准节与回转下支座间的连接销轴，此时观察塔机顶升套架四周导向轮与塔身标准节四个主弦杆的间隙是否一致，如不一致可适当开动起重小车重新调整平衡位置（此时不得使塔机做回转、起各项或其它动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2、</w:t>
      </w:r>
      <w:r>
        <w:rPr>
          <w:rFonts w:hint="eastAsia" w:ascii="宋体" w:hAnsi="宋体"/>
          <w:szCs w:val="21"/>
        </w:rPr>
        <w:t>开动液压系统，将挂靴（1）挂在标准节就近一个顶升耳座（2）上并用安全销(3)将其锁闭在标准节主弦角钢（4）上，防止其滑出标准节顶升耳座（2），再开动液压系统使活塞杆缓慢伸出约1.5米，至使套架上的套架制动块能顺利放入标准节上的顶升耳座内，放下套架制动块（5）并稍稍缩回活塞杆，使套架制动块（5）挂入塔身的顶升耳座（2）内，见下图：</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ascii="宋体" w:hAnsi="宋体"/>
          <w:szCs w:val="21"/>
        </w:rPr>
      </w:pPr>
      <w:r>
        <w:rPr>
          <w:rFonts w:hint="eastAsia" w:ascii="宋体" w:hAnsi="宋体"/>
          <w:szCs w:val="21"/>
        </w:rPr>
        <w:fldChar w:fldCharType="begin"/>
      </w:r>
      <w:r>
        <w:rPr>
          <w:rFonts w:hint="eastAsia" w:ascii="宋体" w:hAnsi="宋体"/>
          <w:szCs w:val="21"/>
        </w:rPr>
        <w:instrText xml:space="preserve">INCLUDEPICTURE \d "C:\\Documents and Settings\\Administrator\\Application Data\\Tencent\\Users\\387702944\\QQ\\WinTemp\\RichOle\\[HI0F1C~3G_SGWF@8P48G@4.png" \* MERGEFORMATINET </w:instrText>
      </w:r>
      <w:r>
        <w:rPr>
          <w:rFonts w:hint="eastAsia" w:ascii="宋体" w:hAnsi="宋体"/>
          <w:szCs w:val="21"/>
        </w:rPr>
        <w:fldChar w:fldCharType="separate"/>
      </w:r>
      <w:r>
        <w:rPr>
          <w:rFonts w:hint="eastAsia" w:ascii="宋体" w:hAnsi="宋体"/>
          <w:szCs w:val="21"/>
        </w:rPr>
        <w:drawing>
          <wp:inline distT="0" distB="0" distL="114300" distR="114300">
            <wp:extent cx="3743960" cy="1188085"/>
            <wp:effectExtent l="0" t="0" r="8890" b="12065"/>
            <wp:docPr id="172"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3" descr="IMG_256"/>
                    <pic:cNvPicPr>
                      <a:picLocks noChangeAspect="1"/>
                    </pic:cNvPicPr>
                  </pic:nvPicPr>
                  <pic:blipFill>
                    <a:blip r:embed="rId71"/>
                    <a:stretch>
                      <a:fillRect/>
                    </a:stretch>
                  </pic:blipFill>
                  <pic:spPr>
                    <a:xfrm>
                      <a:off x="0" y="0"/>
                      <a:ext cx="3743960" cy="1188085"/>
                    </a:xfrm>
                    <a:prstGeom prst="rect">
                      <a:avLst/>
                    </a:prstGeom>
                    <a:noFill/>
                    <a:ln w="9525">
                      <a:noFill/>
                    </a:ln>
                  </pic:spPr>
                </pic:pic>
              </a:graphicData>
            </a:graphic>
          </wp:inline>
        </w:drawing>
      </w:r>
      <w:r>
        <w:rPr>
          <w:rFonts w:hint="eastAsia" w:ascii="宋体" w:hAnsi="宋体"/>
          <w:szCs w:val="21"/>
        </w:rPr>
        <w:fldChar w:fldCharType="end"/>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3、</w:t>
      </w:r>
      <w:r>
        <w:rPr>
          <w:rFonts w:hint="eastAsia" w:ascii="宋体" w:hAnsi="宋体"/>
          <w:szCs w:val="21"/>
        </w:rPr>
        <w:t>在确认套架制动块准确挂入塔身的顶升耳座内扣，油缸全部缩回，重做两次上述的顶各项操作后塔身上方恰好能有装一个标准节的空间。注意：整个顶各项过程中不能使套架的上导轮超出塔身的固定部分。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4、</w:t>
      </w:r>
      <w:r>
        <w:rPr>
          <w:rFonts w:hint="eastAsia" w:ascii="宋体" w:hAnsi="宋体"/>
          <w:szCs w:val="21"/>
        </w:rPr>
        <w:t>将引进梁上的待加入标准节引至塔身的正上方。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5、</w:t>
      </w:r>
      <w:r>
        <w:rPr>
          <w:rFonts w:hint="eastAsia" w:ascii="宋体" w:hAnsi="宋体"/>
          <w:szCs w:val="21"/>
        </w:rPr>
        <w:t>对准上下标准节的连接销轴孔，装好标准节连接销轴和开口肖即完成一个标准节的加节工作。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6、</w:t>
      </w:r>
      <w:r>
        <w:rPr>
          <w:rFonts w:hint="eastAsia" w:ascii="宋体" w:hAnsi="宋体"/>
          <w:szCs w:val="21"/>
        </w:rPr>
        <w:t>若需连续加几节标准节，则可按照以上步骤连续几次即可。注意：在起吊下一节标准节必须将塔身标准节与下支座用安装销轴连接好（禁止连接销轴数量）。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7、</w:t>
      </w:r>
      <w:r>
        <w:rPr>
          <w:rFonts w:hint="eastAsia" w:ascii="宋体" w:hAnsi="宋体"/>
          <w:szCs w:val="21"/>
        </w:rPr>
        <w:t>加节完毕后将下支座与塔身标准节连接牢固，卸下加节钩，换上起重吊钩，即完成标准节的加节工作。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8、</w:t>
      </w:r>
      <w:r>
        <w:rPr>
          <w:rFonts w:hint="eastAsia" w:ascii="宋体" w:hAnsi="宋体"/>
          <w:szCs w:val="21"/>
        </w:rPr>
        <w:t>塔机加节完毕，应空载旋转臂架至不同角度，检查塔身各标准节及下支座是否连接可靠。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Cs w:val="24"/>
          <w:lang w:val="en-US" w:eastAsia="zh-CN"/>
        </w:rPr>
      </w:pPr>
      <w:r>
        <w:rPr>
          <w:rFonts w:hint="eastAsia" w:ascii="宋体" w:hAnsi="宋体"/>
          <w:szCs w:val="21"/>
          <w:lang w:val="en-US" w:eastAsia="zh-CN"/>
        </w:rPr>
        <w:t>9、</w:t>
      </w:r>
      <w:r>
        <w:rPr>
          <w:rFonts w:hint="eastAsia" w:ascii="宋体" w:hAnsi="宋体"/>
          <w:szCs w:val="21"/>
        </w:rPr>
        <w:t>塔身加节后应保证在各方向上塔身轴线和地面水平线的垂直度不大于塔机高度的3/1000；垂直度测量方法：若测量塔身南北方向的垂直度，需将塔机平衡臂、起重臂方向旋转至东西方向，相反如果测量塔身东西方向 的垂直度，需将塔机平衡臂、起重臂方向旋转至南北方向。</w:t>
      </w:r>
    </w:p>
    <w:p>
      <w:pPr>
        <w:pStyle w:val="5"/>
        <w:bidi w:val="0"/>
        <w:rPr>
          <w:rFonts w:hint="eastAsia"/>
        </w:rPr>
      </w:pPr>
      <w:r>
        <w:rPr>
          <w:rFonts w:hint="eastAsia"/>
        </w:rPr>
        <w:t>顶升后的收尾工作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szCs w:val="21"/>
          <w:lang w:eastAsia="zh-CN"/>
        </w:rPr>
      </w:pPr>
      <w:r>
        <w:rPr>
          <w:rFonts w:hint="eastAsia" w:ascii="宋体" w:hAnsi="宋体"/>
          <w:szCs w:val="21"/>
          <w:lang w:val="en-US" w:eastAsia="zh-CN"/>
        </w:rPr>
        <w:t>1、</w:t>
      </w:r>
      <w:r>
        <w:rPr>
          <w:rFonts w:hint="eastAsia" w:ascii="宋体" w:hAnsi="宋体"/>
          <w:szCs w:val="21"/>
        </w:rPr>
        <w:t>顶各项结束后利用套架制动块将顶升套回支承在塔身上，收回压岁升油缸</w:t>
      </w:r>
      <w:r>
        <w:rPr>
          <w:rFonts w:hint="eastAsia" w:ascii="宋体" w:hAnsi="宋体"/>
          <w:szCs w:val="21"/>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2、</w:t>
      </w:r>
      <w:r>
        <w:rPr>
          <w:rFonts w:hint="eastAsia" w:ascii="宋体" w:hAnsi="宋体"/>
          <w:szCs w:val="21"/>
        </w:rPr>
        <w:t>顶升工作全面完成后可以半顶升套架下降到标准节底部或拆除顶升套架，以降低整个塔机的重心和减小迎风面积，沿海及其他风压较大的地区必须将顶升套架下降至塔机底部或拆除顶升套架。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lang w:val="en-US" w:eastAsia="zh-CN"/>
        </w:rPr>
        <w:t>3、</w:t>
      </w:r>
      <w:r>
        <w:rPr>
          <w:rFonts w:hint="eastAsia" w:ascii="宋体" w:hAnsi="宋体"/>
          <w:szCs w:val="21"/>
        </w:rPr>
        <w:t>顶升完毕后可将引进梁缩回下支座内或者拆除引进梁。以免吊钩在最小幅度工作时碰到。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若采用将引进濯缩回下支座内，见下图：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a.用四根销轴（4）将八块连接板（3）安装到下支座上。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b.用四根销轴（7）将连接板（3）销好。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c.用吊索拴住一根引进梁（1）的尾端吊孔，挂到吊钩上。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d.拆除此引进梁上的销轴（2）和销轴（5），使连接板（3）上的两根销轴（7）支撑起引进梁。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e.取出销轴（5）并销到销轴（8）处，起重小车向外慢慢变幅，拖动引进梁向后滑动。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f.拖动至引进梁上的销孔与连接板（3）上的销孔对齐，装上连接销轴（6）。</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szCs w:val="21"/>
        </w:rPr>
      </w:pPr>
      <w:r>
        <w:rPr>
          <w:rFonts w:hint="eastAsia" w:ascii="宋体" w:hAnsi="宋体"/>
          <w:szCs w:val="21"/>
        </w:rPr>
        <w:t>g.卸下吊索，另一根引进梁采用同样方法安装。</w:t>
      </w:r>
    </w:p>
    <w:p>
      <w:pPr>
        <w:pStyle w:val="2"/>
        <w:jc w:val="center"/>
        <w:rPr>
          <w:rFonts w:hint="eastAsia"/>
        </w:rPr>
      </w:pPr>
      <w:r>
        <w:rPr>
          <w:rFonts w:hint="eastAsia" w:ascii="仿宋_GB2312" w:hAnsi="仿宋_GB2312" w:eastAsia="仿宋_GB2312" w:cs="仿宋_GB2312"/>
          <w:color w:val="auto"/>
          <w:kern w:val="0"/>
          <w:szCs w:val="21"/>
          <w:lang w:bidi="ar"/>
        </w:rPr>
        <w:fldChar w:fldCharType="begin"/>
      </w:r>
      <w:r>
        <w:rPr>
          <w:rFonts w:hint="eastAsia" w:ascii="仿宋_GB2312" w:hAnsi="仿宋_GB2312" w:eastAsia="仿宋_GB2312" w:cs="仿宋_GB2312"/>
          <w:color w:val="auto"/>
          <w:kern w:val="0"/>
          <w:szCs w:val="21"/>
          <w:lang w:bidi="ar"/>
        </w:rPr>
        <w:instrText xml:space="preserve">INCLUDEPICTURE \d "C:\\Documents and Settings\\Administrator\\Application Data\\Tencent\\Users\\387702944\\QQ\\WinTemp\\RichOle\\$}77PLPK998(LVXOJ1]T10E.png" \* MERGEFORMATINET </w:instrText>
      </w:r>
      <w:r>
        <w:rPr>
          <w:rFonts w:hint="eastAsia" w:ascii="仿宋_GB2312" w:hAnsi="仿宋_GB2312" w:eastAsia="仿宋_GB2312" w:cs="仿宋_GB2312"/>
          <w:color w:val="auto"/>
          <w:kern w:val="0"/>
          <w:szCs w:val="21"/>
          <w:lang w:bidi="ar"/>
        </w:rPr>
        <w:fldChar w:fldCharType="separate"/>
      </w:r>
      <w:r>
        <w:rPr>
          <w:rFonts w:hint="eastAsia" w:ascii="仿宋_GB2312" w:hAnsi="仿宋_GB2312" w:eastAsia="仿宋_GB2312" w:cs="仿宋_GB2312"/>
          <w:color w:val="auto"/>
          <w:kern w:val="0"/>
          <w:szCs w:val="21"/>
        </w:rPr>
        <w:drawing>
          <wp:inline distT="0" distB="0" distL="114300" distR="114300">
            <wp:extent cx="2526030" cy="1544320"/>
            <wp:effectExtent l="0" t="0" r="7620" b="17780"/>
            <wp:docPr id="37"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descr="IMG_256"/>
                    <pic:cNvPicPr>
                      <a:picLocks noChangeAspect="1"/>
                    </pic:cNvPicPr>
                  </pic:nvPicPr>
                  <pic:blipFill>
                    <a:blip r:embed="rId72"/>
                    <a:srcRect l="6508" t="1271" r="1160" b="541"/>
                    <a:stretch>
                      <a:fillRect/>
                    </a:stretch>
                  </pic:blipFill>
                  <pic:spPr>
                    <a:xfrm>
                      <a:off x="0" y="0"/>
                      <a:ext cx="2526030" cy="1544320"/>
                    </a:xfrm>
                    <a:prstGeom prst="rect">
                      <a:avLst/>
                    </a:prstGeom>
                    <a:noFill/>
                    <a:ln w="9525">
                      <a:noFill/>
                    </a:ln>
                  </pic:spPr>
                </pic:pic>
              </a:graphicData>
            </a:graphic>
          </wp:inline>
        </w:drawing>
      </w:r>
      <w:r>
        <w:rPr>
          <w:rFonts w:hint="eastAsia" w:ascii="仿宋_GB2312" w:hAnsi="仿宋_GB2312" w:eastAsia="仿宋_GB2312" w:cs="仿宋_GB2312"/>
          <w:color w:val="auto"/>
          <w:kern w:val="0"/>
          <w:szCs w:val="21"/>
          <w:lang w:bidi="ar"/>
        </w:rPr>
        <w:fldChar w:fldCharType="end"/>
      </w:r>
    </w:p>
    <w:p>
      <w:pPr>
        <w:pStyle w:val="4"/>
      </w:pPr>
      <w:bookmarkStart w:id="48" w:name="_Toc530"/>
      <w:r>
        <w:rPr>
          <w:rFonts w:hint="eastAsia"/>
        </w:rPr>
        <w:t>试验</w:t>
      </w:r>
      <w:bookmarkEnd w:id="48"/>
    </w:p>
    <w:p>
      <w:pPr>
        <w:ind w:firstLine="480"/>
      </w:pPr>
      <w:r>
        <w:rPr>
          <w:rFonts w:hint="eastAsia"/>
        </w:rPr>
        <w:t>（1）空载试验</w:t>
      </w:r>
    </w:p>
    <w:p>
      <w:pPr>
        <w:ind w:firstLine="480"/>
      </w:pPr>
      <w:r>
        <w:rPr>
          <w:rFonts w:hint="eastAsia"/>
        </w:rPr>
        <w:t>各机构应分别进行数次运行，然后再做三次综合动作运行，运行过程中各机构不得发生任何异常现象，各机构制动器、操作系统、控制系统、联锁装置及各限位器、限制器应动作准确、可靠，否则应及时排除故障。</w:t>
      </w:r>
    </w:p>
    <w:p>
      <w:pPr>
        <w:ind w:firstLine="480"/>
      </w:pPr>
      <w:r>
        <w:rPr>
          <w:rFonts w:hint="eastAsia"/>
        </w:rPr>
        <w:t>（2）负荷试验</w:t>
      </w:r>
    </w:p>
    <w:p>
      <w:pPr>
        <w:ind w:firstLine="480"/>
      </w:pPr>
      <w:r>
        <w:rPr>
          <w:rFonts w:hint="eastAsia"/>
        </w:rPr>
        <w:t>在最大幅度处分别吊对应额定起重量的25%，50%，75%，100%，按空载试验要求进行实验。运行过程中不得发生任何异常现象，各机构制动器、操作系统、控制系统、联锁装置及各限位器、限制器应动作准确、可靠。</w:t>
      </w:r>
    </w:p>
    <w:p>
      <w:pPr>
        <w:ind w:firstLine="480"/>
      </w:pPr>
      <w:r>
        <w:rPr>
          <w:rFonts w:hint="eastAsia"/>
        </w:rPr>
        <w:t>（3）超载10%静态试验</w:t>
      </w:r>
    </w:p>
    <w:p>
      <w:pPr>
        <w:ind w:firstLine="480"/>
      </w:pPr>
      <w:r>
        <w:rPr>
          <w:rFonts w:hint="eastAsia"/>
        </w:rPr>
        <w:t>在最大幅度处，吊重额定起重量的110%，对各机构对应的全程范围内动作三次，各机构应动作灵活，制动器动作可靠。机构及结构各部件无异常，连接无松动和破坏。</w:t>
      </w:r>
    </w:p>
    <w:p>
      <w:pPr>
        <w:pStyle w:val="3"/>
        <w:rPr>
          <w:rFonts w:hint="eastAsia"/>
          <w:sz w:val="32"/>
          <w:szCs w:val="32"/>
        </w:rPr>
      </w:pPr>
      <w:bookmarkStart w:id="49" w:name="_Toc10988"/>
      <w:r>
        <w:rPr>
          <w:rFonts w:hint="eastAsia"/>
          <w:sz w:val="32"/>
          <w:szCs w:val="32"/>
        </w:rPr>
        <w:t>质量控制措施</w:t>
      </w:r>
      <w:bookmarkEnd w:id="49"/>
    </w:p>
    <w:p>
      <w:pPr>
        <w:pStyle w:val="4"/>
        <w:bidi w:val="0"/>
        <w:ind w:left="0" w:leftChars="0" w:firstLine="0" w:firstLineChars="0"/>
        <w:rPr>
          <w:lang w:val="en-US" w:eastAsia="zh-CN"/>
        </w:rPr>
      </w:pPr>
      <w:bookmarkStart w:id="50" w:name="_Toc122514833"/>
      <w:bookmarkStart w:id="51" w:name="_Toc3450"/>
      <w:bookmarkStart w:id="52" w:name="_Toc7345"/>
      <w:bookmarkStart w:id="53" w:name="_Toc25993"/>
      <w:bookmarkStart w:id="54" w:name="_Toc24823"/>
      <w:r>
        <w:rPr>
          <w:lang w:val="en-US" w:eastAsia="zh-CN"/>
        </w:rPr>
        <w:t>质量管理组织机构</w:t>
      </w:r>
      <w:bookmarkEnd w:id="50"/>
      <w:bookmarkEnd w:id="51"/>
      <w:bookmarkEnd w:id="52"/>
      <w:bookmarkEnd w:id="53"/>
      <w:bookmarkEnd w:id="54"/>
    </w:p>
    <w:p>
      <w:pPr>
        <w:ind w:firstLine="480" w:firstLineChars="0"/>
        <w:rPr>
          <w:rFonts w:cs="Times New Roman"/>
          <w:szCs w:val="22"/>
        </w:rPr>
      </w:pPr>
      <w:bookmarkStart w:id="55" w:name="_Toc33269587"/>
      <w:bookmarkStart w:id="56" w:name="_Toc0"/>
      <w:bookmarkStart w:id="57" w:name="_Toc1444"/>
      <w:bookmarkStart w:id="58" w:name="_Toc17352"/>
      <w:r>
        <w:rPr>
          <w:rFonts w:cs="Times New Roman"/>
          <w:szCs w:val="22"/>
        </w:rPr>
        <w:t>项目部成立以项目经理为组长，项目总工程师为常务副组长、项目副经理、质量管理部部长等相关部门负责人参与组成的质量管理领导小组，对工程质量负全面领导责任，负责全面质量管理工作，协作队伍负责人、主管工程师具体落实，项目质量管理组织机构如下图所示。</w:t>
      </w:r>
    </w:p>
    <w:p>
      <w:pPr>
        <w:pStyle w:val="383"/>
        <w:ind w:firstLine="0" w:firstLineChars="0"/>
        <w:rPr>
          <w:rFonts w:cs="Times New Roman"/>
        </w:rPr>
      </w:pPr>
      <w:r>
        <w:drawing>
          <wp:inline distT="0" distB="0" distL="114300" distR="114300">
            <wp:extent cx="5906770" cy="3113405"/>
            <wp:effectExtent l="0" t="0" r="6350" b="1079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73"/>
                    <a:stretch>
                      <a:fillRect/>
                    </a:stretch>
                  </pic:blipFill>
                  <pic:spPr>
                    <a:xfrm>
                      <a:off x="0" y="0"/>
                      <a:ext cx="5906770" cy="3113405"/>
                    </a:xfrm>
                    <a:prstGeom prst="rect">
                      <a:avLst/>
                    </a:prstGeom>
                    <a:noFill/>
                    <a:ln>
                      <a:noFill/>
                    </a:ln>
                  </pic:spPr>
                </pic:pic>
              </a:graphicData>
            </a:graphic>
          </wp:inline>
        </w:drawing>
      </w:r>
    </w:p>
    <w:p>
      <w:pPr>
        <w:spacing w:line="360" w:lineRule="auto"/>
        <w:jc w:val="center"/>
        <w:rPr>
          <w:rFonts w:ascii="Times New Roman" w:hAnsi="Times New Roman" w:eastAsia="宋体" w:cs="Times New Roman"/>
          <w:b/>
          <w:kern w:val="2"/>
          <w:sz w:val="21"/>
          <w:szCs w:val="22"/>
          <w:lang w:val="en-US" w:eastAsia="zh-CN" w:bidi="ar-SA"/>
        </w:rPr>
      </w:pPr>
      <w:r>
        <w:rPr>
          <w:rFonts w:ascii="Times New Roman" w:hAnsi="Times New Roman" w:eastAsia="宋体" w:cs="Times New Roman"/>
          <w:b/>
          <w:kern w:val="2"/>
          <w:sz w:val="21"/>
          <w:szCs w:val="22"/>
          <w:lang w:val="en-US" w:eastAsia="zh-CN" w:bidi="ar-SA"/>
        </w:rPr>
        <w:t xml:space="preserve">图 </w:t>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STYLEREF 2 \s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5.1</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noBreakHyphen/>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SEQ 图 \* ARABIC \s 2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1</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t xml:space="preserve">  项目质量管理组织机构图</w:t>
      </w:r>
    </w:p>
    <w:p>
      <w:pPr>
        <w:pStyle w:val="4"/>
        <w:bidi w:val="0"/>
        <w:ind w:left="575" w:leftChars="0" w:hanging="575" w:firstLineChars="0"/>
        <w:rPr>
          <w:lang w:val="en-US" w:eastAsia="zh-CN"/>
        </w:rPr>
      </w:pPr>
      <w:bookmarkStart w:id="59" w:name="_Toc122514834"/>
      <w:bookmarkStart w:id="60" w:name="_Toc16062"/>
      <w:r>
        <w:rPr>
          <w:lang w:val="en-US" w:eastAsia="zh-CN"/>
        </w:rPr>
        <w:t>质量保证体系</w:t>
      </w:r>
      <w:bookmarkEnd w:id="55"/>
      <w:bookmarkEnd w:id="56"/>
      <w:bookmarkEnd w:id="57"/>
      <w:bookmarkEnd w:id="58"/>
      <w:bookmarkEnd w:id="59"/>
      <w:bookmarkEnd w:id="60"/>
    </w:p>
    <w:p>
      <w:pPr>
        <w:ind w:firstLine="480" w:firstLineChars="0"/>
        <w:rPr>
          <w:rFonts w:cs="Times New Roman"/>
          <w:szCs w:val="22"/>
        </w:rPr>
      </w:pPr>
      <w:r>
        <w:rPr>
          <w:rFonts w:cs="Times New Roman"/>
          <w:szCs w:val="22"/>
        </w:rPr>
        <w:t>项目部全面落实质量管理，全过程、全方位质量管理，确保工程施工质量有效管控。项目质量保证体系见下图。</w:t>
      </w:r>
    </w:p>
    <w:p>
      <w:pPr>
        <w:pStyle w:val="383"/>
        <w:ind w:firstLine="0" w:firstLineChars="0"/>
        <w:jc w:val="center"/>
        <w:rPr>
          <w:rFonts w:cs="Times New Roman"/>
        </w:rPr>
      </w:pPr>
      <w:r>
        <w:rPr>
          <w:rFonts w:eastAsia="仿宋_GB2312"/>
        </w:rPr>
        <w:object>
          <v:shape id="_x0000_i1026" o:spt="75" type="#_x0000_t75" style="height:562.35pt;width:419.7pt;" o:ole="t" filled="f" o:preferrelative="t" stroked="f" coordsize="21600,21600">
            <v:path/>
            <v:fill on="f" focussize="0,0"/>
            <v:stroke on="f"/>
            <v:imagedata r:id="rId74" o:title=""/>
            <o:lock v:ext="edit" aspectratio="t"/>
            <w10:wrap type="none"/>
            <w10:anchorlock/>
          </v:shape>
          <o:OLEObject Type="Embed" ProgID="Visio.Drawing.15" ShapeID="_x0000_i1026" DrawAspect="Content" ObjectID="_1468075726">
            <o:LockedField>false</o:LockedField>
          </o:OLEObject>
        </w:object>
      </w:r>
    </w:p>
    <w:p>
      <w:pPr>
        <w:spacing w:line="360" w:lineRule="auto"/>
        <w:jc w:val="center"/>
        <w:rPr>
          <w:rFonts w:ascii="Times New Roman" w:hAnsi="Times New Roman" w:eastAsia="宋体" w:cs="Times New Roman"/>
          <w:b/>
          <w:kern w:val="2"/>
          <w:sz w:val="21"/>
          <w:szCs w:val="22"/>
          <w:lang w:val="en-US" w:eastAsia="zh-CN" w:bidi="ar-SA"/>
        </w:rPr>
      </w:pPr>
      <w:r>
        <w:rPr>
          <w:rFonts w:ascii="Times New Roman" w:hAnsi="Times New Roman" w:eastAsia="宋体" w:cs="Times New Roman"/>
          <w:b/>
          <w:kern w:val="2"/>
          <w:sz w:val="21"/>
          <w:szCs w:val="22"/>
          <w:lang w:val="en-US" w:eastAsia="zh-CN" w:bidi="ar-SA"/>
        </w:rPr>
        <w:t xml:space="preserve">图 </w:t>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STYLEREF 2 \s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5.2</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noBreakHyphen/>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SEQ 图 \* ARABIC \s 2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1</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t xml:space="preserve">  项目质量保证体系图</w:t>
      </w:r>
    </w:p>
    <w:p>
      <w:pPr>
        <w:pStyle w:val="4"/>
      </w:pPr>
      <w:bookmarkStart w:id="61" w:name="_Toc12455"/>
      <w:r>
        <w:rPr>
          <w:rFonts w:hint="eastAsia"/>
        </w:rPr>
        <w:t>质量通病及质量通病预防</w:t>
      </w:r>
      <w:bookmarkEnd w:id="61"/>
    </w:p>
    <w:p>
      <w:pPr>
        <w:pStyle w:val="16"/>
        <w:rPr>
          <w:bCs/>
          <w:snapToGrid w:val="0"/>
        </w:rPr>
      </w:pPr>
      <w:r>
        <w:t xml:space="preserve">表 </w:t>
      </w:r>
      <w:r>
        <w:fldChar w:fldCharType="begin"/>
      </w:r>
      <w:r>
        <w:instrText xml:space="preserve"> STYLEREF 3 \s </w:instrText>
      </w:r>
      <w:r>
        <w:fldChar w:fldCharType="separate"/>
      </w:r>
      <w:r>
        <w:t>4.8.12</w:t>
      </w:r>
      <w:r>
        <w:fldChar w:fldCharType="end"/>
      </w:r>
      <w:r>
        <w:noBreakHyphen/>
      </w:r>
      <w:r>
        <w:fldChar w:fldCharType="begin"/>
      </w:r>
      <w:r>
        <w:instrText xml:space="preserve"> SEQ 表 \* ARABIC \s 3 </w:instrText>
      </w:r>
      <w:r>
        <w:fldChar w:fldCharType="separate"/>
      </w:r>
      <w:r>
        <w:t>1</w:t>
      </w:r>
      <w:r>
        <w:fldChar w:fldCharType="end"/>
      </w:r>
      <w:r>
        <w:rPr>
          <w:rFonts w:hint="eastAsia"/>
          <w:bCs/>
          <w:snapToGrid w:val="0"/>
        </w:rPr>
        <w:t>塔吊安装质量通病预防措施</w:t>
      </w:r>
    </w:p>
    <w:tbl>
      <w:tblPr>
        <w:tblStyle w:val="42"/>
        <w:tblW w:w="8787"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2"/>
        <w:gridCol w:w="1308"/>
        <w:gridCol w:w="6657"/>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shd w:val="clear" w:color="auto" w:fill="C7DAF1" w:themeFill="text2" w:themeFillTint="32"/>
            <w:vAlign w:val="center"/>
          </w:tcPr>
          <w:p>
            <w:pPr>
              <w:pStyle w:val="65"/>
            </w:pPr>
            <w:r>
              <w:rPr>
                <w:rFonts w:hint="eastAsia"/>
              </w:rPr>
              <w:t>项次</w:t>
            </w:r>
          </w:p>
        </w:tc>
        <w:tc>
          <w:tcPr>
            <w:tcW w:w="1308" w:type="dxa"/>
            <w:tcBorders>
              <w:tl2br w:val="nil"/>
              <w:tr2bl w:val="nil"/>
            </w:tcBorders>
            <w:shd w:val="clear" w:color="auto" w:fill="C7DAF1" w:themeFill="text2" w:themeFillTint="32"/>
            <w:vAlign w:val="center"/>
          </w:tcPr>
          <w:p>
            <w:pPr>
              <w:pStyle w:val="65"/>
            </w:pPr>
            <w:r>
              <w:rPr>
                <w:rFonts w:hint="eastAsia"/>
              </w:rPr>
              <w:t>质量通病</w:t>
            </w:r>
          </w:p>
        </w:tc>
        <w:tc>
          <w:tcPr>
            <w:tcW w:w="6657" w:type="dxa"/>
            <w:tcBorders>
              <w:tl2br w:val="nil"/>
              <w:tr2bl w:val="nil"/>
            </w:tcBorders>
            <w:shd w:val="clear" w:color="auto" w:fill="C7DAF1" w:themeFill="text2" w:themeFillTint="32"/>
            <w:vAlign w:val="center"/>
          </w:tcPr>
          <w:p>
            <w:pPr>
              <w:pStyle w:val="65"/>
            </w:pPr>
            <w:r>
              <w:rPr>
                <w:rFonts w:hint="eastAsia"/>
              </w:rPr>
              <w:t>预防措施</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pPr>
              <w:pStyle w:val="65"/>
            </w:pPr>
            <w:r>
              <w:rPr>
                <w:rFonts w:hint="eastAsia"/>
              </w:rPr>
              <w:t>1</w:t>
            </w:r>
          </w:p>
        </w:tc>
        <w:tc>
          <w:tcPr>
            <w:tcW w:w="1308" w:type="dxa"/>
            <w:tcBorders>
              <w:tl2br w:val="nil"/>
              <w:tr2bl w:val="nil"/>
            </w:tcBorders>
            <w:vAlign w:val="center"/>
          </w:tcPr>
          <w:p>
            <w:pPr>
              <w:pStyle w:val="65"/>
            </w:pPr>
            <w:r>
              <w:rPr>
                <w:rFonts w:hint="eastAsia"/>
              </w:rPr>
              <w:t>安装作业前未对设备进行全面检查</w:t>
            </w:r>
          </w:p>
        </w:tc>
        <w:tc>
          <w:tcPr>
            <w:tcW w:w="6657" w:type="dxa"/>
            <w:tcBorders>
              <w:tl2br w:val="nil"/>
              <w:tr2bl w:val="nil"/>
            </w:tcBorders>
            <w:vAlign w:val="center"/>
          </w:tcPr>
          <w:p>
            <w:pPr>
              <w:pStyle w:val="65"/>
            </w:pPr>
            <w:r>
              <w:rPr>
                <w:rFonts w:hint="eastAsia"/>
              </w:rPr>
              <w:t>在对整机进行安装作前，安装人员，尤其是安装队的负责人应对塔吊进行全面的检查，确保钢结构无裂纹及不可恢复的塑性变形，焊缝无开裂现象，各安全装置齐全、有效，如发现问题应及时的采取措施，以免在塔吊安装作过程中发生事故。</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pPr>
              <w:pStyle w:val="65"/>
            </w:pPr>
            <w:r>
              <w:rPr>
                <w:rFonts w:hint="eastAsia"/>
              </w:rPr>
              <w:t>2</w:t>
            </w:r>
          </w:p>
        </w:tc>
        <w:tc>
          <w:tcPr>
            <w:tcW w:w="1308" w:type="dxa"/>
            <w:tcBorders>
              <w:tl2br w:val="nil"/>
              <w:tr2bl w:val="nil"/>
            </w:tcBorders>
            <w:vAlign w:val="center"/>
          </w:tcPr>
          <w:p>
            <w:pPr>
              <w:pStyle w:val="65"/>
            </w:pPr>
            <w:r>
              <w:rPr>
                <w:rFonts w:hint="eastAsia"/>
              </w:rPr>
              <w:t>施工工艺</w:t>
            </w:r>
          </w:p>
          <w:p>
            <w:pPr>
              <w:pStyle w:val="65"/>
            </w:pPr>
            <w:r>
              <w:rPr>
                <w:rFonts w:hint="eastAsia"/>
              </w:rPr>
              <w:t>粗糙</w:t>
            </w:r>
          </w:p>
        </w:tc>
        <w:tc>
          <w:tcPr>
            <w:tcW w:w="6657" w:type="dxa"/>
            <w:tcBorders>
              <w:tl2br w:val="nil"/>
              <w:tr2bl w:val="nil"/>
            </w:tcBorders>
            <w:vAlign w:val="center"/>
          </w:tcPr>
          <w:p>
            <w:pPr>
              <w:pStyle w:val="65"/>
            </w:pPr>
            <w:r>
              <w:rPr>
                <w:rFonts w:hint="eastAsia"/>
              </w:rPr>
              <w:t>要求在施工准备阶段，技术人员在熟悉图纸、规范、标准的基础上，根据具体的施工条件，制定周密可行的施工技术措施。施工</w:t>
            </w:r>
            <w:r>
              <w:rPr>
                <w:rFonts w:hint="eastAsia"/>
                <w:color w:val="000000" w:themeColor="text1"/>
                <w14:textFill>
                  <w14:solidFill>
                    <w14:schemeClr w14:val="tx1"/>
                  </w14:solidFill>
                </w14:textFill>
              </w:rPr>
              <w:t>前做好技术交底工作，使每个施工人员都清楚安装过程中需控制的质量标</w:t>
            </w:r>
            <w:r>
              <w:rPr>
                <w:rFonts w:hint="eastAsia"/>
              </w:rPr>
              <w:t>准。施工人员在熟悉各种构件的特点后，参考以往的施工经验，确定一套科学的施工方法，并在施工中不断总结经验，使施工方法日趋完善和合理。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22" w:type="dxa"/>
            <w:tcBorders>
              <w:tl2br w:val="nil"/>
              <w:tr2bl w:val="nil"/>
            </w:tcBorders>
            <w:vAlign w:val="center"/>
          </w:tcPr>
          <w:p>
            <w:pPr>
              <w:pStyle w:val="65"/>
            </w:pPr>
            <w:r>
              <w:rPr>
                <w:rFonts w:hint="eastAsia"/>
              </w:rPr>
              <w:t>3</w:t>
            </w:r>
          </w:p>
        </w:tc>
        <w:tc>
          <w:tcPr>
            <w:tcW w:w="1308" w:type="dxa"/>
            <w:tcBorders>
              <w:tl2br w:val="nil"/>
              <w:tr2bl w:val="nil"/>
            </w:tcBorders>
            <w:vAlign w:val="center"/>
          </w:tcPr>
          <w:p>
            <w:pPr>
              <w:pStyle w:val="65"/>
            </w:pPr>
            <w:r>
              <w:rPr>
                <w:rFonts w:hint="eastAsia"/>
              </w:rPr>
              <w:t>吊索具未进行检查和使用不当</w:t>
            </w:r>
          </w:p>
        </w:tc>
        <w:tc>
          <w:tcPr>
            <w:tcW w:w="6657" w:type="dxa"/>
            <w:tcBorders>
              <w:tl2br w:val="nil"/>
              <w:tr2bl w:val="nil"/>
            </w:tcBorders>
            <w:vAlign w:val="center"/>
          </w:tcPr>
          <w:p>
            <w:pPr>
              <w:pStyle w:val="65"/>
            </w:pPr>
            <w:r>
              <w:rPr>
                <w:rFonts w:hint="eastAsia"/>
              </w:rPr>
              <w:t>塔吊的安装作业的吊装工具主要是钢丝绳和卡扣，在进行吊装作业前，应对各吊装的吊索具进行全面的检查，确保钢丝绳无断丝、断股现象，对已达到报废标准的应停止使用，卡具无严重变形和磨损。在进行部件吊装时，安装队负责人首先要对待安装部件的重量要非常清楚，尤其是重量较大的部件，严格按照施工的方案选用吊索具，保证6倍以上的安全系数。</w:t>
            </w:r>
          </w:p>
        </w:tc>
      </w:tr>
    </w:tbl>
    <w:p>
      <w:pPr>
        <w:pStyle w:val="4"/>
      </w:pPr>
      <w:bookmarkStart w:id="62" w:name="_Toc533345492"/>
      <w:bookmarkStart w:id="63" w:name="_Toc22190"/>
      <w:bookmarkStart w:id="64" w:name="_Toc22624"/>
      <w:r>
        <w:rPr>
          <w:rFonts w:hint="eastAsia"/>
        </w:rPr>
        <w:t>质量保证措施</w:t>
      </w:r>
      <w:bookmarkEnd w:id="62"/>
      <w:bookmarkEnd w:id="63"/>
      <w:bookmarkEnd w:id="64"/>
    </w:p>
    <w:p>
      <w:pPr>
        <w:ind w:firstLine="480"/>
      </w:pPr>
      <w:r>
        <w:rPr>
          <w:rFonts w:hint="eastAsia"/>
        </w:rPr>
        <w:t>为了保证塔吊安装质量，树立良好的质量信誉，全面贯彻落实公司制定的质量管理作业文件，实现对施工过程的有效控制，特制定以下控制措施：</w:t>
      </w:r>
    </w:p>
    <w:p>
      <w:pPr>
        <w:ind w:firstLine="480"/>
      </w:pPr>
      <w:r>
        <w:rPr>
          <w:rFonts w:hint="eastAsia"/>
        </w:rPr>
        <w:t>（1）作业前由技术员及工长组织作业人员认真学习图纸、资料，了解作业技术要求，掌握作业方法和作业要领。同时宣传质量，提高意识，加强作业人员的工作责任心。</w:t>
      </w:r>
    </w:p>
    <w:p>
      <w:pPr>
        <w:ind w:firstLine="480"/>
      </w:pPr>
      <w:r>
        <w:rPr>
          <w:rFonts w:hint="eastAsia"/>
        </w:rPr>
        <w:t>（</w:t>
      </w:r>
      <w:r>
        <w:t>2</w:t>
      </w:r>
      <w:r>
        <w:rPr>
          <w:rFonts w:hint="eastAsia"/>
        </w:rPr>
        <w:t>）对重要工序的作业方法、作业要领，应进行作业前的施工技术培训。</w:t>
      </w:r>
    </w:p>
    <w:p>
      <w:pPr>
        <w:ind w:firstLine="480"/>
      </w:pPr>
      <w:r>
        <w:rPr>
          <w:rFonts w:hint="eastAsia"/>
        </w:rPr>
        <w:t>（</w:t>
      </w:r>
      <w:r>
        <w:t>3</w:t>
      </w:r>
      <w:r>
        <w:rPr>
          <w:rFonts w:hint="eastAsia"/>
        </w:rPr>
        <w:t>）认真做好作业前的技术交底工作，使每个作业人员充分的理解施工工艺和技术要求，达到作业人员对工作心中有数，交底后必须双方签字。</w:t>
      </w:r>
    </w:p>
    <w:p>
      <w:pPr>
        <w:ind w:firstLine="480"/>
      </w:pPr>
      <w:r>
        <w:rPr>
          <w:rFonts w:hint="eastAsia"/>
        </w:rPr>
        <w:t>（</w:t>
      </w:r>
      <w:r>
        <w:t>4</w:t>
      </w:r>
      <w:r>
        <w:rPr>
          <w:rFonts w:hint="eastAsia"/>
        </w:rPr>
        <w:t>）班长和</w:t>
      </w:r>
      <w:r>
        <w:rPr>
          <w:rFonts w:hint="eastAsia"/>
          <w:color w:val="000000" w:themeColor="text1"/>
          <w14:textFill>
            <w14:solidFill>
              <w14:schemeClr w14:val="tx1"/>
            </w14:solidFill>
          </w14:textFill>
        </w:rPr>
        <w:t>安全员认真做好作业过程的质量监督控制，确保每一道工序的施工质量以及工序间合理衔接，不留缺陷，不留尾工，认真做好</w:t>
      </w:r>
      <w:r>
        <w:rPr>
          <w:rFonts w:hint="eastAsia"/>
        </w:rPr>
        <w:t>作业后的自检工作。</w:t>
      </w:r>
    </w:p>
    <w:p>
      <w:pPr>
        <w:ind w:firstLine="480"/>
      </w:pPr>
      <w:r>
        <w:rPr>
          <w:rFonts w:hint="eastAsia"/>
        </w:rPr>
        <w:t>（</w:t>
      </w:r>
      <w:r>
        <w:t>5</w:t>
      </w:r>
      <w:r>
        <w:rPr>
          <w:rFonts w:hint="eastAsia"/>
        </w:rPr>
        <w:t>）对作业中容易发生的质量问题，作业前做出预测，并采取有效的、可操作的预防措施，消除施工质量缺陷。</w:t>
      </w:r>
    </w:p>
    <w:p>
      <w:pPr>
        <w:ind w:firstLine="480"/>
      </w:pPr>
      <w:r>
        <w:rPr>
          <w:rFonts w:hint="eastAsia"/>
        </w:rPr>
        <w:t>（</w:t>
      </w:r>
      <w:r>
        <w:t>6</w:t>
      </w:r>
      <w:r>
        <w:rPr>
          <w:rFonts w:hint="eastAsia"/>
        </w:rPr>
        <w:t>）作业中发现设备缺陷或施工质量问题，及时向技术员提出并采取措施后进行处理。重大质量问题必须停工，待提出处理意见或制定整改措施后方可进行整改。</w:t>
      </w:r>
    </w:p>
    <w:p>
      <w:pPr>
        <w:ind w:firstLine="480"/>
      </w:pPr>
      <w:r>
        <w:rPr>
          <w:rFonts w:hint="eastAsia"/>
        </w:rPr>
        <w:t>（</w:t>
      </w:r>
      <w:r>
        <w:t>7</w:t>
      </w:r>
      <w:r>
        <w:rPr>
          <w:rFonts w:hint="eastAsia"/>
        </w:rPr>
        <w:t>）积极配合项目部工程管理部门和监理的质检工作，对查出的质量问题积极并及时的进行处理。</w:t>
      </w:r>
    </w:p>
    <w:p>
      <w:pPr>
        <w:pStyle w:val="4"/>
      </w:pPr>
      <w:bookmarkStart w:id="65" w:name="_Toc19269"/>
      <w:r>
        <w:rPr>
          <w:rFonts w:hint="eastAsia"/>
        </w:rPr>
        <w:t>作业过程中控制点的设置</w:t>
      </w:r>
      <w:bookmarkEnd w:id="65"/>
    </w:p>
    <w:p>
      <w:pPr>
        <w:pStyle w:val="16"/>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4.8.12</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t>1</w:t>
      </w:r>
      <w:r>
        <w:fldChar w:fldCharType="end"/>
      </w:r>
      <w:r>
        <w:rPr>
          <w:rFonts w:hint="eastAsia"/>
        </w:rPr>
        <w:t>关键控制点设置</w:t>
      </w:r>
    </w:p>
    <w:tbl>
      <w:tblPr>
        <w:tblStyle w:val="42"/>
        <w:tblW w:w="9049"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6"/>
        <w:gridCol w:w="3895"/>
        <w:gridCol w:w="810"/>
        <w:gridCol w:w="949"/>
        <w:gridCol w:w="954"/>
        <w:gridCol w:w="701"/>
        <w:gridCol w:w="854"/>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6" w:type="dxa"/>
            <w:vMerge w:val="restart"/>
            <w:tcBorders>
              <w:tl2br w:val="nil"/>
              <w:tr2bl w:val="nil"/>
            </w:tcBorders>
            <w:shd w:val="clear" w:color="auto" w:fill="C7DAF1" w:themeFill="text2" w:themeFillTint="32"/>
            <w:vAlign w:val="center"/>
          </w:tcPr>
          <w:p>
            <w:pPr>
              <w:pStyle w:val="65"/>
            </w:pPr>
            <w:r>
              <w:rPr>
                <w:rFonts w:hint="eastAsia"/>
              </w:rPr>
              <w:t>序号</w:t>
            </w:r>
          </w:p>
        </w:tc>
        <w:tc>
          <w:tcPr>
            <w:tcW w:w="3895" w:type="dxa"/>
            <w:vMerge w:val="restart"/>
            <w:tcBorders>
              <w:tl2br w:val="nil"/>
              <w:tr2bl w:val="nil"/>
            </w:tcBorders>
            <w:shd w:val="clear" w:color="auto" w:fill="C7DAF1" w:themeFill="text2" w:themeFillTint="32"/>
            <w:vAlign w:val="center"/>
          </w:tcPr>
          <w:p>
            <w:pPr>
              <w:pStyle w:val="65"/>
            </w:pPr>
            <w:r>
              <w:rPr>
                <w:rFonts w:hint="eastAsia"/>
              </w:rPr>
              <w:t>作业控制点</w:t>
            </w:r>
          </w:p>
        </w:tc>
        <w:tc>
          <w:tcPr>
            <w:tcW w:w="3414" w:type="dxa"/>
            <w:gridSpan w:val="4"/>
            <w:tcBorders>
              <w:tl2br w:val="nil"/>
              <w:tr2bl w:val="nil"/>
            </w:tcBorders>
            <w:shd w:val="clear" w:color="auto" w:fill="C7DAF1" w:themeFill="text2" w:themeFillTint="32"/>
            <w:vAlign w:val="center"/>
          </w:tcPr>
          <w:p>
            <w:pPr>
              <w:pStyle w:val="65"/>
            </w:pPr>
            <w:r>
              <w:rPr>
                <w:rFonts w:hint="eastAsia"/>
              </w:rPr>
              <w:t>检验单位</w:t>
            </w:r>
          </w:p>
        </w:tc>
        <w:tc>
          <w:tcPr>
            <w:tcW w:w="854" w:type="dxa"/>
            <w:vMerge w:val="restart"/>
            <w:tcBorders>
              <w:tl2br w:val="nil"/>
              <w:tr2bl w:val="nil"/>
            </w:tcBorders>
            <w:shd w:val="clear" w:color="auto" w:fill="C7DAF1" w:themeFill="text2" w:themeFillTint="32"/>
            <w:vAlign w:val="center"/>
          </w:tcPr>
          <w:p>
            <w:pPr>
              <w:pStyle w:val="65"/>
            </w:pPr>
            <w:r>
              <w:rPr>
                <w:rFonts w:hint="eastAsia"/>
              </w:rPr>
              <w:t>见证</w:t>
            </w:r>
          </w:p>
          <w:p>
            <w:pPr>
              <w:pStyle w:val="65"/>
            </w:pPr>
            <w:r>
              <w:rPr>
                <w:rFonts w:hint="eastAsia"/>
              </w:rPr>
              <w:t>方式</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6" w:type="dxa"/>
            <w:vMerge w:val="continue"/>
            <w:tcBorders>
              <w:tl2br w:val="nil"/>
              <w:tr2bl w:val="nil"/>
            </w:tcBorders>
            <w:shd w:val="clear" w:color="auto" w:fill="C7DAF1" w:themeFill="text2" w:themeFillTint="32"/>
            <w:vAlign w:val="center"/>
          </w:tcPr>
          <w:p>
            <w:pPr>
              <w:pStyle w:val="65"/>
            </w:pPr>
          </w:p>
        </w:tc>
        <w:tc>
          <w:tcPr>
            <w:tcW w:w="3895" w:type="dxa"/>
            <w:vMerge w:val="continue"/>
            <w:tcBorders>
              <w:tl2br w:val="nil"/>
              <w:tr2bl w:val="nil"/>
            </w:tcBorders>
            <w:shd w:val="clear" w:color="auto" w:fill="C7DAF1" w:themeFill="text2" w:themeFillTint="32"/>
            <w:vAlign w:val="center"/>
          </w:tcPr>
          <w:p>
            <w:pPr>
              <w:pStyle w:val="65"/>
            </w:pPr>
          </w:p>
        </w:tc>
        <w:tc>
          <w:tcPr>
            <w:tcW w:w="810" w:type="dxa"/>
            <w:tcBorders>
              <w:tl2br w:val="nil"/>
              <w:tr2bl w:val="nil"/>
            </w:tcBorders>
            <w:shd w:val="clear" w:color="auto" w:fill="C7DAF1" w:themeFill="text2" w:themeFillTint="32"/>
            <w:vAlign w:val="center"/>
          </w:tcPr>
          <w:p>
            <w:pPr>
              <w:pStyle w:val="65"/>
            </w:pPr>
            <w:r>
              <w:rPr>
                <w:rFonts w:hint="eastAsia"/>
              </w:rPr>
              <w:t>班组</w:t>
            </w:r>
          </w:p>
        </w:tc>
        <w:tc>
          <w:tcPr>
            <w:tcW w:w="949" w:type="dxa"/>
            <w:tcBorders>
              <w:tl2br w:val="nil"/>
              <w:tr2bl w:val="nil"/>
            </w:tcBorders>
            <w:shd w:val="clear" w:color="auto" w:fill="C7DAF1" w:themeFill="text2" w:themeFillTint="32"/>
            <w:vAlign w:val="center"/>
          </w:tcPr>
          <w:p>
            <w:pPr>
              <w:pStyle w:val="65"/>
            </w:pPr>
            <w:r>
              <w:rPr>
                <w:rFonts w:hint="eastAsia"/>
              </w:rPr>
              <w:t>专业</w:t>
            </w:r>
          </w:p>
          <w:p>
            <w:pPr>
              <w:pStyle w:val="65"/>
            </w:pPr>
            <w:r>
              <w:rPr>
                <w:rFonts w:hint="eastAsia"/>
              </w:rPr>
              <w:t>公司</w:t>
            </w:r>
          </w:p>
        </w:tc>
        <w:tc>
          <w:tcPr>
            <w:tcW w:w="954" w:type="dxa"/>
            <w:tcBorders>
              <w:tl2br w:val="nil"/>
              <w:tr2bl w:val="nil"/>
            </w:tcBorders>
            <w:shd w:val="clear" w:color="auto" w:fill="C7DAF1" w:themeFill="text2" w:themeFillTint="32"/>
            <w:vAlign w:val="center"/>
          </w:tcPr>
          <w:p>
            <w:pPr>
              <w:pStyle w:val="65"/>
            </w:pPr>
            <w:r>
              <w:rPr>
                <w:rFonts w:hint="eastAsia"/>
              </w:rPr>
              <w:t>项目质检部门</w:t>
            </w:r>
          </w:p>
        </w:tc>
        <w:tc>
          <w:tcPr>
            <w:tcW w:w="701" w:type="dxa"/>
            <w:tcBorders>
              <w:tl2br w:val="nil"/>
              <w:tr2bl w:val="nil"/>
            </w:tcBorders>
            <w:shd w:val="clear" w:color="auto" w:fill="C7DAF1" w:themeFill="text2" w:themeFillTint="32"/>
            <w:vAlign w:val="center"/>
          </w:tcPr>
          <w:p>
            <w:pPr>
              <w:pStyle w:val="65"/>
            </w:pPr>
            <w:r>
              <w:rPr>
                <w:rFonts w:hint="eastAsia"/>
              </w:rPr>
              <w:t>监理</w:t>
            </w:r>
          </w:p>
        </w:tc>
        <w:tc>
          <w:tcPr>
            <w:tcW w:w="854" w:type="dxa"/>
            <w:vMerge w:val="continue"/>
            <w:tcBorders>
              <w:tl2br w:val="nil"/>
              <w:tr2bl w:val="nil"/>
            </w:tcBorders>
            <w:shd w:val="clear" w:color="auto" w:fill="C7DAF1" w:themeFill="text2" w:themeFillTint="32"/>
            <w:vAlign w:val="center"/>
          </w:tcPr>
          <w:p>
            <w:pPr>
              <w:pStyle w:val="65"/>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6" w:type="dxa"/>
            <w:tcBorders>
              <w:tl2br w:val="nil"/>
              <w:tr2bl w:val="nil"/>
            </w:tcBorders>
            <w:vAlign w:val="center"/>
          </w:tcPr>
          <w:p>
            <w:pPr>
              <w:pStyle w:val="65"/>
            </w:pPr>
            <w:r>
              <w:rPr>
                <w:rFonts w:hint="eastAsia"/>
              </w:rPr>
              <w:t>1</w:t>
            </w:r>
          </w:p>
        </w:tc>
        <w:tc>
          <w:tcPr>
            <w:tcW w:w="3895" w:type="dxa"/>
            <w:tcBorders>
              <w:tl2br w:val="nil"/>
              <w:tr2bl w:val="nil"/>
            </w:tcBorders>
            <w:vAlign w:val="center"/>
          </w:tcPr>
          <w:p>
            <w:pPr>
              <w:pStyle w:val="65"/>
            </w:pPr>
            <w:r>
              <w:rPr>
                <w:rFonts w:hint="eastAsia"/>
              </w:rPr>
              <w:t>施工中防止部件磕碰和交叉作业现象</w:t>
            </w:r>
          </w:p>
        </w:tc>
        <w:tc>
          <w:tcPr>
            <w:tcW w:w="810" w:type="dxa"/>
            <w:tcBorders>
              <w:tl2br w:val="nil"/>
              <w:tr2bl w:val="nil"/>
            </w:tcBorders>
            <w:vAlign w:val="center"/>
          </w:tcPr>
          <w:p>
            <w:pPr>
              <w:pStyle w:val="65"/>
            </w:pPr>
            <w:r>
              <w:rPr>
                <w:rFonts w:hint="eastAsia"/>
              </w:rPr>
              <w:t>★</w:t>
            </w:r>
          </w:p>
        </w:tc>
        <w:tc>
          <w:tcPr>
            <w:tcW w:w="949" w:type="dxa"/>
            <w:tcBorders>
              <w:tl2br w:val="nil"/>
              <w:tr2bl w:val="nil"/>
            </w:tcBorders>
            <w:vAlign w:val="center"/>
          </w:tcPr>
          <w:p>
            <w:pPr>
              <w:pStyle w:val="65"/>
            </w:pPr>
          </w:p>
        </w:tc>
        <w:tc>
          <w:tcPr>
            <w:tcW w:w="954" w:type="dxa"/>
            <w:tcBorders>
              <w:tl2br w:val="nil"/>
              <w:tr2bl w:val="nil"/>
            </w:tcBorders>
            <w:vAlign w:val="center"/>
          </w:tcPr>
          <w:p>
            <w:pPr>
              <w:pStyle w:val="65"/>
            </w:pPr>
            <w:r>
              <w:rPr>
                <w:rFonts w:hint="eastAsia"/>
              </w:rPr>
              <w:t>★</w:t>
            </w:r>
          </w:p>
        </w:tc>
        <w:tc>
          <w:tcPr>
            <w:tcW w:w="701" w:type="dxa"/>
            <w:tcBorders>
              <w:tl2br w:val="nil"/>
              <w:tr2bl w:val="nil"/>
            </w:tcBorders>
            <w:vAlign w:val="center"/>
          </w:tcPr>
          <w:p>
            <w:pPr>
              <w:pStyle w:val="65"/>
            </w:pPr>
          </w:p>
        </w:tc>
        <w:tc>
          <w:tcPr>
            <w:tcW w:w="854" w:type="dxa"/>
            <w:tcBorders>
              <w:tl2br w:val="nil"/>
              <w:tr2bl w:val="nil"/>
            </w:tcBorders>
            <w:vAlign w:val="center"/>
          </w:tcPr>
          <w:p>
            <w:pPr>
              <w:pStyle w:val="65"/>
            </w:pPr>
            <w:r>
              <w:rPr>
                <w:rFonts w:hint="eastAsia"/>
              </w:rPr>
              <w:t>R</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6" w:type="dxa"/>
            <w:tcBorders>
              <w:tl2br w:val="nil"/>
              <w:tr2bl w:val="nil"/>
            </w:tcBorders>
            <w:vAlign w:val="center"/>
          </w:tcPr>
          <w:p>
            <w:pPr>
              <w:pStyle w:val="65"/>
            </w:pPr>
            <w:r>
              <w:rPr>
                <w:rFonts w:hint="eastAsia"/>
              </w:rPr>
              <w:t>2</w:t>
            </w:r>
          </w:p>
        </w:tc>
        <w:tc>
          <w:tcPr>
            <w:tcW w:w="3895" w:type="dxa"/>
            <w:tcBorders>
              <w:tl2br w:val="nil"/>
              <w:tr2bl w:val="nil"/>
            </w:tcBorders>
            <w:vAlign w:val="center"/>
          </w:tcPr>
          <w:p>
            <w:pPr>
              <w:pStyle w:val="65"/>
            </w:pPr>
            <w:r>
              <w:rPr>
                <w:rFonts w:hint="eastAsia"/>
              </w:rPr>
              <w:t>作业工机具、卡索具完好无损，无人员、设备损伤</w:t>
            </w:r>
          </w:p>
        </w:tc>
        <w:tc>
          <w:tcPr>
            <w:tcW w:w="810" w:type="dxa"/>
            <w:tcBorders>
              <w:tl2br w:val="nil"/>
              <w:tr2bl w:val="nil"/>
            </w:tcBorders>
            <w:vAlign w:val="center"/>
          </w:tcPr>
          <w:p>
            <w:pPr>
              <w:pStyle w:val="65"/>
            </w:pPr>
            <w:r>
              <w:rPr>
                <w:rFonts w:hint="eastAsia"/>
              </w:rPr>
              <w:t>★</w:t>
            </w:r>
          </w:p>
        </w:tc>
        <w:tc>
          <w:tcPr>
            <w:tcW w:w="949" w:type="dxa"/>
            <w:tcBorders>
              <w:tl2br w:val="nil"/>
              <w:tr2bl w:val="nil"/>
            </w:tcBorders>
            <w:vAlign w:val="center"/>
          </w:tcPr>
          <w:p>
            <w:pPr>
              <w:pStyle w:val="65"/>
            </w:pPr>
          </w:p>
        </w:tc>
        <w:tc>
          <w:tcPr>
            <w:tcW w:w="954" w:type="dxa"/>
            <w:tcBorders>
              <w:tl2br w:val="nil"/>
              <w:tr2bl w:val="nil"/>
            </w:tcBorders>
            <w:vAlign w:val="center"/>
          </w:tcPr>
          <w:p>
            <w:pPr>
              <w:pStyle w:val="65"/>
            </w:pPr>
            <w:r>
              <w:rPr>
                <w:rFonts w:hint="eastAsia"/>
              </w:rPr>
              <w:t>★</w:t>
            </w:r>
          </w:p>
        </w:tc>
        <w:tc>
          <w:tcPr>
            <w:tcW w:w="701" w:type="dxa"/>
            <w:tcBorders>
              <w:tl2br w:val="nil"/>
              <w:tr2bl w:val="nil"/>
            </w:tcBorders>
            <w:vAlign w:val="center"/>
          </w:tcPr>
          <w:p>
            <w:pPr>
              <w:pStyle w:val="65"/>
            </w:pPr>
          </w:p>
        </w:tc>
        <w:tc>
          <w:tcPr>
            <w:tcW w:w="854" w:type="dxa"/>
            <w:tcBorders>
              <w:tl2br w:val="nil"/>
              <w:tr2bl w:val="nil"/>
            </w:tcBorders>
            <w:vAlign w:val="center"/>
          </w:tcPr>
          <w:p>
            <w:pPr>
              <w:pStyle w:val="65"/>
            </w:pPr>
            <w:r>
              <w:rPr>
                <w:rFonts w:hint="eastAsia"/>
              </w:rPr>
              <w:t>S</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6" w:type="dxa"/>
            <w:tcBorders>
              <w:tl2br w:val="nil"/>
              <w:tr2bl w:val="nil"/>
            </w:tcBorders>
            <w:vAlign w:val="center"/>
          </w:tcPr>
          <w:p>
            <w:pPr>
              <w:pStyle w:val="65"/>
            </w:pPr>
            <w:r>
              <w:rPr>
                <w:rFonts w:hint="eastAsia"/>
              </w:rPr>
              <w:t>3</w:t>
            </w:r>
          </w:p>
        </w:tc>
        <w:tc>
          <w:tcPr>
            <w:tcW w:w="3895" w:type="dxa"/>
            <w:tcBorders>
              <w:tl2br w:val="nil"/>
              <w:tr2bl w:val="nil"/>
            </w:tcBorders>
            <w:vAlign w:val="center"/>
          </w:tcPr>
          <w:p>
            <w:pPr>
              <w:pStyle w:val="65"/>
            </w:pPr>
            <w:r>
              <w:rPr>
                <w:rFonts w:hint="eastAsia"/>
              </w:rPr>
              <w:t>各组件、零部件安全顺利安装、安装，无损坏或变形</w:t>
            </w:r>
          </w:p>
        </w:tc>
        <w:tc>
          <w:tcPr>
            <w:tcW w:w="810" w:type="dxa"/>
            <w:tcBorders>
              <w:tl2br w:val="nil"/>
              <w:tr2bl w:val="nil"/>
            </w:tcBorders>
            <w:vAlign w:val="center"/>
          </w:tcPr>
          <w:p>
            <w:pPr>
              <w:pStyle w:val="65"/>
            </w:pPr>
            <w:r>
              <w:rPr>
                <w:rFonts w:hint="eastAsia"/>
              </w:rPr>
              <w:t>★</w:t>
            </w:r>
          </w:p>
        </w:tc>
        <w:tc>
          <w:tcPr>
            <w:tcW w:w="949" w:type="dxa"/>
            <w:tcBorders>
              <w:tl2br w:val="nil"/>
              <w:tr2bl w:val="nil"/>
            </w:tcBorders>
            <w:vAlign w:val="center"/>
          </w:tcPr>
          <w:p>
            <w:pPr>
              <w:pStyle w:val="65"/>
            </w:pPr>
          </w:p>
        </w:tc>
        <w:tc>
          <w:tcPr>
            <w:tcW w:w="954" w:type="dxa"/>
            <w:tcBorders>
              <w:tl2br w:val="nil"/>
              <w:tr2bl w:val="nil"/>
            </w:tcBorders>
            <w:vAlign w:val="center"/>
          </w:tcPr>
          <w:p>
            <w:pPr>
              <w:pStyle w:val="65"/>
            </w:pPr>
            <w:r>
              <w:rPr>
                <w:rFonts w:hint="eastAsia"/>
              </w:rPr>
              <w:t>★</w:t>
            </w:r>
          </w:p>
        </w:tc>
        <w:tc>
          <w:tcPr>
            <w:tcW w:w="701" w:type="dxa"/>
            <w:tcBorders>
              <w:tl2br w:val="nil"/>
              <w:tr2bl w:val="nil"/>
            </w:tcBorders>
            <w:vAlign w:val="center"/>
          </w:tcPr>
          <w:p>
            <w:pPr>
              <w:pStyle w:val="65"/>
            </w:pPr>
          </w:p>
        </w:tc>
        <w:tc>
          <w:tcPr>
            <w:tcW w:w="854" w:type="dxa"/>
            <w:tcBorders>
              <w:tl2br w:val="nil"/>
              <w:tr2bl w:val="nil"/>
            </w:tcBorders>
            <w:vAlign w:val="center"/>
          </w:tcPr>
          <w:p>
            <w:pPr>
              <w:pStyle w:val="65"/>
            </w:pPr>
            <w:r>
              <w:rPr>
                <w:rFonts w:hint="eastAsia"/>
              </w:rPr>
              <w:t>W</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6" w:type="dxa"/>
            <w:tcBorders>
              <w:tl2br w:val="nil"/>
              <w:tr2bl w:val="nil"/>
            </w:tcBorders>
            <w:vAlign w:val="center"/>
          </w:tcPr>
          <w:p>
            <w:pPr>
              <w:pStyle w:val="65"/>
            </w:pPr>
            <w:r>
              <w:rPr>
                <w:rFonts w:hint="eastAsia"/>
              </w:rPr>
              <w:t>4</w:t>
            </w:r>
          </w:p>
        </w:tc>
        <w:tc>
          <w:tcPr>
            <w:tcW w:w="3895" w:type="dxa"/>
            <w:tcBorders>
              <w:tl2br w:val="nil"/>
              <w:tr2bl w:val="nil"/>
            </w:tcBorders>
            <w:vAlign w:val="center"/>
          </w:tcPr>
          <w:p>
            <w:pPr>
              <w:pStyle w:val="65"/>
            </w:pPr>
            <w:r>
              <w:rPr>
                <w:rFonts w:hint="eastAsia"/>
              </w:rPr>
              <w:t>做好各组件、零部件安装后清点、整理和存放工作。</w:t>
            </w:r>
          </w:p>
        </w:tc>
        <w:tc>
          <w:tcPr>
            <w:tcW w:w="810" w:type="dxa"/>
            <w:tcBorders>
              <w:tl2br w:val="nil"/>
              <w:tr2bl w:val="nil"/>
            </w:tcBorders>
            <w:vAlign w:val="center"/>
          </w:tcPr>
          <w:p>
            <w:pPr>
              <w:pStyle w:val="65"/>
            </w:pPr>
            <w:r>
              <w:rPr>
                <w:rFonts w:hint="eastAsia"/>
              </w:rPr>
              <w:t>★</w:t>
            </w:r>
          </w:p>
        </w:tc>
        <w:tc>
          <w:tcPr>
            <w:tcW w:w="949" w:type="dxa"/>
            <w:tcBorders>
              <w:tl2br w:val="nil"/>
              <w:tr2bl w:val="nil"/>
            </w:tcBorders>
            <w:vAlign w:val="center"/>
          </w:tcPr>
          <w:p>
            <w:pPr>
              <w:pStyle w:val="65"/>
            </w:pPr>
          </w:p>
        </w:tc>
        <w:tc>
          <w:tcPr>
            <w:tcW w:w="954" w:type="dxa"/>
            <w:tcBorders>
              <w:tl2br w:val="nil"/>
              <w:tr2bl w:val="nil"/>
            </w:tcBorders>
            <w:vAlign w:val="center"/>
          </w:tcPr>
          <w:p>
            <w:pPr>
              <w:pStyle w:val="65"/>
            </w:pPr>
            <w:r>
              <w:rPr>
                <w:rFonts w:hint="eastAsia"/>
              </w:rPr>
              <w:t>★</w:t>
            </w:r>
          </w:p>
        </w:tc>
        <w:tc>
          <w:tcPr>
            <w:tcW w:w="701" w:type="dxa"/>
            <w:tcBorders>
              <w:tl2br w:val="nil"/>
              <w:tr2bl w:val="nil"/>
            </w:tcBorders>
            <w:vAlign w:val="center"/>
          </w:tcPr>
          <w:p>
            <w:pPr>
              <w:pStyle w:val="65"/>
            </w:pPr>
          </w:p>
        </w:tc>
        <w:tc>
          <w:tcPr>
            <w:tcW w:w="854" w:type="dxa"/>
            <w:tcBorders>
              <w:tl2br w:val="nil"/>
              <w:tr2bl w:val="nil"/>
            </w:tcBorders>
            <w:vAlign w:val="center"/>
          </w:tcPr>
          <w:p>
            <w:pPr>
              <w:pStyle w:val="65"/>
            </w:pPr>
            <w:r>
              <w:rPr>
                <w:rFonts w:hint="eastAsia"/>
              </w:rPr>
              <w:t>W</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6" w:type="dxa"/>
            <w:tcBorders>
              <w:tl2br w:val="nil"/>
              <w:tr2bl w:val="nil"/>
            </w:tcBorders>
            <w:vAlign w:val="center"/>
          </w:tcPr>
          <w:p>
            <w:pPr>
              <w:pStyle w:val="65"/>
            </w:pPr>
            <w:r>
              <w:rPr>
                <w:rFonts w:hint="eastAsia"/>
              </w:rPr>
              <w:t>5</w:t>
            </w:r>
          </w:p>
        </w:tc>
        <w:tc>
          <w:tcPr>
            <w:tcW w:w="3895" w:type="dxa"/>
            <w:tcBorders>
              <w:tl2br w:val="nil"/>
              <w:tr2bl w:val="nil"/>
            </w:tcBorders>
            <w:vAlign w:val="center"/>
          </w:tcPr>
          <w:p>
            <w:pPr>
              <w:pStyle w:val="65"/>
            </w:pPr>
            <w:r>
              <w:rPr>
                <w:rFonts w:hint="eastAsia"/>
              </w:rPr>
              <w:t>作业方法应该按照说明书和本方案要求严格执行</w:t>
            </w:r>
          </w:p>
        </w:tc>
        <w:tc>
          <w:tcPr>
            <w:tcW w:w="810" w:type="dxa"/>
            <w:tcBorders>
              <w:tl2br w:val="nil"/>
              <w:tr2bl w:val="nil"/>
            </w:tcBorders>
            <w:vAlign w:val="center"/>
          </w:tcPr>
          <w:p>
            <w:pPr>
              <w:pStyle w:val="65"/>
            </w:pPr>
            <w:r>
              <w:rPr>
                <w:rFonts w:hint="eastAsia"/>
              </w:rPr>
              <w:t>★</w:t>
            </w:r>
          </w:p>
        </w:tc>
        <w:tc>
          <w:tcPr>
            <w:tcW w:w="949" w:type="dxa"/>
            <w:tcBorders>
              <w:tl2br w:val="nil"/>
              <w:tr2bl w:val="nil"/>
            </w:tcBorders>
            <w:vAlign w:val="center"/>
          </w:tcPr>
          <w:p>
            <w:pPr>
              <w:pStyle w:val="65"/>
            </w:pPr>
          </w:p>
        </w:tc>
        <w:tc>
          <w:tcPr>
            <w:tcW w:w="954" w:type="dxa"/>
            <w:tcBorders>
              <w:tl2br w:val="nil"/>
              <w:tr2bl w:val="nil"/>
            </w:tcBorders>
            <w:vAlign w:val="center"/>
          </w:tcPr>
          <w:p>
            <w:pPr>
              <w:pStyle w:val="65"/>
            </w:pPr>
            <w:r>
              <w:rPr>
                <w:rFonts w:hint="eastAsia"/>
              </w:rPr>
              <w:t>★</w:t>
            </w:r>
          </w:p>
        </w:tc>
        <w:tc>
          <w:tcPr>
            <w:tcW w:w="701" w:type="dxa"/>
            <w:tcBorders>
              <w:tl2br w:val="nil"/>
              <w:tr2bl w:val="nil"/>
            </w:tcBorders>
            <w:vAlign w:val="center"/>
          </w:tcPr>
          <w:p>
            <w:pPr>
              <w:pStyle w:val="65"/>
            </w:pPr>
          </w:p>
        </w:tc>
        <w:tc>
          <w:tcPr>
            <w:tcW w:w="854" w:type="dxa"/>
            <w:tcBorders>
              <w:tl2br w:val="nil"/>
              <w:tr2bl w:val="nil"/>
            </w:tcBorders>
            <w:vAlign w:val="center"/>
          </w:tcPr>
          <w:p>
            <w:pPr>
              <w:pStyle w:val="65"/>
            </w:pPr>
            <w:r>
              <w:rPr>
                <w:rFonts w:hint="eastAsia"/>
              </w:rPr>
              <w:t>R</w:t>
            </w:r>
          </w:p>
        </w:tc>
      </w:tr>
    </w:tbl>
    <w:p>
      <w:pPr>
        <w:ind w:firstLine="440"/>
        <w:rPr>
          <w:sz w:val="22"/>
        </w:rPr>
      </w:pPr>
      <w:r>
        <w:rPr>
          <w:rFonts w:hint="eastAsia"/>
          <w:sz w:val="22"/>
        </w:rPr>
        <w:t>见证方式:R － 记录确认点；W － 见证点；H － 停工待检点；S － 连续监视监护</w:t>
      </w:r>
    </w:p>
    <w:p>
      <w:pPr>
        <w:pStyle w:val="3"/>
        <w:rPr>
          <w:rFonts w:hint="eastAsia"/>
          <w:sz w:val="32"/>
          <w:szCs w:val="32"/>
        </w:rPr>
      </w:pPr>
      <w:bookmarkStart w:id="66" w:name="_Toc19739"/>
      <w:r>
        <w:rPr>
          <w:rFonts w:hint="eastAsia"/>
          <w:sz w:val="32"/>
          <w:szCs w:val="32"/>
        </w:rPr>
        <w:t>施工安全保障措施</w:t>
      </w:r>
      <w:bookmarkEnd w:id="66"/>
    </w:p>
    <w:p>
      <w:pPr>
        <w:pStyle w:val="4"/>
        <w:bidi w:val="0"/>
        <w:ind w:left="0" w:leftChars="0" w:firstLine="0" w:firstLineChars="0"/>
        <w:rPr>
          <w:lang w:val="en-US" w:eastAsia="zh-CN"/>
        </w:rPr>
      </w:pPr>
      <w:bookmarkStart w:id="67" w:name="_Toc122514838"/>
      <w:bookmarkStart w:id="68" w:name="_Toc11771"/>
      <w:r>
        <w:rPr>
          <w:lang w:val="en-US" w:eastAsia="zh-CN"/>
        </w:rPr>
        <w:t>组织保障措施</w:t>
      </w:r>
      <w:bookmarkEnd w:id="67"/>
      <w:bookmarkEnd w:id="68"/>
    </w:p>
    <w:p>
      <w:pPr>
        <w:pStyle w:val="5"/>
        <w:bidi w:val="0"/>
        <w:ind w:left="0" w:leftChars="0" w:firstLine="0" w:firstLineChars="0"/>
        <w:rPr>
          <w:rFonts w:hint="eastAsia"/>
          <w:sz w:val="24"/>
          <w:szCs w:val="24"/>
          <w:lang w:val="en-US" w:eastAsia="zh-CN"/>
        </w:rPr>
      </w:pPr>
      <w:bookmarkStart w:id="69" w:name="_Toc48"/>
      <w:bookmarkStart w:id="70" w:name="_Toc25637"/>
      <w:bookmarkStart w:id="71" w:name="_Toc9269"/>
      <w:bookmarkStart w:id="72" w:name="_Toc499370314"/>
      <w:bookmarkStart w:id="73" w:name="_Toc18608"/>
      <w:bookmarkStart w:id="74" w:name="_Toc25817"/>
      <w:bookmarkStart w:id="75" w:name="_Toc27838935"/>
      <w:bookmarkStart w:id="76" w:name="_Toc499850192"/>
      <w:bookmarkStart w:id="77" w:name="_Toc8188"/>
      <w:r>
        <w:rPr>
          <w:rFonts w:hint="eastAsia"/>
          <w:sz w:val="24"/>
          <w:szCs w:val="24"/>
          <w:lang w:val="en-US" w:eastAsia="zh-CN"/>
        </w:rPr>
        <w:t>安全</w:t>
      </w:r>
      <w:bookmarkEnd w:id="69"/>
      <w:r>
        <w:rPr>
          <w:rFonts w:hint="eastAsia"/>
          <w:sz w:val="24"/>
          <w:szCs w:val="24"/>
          <w:lang w:val="en-US" w:eastAsia="zh-CN"/>
        </w:rPr>
        <w:t>生产组织机构</w:t>
      </w:r>
      <w:bookmarkEnd w:id="70"/>
      <w:bookmarkEnd w:id="71"/>
      <w:bookmarkEnd w:id="72"/>
      <w:bookmarkEnd w:id="73"/>
      <w:bookmarkEnd w:id="74"/>
      <w:bookmarkEnd w:id="75"/>
      <w:bookmarkEnd w:id="76"/>
      <w:bookmarkEnd w:id="77"/>
    </w:p>
    <w:p>
      <w:pPr>
        <w:ind w:firstLine="480" w:firstLineChars="0"/>
        <w:rPr>
          <w:rFonts w:cs="Times New Roman"/>
          <w:bCs/>
          <w:kern w:val="0"/>
          <w:szCs w:val="22"/>
          <w:lang w:bidi="en-US"/>
        </w:rPr>
      </w:pPr>
      <w:r>
        <w:rPr>
          <w:rFonts w:cs="Times New Roman"/>
          <w:bCs/>
          <w:kern w:val="0"/>
          <w:szCs w:val="22"/>
          <w:lang w:bidi="en-US"/>
        </w:rPr>
        <w:t>设置以项目经理、书记同为第一安全责任人的安全生产管理机构，建立由项目经理、书记任组长、其他项目班子成员任副组长，由安全管理部牵头、项目部相关职能部门、各工区、班组负责人为成员的安全生产领导小组。安全生产领导小组的活动贯穿于项目管理、施工技术管理、施工现场管理的全过程。项目安全管理组织机构图见下图。</w:t>
      </w:r>
    </w:p>
    <w:p>
      <w:pPr>
        <w:ind w:firstLine="0" w:firstLineChars="0"/>
        <w:jc w:val="center"/>
        <w:rPr>
          <w:rFonts w:cs="Times New Roman"/>
          <w:szCs w:val="22"/>
        </w:rPr>
      </w:pPr>
      <w:r>
        <w:rPr>
          <w:rFonts w:ascii="Calibri" w:hAnsi="Calibri" w:eastAsia="仿宋_GB2312" w:cs="Times New Roman"/>
          <w:sz w:val="28"/>
          <w:szCs w:val="22"/>
        </w:rPr>
        <w:drawing>
          <wp:inline distT="0" distB="0" distL="114300" distR="114300">
            <wp:extent cx="5708015" cy="2987040"/>
            <wp:effectExtent l="0" t="0" r="6985" b="0"/>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pic:cNvPicPr>
                      <a:picLocks noChangeAspect="1"/>
                    </pic:cNvPicPr>
                  </pic:nvPicPr>
                  <pic:blipFill>
                    <a:blip r:embed="rId75"/>
                    <a:srcRect l="2152" r="3027"/>
                    <a:stretch>
                      <a:fillRect/>
                    </a:stretch>
                  </pic:blipFill>
                  <pic:spPr>
                    <a:xfrm>
                      <a:off x="984250" y="1231900"/>
                      <a:ext cx="5708015" cy="2987040"/>
                    </a:xfrm>
                    <a:prstGeom prst="rect">
                      <a:avLst/>
                    </a:prstGeom>
                    <a:noFill/>
                    <a:ln>
                      <a:noFill/>
                    </a:ln>
                  </pic:spPr>
                </pic:pic>
              </a:graphicData>
            </a:graphic>
          </wp:inline>
        </w:drawing>
      </w:r>
    </w:p>
    <w:p>
      <w:pPr>
        <w:spacing w:line="360" w:lineRule="auto"/>
        <w:jc w:val="center"/>
        <w:rPr>
          <w:rFonts w:ascii="Times New Roman" w:hAnsi="Times New Roman" w:eastAsia="宋体" w:cs="Times New Roman"/>
          <w:b/>
          <w:kern w:val="2"/>
          <w:sz w:val="21"/>
          <w:szCs w:val="22"/>
          <w:lang w:val="en-US" w:eastAsia="zh-CN" w:bidi="ar-SA"/>
        </w:rPr>
      </w:pPr>
      <w:r>
        <w:rPr>
          <w:rFonts w:ascii="Times New Roman" w:hAnsi="Times New Roman" w:eastAsia="宋体" w:cs="Times New Roman"/>
          <w:b/>
          <w:kern w:val="2"/>
          <w:sz w:val="21"/>
          <w:szCs w:val="22"/>
          <w:lang w:val="en-US" w:eastAsia="zh-CN" w:bidi="ar-SA"/>
        </w:rPr>
        <w:t xml:space="preserve">图 </w:t>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STYLEREF 2 \s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6.2</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noBreakHyphen/>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SEQ 图 \* ARABIC \s 2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1</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t xml:space="preserve"> 项目安全管理组织机构图</w:t>
      </w:r>
    </w:p>
    <w:p>
      <w:pPr>
        <w:pStyle w:val="5"/>
        <w:bidi w:val="0"/>
        <w:ind w:left="0" w:leftChars="0" w:firstLine="0" w:firstLineChars="0"/>
        <w:rPr>
          <w:rFonts w:hint="eastAsia"/>
          <w:sz w:val="24"/>
          <w:szCs w:val="24"/>
          <w:lang w:val="en-US" w:eastAsia="zh-CN"/>
        </w:rPr>
      </w:pPr>
      <w:bookmarkStart w:id="78" w:name="_Toc33269603"/>
      <w:bookmarkStart w:id="79" w:name="_Toc3616"/>
      <w:bookmarkStart w:id="80" w:name="_Toc1909"/>
      <w:bookmarkStart w:id="81" w:name="_Toc30291"/>
      <w:r>
        <w:rPr>
          <w:rFonts w:hint="eastAsia"/>
          <w:sz w:val="24"/>
          <w:szCs w:val="24"/>
          <w:lang w:val="en-US" w:eastAsia="zh-CN"/>
        </w:rPr>
        <w:t>安全保证体系</w:t>
      </w:r>
      <w:bookmarkEnd w:id="78"/>
      <w:bookmarkEnd w:id="79"/>
      <w:bookmarkEnd w:id="80"/>
      <w:bookmarkEnd w:id="81"/>
    </w:p>
    <w:p>
      <w:pPr>
        <w:ind w:firstLine="480" w:firstLineChars="0"/>
        <w:rPr>
          <w:rFonts w:cs="Times New Roman"/>
          <w:kern w:val="0"/>
          <w:szCs w:val="21"/>
        </w:rPr>
      </w:pPr>
      <w:bookmarkStart w:id="82" w:name="_Toc27838938"/>
      <w:r>
        <w:rPr>
          <w:rFonts w:cs="Times New Roman"/>
          <w:kern w:val="0"/>
          <w:szCs w:val="21"/>
        </w:rPr>
        <w:t>坚持“安全第一、预防为主、综合治理”的方针，根据项目特点，从思想、组织、制度、技术、资源、过程等方面入手建立健全安全生产保证体系，全面落实各项安全措施到施工过程中，确保安全生产目标的实现。安全保证体系见下图。</w:t>
      </w:r>
    </w:p>
    <w:p>
      <w:pPr>
        <w:keepNext/>
        <w:spacing w:line="360" w:lineRule="auto"/>
        <w:jc w:val="center"/>
        <w:rPr>
          <w:rFonts w:ascii="Times New Roman" w:hAnsi="Times New Roman" w:eastAsia="仿宋" w:cs="Times New Roman"/>
          <w:kern w:val="2"/>
          <w:sz w:val="24"/>
          <w:szCs w:val="22"/>
          <w:lang w:val="en-US" w:eastAsia="zh-CN" w:bidi="ar-SA"/>
        </w:rPr>
      </w:pPr>
      <w:r>
        <w:rPr>
          <w:rFonts w:hint="eastAsia" w:ascii="宋体" w:hAnsi="宋体" w:eastAsia="宋体" w:cs="宋体"/>
          <w:b/>
          <w:bCs/>
          <w:color w:val="00B0F0"/>
          <w:sz w:val="21"/>
          <w:szCs w:val="21"/>
        </w:rPr>
        <w:drawing>
          <wp:inline distT="0" distB="0" distL="0" distR="0">
            <wp:extent cx="5824220" cy="3433445"/>
            <wp:effectExtent l="0" t="0" r="12700" b="1079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1072515" y="1073785"/>
                      <a:ext cx="5824220" cy="3433445"/>
                    </a:xfrm>
                    <a:prstGeom prst="rect">
                      <a:avLst/>
                    </a:prstGeom>
                    <a:noFill/>
                    <a:ln>
                      <a:noFill/>
                    </a:ln>
                  </pic:spPr>
                </pic:pic>
              </a:graphicData>
            </a:graphic>
          </wp:inline>
        </w:drawing>
      </w:r>
    </w:p>
    <w:p>
      <w:pPr>
        <w:spacing w:line="360" w:lineRule="auto"/>
        <w:jc w:val="center"/>
        <w:rPr>
          <w:rFonts w:ascii="Times New Roman" w:hAnsi="Times New Roman" w:eastAsia="宋体" w:cs="Times New Roman"/>
          <w:b/>
          <w:kern w:val="2"/>
          <w:sz w:val="21"/>
          <w:szCs w:val="22"/>
          <w:lang w:val="en-US" w:eastAsia="zh-CN" w:bidi="ar-SA"/>
        </w:rPr>
      </w:pPr>
      <w:r>
        <w:rPr>
          <w:rFonts w:ascii="Times New Roman" w:hAnsi="Times New Roman" w:eastAsia="宋体" w:cs="Times New Roman"/>
          <w:b/>
          <w:kern w:val="2"/>
          <w:sz w:val="21"/>
          <w:szCs w:val="22"/>
          <w:lang w:val="en-US" w:eastAsia="zh-CN" w:bidi="ar-SA"/>
        </w:rPr>
        <w:t xml:space="preserve">图 </w:t>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STYLEREF 2 \s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6.2</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noBreakHyphen/>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SEQ 图 \* ARABIC \s 2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2</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t xml:space="preserve">  安全保证体系框图</w:t>
      </w:r>
    </w:p>
    <w:p>
      <w:pPr>
        <w:pStyle w:val="5"/>
        <w:bidi w:val="0"/>
        <w:ind w:left="0" w:leftChars="0" w:firstLine="0" w:firstLineChars="0"/>
        <w:rPr>
          <w:rFonts w:hint="eastAsia"/>
          <w:sz w:val="24"/>
          <w:szCs w:val="24"/>
          <w:lang w:val="en-US" w:eastAsia="zh-CN"/>
        </w:rPr>
      </w:pPr>
      <w:r>
        <w:rPr>
          <w:rFonts w:hint="eastAsia"/>
          <w:sz w:val="24"/>
          <w:szCs w:val="24"/>
          <w:lang w:val="en-US" w:eastAsia="zh-CN"/>
        </w:rPr>
        <w:t>安全生产职责</w:t>
      </w:r>
    </w:p>
    <w:p>
      <w:pPr>
        <w:pStyle w:val="130"/>
        <w:ind w:firstLine="480"/>
        <w:rPr>
          <w:rFonts w:cs="Times New Roman"/>
        </w:rPr>
      </w:pPr>
      <w:r>
        <w:rPr>
          <w:rFonts w:cs="Times New Roman"/>
        </w:rPr>
        <w:t>项目部严格落实安全生产责任制，各岗位或部门安全生产职责详见下表。</w:t>
      </w:r>
    </w:p>
    <w:p>
      <w:pPr>
        <w:pStyle w:val="381"/>
        <w:ind w:firstLine="0" w:firstLineChars="0"/>
        <w:rPr>
          <w:rFonts w:hint="default"/>
        </w:rPr>
      </w:pPr>
      <w:r>
        <w:rPr>
          <w:rFonts w:hint="default"/>
        </w:rPr>
        <w:t xml:space="preserve">表 </w:t>
      </w:r>
      <w:r>
        <w:rPr>
          <w:rFonts w:hint="default"/>
        </w:rPr>
        <w:fldChar w:fldCharType="begin"/>
      </w:r>
      <w:r>
        <w:rPr>
          <w:rFonts w:hint="default"/>
        </w:rPr>
        <w:instrText xml:space="preserve"> STYLEREF 2 \s </w:instrText>
      </w:r>
      <w:r>
        <w:rPr>
          <w:rFonts w:hint="default"/>
        </w:rPr>
        <w:fldChar w:fldCharType="separate"/>
      </w:r>
      <w:r>
        <w:rPr>
          <w:rFonts w:hint="default"/>
        </w:rPr>
        <w:t>6.2</w:t>
      </w:r>
      <w:r>
        <w:rPr>
          <w:rFonts w:hint="default"/>
        </w:rPr>
        <w:fldChar w:fldCharType="end"/>
      </w:r>
      <w:r>
        <w:rPr>
          <w:rFonts w:hint="default"/>
        </w:rPr>
        <w:noBreakHyphen/>
      </w:r>
      <w:r>
        <w:rPr>
          <w:rFonts w:hint="default"/>
        </w:rPr>
        <w:fldChar w:fldCharType="begin"/>
      </w:r>
      <w:r>
        <w:rPr>
          <w:rFonts w:hint="default"/>
        </w:rPr>
        <w:instrText xml:space="preserve"> SEQ 表 \* ARABIC \s 2 </w:instrText>
      </w:r>
      <w:r>
        <w:rPr>
          <w:rFonts w:hint="default"/>
        </w:rPr>
        <w:fldChar w:fldCharType="separate"/>
      </w:r>
      <w:r>
        <w:rPr>
          <w:rFonts w:hint="default"/>
        </w:rPr>
        <w:t>1</w:t>
      </w:r>
      <w:r>
        <w:rPr>
          <w:rFonts w:hint="default"/>
        </w:rPr>
        <w:fldChar w:fldCharType="end"/>
      </w:r>
      <w:r>
        <w:rPr>
          <w:rFonts w:hint="default"/>
        </w:rPr>
        <w:t xml:space="preserve">  各岗位或部门安全生产职责表</w:t>
      </w:r>
    </w:p>
    <w:tbl>
      <w:tblPr>
        <w:tblStyle w:val="386"/>
        <w:tblW w:w="878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34"/>
        <w:gridCol w:w="69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08"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序号</w:t>
            </w:r>
          </w:p>
        </w:tc>
        <w:tc>
          <w:tcPr>
            <w:tcW w:w="1134"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岗位/部门</w:t>
            </w:r>
          </w:p>
        </w:tc>
        <w:tc>
          <w:tcPr>
            <w:tcW w:w="6947"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安全生产职责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w:t>
            </w:r>
          </w:p>
        </w:tc>
        <w:tc>
          <w:tcPr>
            <w:tcW w:w="1134"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项目经理</w:t>
            </w:r>
          </w:p>
        </w:tc>
        <w:tc>
          <w:tcPr>
            <w:tcW w:w="6947" w:type="dxa"/>
            <w:tcBorders>
              <w:tl2br w:val="nil"/>
              <w:tr2bl w:val="nil"/>
            </w:tcBorders>
            <w:vAlign w:val="center"/>
          </w:tcPr>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1、项目经理为项目部主要负责人，按照国家有关职业健康安全的法律、法规的规定履行项目主要负责人的职责，包括：</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（1）建立健全并落实项目全员职业健康安全责任制，加强职业健康安全生产标准化建设。</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（2）组织制定并实施项目职业健康安全规章制度和操作规程。</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（3）组织制定并实施项目职业健康安全教育和培训计划。</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（4）保证项目职业健康安全生产投入的有效实施。</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（5）组织建立并落实安全风险分级管控和隐患排查治理双重预防工作机制，督促、检查项目的职业健康安全工作，及时消除生产安全事故隐患。</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（6）组织制定并实施项目的生产安全事故应急救援预案。</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（7）及时、如实报告职业健康生产安全事故。</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2、建立健全安全生产管理机构，并足额配备合格的安全管理人员。</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3、在计划、布置、检查、总结、评比生产时，同时计划、布置、检查、总结、评比安全生产工作。</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4、组织编制项目班子成员带班值班计划，并按计划进行带班值班。</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5、加强分包管理，确保进场的分包单位及设备设施等符合法规及公司有关要求。</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6、组织进行项目风险评估，制定重大风险（隐患）控制措施。</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7、自觉接受行业主管部门和公司组织的职业健康安全生产教育，并取得项目负责人安全生产考核合格证书。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w:t>
            </w:r>
          </w:p>
        </w:tc>
        <w:tc>
          <w:tcPr>
            <w:tcW w:w="1134"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项目书记</w:t>
            </w:r>
          </w:p>
        </w:tc>
        <w:tc>
          <w:tcPr>
            <w:tcW w:w="6947" w:type="dxa"/>
            <w:tcBorders>
              <w:tl2br w:val="nil"/>
              <w:tr2bl w:val="nil"/>
            </w:tcBorders>
            <w:vAlign w:val="center"/>
          </w:tcPr>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1、项目书记按照“党政同责”的要求履行项目主要负责人安全生产职责。包括：</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（1）建立健全并落实项目全员职业健康安全责任制，加强职业健康安全生产标准化建设。</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（2）组织制定并实施项目职业健康安全规章制度和操作规程。</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（3）组织制定并实施项目职业健康安全教育和培训计划。</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（4）保证项目职业健康安全生产投入的有效实施。</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（5）组织建立并落实安全风险分级管控和隐患排查治理双重预防工作机制，督促、检查项目的职业健康安全工作，及时消除生产安全事故隐患。</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（6）组织制定并实施项目的生产安全事故应急救援预案。</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（7）及时、如实报告职业健康生产安全事故。</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2、将安全生产方针政策和法律法规纳入党支部或党总支学习内容和干部培训内容。</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3、将安全生产工作列入党支部或党总支的重要议事日程，及时组织研究解决安全生产重大问题。</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4、结合安全生产工作开展党建活动，加强安全生产考核。</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5、加强后勤管理，将产业工人住宿、食堂、交通车辆纳入统一管理，统筹开展食品安全、消防安全、交通安全隐患检查。</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6、负责项目综合治理工作。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w:t>
            </w:r>
          </w:p>
        </w:tc>
        <w:tc>
          <w:tcPr>
            <w:tcW w:w="1134"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项目总工</w:t>
            </w:r>
          </w:p>
        </w:tc>
        <w:tc>
          <w:tcPr>
            <w:tcW w:w="6947" w:type="dxa"/>
            <w:tcBorders>
              <w:tl2br w:val="nil"/>
              <w:tr2bl w:val="nil"/>
            </w:tcBorders>
            <w:vAlign w:val="center"/>
          </w:tcPr>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1、组织编制施工组织设计、危险性较大分部分项工程专项施工方案，一般方案，审查一般方案，对安全技术措施、防护设施进行技术把关。督促技术部门按规定完成专项方案的报审、专家论证流程。</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2、协助项目经理按规定要求开展实施项目的安全风险评估工作。</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3、对照图纸及设计说明的有关要求，组织对项目周围环境、地4质条件、地下管线等因素进行调查复核。</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4、督促技术部门牵头对分部分项工程施工进行技术交底。</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5、动态关注危险性较大分部分项工程实施过程中施工边界条件的变化，经评估适时调整专项施工方案。</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6、针对项目应用的新材料、新工艺、新技术、新设备，组织编制并督促按安全技术规程实施。</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7、负责对项目自行设计的临时设施进行计算、复核。</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8、组织临时结构、方案落实等情况的专项隐患排查，必要时组织制定工程技术隐患治理方案。</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9、分管试验检测工作，对试验检测的安全管理工作负技术领导责任。</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10、分管测量工作，对测量的安全管理工作负技术领导责任。</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11、参加生产安全事故（重大隐患）的调查处理。</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12、自觉接受行业主管部门和公司组织的职业健康安全生产教育，并取得项目负责人安全生产考核合格证书。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w:t>
            </w:r>
          </w:p>
        </w:tc>
        <w:tc>
          <w:tcPr>
            <w:tcW w:w="1134"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项目副经理</w:t>
            </w:r>
          </w:p>
        </w:tc>
        <w:tc>
          <w:tcPr>
            <w:tcW w:w="6947" w:type="dxa"/>
            <w:tcBorders>
              <w:tl2br w:val="nil"/>
              <w:tr2bl w:val="nil"/>
            </w:tcBorders>
            <w:vAlign w:val="center"/>
          </w:tcPr>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1、在计划、布置、检查、总结、评比生产工作的同时，计划、布置、检查、总结、评比安全生产工作。</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2、督促生产管理部门严格按照批复的方案组织施工，合理安排安全生产，及时落实防护措施。</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3、组织开展危险作业施工许可验收。</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4、负责划分作业班组，明确班组长以及跟班管理人员，明确各班组作业任务和作业地点，核实班前喊话内容，参与班前喊话点评。</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5、牵头组织对项目大、小临设施及施工现场临时设施（结构）投入使用前的验收。</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6、处理好进度与安全生产的关系，不违章指挥，不强令冒险作业。发现或接到险情报告，应立即组织停工并撤离人员。</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7、组织或参加月度安全生产大检查、安全专项检查等活动。</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8、组织落实重大安全生产风险应急预控措施。</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9、督促生产管理部门制定作业人员培训、学习计划，并监督实施。</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10、组织分包商评价时，把分包商的安全绩效纳入重点评价指标。</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11、负责施工现场的文明施工工作。</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12、协助项目经理做好应急救援工作。</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13、参与生产安全事故（重大隐患）的调查处理。</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14、自觉接受行业主管部门和公司组织的职业健康安全生产教育，并取得项目负责人安全生产考核合格证书。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w:t>
            </w:r>
          </w:p>
        </w:tc>
        <w:tc>
          <w:tcPr>
            <w:tcW w:w="1134"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项目安全总监</w:t>
            </w:r>
          </w:p>
        </w:tc>
        <w:tc>
          <w:tcPr>
            <w:tcW w:w="6947" w:type="dxa"/>
            <w:tcBorders>
              <w:tl2br w:val="nil"/>
              <w:tr2bl w:val="nil"/>
            </w:tcBorders>
            <w:vAlign w:val="center"/>
          </w:tcPr>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1、协助项目经理建立职业健康安全生产管理体系，监督职业健康安全生产管理体系的规范运行。</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2、督促项目经理部班子成员、各部门及员工履行安全生产责任。</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组织或者参与拟订本项目安全生产规章制度、操作规程和生产安全事故应急救援预案。组织或参与建立健全全员安全生产责任制及考核机制。</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3、参与施工组织设计、危大工程专项施工方案评审，监督施工组织设计、专项施工方案、技术交底中安全技术措施的落实情况。4、重点监督技术方案未审批施工或擅自变更方案情况。</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5、考核评价分包队伍安全生产管理情况，重点监督劳务分包、专业分包在安全生产方面的合规、准入及清退的落实情况。</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6、组织或者参与本项目安全生产教育和培训，如实记录安全生产教育和培训情况。重点监督落实技术交底和班前安全措施的交底情况。</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7、协助建立并落实安全风险分级管控和隐患排查治理双重预防工作机制，组织开展风险源辨识和评估，督促落实本项目一般及以上安全风险的管控措施，重点监督重大事故隐患清单和危险性较大分部分项工程专项施工方案安全管控措施的落实情况。</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8、组织或者参与本项目应急救援演练，组织对应急演练情况进行评估、改进。</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9、检查本项目的安全生产状况，及时排查事故隐患，提出改进安全生产管理的建议。组织或参与项目安全策划，并监督实施；通报安全生产工作情况，监督领导班子成员、各部门负责人、各班组长等安全生产履职情况，履行总监巡查职责。</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10、督促落实本项目安全生产整改措施，监督安全生 产费用的计提及使用情况。</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11、作为本项目事故信息报告的直接责任人，接受或配合政府、上级单位的生产安全事故调查与处理工作。</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12、督促生产管理部门及时办理各类施工许可手续。</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13、其他应当依法履行的职责。</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14、自觉接受行业主管部门和公司组织的职业健康安全生产教育，并取得专职安全管理人员安全生产考核合格证书。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w:t>
            </w:r>
          </w:p>
        </w:tc>
        <w:tc>
          <w:tcPr>
            <w:tcW w:w="1134"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安全管理部</w:t>
            </w:r>
          </w:p>
        </w:tc>
        <w:tc>
          <w:tcPr>
            <w:tcW w:w="6947" w:type="dxa"/>
            <w:tcBorders>
              <w:tl2br w:val="nil"/>
              <w:tr2bl w:val="nil"/>
            </w:tcBorders>
            <w:vAlign w:val="center"/>
          </w:tcPr>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1、及时获取、识别适用于本项目的职业健康安全生产法律法规及标准规范，并及时对从业人员进行宣贯培训。</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2、协助项目经理及分管领导制定以责任制为核心的职业健康安全生产规章制度、安全操作规程，并督促落实。</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3、牵头编制安全生产保证计划、年（季）度安全生产工作计划，并定期检查计划实施情况。</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4、组织编制项目应急预案，组织应急预案培训、交底，适时开展应急演练。</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5、参与编制、会审专项施工方案。参与危险作业施工许可验收及施工现场安全设施、临时设施的验收、检查、维护工作。</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6、根据需求编制年度安全教育培训计划，组织对新进场人员的“三级安全教育”、进场教育等教育培训，参与新工艺、新设备、新技术、新材料使用的教育培训。</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7、参与分部分项工程安全技术交底，组织或参与特种作业人员的安全操作规程交底和培训。</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8、通过交底或培训，书面告知作业人员项目存在的危险因素、防范措施及事故应急措施。</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9、建立安全风险分级管控和隐患排查治理双重预防工作机制，组织开展风险源辨识和评估，统筹组织本项目安全生产风险清单的建立、维护，督促落实本项目一般及以上安全风险的管控措施，重点监督重大事故隐患清单和危险性较大分部分项工程专项施工方案安全管控措施的落实情况。</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10、组织开展日常安全生产检查及消防、安全防护设施专项检查，参与月度安全生产大检查。监督事故隐患的整改落实情况，对查出的重大隐患登记建档，督促制定重大隐患治理方案，并报相关部门备案。</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11、组织开展“安全生产月”、“隐患排查治理”、各类安全专项整治等活动，活动有方案，有记录、有总结。</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12、牵头编制项目安全生产费用使用总计划、年度计划及月度计划，统计安全生产费用投入情况，配合合同管理部门向业主计量安全生产费用。</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13、监督班组长开展班前喊话，参与班前喊话点评及考核。</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14、建立特种作业人员花名册，并动态更新。</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15、对行业主管部门或上级单位的安全投诉及时处理。针对业主、监理及上级主管部门在检查中提出的隐患整改意见，督促相关部门、责任人落实整改闭合。</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16、及时参与事故现场处置，及时向有关部门报告。配合事故调查处理，及时落实整改措施。</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17、协助上级安全管理部门落实国家注册安全工程师、国家要求取证的安全生产管理人员的继续教育、取证换证工作，严格执行有关人员持证上岗的规定。</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18、自觉接受行业主管部门和公司组织的职业健康安全生产教育，并取得专职安全管理人员安全生产考核合格证书。</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19、按要求上报各类安全生产信息报表。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7</w:t>
            </w:r>
          </w:p>
        </w:tc>
        <w:tc>
          <w:tcPr>
            <w:tcW w:w="1134"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试验室</w:t>
            </w:r>
          </w:p>
        </w:tc>
        <w:tc>
          <w:tcPr>
            <w:tcW w:w="6947" w:type="dxa"/>
            <w:tcBorders>
              <w:tl2br w:val="nil"/>
              <w:tr2bl w:val="nil"/>
            </w:tcBorders>
            <w:vAlign w:val="center"/>
          </w:tcPr>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1、建立健全试验室管理制度及主要试验检测设备操作规程，并贯彻落实。</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2、定期对试验室员工进行安全教育。</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3、依法合规开展试验检测工作，为生产、质量等委托部门出具4、4、数据真实的书面试验检测报告。</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5、配合做好安全设施材料的抽样检测工作。</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6、负责检验检测设备检定/校准工作，做好检验检测设备的安全防护。</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7、负责实验室范围的危险物品管理、设备安全使用、日常消防及用电安全等，及时对相关隐患问题进行整改。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8</w:t>
            </w:r>
          </w:p>
        </w:tc>
        <w:tc>
          <w:tcPr>
            <w:tcW w:w="1134"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测量室</w:t>
            </w:r>
          </w:p>
        </w:tc>
        <w:tc>
          <w:tcPr>
            <w:tcW w:w="6947" w:type="dxa"/>
            <w:tcBorders>
              <w:tl2br w:val="nil"/>
              <w:tr2bl w:val="nil"/>
            </w:tcBorders>
            <w:vAlign w:val="center"/>
          </w:tcPr>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1、定期对测量部门员工进行安全教育。</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2、按照监控量测方案的要求，做好监控量测工作，并及时向生产、技术、安全等管理部门及相关领导反馈真实的测量数据。</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3、按照标准、规范规定为委托部门提供真实测量放样数据。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9</w:t>
            </w:r>
          </w:p>
        </w:tc>
        <w:tc>
          <w:tcPr>
            <w:tcW w:w="1134"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质检部</w:t>
            </w:r>
          </w:p>
        </w:tc>
        <w:tc>
          <w:tcPr>
            <w:tcW w:w="6947" w:type="dxa"/>
            <w:tcBorders>
              <w:tl2br w:val="nil"/>
              <w:tr2bl w:val="nil"/>
            </w:tcBorders>
            <w:vAlign w:val="center"/>
          </w:tcPr>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1、检查质量时，应同时检查项目部制作加工的安全设施的质量。</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2、并监督责任单位及时整改可能导致生产安全事故的质量隐患。</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3、参与安全设施材料的进场验收，负责材料的抽样检测和不合格材料处理。</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4、参与对施工现场的基坑支护、脚手架搭拆，施工用电、搅拌站安拆、模板支撑、洞口临边防护等的验收。</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5、参与安全生产检查和隐患排查治理，从质量问题方面查找安全技术隐患，提出整改建议。</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6、参与协助班组长组织开展班前喊话，参与班前喊话点评及考核。</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7、参与事故（重大隐患）的调查处理。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10</w:t>
            </w:r>
          </w:p>
        </w:tc>
        <w:tc>
          <w:tcPr>
            <w:tcW w:w="1134"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工程技术部</w:t>
            </w:r>
          </w:p>
        </w:tc>
        <w:tc>
          <w:tcPr>
            <w:tcW w:w="6947" w:type="dxa"/>
            <w:tcBorders>
              <w:tl2br w:val="nil"/>
              <w:tr2bl w:val="nil"/>
            </w:tcBorders>
            <w:vAlign w:val="center"/>
          </w:tcPr>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1、牵头建立项目危险性较大分部分项工程清单，参与编制危险性较大分部分项工程专项施工方案及一般方案，并按要求及时完成方案报批、论证工作。</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2、组织分部分项工程的二级技术交底。</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3、对危险性较大分部分项工程专项施工方案在现场的实施情况进行检查和技术指导。</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4、新技术、新工艺、新材料、新设备投入使用前，负责编制、审核技术方案的安全可行性，并组织对实施新技术、新工艺的操作人员进行技术培训和指导。</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5、组织制定安全生产重大隐患治理技术方案。</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6、参与现场相关临时设施的验收。</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7、参与协助班组长组织开展班前喊话，参与班前喊话点评及考核。</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8、参与安全生产检查，查找安全技术隐患。</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9、参与事故（重大隐患）的调查处理。</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10、应合理编制、下达生产计划，当计划超出正常功效及能力时，应组织编制落实安全保障措施。</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11、严格按照批复的危险性较大分部分项工程组织施工，落实安全技术措施。</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12、落实危险作业施工许可，对投入生产的人员进场教育情况、设备物资进场验收情况进行核验，不得使用未经过进场教育的人员、未经进场验收的设备、物资。</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13、合理设置现场生产过程的人行通道、作业平台、临边洞口防护，组织相关简易设计验算及使用前验收。</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14、按事故隐患整改要求组织责任范围内的整改工作。参加隐患排查治理，从生产组织上分析原因，提出改进措施。</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15、根据生产安排制定劳务人员进场计划，对进场劳务人员进行动态管理，合理划分作业班组。</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16、统筹协助班组长组织开展班前喊话，组织班前喊话点评，参与班前喊话考核。</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17、发现或接到险情报告，应立即向领导报告，并视情况组织人员撤离。</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18、每月定期收集分包队伍退场人员信息，协助综合办公室对进（退）场劳务人员进行登记造册。</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19、组织施工工序第三级技术交底及安全技术交底工作。</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20、参与事故（重大隐患）的调查处理。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11</w:t>
            </w:r>
          </w:p>
        </w:tc>
        <w:tc>
          <w:tcPr>
            <w:tcW w:w="1134"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设备管理部</w:t>
            </w:r>
          </w:p>
        </w:tc>
        <w:tc>
          <w:tcPr>
            <w:tcW w:w="6947" w:type="dxa"/>
            <w:tcBorders>
              <w:tl2br w:val="nil"/>
              <w:tr2bl w:val="nil"/>
            </w:tcBorders>
            <w:vAlign w:val="center"/>
          </w:tcPr>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1、履行设备管理职责，检查设备管理制度、特种设备操作规程执行落实情况。</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2、根据项目实际情况编制、完善设备操作规程。</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3、组织对进场船机设备进行验收。</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4、负责船机设备的日常维护保养、检查及隐患整改。</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5、船机设备管理台账准确、账物相符，维修保养记录齐全、规范，安全技术档案资料完善，法定安全准用手续齐全、有效。</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6、参与特种设备安拆作业、起重吊装作业的安全技术交底，协助生产管理部门按照批复的方案组织实施特种设备安拆作业。</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7、严格管理外租及分包单位自带设备,特种设备严格执行一体化管理。</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8、参与协助班组长组织开展班前喊话，参与班前喊话点评及考核。</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9、组织编制施工现场临时用电方案，并组织对电工进行技术交底。</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10、负责临时用电管理，组织对施工用电设施的检查与验收。确保电工巡检、维修记录完整，定期进行接地电阻、绝缘电阻检测。</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11、设备管理部门应建立特种设备作业人员、船员、电工及大型设备司操人员台账，并实行动态管理。组织特种设备及大型设备司操人员、船员、电工及大型设备司操人员的教育和培训。</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12、组织突发情况下的设备应急处置，及时落实设备防风抗滑等措施。</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13、组织临时用电、船机设备专项检查，参与安全生产检查，查找临电、设备使用过程中存在的事故隐患，并及时整改。</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14、参与事故（重大隐患）的调查处理。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12</w:t>
            </w:r>
          </w:p>
        </w:tc>
        <w:tc>
          <w:tcPr>
            <w:tcW w:w="1134"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物资管理部</w:t>
            </w:r>
          </w:p>
        </w:tc>
        <w:tc>
          <w:tcPr>
            <w:tcW w:w="6947" w:type="dxa"/>
            <w:tcBorders>
              <w:tl2br w:val="nil"/>
              <w:tr2bl w:val="nil"/>
            </w:tcBorders>
            <w:vAlign w:val="center"/>
          </w:tcPr>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1、确保采购的各类物资材料检验合格，对分包单位自带的物资材料，涉及到结构和使用安全的，应按照规范要求进行抽检，确保符合国家、行业主管部门颁布的安全质量标准。</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3、严格执行国家及地方关于易燃易爆、有毒有害等危险物品的运输、储存、保管、收发等管理方法，严格各环节的管理。</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4、组织对采购的安全防护设施材料、劳动防护用品、消防器材等物资进行进场验收。做好验收、发放、报废等记录。</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5、对在用的安全带、安全帽、救生衣、救生筏、救生圈及消防设施等按规定定期进行检验。</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6、及时提供安全技术措施计划所需材料及项目应急救援所需的物资、设备配件。</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7、在组织石料等物资运输时，应选择符合国家规定、持有有效证书的车辆或船舶。</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8、做好易燃易爆危化品仓库、油库、库房等物资存储场所的防火、防爆、防盗等安全管控。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13</w:t>
            </w:r>
          </w:p>
        </w:tc>
        <w:tc>
          <w:tcPr>
            <w:tcW w:w="1134"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合同管理部</w:t>
            </w:r>
          </w:p>
        </w:tc>
        <w:tc>
          <w:tcPr>
            <w:tcW w:w="6947" w:type="dxa"/>
            <w:tcBorders>
              <w:tl2br w:val="nil"/>
              <w:tr2bl w:val="nil"/>
            </w:tcBorders>
            <w:vAlign w:val="center"/>
          </w:tcPr>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1、组织分包招议标及合同审查，确保分包单位具有独立法人资格和相应的资质等级资格。</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2、在签订有效的分包合同时，必须同时签订安全生产协议书。</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3、协助生产管理部门、安全管理部门做好分包队伍安全管理。</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4、做好安全生产费用的计量。</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5、使用、管理好本企业安全生产方面的资质证书。</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6、协助综合办公室对进（退）场劳务人员进行登记造册。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14</w:t>
            </w:r>
          </w:p>
        </w:tc>
        <w:tc>
          <w:tcPr>
            <w:tcW w:w="1134"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财务部</w:t>
            </w:r>
          </w:p>
        </w:tc>
        <w:tc>
          <w:tcPr>
            <w:tcW w:w="6947" w:type="dxa"/>
            <w:tcBorders>
              <w:tl2br w:val="nil"/>
              <w:tr2bl w:val="nil"/>
            </w:tcBorders>
            <w:vAlign w:val="center"/>
          </w:tcPr>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1、按规定计提安全生产费用，列入年度计划，按时提供资金，并监督专款专用，建立专项台帐。</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2、按规定核算各项安全生产费用，与安全管理部门、合同管理部门定期核对安全生产费用的使用及计量情况。</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3、负责办理项目安责险等安全生产相关保险工作，根据安全管理部门需求计划，组织确定保险方案，转移相关风险损失</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4、协助安全管理部门按规定收取罚款和扣、发安全奖金及其它款项。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15</w:t>
            </w:r>
          </w:p>
        </w:tc>
        <w:tc>
          <w:tcPr>
            <w:tcW w:w="1134" w:type="dxa"/>
            <w:tcBorders>
              <w:tl2br w:val="nil"/>
              <w:tr2bl w:val="nil"/>
            </w:tcBorders>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综合办公室</w:t>
            </w:r>
          </w:p>
        </w:tc>
        <w:tc>
          <w:tcPr>
            <w:tcW w:w="6947" w:type="dxa"/>
            <w:tcBorders>
              <w:tl2br w:val="nil"/>
              <w:tr2bl w:val="nil"/>
            </w:tcBorders>
            <w:vAlign w:val="center"/>
          </w:tcPr>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1、协助分管领导做好项目的综合治理、维稳工作。</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2、统筹协调国家注册安全工程师、国家要求取证的安全生产管理人员、特种作业人员的再教育、取证换证工作，严格执行有关人员持证上岗的规定。</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3、定期对全体职工及从事有毒有害和特种作业人员进行体检，对患有职业禁忌病、症的职工，要调换适当工作，保护职工身体健康。</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4、负责办理食堂卫生许可证，食堂工作人员持有健康证；定期对卫生间、浴室及员工宿舍进行消毒；按规定处理生活区的生活垃圾及固体废弃物。将协作单位生活区、食堂等区域纳入统一管理。</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5、加强食堂管理，饮食物品按规定留样，防止发生集体食物中毒事件；租用合格的天然气瓶，督促食堂工作人员规范使用气瓶。</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6、负责生活区、办公区的日常消防、用电及卫生防疫检查及整改。</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7、加强人力资源管理，严格控制加班加点，保障职工的休息，做到劳逸结合。</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8、把安全生产教育培训纳入全员培训计划，督促安全管理部门落实培训计划。</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9、负责公务车辆及驾驶员的管理及驾驶员的日常交通安全学习工作。</w:t>
            </w:r>
          </w:p>
          <w:p>
            <w:pPr>
              <w:jc w:val="left"/>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10、负责工伤鉴定，申报工伤保险。参与工伤事故的调查及善后处理。</w:t>
            </w:r>
          </w:p>
        </w:tc>
      </w:tr>
    </w:tbl>
    <w:p>
      <w:pPr>
        <w:pStyle w:val="5"/>
        <w:bidi w:val="0"/>
        <w:ind w:left="0" w:leftChars="0" w:firstLine="0" w:firstLineChars="0"/>
        <w:rPr>
          <w:rFonts w:hint="eastAsia"/>
          <w:sz w:val="24"/>
          <w:szCs w:val="24"/>
          <w:lang w:val="en-US" w:eastAsia="zh-CN"/>
        </w:rPr>
      </w:pPr>
      <w:r>
        <w:rPr>
          <w:rFonts w:hint="eastAsia"/>
          <w:sz w:val="24"/>
          <w:szCs w:val="24"/>
          <w:lang w:val="en-US" w:eastAsia="zh-CN"/>
        </w:rPr>
        <w:t>制度保证措施</w:t>
      </w:r>
      <w:bookmarkEnd w:id="82"/>
    </w:p>
    <w:p>
      <w:pPr>
        <w:pStyle w:val="130"/>
        <w:ind w:firstLine="480"/>
        <w:rPr>
          <w:rFonts w:cs="Times New Roman"/>
        </w:rPr>
      </w:pPr>
      <w:bookmarkStart w:id="83" w:name="_Toc27838939"/>
      <w:bookmarkStart w:id="84" w:name="_Toc23891"/>
      <w:r>
        <w:rPr>
          <w:rFonts w:cs="Times New Roman"/>
        </w:rPr>
        <w:t>（1）严格执行安全生产教育与培训制度，分项工程开工前，对参建人员进行岗前安全教育培训，经培训考试合格后方可上岗。</w:t>
      </w:r>
    </w:p>
    <w:p>
      <w:pPr>
        <w:pStyle w:val="130"/>
        <w:ind w:firstLine="480"/>
        <w:rPr>
          <w:rFonts w:cs="Times New Roman"/>
        </w:rPr>
      </w:pPr>
      <w:r>
        <w:rPr>
          <w:rFonts w:cs="Times New Roman"/>
        </w:rPr>
        <w:t>（2）严格执行特殊工种持证上岗制度，分项工程开工前，对特种作业人员进行专业安全培训，取得相应资格证书后，持证上岗。</w:t>
      </w:r>
    </w:p>
    <w:p>
      <w:pPr>
        <w:pStyle w:val="130"/>
        <w:ind w:firstLine="480"/>
        <w:rPr>
          <w:rFonts w:cs="Times New Roman"/>
        </w:rPr>
      </w:pPr>
      <w:r>
        <w:rPr>
          <w:rFonts w:cs="Times New Roman"/>
        </w:rPr>
        <w:t>（3）严格执行安全技术交底制度，使作业人员能了解作业过程中可能存在的事故隐患，交底采用书面安全技术交底和现场安全技术交底相结合的方式。</w:t>
      </w:r>
    </w:p>
    <w:p>
      <w:pPr>
        <w:pStyle w:val="130"/>
        <w:ind w:firstLine="480"/>
        <w:rPr>
          <w:rFonts w:cs="Times New Roman"/>
        </w:rPr>
      </w:pPr>
      <w:r>
        <w:rPr>
          <w:rFonts w:cs="Times New Roman"/>
        </w:rPr>
        <w:t>（4）落实安全生产责任制，项目部以安全总监主管安全生产工作，专职安全员负责日常安全管理工作，班组设兼职安全员，进行现场安全管理、指导、监督、制止违章，在危险时采取紧急措施。专职安全员持证上岗，在现场均配戴好工作标志。</w:t>
      </w:r>
    </w:p>
    <w:p>
      <w:pPr>
        <w:pStyle w:val="130"/>
        <w:ind w:firstLine="480"/>
        <w:rPr>
          <w:rFonts w:cs="Times New Roman"/>
        </w:rPr>
      </w:pPr>
      <w:r>
        <w:rPr>
          <w:rFonts w:cs="Times New Roman"/>
        </w:rPr>
        <w:t>（5）执行施工许可制度，分项工程开工前，针对工程实际编制切实可行的安全措施计划，并限期实施，没有安全保障措施时工程不得开工。</w:t>
      </w:r>
    </w:p>
    <w:p>
      <w:pPr>
        <w:pStyle w:val="130"/>
        <w:ind w:firstLine="480"/>
        <w:rPr>
          <w:rFonts w:cs="Times New Roman"/>
        </w:rPr>
      </w:pPr>
      <w:r>
        <w:rPr>
          <w:rFonts w:cs="Times New Roman"/>
        </w:rPr>
        <w:t>（6）实行安全例会制度，每周召开一次安全会议，决定安全生产的重大事项；每周进行一次安全检查，并随时召开部门安全会议，检查总结一周的安全工作，贯彻安全领导小组的决定，落实整改措施。</w:t>
      </w:r>
    </w:p>
    <w:p>
      <w:pPr>
        <w:ind w:firstLine="480" w:firstLineChars="0"/>
        <w:rPr>
          <w:rFonts w:cs="Times New Roman"/>
          <w:szCs w:val="22"/>
        </w:rPr>
      </w:pPr>
      <w:r>
        <w:rPr>
          <w:rFonts w:cs="Times New Roman"/>
          <w:szCs w:val="22"/>
        </w:rPr>
        <w:t>（7）完善并执行安全目标管理制度，其中包括：禁酒令、安全生产带班管理制度、安全生产教育培训制度、施工起重机械使用登记制度、机械设备安全操作规程、安全用电制度、特种作业人员持证上岗制度、安全检查制度、“三同时”制度、生产安全事故报告和调查处理制度、安全预评价制度、工伤和意外伤害保险制度、高处作业十项禁令等。</w:t>
      </w:r>
    </w:p>
    <w:p>
      <w:pPr>
        <w:pStyle w:val="130"/>
        <w:ind w:firstLine="480"/>
        <w:rPr>
          <w:rFonts w:cs="Times New Roman"/>
        </w:rPr>
      </w:pPr>
      <w:r>
        <w:rPr>
          <w:rFonts w:cs="Times New Roman"/>
        </w:rPr>
        <w:t>（8）实行安全目标管理，层层分解落实安全指标，严格执行与经济挂钩的奖惩制度，坚决实施安全一票否决权制度。</w:t>
      </w:r>
    </w:p>
    <w:p>
      <w:pPr>
        <w:pStyle w:val="130"/>
        <w:ind w:firstLine="480"/>
        <w:rPr>
          <w:rFonts w:cs="Times New Roman"/>
        </w:rPr>
      </w:pPr>
      <w:r>
        <w:rPr>
          <w:rFonts w:cs="Times New Roman"/>
        </w:rPr>
        <w:t>（9）严格执行危险作业许可证制度，以控制和消除各类危险作业的风险，保障危险作业的安全进行。</w:t>
      </w:r>
    </w:p>
    <w:p>
      <w:pPr>
        <w:pStyle w:val="5"/>
        <w:bidi w:val="0"/>
        <w:ind w:left="0" w:leftChars="0" w:firstLine="0" w:firstLineChars="0"/>
        <w:rPr>
          <w:rFonts w:hint="eastAsia"/>
          <w:sz w:val="24"/>
          <w:szCs w:val="24"/>
          <w:lang w:val="en-US" w:eastAsia="zh-CN"/>
        </w:rPr>
      </w:pPr>
      <w:r>
        <w:rPr>
          <w:rFonts w:hint="eastAsia"/>
          <w:sz w:val="24"/>
          <w:szCs w:val="24"/>
          <w:lang w:val="en-US" w:eastAsia="zh-CN"/>
        </w:rPr>
        <w:t>思想保证措施</w:t>
      </w:r>
      <w:bookmarkEnd w:id="83"/>
      <w:bookmarkEnd w:id="84"/>
    </w:p>
    <w:p>
      <w:pPr>
        <w:pStyle w:val="383"/>
        <w:ind w:firstLine="480"/>
        <w:rPr>
          <w:rFonts w:cs="Times New Roman"/>
        </w:rPr>
      </w:pPr>
      <w:r>
        <w:rPr>
          <w:rFonts w:cs="Times New Roman"/>
        </w:rPr>
        <w:t>（1）全体参建人员严格执行党和国家有关安全生产法律、法规和安全生产规程，自觉遵守国家、行业、地方及业主的有关安全生产管理规定。</w:t>
      </w:r>
    </w:p>
    <w:p>
      <w:pPr>
        <w:pStyle w:val="383"/>
        <w:ind w:firstLine="480"/>
        <w:rPr>
          <w:rFonts w:cs="Times New Roman"/>
        </w:rPr>
      </w:pPr>
      <w:r>
        <w:rPr>
          <w:rFonts w:cs="Times New Roman"/>
        </w:rPr>
        <w:t>（2）认真贯彻执行“安全第一、预防为主、综合治理”的方针，增强全员安全意识，使全员都能明确自己的安全目标和职责，达到全员参加，全员实施的目的，体现“安全生产、人人有责”的原则。</w:t>
      </w:r>
    </w:p>
    <w:p>
      <w:pPr>
        <w:pStyle w:val="383"/>
        <w:ind w:firstLine="480"/>
        <w:rPr>
          <w:rFonts w:cs="Times New Roman"/>
        </w:rPr>
      </w:pPr>
      <w:r>
        <w:rPr>
          <w:rFonts w:cs="Times New Roman"/>
        </w:rPr>
        <w:t>（3）分项工程开工前，对所有上岗人员进行安全教育培训，使全员都能遵守生产必须安全，安全才能生产的原则，严格执行安全操作规程，持证上岗。</w:t>
      </w:r>
    </w:p>
    <w:p>
      <w:pPr>
        <w:pStyle w:val="383"/>
        <w:ind w:firstLine="480"/>
        <w:rPr>
          <w:rFonts w:cs="Times New Roman"/>
        </w:rPr>
      </w:pPr>
      <w:r>
        <w:rPr>
          <w:rFonts w:cs="Times New Roman"/>
        </w:rPr>
        <w:t>（4）随时接受业主及监理单位对安全生产的督促、检查、考评，对提出的问题，立即落实方案组织实施，确保安全生产。</w:t>
      </w:r>
    </w:p>
    <w:p>
      <w:pPr>
        <w:pStyle w:val="4"/>
      </w:pPr>
      <w:bookmarkStart w:id="85" w:name="_Toc13924"/>
      <w:r>
        <w:rPr>
          <w:rFonts w:hint="eastAsia"/>
        </w:rPr>
        <w:t>施工安全技术措施</w:t>
      </w:r>
      <w:bookmarkEnd w:id="85"/>
    </w:p>
    <w:p>
      <w:pPr>
        <w:pStyle w:val="5"/>
        <w:bidi w:val="0"/>
        <w:ind w:left="0" w:leftChars="0" w:firstLine="0" w:firstLineChars="0"/>
        <w:rPr>
          <w:rFonts w:hint="eastAsia"/>
          <w:sz w:val="24"/>
          <w:szCs w:val="24"/>
          <w:lang w:val="en-US" w:eastAsia="zh-CN"/>
        </w:rPr>
      </w:pPr>
      <w:r>
        <w:rPr>
          <w:rFonts w:hint="eastAsia"/>
          <w:sz w:val="24"/>
          <w:szCs w:val="24"/>
          <w:lang w:val="en-US" w:eastAsia="zh-CN"/>
        </w:rPr>
        <w:t>安全方针及基本要求</w:t>
      </w:r>
    </w:p>
    <w:p>
      <w:pPr>
        <w:ind w:firstLine="480"/>
      </w:pPr>
      <w:r>
        <w:rPr>
          <w:rFonts w:hint="eastAsia"/>
        </w:rPr>
        <w:t>1）认真贯彻执行、落实国家“安全第一、预防为主、综合治理”的方针，严格执行国家、地方及企业安全技术规范、规章、制度，牢固树立“安全第一”的思想，坚持预防为主的方针，落实安全生产责任制。</w:t>
      </w:r>
    </w:p>
    <w:p>
      <w:pPr>
        <w:ind w:firstLine="480"/>
      </w:pPr>
      <w:r>
        <w:rPr>
          <w:rFonts w:hint="eastAsia"/>
        </w:rPr>
        <w:t>2）建立落实安全技术交底制度，各级交底必须履行签字手续。认真做好安全检查，做到有制度，有记录。</w:t>
      </w:r>
    </w:p>
    <w:p>
      <w:pPr>
        <w:ind w:firstLine="480"/>
      </w:pPr>
      <w:r>
        <w:rPr>
          <w:rFonts w:hint="eastAsia"/>
        </w:rPr>
        <w:t>3）安装作业人员必须持证上岗。</w:t>
      </w:r>
    </w:p>
    <w:p>
      <w:pPr>
        <w:ind w:firstLine="480"/>
      </w:pPr>
      <w:r>
        <w:rPr>
          <w:rFonts w:hint="eastAsia"/>
        </w:rPr>
        <w:t>4）安装施工区域必须有安全距离，并设安全警示标志，专人负责危险区域警戒告示。</w:t>
      </w:r>
    </w:p>
    <w:p>
      <w:pPr>
        <w:ind w:firstLine="480"/>
      </w:pPr>
      <w:r>
        <w:rPr>
          <w:rFonts w:hint="eastAsia"/>
        </w:rPr>
        <w:t>5）确保文明施工，实行统一领导，分工责任，做到现场文明施工。</w:t>
      </w:r>
    </w:p>
    <w:p>
      <w:pPr>
        <w:ind w:firstLine="480"/>
      </w:pPr>
      <w:bookmarkStart w:id="86" w:name="_Toc530055690"/>
      <w:r>
        <w:rPr>
          <w:rFonts w:hint="eastAsia"/>
        </w:rPr>
        <w:t>作业安全规定</w:t>
      </w:r>
    </w:p>
    <w:bookmarkEnd w:id="86"/>
    <w:p>
      <w:pPr>
        <w:ind w:firstLine="480"/>
        <w:rPr>
          <w:color w:val="000000" w:themeColor="text1"/>
          <w14:textFill>
            <w14:solidFill>
              <w14:schemeClr w14:val="tx1"/>
            </w14:solidFill>
          </w14:textFill>
        </w:rPr>
      </w:pPr>
      <w:r>
        <w:rPr>
          <w:rFonts w:hint="eastAsia"/>
        </w:rPr>
        <w:t>1）患高血压、心脏病、贫血病、癫痫病以及其它不适于高空作业的不得从事高空</w:t>
      </w:r>
      <w:r>
        <w:rPr>
          <w:rFonts w:hint="eastAsia"/>
          <w:color w:val="000000" w:themeColor="text1"/>
          <w14:textFill>
            <w14:solidFill>
              <w14:schemeClr w14:val="tx1"/>
            </w14:solidFill>
          </w14:textFill>
        </w:rPr>
        <w:t>作业；</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2）高空作业衣着要灵便，禁止穿硬底和带钉易滑的鞋。衣服袖口、裤脚口要扎紧。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3）在2m以上登高作业时，应使用安全带拴牢在固定物上，使用安全带前必须仔细检查绳带是否够力，带环是否牢固。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4）登高作业注意力要集中，不得开玩笑，不得快跑急跳，以防失足，从高空中滑落。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5）有雷雨、暴雨和风速超过10.8-13.8m/s（6级风）时，不允许进行安装工作。</w:t>
      </w:r>
    </w:p>
    <w:p>
      <w:pPr>
        <w:ind w:firstLine="480"/>
      </w:pPr>
      <w:r>
        <w:rPr>
          <w:rFonts w:hint="eastAsia"/>
          <w:color w:val="000000" w:themeColor="text1"/>
          <w14:textFill>
            <w14:solidFill>
              <w14:schemeClr w14:val="tx1"/>
            </w14:solidFill>
          </w14:textFill>
        </w:rPr>
        <w:t>6）高空作业用材料要堆放平稳，工具应随手放入工</w:t>
      </w:r>
      <w:r>
        <w:rPr>
          <w:rFonts w:hint="eastAsia"/>
        </w:rPr>
        <w:t>具袋内，同时用细绳联接工具与作业人员，上下递物件禁止抛掷。螺栓等各种小件物品放入小铁桶。</w:t>
      </w:r>
    </w:p>
    <w:p>
      <w:pPr>
        <w:pStyle w:val="5"/>
        <w:bidi w:val="0"/>
        <w:ind w:left="0" w:leftChars="0" w:firstLine="0" w:firstLineChars="0"/>
        <w:rPr>
          <w:rFonts w:hint="eastAsia"/>
          <w:sz w:val="24"/>
          <w:szCs w:val="24"/>
          <w:lang w:val="en-US" w:eastAsia="zh-CN"/>
        </w:rPr>
      </w:pPr>
      <w:r>
        <w:rPr>
          <w:rFonts w:hint="eastAsia"/>
          <w:sz w:val="24"/>
          <w:szCs w:val="24"/>
          <w:lang w:val="en-US" w:eastAsia="zh-CN"/>
        </w:rPr>
        <w:t>塔吊安拆作业班组安全教育培训计划</w:t>
      </w:r>
    </w:p>
    <w:p>
      <w:pPr>
        <w:pStyle w:val="16"/>
        <w:rPr>
          <w:rFonts w:hint="eastAsia"/>
        </w:rPr>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6.4.2</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t>1</w:t>
      </w:r>
      <w:r>
        <w:fldChar w:fldCharType="end"/>
      </w:r>
      <w:r>
        <w:rPr>
          <w:rFonts w:hint="eastAsia"/>
        </w:rPr>
        <w:t>塔吊安拆作业班组安全教育培训计划表</w:t>
      </w:r>
    </w:p>
    <w:tbl>
      <w:tblPr>
        <w:tblStyle w:val="155"/>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55"/>
        <w:gridCol w:w="3226"/>
        <w:gridCol w:w="1510"/>
        <w:gridCol w:w="1085"/>
        <w:gridCol w:w="1725"/>
        <w:gridCol w:w="108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95" w:hRule="atLeast"/>
        </w:trPr>
        <w:tc>
          <w:tcPr>
            <w:tcW w:w="353" w:type="pct"/>
            <w:shd w:val="clear" w:color="auto" w:fill="C6D9F0" w:themeFill="text2" w:themeFillTint="33"/>
            <w:vAlign w:val="center"/>
          </w:tcPr>
          <w:p>
            <w:pPr>
              <w:pStyle w:val="65"/>
              <w:rPr>
                <w:rFonts w:ascii="Times New Roman" w:hAnsi="Times New Roman" w:eastAsia="宋体" w:cstheme="minorBidi"/>
                <w:b w:val="0"/>
                <w:i w:val="0"/>
              </w:rPr>
            </w:pPr>
            <w:r>
              <w:rPr>
                <w:rFonts w:ascii="Times New Roman" w:hAnsi="Times New Roman" w:eastAsia="宋体" w:cstheme="minorBidi"/>
                <w:b/>
                <w:i w:val="0"/>
              </w:rPr>
              <w:t>序号</w:t>
            </w:r>
          </w:p>
        </w:tc>
        <w:tc>
          <w:tcPr>
            <w:tcW w:w="1737" w:type="pct"/>
            <w:shd w:val="clear" w:color="auto" w:fill="C6D9F0" w:themeFill="text2" w:themeFillTint="33"/>
            <w:vAlign w:val="center"/>
          </w:tcPr>
          <w:p>
            <w:pPr>
              <w:pStyle w:val="65"/>
              <w:rPr>
                <w:rFonts w:ascii="Times New Roman" w:hAnsi="Times New Roman" w:eastAsia="宋体" w:cstheme="minorBidi"/>
                <w:b w:val="0"/>
                <w:i w:val="0"/>
              </w:rPr>
            </w:pPr>
            <w:r>
              <w:rPr>
                <w:rFonts w:hint="eastAsia" w:ascii="Times New Roman" w:hAnsi="Times New Roman" w:eastAsia="宋体" w:cstheme="minorBidi"/>
                <w:b/>
                <w:i w:val="0"/>
              </w:rPr>
              <w:t>教育培训</w:t>
            </w:r>
            <w:r>
              <w:rPr>
                <w:rFonts w:ascii="Times New Roman" w:hAnsi="Times New Roman" w:eastAsia="宋体" w:cstheme="minorBidi"/>
                <w:b/>
                <w:i w:val="0"/>
              </w:rPr>
              <w:t>名称</w:t>
            </w:r>
          </w:p>
        </w:tc>
        <w:tc>
          <w:tcPr>
            <w:tcW w:w="813" w:type="pct"/>
            <w:shd w:val="clear" w:color="auto" w:fill="C6D9F0" w:themeFill="text2" w:themeFillTint="33"/>
            <w:vAlign w:val="center"/>
          </w:tcPr>
          <w:p>
            <w:pPr>
              <w:pStyle w:val="65"/>
              <w:rPr>
                <w:rFonts w:ascii="Times New Roman" w:hAnsi="Times New Roman" w:eastAsia="宋体" w:cstheme="minorBidi"/>
                <w:b w:val="0"/>
                <w:i w:val="0"/>
              </w:rPr>
            </w:pPr>
            <w:r>
              <w:rPr>
                <w:rFonts w:ascii="Times New Roman" w:hAnsi="Times New Roman" w:eastAsia="宋体" w:cstheme="minorBidi"/>
                <w:b/>
                <w:i w:val="0"/>
              </w:rPr>
              <w:t>类别</w:t>
            </w:r>
          </w:p>
        </w:tc>
        <w:tc>
          <w:tcPr>
            <w:tcW w:w="584" w:type="pct"/>
            <w:shd w:val="clear" w:color="auto" w:fill="C6D9F0" w:themeFill="text2" w:themeFillTint="33"/>
            <w:vAlign w:val="center"/>
          </w:tcPr>
          <w:p>
            <w:pPr>
              <w:pStyle w:val="65"/>
              <w:rPr>
                <w:rFonts w:ascii="Times New Roman" w:hAnsi="Times New Roman" w:eastAsia="宋体" w:cstheme="minorBidi"/>
                <w:b w:val="0"/>
                <w:i w:val="0"/>
              </w:rPr>
            </w:pPr>
            <w:r>
              <w:rPr>
                <w:rFonts w:ascii="Times New Roman" w:hAnsi="Times New Roman" w:eastAsia="宋体" w:cstheme="minorBidi"/>
                <w:b/>
                <w:i w:val="0"/>
              </w:rPr>
              <w:t>责任部门</w:t>
            </w:r>
          </w:p>
        </w:tc>
        <w:tc>
          <w:tcPr>
            <w:tcW w:w="929" w:type="pct"/>
            <w:shd w:val="clear" w:color="auto" w:fill="C6D9F0" w:themeFill="text2" w:themeFillTint="33"/>
            <w:vAlign w:val="center"/>
          </w:tcPr>
          <w:p>
            <w:pPr>
              <w:pStyle w:val="65"/>
              <w:rPr>
                <w:rFonts w:ascii="Times New Roman" w:hAnsi="Times New Roman" w:eastAsia="宋体" w:cstheme="minorBidi"/>
                <w:b w:val="0"/>
                <w:i w:val="0"/>
              </w:rPr>
            </w:pPr>
            <w:r>
              <w:rPr>
                <w:rFonts w:ascii="Times New Roman" w:hAnsi="Times New Roman" w:eastAsia="宋体" w:cstheme="minorBidi"/>
                <w:b/>
                <w:i w:val="0"/>
              </w:rPr>
              <w:t>协助部门</w:t>
            </w:r>
          </w:p>
        </w:tc>
        <w:tc>
          <w:tcPr>
            <w:tcW w:w="584" w:type="pct"/>
            <w:shd w:val="clear" w:color="auto" w:fill="C6D9F0" w:themeFill="text2" w:themeFillTint="33"/>
            <w:vAlign w:val="center"/>
          </w:tcPr>
          <w:p>
            <w:pPr>
              <w:pStyle w:val="65"/>
              <w:rPr>
                <w:rFonts w:ascii="Times New Roman" w:hAnsi="Times New Roman" w:eastAsia="宋体" w:cstheme="minorBidi"/>
                <w:b w:val="0"/>
                <w:i w:val="0"/>
              </w:rPr>
            </w:pPr>
            <w:r>
              <w:rPr>
                <w:rFonts w:hint="eastAsia" w:ascii="Times New Roman" w:hAnsi="Times New Roman" w:eastAsia="宋体" w:cstheme="minorBidi"/>
                <w:b/>
                <w:i w:val="0"/>
              </w:rPr>
              <w:t>计划时间</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9" w:hRule="atLeast"/>
        </w:trPr>
        <w:tc>
          <w:tcPr>
            <w:tcW w:w="353" w:type="pct"/>
            <w:vAlign w:val="center"/>
          </w:tcPr>
          <w:p>
            <w:pPr>
              <w:pStyle w:val="65"/>
              <w:rPr>
                <w:rFonts w:ascii="Times New Roman" w:hAnsi="Times New Roman" w:eastAsia="宋体" w:cstheme="minorBidi"/>
                <w:b w:val="0"/>
                <w:i w:val="0"/>
              </w:rPr>
            </w:pPr>
            <w:r>
              <w:rPr>
                <w:rFonts w:ascii="Times New Roman" w:hAnsi="Times New Roman" w:eastAsia="宋体" w:cstheme="minorBidi"/>
                <w:b w:val="0"/>
                <w:i w:val="0"/>
              </w:rPr>
              <w:t>1</w:t>
            </w:r>
          </w:p>
        </w:tc>
        <w:tc>
          <w:tcPr>
            <w:tcW w:w="1737" w:type="pct"/>
            <w:vAlign w:val="center"/>
          </w:tcPr>
          <w:p>
            <w:pPr>
              <w:pStyle w:val="65"/>
              <w:rPr>
                <w:rFonts w:cstheme="minorBidi"/>
              </w:rPr>
            </w:pPr>
            <w:r>
              <w:rPr>
                <w:rFonts w:hint="eastAsia" w:cstheme="minorBidi"/>
              </w:rPr>
              <w:t>塔吊安装班组进场安全教育培训</w:t>
            </w:r>
          </w:p>
        </w:tc>
        <w:tc>
          <w:tcPr>
            <w:tcW w:w="813" w:type="pct"/>
            <w:vAlign w:val="center"/>
          </w:tcPr>
          <w:p>
            <w:pPr>
              <w:pStyle w:val="65"/>
              <w:rPr>
                <w:rFonts w:cstheme="minorBidi"/>
              </w:rPr>
            </w:pPr>
            <w:r>
              <w:rPr>
                <w:rFonts w:hint="eastAsia" w:cstheme="minorBidi"/>
              </w:rPr>
              <w:t>三级安全教育</w:t>
            </w:r>
          </w:p>
        </w:tc>
        <w:tc>
          <w:tcPr>
            <w:tcW w:w="584" w:type="pct"/>
            <w:vAlign w:val="center"/>
          </w:tcPr>
          <w:p>
            <w:pPr>
              <w:pStyle w:val="65"/>
              <w:rPr>
                <w:rFonts w:cstheme="minorBidi"/>
              </w:rPr>
            </w:pPr>
            <w:r>
              <w:rPr>
                <w:rFonts w:hint="eastAsia" w:cstheme="minorBidi"/>
              </w:rPr>
              <w:t>安监部</w:t>
            </w:r>
          </w:p>
        </w:tc>
        <w:tc>
          <w:tcPr>
            <w:tcW w:w="929" w:type="pct"/>
            <w:vAlign w:val="center"/>
          </w:tcPr>
          <w:p>
            <w:pPr>
              <w:pStyle w:val="65"/>
              <w:rPr>
                <w:rFonts w:cstheme="minorBidi"/>
              </w:rPr>
            </w:pPr>
            <w:r>
              <w:rPr>
                <w:rFonts w:cstheme="minorBidi"/>
              </w:rPr>
              <w:t>设备部</w:t>
            </w:r>
            <w:r>
              <w:rPr>
                <w:rFonts w:hint="eastAsia" w:cstheme="minorBidi"/>
              </w:rPr>
              <w:t>、工程部</w:t>
            </w:r>
          </w:p>
        </w:tc>
        <w:tc>
          <w:tcPr>
            <w:tcW w:w="584" w:type="pct"/>
            <w:vAlign w:val="center"/>
          </w:tcPr>
          <w:p>
            <w:pPr>
              <w:pStyle w:val="65"/>
              <w:rPr>
                <w:rFonts w:cstheme="minorBidi"/>
              </w:rPr>
            </w:pPr>
            <w:r>
              <w:rPr>
                <w:rFonts w:hint="eastAsia" w:cstheme="minorBidi"/>
              </w:rPr>
              <w:t>进场前</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1" w:hRule="atLeast"/>
        </w:trPr>
        <w:tc>
          <w:tcPr>
            <w:tcW w:w="353" w:type="pct"/>
            <w:vAlign w:val="center"/>
          </w:tcPr>
          <w:p>
            <w:pPr>
              <w:pStyle w:val="65"/>
              <w:rPr>
                <w:rFonts w:ascii="Times New Roman" w:hAnsi="Times New Roman" w:eastAsia="宋体" w:cstheme="minorBidi"/>
                <w:b w:val="0"/>
                <w:i w:val="0"/>
              </w:rPr>
            </w:pPr>
            <w:r>
              <w:rPr>
                <w:rFonts w:ascii="Times New Roman" w:hAnsi="Times New Roman" w:eastAsia="宋体" w:cstheme="minorBidi"/>
                <w:b w:val="0"/>
                <w:i w:val="0"/>
              </w:rPr>
              <w:t>2</w:t>
            </w:r>
          </w:p>
        </w:tc>
        <w:tc>
          <w:tcPr>
            <w:tcW w:w="1737" w:type="pct"/>
            <w:vAlign w:val="center"/>
          </w:tcPr>
          <w:p>
            <w:pPr>
              <w:pStyle w:val="65"/>
              <w:rPr>
                <w:rFonts w:cstheme="minorBidi"/>
              </w:rPr>
            </w:pPr>
            <w:r>
              <w:rPr>
                <w:rFonts w:hint="eastAsia" w:cstheme="minorBidi"/>
              </w:rPr>
              <w:t>塔吊安装班组专项安全教育</w:t>
            </w:r>
          </w:p>
        </w:tc>
        <w:tc>
          <w:tcPr>
            <w:tcW w:w="813" w:type="pct"/>
            <w:vAlign w:val="center"/>
          </w:tcPr>
          <w:p>
            <w:pPr>
              <w:pStyle w:val="65"/>
              <w:rPr>
                <w:rFonts w:cstheme="minorBidi"/>
              </w:rPr>
            </w:pPr>
            <w:r>
              <w:rPr>
                <w:rFonts w:hint="eastAsia" w:cstheme="minorBidi"/>
              </w:rPr>
              <w:t>专项安全教育</w:t>
            </w:r>
          </w:p>
        </w:tc>
        <w:tc>
          <w:tcPr>
            <w:tcW w:w="584" w:type="pct"/>
            <w:vAlign w:val="center"/>
          </w:tcPr>
          <w:p>
            <w:pPr>
              <w:pStyle w:val="65"/>
              <w:rPr>
                <w:rFonts w:cstheme="minorBidi"/>
              </w:rPr>
            </w:pPr>
            <w:r>
              <w:rPr>
                <w:rFonts w:hint="eastAsia" w:cstheme="minorBidi"/>
              </w:rPr>
              <w:t>安监部</w:t>
            </w:r>
          </w:p>
        </w:tc>
        <w:tc>
          <w:tcPr>
            <w:tcW w:w="929" w:type="pct"/>
            <w:vAlign w:val="center"/>
          </w:tcPr>
          <w:p>
            <w:pPr>
              <w:pStyle w:val="65"/>
              <w:rPr>
                <w:rFonts w:cstheme="minorBidi"/>
              </w:rPr>
            </w:pPr>
            <w:r>
              <w:rPr>
                <w:rFonts w:hint="eastAsia" w:cstheme="minorBidi"/>
              </w:rPr>
              <w:t>设备部</w:t>
            </w:r>
          </w:p>
        </w:tc>
        <w:tc>
          <w:tcPr>
            <w:tcW w:w="584" w:type="pct"/>
            <w:vAlign w:val="center"/>
          </w:tcPr>
          <w:p>
            <w:pPr>
              <w:pStyle w:val="65"/>
              <w:rPr>
                <w:rFonts w:cstheme="minorBidi"/>
              </w:rPr>
            </w:pPr>
            <w:r>
              <w:rPr>
                <w:rFonts w:hint="eastAsia" w:cstheme="minorBidi"/>
              </w:rPr>
              <w:t>不定期</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1" w:hRule="atLeast"/>
        </w:trPr>
        <w:tc>
          <w:tcPr>
            <w:tcW w:w="353" w:type="pct"/>
            <w:vAlign w:val="center"/>
          </w:tcPr>
          <w:p>
            <w:pPr>
              <w:pStyle w:val="65"/>
              <w:rPr>
                <w:rFonts w:ascii="Times New Roman" w:hAnsi="Times New Roman" w:eastAsia="宋体" w:cstheme="minorBidi"/>
                <w:b w:val="0"/>
                <w:i w:val="0"/>
              </w:rPr>
            </w:pPr>
            <w:r>
              <w:rPr>
                <w:rFonts w:ascii="Times New Roman" w:hAnsi="Times New Roman" w:eastAsia="宋体" w:cstheme="minorBidi"/>
                <w:b w:val="0"/>
                <w:i w:val="0"/>
              </w:rPr>
              <w:t>3</w:t>
            </w:r>
          </w:p>
        </w:tc>
        <w:tc>
          <w:tcPr>
            <w:tcW w:w="1737" w:type="pct"/>
            <w:vAlign w:val="center"/>
          </w:tcPr>
          <w:p>
            <w:pPr>
              <w:pStyle w:val="65"/>
              <w:rPr>
                <w:rFonts w:cstheme="minorBidi"/>
              </w:rPr>
            </w:pPr>
            <w:r>
              <w:rPr>
                <w:rFonts w:hint="eastAsia" w:cstheme="minorBidi"/>
              </w:rPr>
              <w:t>塔吊安装班组日常安全教育</w:t>
            </w:r>
          </w:p>
        </w:tc>
        <w:tc>
          <w:tcPr>
            <w:tcW w:w="813" w:type="pct"/>
            <w:vAlign w:val="center"/>
          </w:tcPr>
          <w:p>
            <w:pPr>
              <w:pStyle w:val="65"/>
              <w:rPr>
                <w:rFonts w:cstheme="minorBidi"/>
              </w:rPr>
            </w:pPr>
            <w:r>
              <w:rPr>
                <w:rFonts w:hint="eastAsia" w:cstheme="minorBidi"/>
              </w:rPr>
              <w:t>日常安全教育</w:t>
            </w:r>
          </w:p>
        </w:tc>
        <w:tc>
          <w:tcPr>
            <w:tcW w:w="584" w:type="pct"/>
            <w:vAlign w:val="center"/>
          </w:tcPr>
          <w:p>
            <w:pPr>
              <w:pStyle w:val="65"/>
              <w:rPr>
                <w:rFonts w:cstheme="minorBidi"/>
              </w:rPr>
            </w:pPr>
            <w:r>
              <w:rPr>
                <w:rFonts w:hint="eastAsia" w:cstheme="minorBidi"/>
              </w:rPr>
              <w:t>安监部</w:t>
            </w:r>
          </w:p>
        </w:tc>
        <w:tc>
          <w:tcPr>
            <w:tcW w:w="929" w:type="pct"/>
            <w:vAlign w:val="center"/>
          </w:tcPr>
          <w:p>
            <w:pPr>
              <w:pStyle w:val="65"/>
              <w:rPr>
                <w:rFonts w:cstheme="minorBidi"/>
              </w:rPr>
            </w:pPr>
            <w:r>
              <w:rPr>
                <w:rFonts w:hint="eastAsia" w:cstheme="minorBidi"/>
              </w:rPr>
              <w:t>设备部</w:t>
            </w:r>
          </w:p>
        </w:tc>
        <w:tc>
          <w:tcPr>
            <w:tcW w:w="584" w:type="pct"/>
            <w:vAlign w:val="center"/>
          </w:tcPr>
          <w:p>
            <w:pPr>
              <w:pStyle w:val="65"/>
              <w:rPr>
                <w:rFonts w:cstheme="minorBidi"/>
              </w:rPr>
            </w:pPr>
            <w:r>
              <w:rPr>
                <w:rFonts w:hint="eastAsia" w:cstheme="minorBidi"/>
              </w:rPr>
              <w:t>不定期</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1" w:hRule="atLeast"/>
        </w:trPr>
        <w:tc>
          <w:tcPr>
            <w:tcW w:w="353" w:type="pct"/>
            <w:vAlign w:val="center"/>
          </w:tcPr>
          <w:p>
            <w:pPr>
              <w:pStyle w:val="65"/>
              <w:rPr>
                <w:rFonts w:ascii="Times New Roman" w:hAnsi="Times New Roman" w:eastAsia="宋体" w:cstheme="minorBidi"/>
                <w:b w:val="0"/>
                <w:i w:val="0"/>
              </w:rPr>
            </w:pPr>
            <w:r>
              <w:rPr>
                <w:rFonts w:ascii="Times New Roman" w:hAnsi="Times New Roman" w:eastAsia="宋体" w:cstheme="minorBidi"/>
                <w:b w:val="0"/>
                <w:i w:val="0"/>
              </w:rPr>
              <w:t>4</w:t>
            </w:r>
          </w:p>
        </w:tc>
        <w:tc>
          <w:tcPr>
            <w:tcW w:w="1737" w:type="pct"/>
            <w:vAlign w:val="center"/>
          </w:tcPr>
          <w:p>
            <w:pPr>
              <w:pStyle w:val="65"/>
              <w:rPr>
                <w:rFonts w:cstheme="minorBidi"/>
              </w:rPr>
            </w:pPr>
            <w:r>
              <w:rPr>
                <w:rFonts w:hint="eastAsia" w:cstheme="minorBidi"/>
              </w:rPr>
              <w:t>塔吊拆除班组专项安全教育培训</w:t>
            </w:r>
          </w:p>
        </w:tc>
        <w:tc>
          <w:tcPr>
            <w:tcW w:w="813" w:type="pct"/>
            <w:vAlign w:val="center"/>
          </w:tcPr>
          <w:p>
            <w:pPr>
              <w:pStyle w:val="65"/>
              <w:rPr>
                <w:rFonts w:cstheme="minorBidi"/>
              </w:rPr>
            </w:pPr>
            <w:r>
              <w:rPr>
                <w:rFonts w:hint="eastAsia" w:cstheme="minorBidi"/>
              </w:rPr>
              <w:t>专项安全教育</w:t>
            </w:r>
          </w:p>
        </w:tc>
        <w:tc>
          <w:tcPr>
            <w:tcW w:w="584" w:type="pct"/>
            <w:vAlign w:val="center"/>
          </w:tcPr>
          <w:p>
            <w:pPr>
              <w:pStyle w:val="65"/>
              <w:rPr>
                <w:rFonts w:cstheme="minorBidi"/>
              </w:rPr>
            </w:pPr>
            <w:r>
              <w:rPr>
                <w:rFonts w:hint="eastAsia" w:cstheme="minorBidi"/>
              </w:rPr>
              <w:t>安监部</w:t>
            </w:r>
          </w:p>
        </w:tc>
        <w:tc>
          <w:tcPr>
            <w:tcW w:w="929" w:type="pct"/>
            <w:vAlign w:val="center"/>
          </w:tcPr>
          <w:p>
            <w:pPr>
              <w:pStyle w:val="65"/>
              <w:rPr>
                <w:rFonts w:cstheme="minorBidi"/>
              </w:rPr>
            </w:pPr>
            <w:r>
              <w:rPr>
                <w:rFonts w:cstheme="minorBidi"/>
              </w:rPr>
              <w:t>设备部</w:t>
            </w:r>
            <w:r>
              <w:rPr>
                <w:rFonts w:hint="eastAsia" w:cstheme="minorBidi"/>
              </w:rPr>
              <w:t>、工程部</w:t>
            </w:r>
          </w:p>
        </w:tc>
        <w:tc>
          <w:tcPr>
            <w:tcW w:w="584" w:type="pct"/>
            <w:vAlign w:val="center"/>
          </w:tcPr>
          <w:p>
            <w:pPr>
              <w:pStyle w:val="65"/>
              <w:rPr>
                <w:rFonts w:cstheme="minorBidi"/>
              </w:rPr>
            </w:pPr>
            <w:r>
              <w:rPr>
                <w:rFonts w:hint="eastAsia" w:cstheme="minorBidi"/>
              </w:rPr>
              <w:t>拆除前</w:t>
            </w:r>
          </w:p>
        </w:tc>
      </w:tr>
    </w:tbl>
    <w:p>
      <w:pPr>
        <w:pStyle w:val="5"/>
        <w:bidi w:val="0"/>
        <w:ind w:left="0" w:leftChars="0" w:firstLine="0" w:firstLineChars="0"/>
        <w:rPr>
          <w:rFonts w:hint="eastAsia"/>
          <w:sz w:val="24"/>
          <w:szCs w:val="24"/>
          <w:lang w:val="en-US" w:eastAsia="zh-CN"/>
        </w:rPr>
      </w:pPr>
      <w:bookmarkStart w:id="87" w:name="_Toc530055691"/>
      <w:r>
        <w:rPr>
          <w:rFonts w:hint="eastAsia"/>
          <w:sz w:val="24"/>
          <w:szCs w:val="24"/>
          <w:lang w:val="en-US" w:eastAsia="zh-CN"/>
        </w:rPr>
        <w:t>塔吊安装作业安全保证措施</w:t>
      </w:r>
    </w:p>
    <w:p>
      <w:pPr>
        <w:ind w:firstLine="480"/>
        <w:rPr>
          <w:rFonts w:hint="eastAsia"/>
        </w:rPr>
      </w:pPr>
      <w:r>
        <w:rPr>
          <w:rFonts w:hint="eastAsia"/>
        </w:rPr>
        <w:t>（1）安装作业前，组织学习安装安全技术方案，对组织作业人员进行技术方案交底，每天对分项工作内容，技术要求，安全措施以及注意事项进行单独交底。</w:t>
      </w:r>
    </w:p>
    <w:p>
      <w:pPr>
        <w:ind w:firstLine="480"/>
        <w:rPr>
          <w:rFonts w:hint="eastAsia"/>
        </w:rPr>
      </w:pPr>
      <w:r>
        <w:rPr>
          <w:rFonts w:hint="eastAsia"/>
        </w:rPr>
        <w:t>（2）所有安装人员必须听从现场统一指挥。如发现信号不明或错误时应停止作业，待联络清楚后再进行作业。</w:t>
      </w:r>
    </w:p>
    <w:p>
      <w:pPr>
        <w:ind w:firstLine="480"/>
        <w:rPr>
          <w:rFonts w:hint="eastAsia"/>
        </w:rPr>
      </w:pPr>
      <w:r>
        <w:rPr>
          <w:rFonts w:hint="eastAsia"/>
        </w:rPr>
        <w:t>（3）作业人员经过培训考核合格，司机、吊装指挥、电工及检验人员要持证上岗，进入作业现场必须戴安全帽，高空作业时要系安全带，着防滑鞋，冬季、雨季应采取防滑措施。</w:t>
      </w:r>
    </w:p>
    <w:p>
      <w:pPr>
        <w:ind w:firstLine="480"/>
        <w:rPr>
          <w:rFonts w:hint="eastAsia"/>
        </w:rPr>
      </w:pPr>
      <w:r>
        <w:rPr>
          <w:rFonts w:hint="eastAsia"/>
        </w:rPr>
        <w:t>（4）塔吊的安装作业必须在白天进行，如需加快进度，可在具备良好照明条件的夜间做一些拼装工作，不得在大风、浓雾和雨雪天气进行。</w:t>
      </w:r>
    </w:p>
    <w:p>
      <w:pPr>
        <w:ind w:firstLine="480"/>
        <w:rPr>
          <w:rFonts w:hint="eastAsia"/>
        </w:rPr>
      </w:pPr>
      <w:r>
        <w:rPr>
          <w:rFonts w:hint="eastAsia"/>
        </w:rPr>
        <w:t xml:space="preserve">（5）顶部风速大于13m/s（6级风）时禁止作业。安装基本节段时遇六级风以上禁止作业。 </w:t>
      </w:r>
    </w:p>
    <w:p>
      <w:pPr>
        <w:ind w:firstLine="480"/>
        <w:rPr>
          <w:rFonts w:hint="eastAsia"/>
        </w:rPr>
      </w:pPr>
      <w:r>
        <w:rPr>
          <w:rFonts w:hint="eastAsia"/>
        </w:rPr>
        <w:t>（6）套架上、下支座，前后臂等大件吊装作业前，安全生产负责人必须进行专项安全技术交底。每次起吊离地面20cm左右时必须停机，挂好揽风绳，检查安全平稳性，确认安全可靠方能继续起吊。</w:t>
      </w:r>
    </w:p>
    <w:p>
      <w:pPr>
        <w:ind w:firstLine="480"/>
        <w:rPr>
          <w:rFonts w:hint="eastAsia"/>
        </w:rPr>
      </w:pPr>
      <w:r>
        <w:rPr>
          <w:rFonts w:hint="eastAsia"/>
        </w:rPr>
        <w:t>（7）安装作业区5米至10米范围内应设警戒线，应由施工现场派专人把守，非作业人员不得进入警戒线。专职安全员应随时检查各岗位人员的安全情况，夜间作业应有良好的照明。</w:t>
      </w:r>
    </w:p>
    <w:p>
      <w:pPr>
        <w:ind w:firstLine="480"/>
        <w:rPr>
          <w:rFonts w:hint="eastAsia"/>
        </w:rPr>
      </w:pPr>
      <w:r>
        <w:rPr>
          <w:rFonts w:hint="eastAsia"/>
        </w:rPr>
        <w:t>（8）安装架设用的钢丝绳及其固定必须符合标准和满足安装上的要求。地锚等临时设施必须构筑牢固。</w:t>
      </w:r>
    </w:p>
    <w:p>
      <w:pPr>
        <w:ind w:firstLine="480"/>
        <w:rPr>
          <w:rFonts w:hint="eastAsia"/>
        </w:rPr>
      </w:pPr>
      <w:r>
        <w:rPr>
          <w:rFonts w:hint="eastAsia"/>
        </w:rPr>
        <w:t>（9）在进行逐件组拼或部件安装之前，必须对部件各部分的完好情况、连接情况和钢丝绳穿绕情况、电气线路等进行全面检查。</w:t>
      </w:r>
    </w:p>
    <w:p>
      <w:pPr>
        <w:ind w:firstLine="480"/>
        <w:rPr>
          <w:rFonts w:hint="eastAsia"/>
        </w:rPr>
      </w:pPr>
      <w:r>
        <w:rPr>
          <w:rFonts w:hint="eastAsia"/>
        </w:rPr>
        <w:t>（10）在架设过程中，结构和钢丝绳的受力以在立塔初始阶段最为不利，随着塔架起升则逐渐减小。</w:t>
      </w:r>
    </w:p>
    <w:p>
      <w:pPr>
        <w:ind w:firstLine="480"/>
        <w:rPr>
          <w:rFonts w:hint="eastAsia"/>
        </w:rPr>
      </w:pPr>
      <w:r>
        <w:rPr>
          <w:rFonts w:hint="eastAsia"/>
        </w:rPr>
        <w:t>（11）在拆装起重臂和平衡臂时，要始终保持起重机的平衡，严禁只拆装一个臂就中断作业。</w:t>
      </w:r>
    </w:p>
    <w:p>
      <w:pPr>
        <w:ind w:firstLine="480"/>
        <w:rPr>
          <w:rFonts w:hint="eastAsia"/>
        </w:rPr>
      </w:pPr>
      <w:r>
        <w:rPr>
          <w:rFonts w:hint="eastAsia"/>
        </w:rPr>
        <w:t>（12）在安装作业过程中，如突然发生停电、机械故障、天气骤变等情况不能继续作业，或作业时间已到需要停休时，必须使起重机已安装的部位达到稳定状态并已锁固牢靠，所有结构件已连接牢固，塔顶的重心线处于塔底支承四边中心处，再经过检查确认妥善后，方可停止作业。</w:t>
      </w:r>
    </w:p>
    <w:p>
      <w:pPr>
        <w:ind w:firstLine="480"/>
        <w:rPr>
          <w:rFonts w:hint="eastAsia"/>
        </w:rPr>
      </w:pPr>
      <w:r>
        <w:rPr>
          <w:rFonts w:hint="eastAsia"/>
        </w:rPr>
        <w:t>（13）安装时应按安装要求使用规定的螺栓、销轴等连接件，并要有可靠的防松或保护装置。螺栓紧固时应附合规定的预紧力。钢丝绳安装应严格执行《起重机械用钢丝绳检验和报废实用规范》。</w:t>
      </w:r>
    </w:p>
    <w:p>
      <w:pPr>
        <w:ind w:firstLine="480"/>
        <w:rPr>
          <w:rFonts w:hint="eastAsia"/>
        </w:rPr>
      </w:pPr>
      <w:r>
        <w:rPr>
          <w:rFonts w:hint="eastAsia"/>
        </w:rPr>
        <w:t>（14）在安装起重机时，必须将大车行走限位装置和限位器碰块安装牢固可靠。并将各部位的栏杆、平台、护链、扶杆、护圈等安全防护装置装齐。</w:t>
      </w:r>
    </w:p>
    <w:p>
      <w:pPr>
        <w:ind w:firstLine="480"/>
        <w:rPr>
          <w:rFonts w:hint="eastAsia"/>
        </w:rPr>
      </w:pPr>
      <w:r>
        <w:rPr>
          <w:rFonts w:hint="eastAsia"/>
        </w:rPr>
        <w:t>（15）安装作业的程序，辅助设备、索具、工具以及地锚构筑等，均应遵照该机使用说明书中的规定或参照标准的安装工艺办理。</w:t>
      </w:r>
    </w:p>
    <w:p>
      <w:pPr>
        <w:pStyle w:val="5"/>
        <w:bidi w:val="0"/>
        <w:ind w:left="0" w:leftChars="0" w:firstLine="0" w:firstLineChars="0"/>
        <w:rPr>
          <w:rFonts w:hint="eastAsia"/>
          <w:sz w:val="24"/>
          <w:szCs w:val="24"/>
          <w:lang w:val="en-US" w:eastAsia="zh-CN"/>
        </w:rPr>
      </w:pPr>
      <w:r>
        <w:rPr>
          <w:rFonts w:hint="eastAsia"/>
          <w:sz w:val="24"/>
          <w:szCs w:val="24"/>
          <w:lang w:val="en-US" w:eastAsia="zh-CN"/>
        </w:rPr>
        <w:t>安全防护措施</w:t>
      </w:r>
    </w:p>
    <w:bookmarkEnd w:id="87"/>
    <w:p>
      <w:pPr>
        <w:ind w:firstLine="480"/>
      </w:pPr>
      <w:r>
        <w:rPr>
          <w:rFonts w:hint="eastAsia"/>
        </w:rPr>
        <w:t>1）吊装工作区内禁止非工作人员进入，起重臂下严禁站人；</w:t>
      </w:r>
    </w:p>
    <w:p>
      <w:pPr>
        <w:ind w:firstLine="480"/>
      </w:pPr>
      <w:r>
        <w:rPr>
          <w:rFonts w:hint="eastAsia"/>
        </w:rPr>
        <w:t>2）身体不适的工人不能进行高空作业，作业前全体作业人员必须明确重点措施方法，按既定的施工方案进行作业；</w:t>
      </w:r>
    </w:p>
    <w:p>
      <w:pPr>
        <w:ind w:firstLine="480"/>
      </w:pPr>
      <w:r>
        <w:rPr>
          <w:rFonts w:hint="eastAsia"/>
        </w:rPr>
        <w:t>3）安装起重机大臂、套架、平衡臂、回转总成及电器系统时，高空作业人员必须带好安全带；</w:t>
      </w:r>
    </w:p>
    <w:p>
      <w:pPr>
        <w:ind w:firstLine="480"/>
      </w:pPr>
      <w:r>
        <w:rPr>
          <w:rFonts w:hint="eastAsia"/>
        </w:rPr>
        <w:t>4）不准超负荷吊装，吊装人员必须戴安全帽，穿防滑鞋，带工具袋，不能在工作中嬉闹，必须认真作业；</w:t>
      </w:r>
    </w:p>
    <w:p>
      <w:pPr>
        <w:ind w:firstLine="480"/>
      </w:pPr>
      <w:r>
        <w:rPr>
          <w:rFonts w:hint="eastAsia"/>
        </w:rPr>
        <w:t>5）严禁工人站在被吊运的构件上，构件上也不能摆放零星物件；</w:t>
      </w:r>
    </w:p>
    <w:p>
      <w:pPr>
        <w:ind w:firstLine="480"/>
      </w:pPr>
      <w:r>
        <w:rPr>
          <w:rFonts w:hint="eastAsia"/>
        </w:rPr>
        <w:t>6）吊运时，绑扎方法要可靠，以防止中途落下伤人和起重机因失重而倾翻；</w:t>
      </w:r>
    </w:p>
    <w:p>
      <w:pPr>
        <w:ind w:firstLine="480"/>
      </w:pPr>
      <w:r>
        <w:rPr>
          <w:rFonts w:hint="eastAsia"/>
        </w:rPr>
        <w:t>7）吊装过程应由专人负责指挥，信号要求准确、明确到位；</w:t>
      </w:r>
    </w:p>
    <w:p>
      <w:pPr>
        <w:ind w:firstLine="480"/>
      </w:pPr>
      <w:r>
        <w:rPr>
          <w:rFonts w:hint="eastAsia"/>
        </w:rPr>
        <w:t>8）电工须穿绝缘鞋，戴好绝缘手套，不违章操作；</w:t>
      </w:r>
    </w:p>
    <w:p>
      <w:pPr>
        <w:ind w:firstLine="480"/>
      </w:pPr>
      <w:bookmarkStart w:id="88" w:name="_Toc3803_WPSOffice_Level2"/>
      <w:r>
        <w:rPr>
          <w:rFonts w:hint="eastAsia"/>
        </w:rPr>
        <w:t>9）构件吊装到位后要</w:t>
      </w:r>
      <w:bookmarkEnd w:id="88"/>
      <w:r>
        <w:rPr>
          <w:rFonts w:hint="eastAsia"/>
        </w:rPr>
        <w:t>求固定可靠，再进入下一步操作，严禁将构件浮放在某一处，以免落下发生意外。</w:t>
      </w:r>
    </w:p>
    <w:p>
      <w:pPr>
        <w:ind w:firstLine="480"/>
      </w:pPr>
      <w:r>
        <w:rPr>
          <w:rFonts w:hint="eastAsia"/>
        </w:rPr>
        <w:t>10）设备工具摆放整齐、合理，做到安全、有序；</w:t>
      </w:r>
    </w:p>
    <w:p>
      <w:pPr>
        <w:ind w:firstLine="480"/>
      </w:pPr>
      <w:r>
        <w:rPr>
          <w:rFonts w:hint="eastAsia"/>
        </w:rPr>
        <w:t>11）安装作业中，应严格按安装顺序进行，作业时严禁抛掷物件；</w:t>
      </w:r>
    </w:p>
    <w:p>
      <w:pPr>
        <w:ind w:firstLine="480"/>
        <w:rPr>
          <w:rFonts w:hint="eastAsia"/>
        </w:rPr>
      </w:pPr>
      <w:r>
        <w:rPr>
          <w:rFonts w:hint="eastAsia"/>
        </w:rPr>
        <w:t>1</w:t>
      </w:r>
      <w:r>
        <w:t>2</w:t>
      </w:r>
      <w:r>
        <w:rPr>
          <w:rFonts w:hint="eastAsia"/>
        </w:rPr>
        <w:t>）塔吊基础四周设置围挡，悬挂安全警示标牌。</w:t>
      </w:r>
    </w:p>
    <w:p>
      <w:pPr>
        <w:pStyle w:val="5"/>
        <w:bidi w:val="0"/>
        <w:ind w:left="0" w:leftChars="0" w:firstLine="0" w:firstLineChars="0"/>
        <w:rPr>
          <w:rFonts w:hint="eastAsia"/>
          <w:sz w:val="24"/>
          <w:szCs w:val="24"/>
          <w:lang w:val="en-US" w:eastAsia="zh-CN"/>
        </w:rPr>
      </w:pPr>
      <w:bookmarkStart w:id="89" w:name="_Toc530055692"/>
      <w:r>
        <w:rPr>
          <w:rFonts w:hint="eastAsia"/>
          <w:sz w:val="24"/>
          <w:szCs w:val="24"/>
          <w:lang w:val="en-US" w:eastAsia="zh-CN"/>
        </w:rPr>
        <w:t>安装过程注意事项</w:t>
      </w:r>
    </w:p>
    <w:bookmarkEnd w:id="89"/>
    <w:p>
      <w:pPr>
        <w:ind w:firstLine="480"/>
      </w:pPr>
      <w:r>
        <w:rPr>
          <w:rFonts w:hint="eastAsia"/>
        </w:rPr>
        <w:t>1）保证塔式起重机安装技术措施的合理性及可行性，提高各防护措施的技术参数；</w:t>
      </w:r>
    </w:p>
    <w:p>
      <w:pPr>
        <w:ind w:firstLine="480"/>
      </w:pPr>
      <w:r>
        <w:rPr>
          <w:rFonts w:hint="eastAsia"/>
        </w:rPr>
        <w:t>2）安装塔式起重机所用</w:t>
      </w:r>
      <w:r>
        <w:rPr>
          <w:rFonts w:hint="eastAsia"/>
          <w:lang w:eastAsia="zh-CN"/>
        </w:rPr>
        <w:t>汽车吊</w:t>
      </w:r>
      <w:r>
        <w:rPr>
          <w:rFonts w:hint="eastAsia"/>
        </w:rPr>
        <w:t>应装有音像清晰的喇叭、电铃或汽笛等信号装置在起重量臂、吊钩、平衡重等转动体上应标以鲜明的色彩标志；</w:t>
      </w:r>
    </w:p>
    <w:p>
      <w:pPr>
        <w:ind w:firstLine="480"/>
      </w:pPr>
      <w:bookmarkStart w:id="90" w:name="_Toc29074_WPSOffice_Level2"/>
      <w:r>
        <w:rPr>
          <w:rFonts w:hint="eastAsia"/>
        </w:rPr>
        <w:t>3）起重机吊钩上</w:t>
      </w:r>
      <w:bookmarkEnd w:id="90"/>
      <w:r>
        <w:rPr>
          <w:rFonts w:hint="eastAsia"/>
        </w:rPr>
        <w:t>须持有防脱钩装置；</w:t>
      </w:r>
    </w:p>
    <w:p>
      <w:pPr>
        <w:ind w:firstLine="480"/>
      </w:pPr>
      <w:r>
        <w:rPr>
          <w:rFonts w:hint="eastAsia"/>
        </w:rPr>
        <w:t>4）起重吊装指挥人员必须持证上岗，作业时应与操作人员密切配合，执行规定的指挥信号。操作人员应按照指挥人员的信号进行作业，当信号不清或错误时操作人员可拒绝执行；</w:t>
      </w:r>
    </w:p>
    <w:p>
      <w:pPr>
        <w:ind w:firstLine="480"/>
      </w:pPr>
      <w:r>
        <w:rPr>
          <w:rFonts w:hint="eastAsia"/>
        </w:rPr>
        <w:t>5）在六级以上大风或大雨、大雾等恶劣天气时，应停止起重吊装作业，雨雪过后作业前，应先试吊，确认制动器灵敏可靠后方可进行作业；</w:t>
      </w:r>
    </w:p>
    <w:p>
      <w:pPr>
        <w:ind w:firstLine="480"/>
      </w:pPr>
      <w:r>
        <w:rPr>
          <w:rFonts w:hint="eastAsia"/>
        </w:rPr>
        <w:t>6）安装标准节时应先检查焊接支腿是否焊接经过验收，验收合格后才可安装；</w:t>
      </w:r>
    </w:p>
    <w:p>
      <w:pPr>
        <w:ind w:firstLine="480"/>
      </w:pPr>
      <w:r>
        <w:rPr>
          <w:rFonts w:hint="eastAsia"/>
        </w:rPr>
        <w:t>7）检查各连接部件的螺栓及销轴是否符合图纸设计要求，并每安装一个部件后螺栓销轴都要确定符合要求再安装下一个部件；</w:t>
      </w:r>
    </w:p>
    <w:p>
      <w:pPr>
        <w:ind w:firstLine="480"/>
      </w:pPr>
      <w:r>
        <w:rPr>
          <w:rFonts w:hint="eastAsia"/>
        </w:rPr>
        <w:t>8）重物提升和下降速度应平稳、均匀，不得突然制动，左右回转应平稳，当回转未停稳前不得作反向动作；</w:t>
      </w:r>
    </w:p>
    <w:p>
      <w:pPr>
        <w:ind w:firstLine="480"/>
      </w:pPr>
      <w:r>
        <w:rPr>
          <w:rFonts w:hint="eastAsia"/>
        </w:rPr>
        <w:t>9）作业中所使用钢丝绳应有制造厂签发的产品技术性能和质量合格证明文件，当无证明文件时，必须经过试验合格后方可使用；</w:t>
      </w:r>
    </w:p>
    <w:p>
      <w:pPr>
        <w:ind w:firstLine="480"/>
      </w:pPr>
      <w:r>
        <w:rPr>
          <w:rFonts w:hint="eastAsia"/>
        </w:rPr>
        <w:t>10）应根据所吊重物的重量和提升高度，调整起重臂长度和仰角，并应估计吊索和重物本身的高度，留出适当空间；</w:t>
      </w:r>
    </w:p>
    <w:p>
      <w:pPr>
        <w:pStyle w:val="5"/>
        <w:bidi w:val="0"/>
        <w:ind w:left="0" w:leftChars="0" w:firstLine="0" w:firstLineChars="0"/>
        <w:rPr>
          <w:rFonts w:hint="eastAsia"/>
          <w:sz w:val="24"/>
          <w:szCs w:val="24"/>
          <w:lang w:val="en-US" w:eastAsia="zh-CN"/>
        </w:rPr>
      </w:pPr>
      <w:bookmarkStart w:id="91" w:name="_Toc530055693"/>
      <w:r>
        <w:rPr>
          <w:rFonts w:hint="eastAsia"/>
          <w:sz w:val="24"/>
          <w:szCs w:val="24"/>
          <w:lang w:val="en-US" w:eastAsia="zh-CN"/>
        </w:rPr>
        <w:t>电、气焊接作业安全规定</w:t>
      </w:r>
    </w:p>
    <w:bookmarkEnd w:id="91"/>
    <w:p>
      <w:pPr>
        <w:ind w:firstLine="480"/>
      </w:pPr>
      <w:r>
        <w:rPr>
          <w:rFonts w:hint="eastAsia"/>
        </w:rPr>
        <w:t>严格按有关规定安装线路及设备，用电设备都安装地线，不合格的电气器材严禁使用。安装临时用电工程，必须由电工完成。电工必须持有效证件上岗。</w:t>
      </w:r>
    </w:p>
    <w:p>
      <w:pPr>
        <w:ind w:firstLine="482"/>
        <w:rPr>
          <w:b/>
        </w:rPr>
      </w:pPr>
      <w:r>
        <w:rPr>
          <w:rFonts w:hint="eastAsia"/>
          <w:b/>
        </w:rPr>
        <w:t>（1）配电箱及开关箱的设置</w:t>
      </w:r>
    </w:p>
    <w:p>
      <w:pPr>
        <w:ind w:firstLine="480"/>
      </w:pPr>
      <w:r>
        <w:rPr>
          <w:rFonts w:hint="eastAsia"/>
        </w:rPr>
        <w:t>1）动力配电箱与照明配电箱宜分别设置，如设置在同一配电箱内，动力和照明线路应分路设置。</w:t>
      </w:r>
    </w:p>
    <w:p>
      <w:pPr>
        <w:ind w:firstLine="480"/>
      </w:pPr>
      <w:r>
        <w:rPr>
          <w:rFonts w:hint="eastAsia"/>
        </w:rPr>
        <w:t>2）每台电器设备应有各自专用的开关箱，必须实行“一机一闸”制，严禁用同一个电器开关直接控制两台或两台以上的用电设备（含插座）。</w:t>
      </w:r>
    </w:p>
    <w:p>
      <w:pPr>
        <w:ind w:firstLine="480"/>
      </w:pPr>
      <w:r>
        <w:rPr>
          <w:rFonts w:hint="eastAsia"/>
        </w:rPr>
        <w:t>3）总配电箱应设在靠近电源的地区。分配电箱应装设在用电设备或负荷相对集中的地区。分配电箱与开关箱的距离不得超过30m。开关箱与其控制的固定式用电设备的水平距离不宜超过3m。</w:t>
      </w:r>
    </w:p>
    <w:p>
      <w:pPr>
        <w:ind w:firstLine="480"/>
        <w:rPr>
          <w:color w:val="000000" w:themeColor="text1"/>
          <w14:textFill>
            <w14:solidFill>
              <w14:schemeClr w14:val="tx1"/>
            </w14:solidFill>
          </w14:textFill>
        </w:rPr>
      </w:pPr>
      <w:r>
        <w:rPr>
          <w:rFonts w:hint="eastAsia"/>
        </w:rPr>
        <w:t>4）配电箱</w:t>
      </w:r>
      <w:r>
        <w:rPr>
          <w:rFonts w:hint="eastAsia"/>
          <w:color w:val="000000" w:themeColor="text1"/>
          <w14:textFill>
            <w14:solidFill>
              <w14:schemeClr w14:val="tx1"/>
            </w14:solidFill>
          </w14:textFill>
        </w:rPr>
        <w:t>、开关箱油脂装设在干燥、通风及常温场所；不得装设在有严重损伤作用的瓦斯、烟气、蒸汽、液体及其他有害介质中。不得装设在易受外来固体物撞击、强烈振动，液体浸溅及热源烘烤的场所。否则，须做特殊防护处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5）配电箱、开关箱周围应有足够二人同时工作的空间和通道。不得堆放任何妨碍操作、维修的物品；不得有灌木、杂草。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配电箱、开关箱应装设端正、牢固、移动式分配电箱、开关箱应装设在坚固的支架上。固定式分配电箱、开关箱的下底与地面的垂直距离应大于1.3m,小于1.5m;移动式分配电箱、开关箱的下底与地面垂直距离宜大于0.6m,小于1.5m。</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7）配电箱、开关箱内的开关电器（含插座）应按其规定的位置紧固在电器安装板上，不得歪斜和松动。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8）配电箱、开关箱内的工作零线应通过接线端子板连接，并应与保护零线接线端子板分设。</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9）配电箱、开关箱内的连接线接头不得松动，不得有外露带电部分。配电箱、开关箱中导线的进线口和出线口应设在箱体下底面，严禁设在箱体的上顶面、侧面、后面或箱门处。</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10）配电箱和开关箱的金属体、金属电器安装板以及箱内电器</w:t>
      </w:r>
      <w:bookmarkStart w:id="92" w:name="_Toc11882_WPSOffice_Level1"/>
      <w:r>
        <w:rPr>
          <w:rFonts w:hint="eastAsia"/>
          <w:color w:val="000000" w:themeColor="text1"/>
          <w14:textFill>
            <w14:solidFill>
              <w14:schemeClr w14:val="tx1"/>
            </w14:solidFill>
          </w14:textFill>
        </w:rPr>
        <w:t>的不应带电金属底座、外壳等必须保护接零</w:t>
      </w:r>
      <w:bookmarkEnd w:id="92"/>
      <w:r>
        <w:rPr>
          <w:rFonts w:hint="eastAsia"/>
          <w:color w:val="000000" w:themeColor="text1"/>
          <w14:textFill>
            <w14:solidFill>
              <w14:schemeClr w14:val="tx1"/>
            </w14:solidFill>
          </w14:textFill>
        </w:rPr>
        <w:t>。</w:t>
      </w:r>
      <w:bookmarkStart w:id="93" w:name="_Toc14617_WPSOffice_Level2"/>
      <w:r>
        <w:rPr>
          <w:rFonts w:hint="eastAsia"/>
          <w:color w:val="000000" w:themeColor="text1"/>
          <w14:textFill>
            <w14:solidFill>
              <w14:schemeClr w14:val="tx1"/>
            </w14:solidFill>
          </w14:textFill>
        </w:rPr>
        <w:t>保护零线应通过接线端子板</w:t>
      </w:r>
      <w:bookmarkEnd w:id="93"/>
      <w:r>
        <w:rPr>
          <w:rFonts w:hint="eastAsia"/>
          <w:color w:val="000000" w:themeColor="text1"/>
          <w14:textFill>
            <w14:solidFill>
              <w14:schemeClr w14:val="tx1"/>
            </w14:solidFill>
          </w14:textFill>
        </w:rPr>
        <w:t>连接。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11）配电箱、开关箱必须防雨、防尘，遇到配电箱内存在灰尘、混凝土等杂物，电工必须及时清理。</w:t>
      </w:r>
    </w:p>
    <w:p>
      <w:pPr>
        <w:ind w:firstLine="480"/>
      </w:pPr>
      <w:r>
        <w:rPr>
          <w:rFonts w:hint="eastAsia"/>
        </w:rPr>
        <w:t>12）严禁使用容易引发触电事故的木质配电箱。</w:t>
      </w:r>
    </w:p>
    <w:p>
      <w:pPr>
        <w:ind w:firstLine="480"/>
      </w:pPr>
      <w:r>
        <w:rPr>
          <w:rFonts w:hint="eastAsia"/>
        </w:rPr>
        <w:t>13）遇到雷电、暴雨等恶劣天气，施工现场作业区域应关闭总供电源。</w:t>
      </w:r>
    </w:p>
    <w:p>
      <w:pPr>
        <w:ind w:firstLine="482"/>
        <w:rPr>
          <w:b/>
        </w:rPr>
      </w:pPr>
      <w:r>
        <w:rPr>
          <w:rFonts w:hint="eastAsia"/>
          <w:b/>
        </w:rPr>
        <w:t>（2）漏电保护器的设置</w:t>
      </w:r>
    </w:p>
    <w:p>
      <w:pPr>
        <w:ind w:firstLine="480"/>
      </w:pPr>
      <w:r>
        <w:rPr>
          <w:rFonts w:hint="eastAsia"/>
        </w:rPr>
        <w:t>1）施工现场的总配电箱和开关箱应至少设置两级漏电保护器，而且两级漏电保护器的额定漏电动作电流和额定漏电动作时间应合理配合，使之具有分级保护的功能。</w:t>
      </w:r>
    </w:p>
    <w:p>
      <w:pPr>
        <w:ind w:firstLine="480"/>
      </w:pPr>
      <w:r>
        <w:rPr>
          <w:rFonts w:hint="eastAsia"/>
        </w:rPr>
        <w:t>2）开关箱中必须设置漏电保护器，施工现场所有的用电设备，除做保护接零外，必须在设备负荷线的首端处安装漏电保护器。</w:t>
      </w:r>
    </w:p>
    <w:p>
      <w:pPr>
        <w:ind w:firstLine="480"/>
      </w:pPr>
      <w:r>
        <w:rPr>
          <w:rFonts w:hint="eastAsia"/>
        </w:rPr>
        <w:t>3）漏电保护器应装设在配电箱电源隔离开关的负荷侧和开关箱电源隔离开关的负荷侧。</w:t>
      </w:r>
    </w:p>
    <w:p>
      <w:pPr>
        <w:ind w:firstLine="480"/>
        <w:rPr>
          <w:color w:val="000000" w:themeColor="text1"/>
          <w14:textFill>
            <w14:solidFill>
              <w14:schemeClr w14:val="tx1"/>
            </w14:solidFill>
          </w14:textFill>
        </w:rPr>
      </w:pPr>
      <w:r>
        <w:rPr>
          <w:rFonts w:hint="eastAsia"/>
        </w:rPr>
        <w:t>4）开关箱内的漏电保护器其额定漏电动作电流应不大于30mA，额定漏电动作时间应小于0.1s。潮湿和有腐蚀介质场所的漏电保护器应采用防溅型产品，其额定漏电动</w:t>
      </w:r>
      <w:r>
        <w:rPr>
          <w:rFonts w:hint="eastAsia"/>
          <w:color w:val="000000" w:themeColor="text1"/>
          <w14:textFill>
            <w14:solidFill>
              <w14:schemeClr w14:val="tx1"/>
            </w14:solidFill>
          </w14:textFill>
        </w:rPr>
        <w:t>作电流应不大于15mA,额定漏电动作时间应小于0.1s。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5）电气焊工应经过安全教育，并检查专业、安全理论和实际训练，经考核合格持有操作证书的人员，方能进行作业。</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6）从事电气焊接的工作人员，应了解所操作焊机的结构和性能，严格按照安全操作规程作业。</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7）登高切割，应根据作业高度和环境条件，禁止在作业下方危险区存放可燃物、易爆物品和停留人员。</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8）氧气瓶、乙炔瓶应保持安全距离5m以上</w:t>
      </w:r>
      <w:bookmarkStart w:id="94" w:name="_Toc17627_WPSOffice_Level1"/>
      <w:r>
        <w:rPr>
          <w:rFonts w:hint="eastAsia"/>
          <w:color w:val="000000" w:themeColor="text1"/>
          <w14:textFill>
            <w14:solidFill>
              <w14:schemeClr w14:val="tx1"/>
            </w14:solidFill>
          </w14:textFill>
        </w:rPr>
        <w:t>，与明火作业保持1</w:t>
      </w:r>
      <w:bookmarkEnd w:id="94"/>
      <w:r>
        <w:rPr>
          <w:rFonts w:hint="eastAsia"/>
          <w:color w:val="000000" w:themeColor="text1"/>
          <w14:textFill>
            <w14:solidFill>
              <w14:schemeClr w14:val="tx1"/>
            </w14:solidFill>
          </w14:textFill>
        </w:rPr>
        <w:t>0</w:t>
      </w:r>
      <w:bookmarkStart w:id="95" w:name="_Toc4051_WPSOffice_Level2"/>
      <w:r>
        <w:rPr>
          <w:rFonts w:hint="eastAsia"/>
          <w:color w:val="000000" w:themeColor="text1"/>
          <w14:textFill>
            <w14:solidFill>
              <w14:schemeClr w14:val="tx1"/>
            </w14:solidFill>
          </w14:textFill>
        </w:rPr>
        <w:t>m以上。</w:t>
      </w:r>
    </w:p>
    <w:p>
      <w:pPr>
        <w:pStyle w:val="5"/>
        <w:bidi w:val="0"/>
        <w:ind w:left="0" w:leftChars="0" w:firstLine="0" w:firstLineChars="0"/>
        <w:rPr>
          <w:rFonts w:hint="eastAsia"/>
          <w:sz w:val="24"/>
          <w:szCs w:val="24"/>
          <w:lang w:val="en-US" w:eastAsia="zh-CN"/>
        </w:rPr>
      </w:pPr>
      <w:bookmarkStart w:id="96" w:name="_Toc530055694"/>
      <w:r>
        <w:rPr>
          <w:rFonts w:hint="eastAsia"/>
          <w:sz w:val="24"/>
          <w:szCs w:val="24"/>
          <w:lang w:val="en-US" w:eastAsia="zh-CN"/>
        </w:rPr>
        <w:t>起重作业的安全规定</w:t>
      </w:r>
    </w:p>
    <w:bookmarkEnd w:id="95"/>
    <w:bookmarkEnd w:id="96"/>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1）工作前检查起重所用的一切工具、设备、吊索具是否良好，如不符合规定的，必须修理或更换。</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2）起重作业前应了解吊物尺寸、重量和起吊高度等，不得冒险作业和超负荷作业。</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3）起重作业由专业起重作业人员指挥，统一指挥信号和哨声，指挥者站在所有作业人员能看到的位置。同时指挥者本人应清楚地看到重物吊装的全部过程。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4）起吊前应将吊物上的工具和杂物清除，以免掉下伤人，吊物上禁止站人。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5）起重时发现吊物不平衡应放下调整，起吊物及构件在未安装稳前，不得放下吊钩。</w:t>
      </w:r>
    </w:p>
    <w:p>
      <w:pPr>
        <w:ind w:firstLine="480"/>
      </w:pPr>
      <w:r>
        <w:rPr>
          <w:rFonts w:hint="eastAsia"/>
        </w:rPr>
        <w:t>6）严格执行“十不吊”要求。</w:t>
      </w:r>
    </w:p>
    <w:p>
      <w:pPr>
        <w:pStyle w:val="5"/>
        <w:bidi w:val="0"/>
        <w:ind w:left="0" w:leftChars="0" w:firstLine="0" w:firstLineChars="0"/>
        <w:rPr>
          <w:rFonts w:hint="eastAsia"/>
          <w:sz w:val="24"/>
          <w:szCs w:val="24"/>
          <w:lang w:val="en-US" w:eastAsia="zh-CN"/>
        </w:rPr>
      </w:pPr>
      <w:r>
        <w:rPr>
          <w:rFonts w:hint="eastAsia"/>
          <w:sz w:val="24"/>
          <w:szCs w:val="24"/>
          <w:lang w:val="en-US" w:eastAsia="zh-CN"/>
        </w:rPr>
        <w:t>监测监控措施</w:t>
      </w:r>
    </w:p>
    <w:p>
      <w:pPr>
        <w:ind w:firstLine="480"/>
      </w:pPr>
      <w:r>
        <w:rPr>
          <w:rFonts w:hint="eastAsia"/>
        </w:rPr>
        <w:t>根据本工程特点，塔吊监测的主要内容主要为塔吊塔身垂直度监测、基础沉降监测、 基础位移监测、塔机所有安全装置的监测。</w:t>
      </w:r>
    </w:p>
    <w:p>
      <w:pPr>
        <w:pStyle w:val="6"/>
        <w:bidi w:val="0"/>
        <w:ind w:left="864" w:leftChars="0" w:hanging="864" w:firstLineChars="0"/>
        <w:rPr>
          <w:rFonts w:hint="eastAsia"/>
          <w:b/>
          <w:bCs/>
          <w:sz w:val="24"/>
          <w:szCs w:val="24"/>
          <w:lang w:val="en-US" w:eastAsia="zh-CN"/>
        </w:rPr>
      </w:pPr>
      <w:r>
        <w:rPr>
          <w:rFonts w:hint="eastAsia"/>
          <w:b/>
          <w:bCs/>
          <w:sz w:val="24"/>
          <w:szCs w:val="24"/>
          <w:lang w:val="en-US" w:eastAsia="zh-CN"/>
        </w:rPr>
        <w:t>监控措施</w:t>
      </w:r>
    </w:p>
    <w:p>
      <w:pPr>
        <w:ind w:firstLine="480"/>
      </w:pPr>
      <w:r>
        <w:rPr>
          <w:rFonts w:hint="eastAsia"/>
        </w:rPr>
        <w:t>施工过程中，安全员必须对工人的施工操作进行监控。整个监控通过现场的指导，定期检查及不定期的检查来执行。</w:t>
      </w:r>
    </w:p>
    <w:p>
      <w:pPr>
        <w:ind w:firstLine="480"/>
      </w:pPr>
      <w:r>
        <w:rPr>
          <w:rFonts w:hint="eastAsia"/>
        </w:rPr>
        <w:t>在施工过程中，由安全专项方案作为指导，同时依据相关安全生产规范，在现场指导工人的操作是否规范，有问题的现场要求整改或指导。在生产过程中应组织生产管理相关部门的定期检查，对容易出现问题的工序要加强监控，对不容易出现问题的施工工序也要时有监控。通过加强监控来树立工人对安全生产的意识。安全部也要组织不定期的突击检查，以加强监控力度及覆盖外围。</w:t>
      </w:r>
    </w:p>
    <w:p>
      <w:pPr>
        <w:pStyle w:val="6"/>
        <w:bidi w:val="0"/>
        <w:ind w:left="864" w:leftChars="0" w:hanging="864" w:firstLineChars="0"/>
        <w:rPr>
          <w:rFonts w:hint="eastAsia"/>
          <w:b/>
          <w:bCs/>
          <w:sz w:val="24"/>
          <w:szCs w:val="24"/>
          <w:lang w:val="en-US" w:eastAsia="zh-CN"/>
        </w:rPr>
      </w:pPr>
      <w:r>
        <w:rPr>
          <w:rFonts w:hint="eastAsia"/>
          <w:b/>
          <w:bCs/>
          <w:sz w:val="24"/>
          <w:szCs w:val="24"/>
          <w:lang w:val="en-US" w:eastAsia="zh-CN"/>
        </w:rPr>
        <w:t>监测措施</w:t>
      </w:r>
    </w:p>
    <w:p>
      <w:pPr>
        <w:pStyle w:val="7"/>
        <w:ind w:left="-482" w:leftChars="0" w:firstLine="482" w:firstLineChars="0"/>
      </w:pPr>
      <w:r>
        <w:rPr>
          <w:rFonts w:hint="eastAsia"/>
        </w:rPr>
        <w:t>监测人员配备</w:t>
      </w:r>
    </w:p>
    <w:p>
      <w:pPr>
        <w:pStyle w:val="16"/>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6.4.8</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t>1</w:t>
      </w:r>
      <w:r>
        <w:fldChar w:fldCharType="end"/>
      </w:r>
      <w:r>
        <w:rPr>
          <w:rFonts w:hint="eastAsia"/>
        </w:rPr>
        <w:t>监测人员配备表</w:t>
      </w:r>
    </w:p>
    <w:tbl>
      <w:tblPr>
        <w:tblStyle w:val="122"/>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553"/>
        <w:gridCol w:w="5623"/>
        <w:gridCol w:w="110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43" w:type="pct"/>
            <w:shd w:val="clear" w:color="auto" w:fill="C6D9F0" w:themeFill="text2" w:themeFillTint="33"/>
            <w:vAlign w:val="center"/>
          </w:tcPr>
          <w:p>
            <w:pPr>
              <w:pStyle w:val="65"/>
              <w:adjustRightInd w:val="0"/>
              <w:snapToGrid w:val="0"/>
              <w:rPr>
                <w:rFonts w:ascii="Times New Roman" w:hAnsi="Times New Roman" w:eastAsia="宋体" w:cstheme="minorBidi"/>
                <w:b w:val="0"/>
                <w:i w:val="0"/>
              </w:rPr>
            </w:pPr>
            <w:r>
              <w:rPr>
                <w:rFonts w:hint="eastAsia" w:ascii="Times New Roman" w:hAnsi="Times New Roman" w:eastAsia="宋体" w:cstheme="minorBidi"/>
                <w:b/>
                <w:i w:val="0"/>
              </w:rPr>
              <w:t>姓名</w:t>
            </w:r>
          </w:p>
        </w:tc>
        <w:tc>
          <w:tcPr>
            <w:tcW w:w="836" w:type="pct"/>
            <w:shd w:val="clear" w:color="auto" w:fill="C6D9F0" w:themeFill="text2" w:themeFillTint="33"/>
            <w:vAlign w:val="center"/>
          </w:tcPr>
          <w:p>
            <w:pPr>
              <w:pStyle w:val="65"/>
              <w:adjustRightInd w:val="0"/>
              <w:snapToGrid w:val="0"/>
              <w:rPr>
                <w:rFonts w:ascii="Times New Roman" w:hAnsi="Times New Roman" w:eastAsia="宋体" w:cstheme="minorBidi"/>
                <w:b w:val="0"/>
                <w:i w:val="0"/>
              </w:rPr>
            </w:pPr>
            <w:r>
              <w:rPr>
                <w:rFonts w:hint="eastAsia" w:ascii="Times New Roman" w:hAnsi="Times New Roman" w:eastAsia="宋体" w:cstheme="minorBidi"/>
                <w:b/>
                <w:i w:val="0"/>
              </w:rPr>
              <w:t>职务</w:t>
            </w:r>
          </w:p>
        </w:tc>
        <w:tc>
          <w:tcPr>
            <w:tcW w:w="3027" w:type="pct"/>
            <w:shd w:val="clear" w:color="auto" w:fill="C6D9F0" w:themeFill="text2" w:themeFillTint="33"/>
            <w:vAlign w:val="center"/>
          </w:tcPr>
          <w:p>
            <w:pPr>
              <w:pStyle w:val="65"/>
              <w:adjustRightInd w:val="0"/>
              <w:snapToGrid w:val="0"/>
              <w:rPr>
                <w:rFonts w:ascii="Times New Roman" w:hAnsi="Times New Roman" w:eastAsia="宋体" w:cstheme="minorBidi"/>
                <w:b w:val="0"/>
                <w:i w:val="0"/>
              </w:rPr>
            </w:pPr>
            <w:r>
              <w:rPr>
                <w:rFonts w:hint="eastAsia" w:ascii="Times New Roman" w:hAnsi="Times New Roman" w:eastAsia="宋体" w:cstheme="minorBidi"/>
                <w:b/>
                <w:i w:val="0"/>
              </w:rPr>
              <w:t>工作内容</w:t>
            </w:r>
          </w:p>
        </w:tc>
        <w:tc>
          <w:tcPr>
            <w:tcW w:w="593" w:type="pct"/>
            <w:shd w:val="clear" w:color="auto" w:fill="C6D9F0" w:themeFill="text2" w:themeFillTint="33"/>
            <w:vAlign w:val="center"/>
          </w:tcPr>
          <w:p>
            <w:pPr>
              <w:pStyle w:val="65"/>
              <w:adjustRightInd w:val="0"/>
              <w:snapToGrid w:val="0"/>
              <w:rPr>
                <w:rFonts w:ascii="Times New Roman" w:hAnsi="Times New Roman" w:eastAsia="宋体" w:cstheme="minorBidi"/>
                <w:b w:val="0"/>
                <w:i w:val="0"/>
              </w:rPr>
            </w:pPr>
            <w:r>
              <w:rPr>
                <w:rFonts w:hint="eastAsia" w:ascii="Times New Roman" w:hAnsi="Times New Roman" w:eastAsia="宋体" w:cstheme="minorBidi"/>
                <w:b/>
                <w:i w:val="0"/>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543" w:type="pct"/>
            <w:vAlign w:val="center"/>
          </w:tcPr>
          <w:p>
            <w:pPr>
              <w:pStyle w:val="65"/>
              <w:adjustRightInd w:val="0"/>
              <w:snapToGrid w:val="0"/>
              <w:rPr>
                <w:rFonts w:hint="eastAsia" w:eastAsia="宋体" w:cstheme="minorBidi"/>
                <w:highlight w:val="yellow"/>
                <w:lang w:eastAsia="zh-CN"/>
              </w:rPr>
            </w:pPr>
            <w:r>
              <w:rPr>
                <w:rFonts w:hint="eastAsia" w:eastAsia="宋体" w:cstheme="minorBidi"/>
                <w:highlight w:val="none"/>
                <w:lang w:eastAsia="zh-CN"/>
              </w:rPr>
              <w:t>吕</w:t>
            </w:r>
            <w:r>
              <w:rPr>
                <w:rFonts w:hint="eastAsia" w:eastAsia="宋体" w:cstheme="minorBidi"/>
                <w:highlight w:val="none"/>
                <w:lang w:val="en-US" w:eastAsia="zh-CN"/>
              </w:rPr>
              <w:t>仕</w:t>
            </w:r>
            <w:r>
              <w:rPr>
                <w:rFonts w:hint="eastAsia" w:eastAsia="宋体" w:cstheme="minorBidi"/>
                <w:highlight w:val="none"/>
                <w:lang w:eastAsia="zh-CN"/>
              </w:rPr>
              <w:t>昌</w:t>
            </w:r>
          </w:p>
        </w:tc>
        <w:tc>
          <w:tcPr>
            <w:tcW w:w="836" w:type="pct"/>
            <w:vAlign w:val="center"/>
          </w:tcPr>
          <w:p>
            <w:pPr>
              <w:pStyle w:val="65"/>
              <w:adjustRightInd w:val="0"/>
              <w:snapToGrid w:val="0"/>
              <w:rPr>
                <w:rFonts w:cstheme="minorBidi"/>
                <w:highlight w:val="yellow"/>
              </w:rPr>
            </w:pPr>
            <w:r>
              <w:rPr>
                <w:rFonts w:hint="eastAsia" w:cstheme="minorBidi"/>
                <w:highlight w:val="none"/>
              </w:rPr>
              <w:t>项目负责人</w:t>
            </w:r>
          </w:p>
        </w:tc>
        <w:tc>
          <w:tcPr>
            <w:tcW w:w="3027" w:type="pct"/>
            <w:vAlign w:val="center"/>
          </w:tcPr>
          <w:p>
            <w:pPr>
              <w:pStyle w:val="65"/>
              <w:adjustRightInd w:val="0"/>
              <w:snapToGrid w:val="0"/>
              <w:rPr>
                <w:rFonts w:cstheme="minorBidi"/>
                <w:highlight w:val="yellow"/>
              </w:rPr>
            </w:pPr>
            <w:r>
              <w:rPr>
                <w:rFonts w:hint="eastAsia" w:cstheme="minorBidi"/>
                <w:highlight w:val="none"/>
              </w:rPr>
              <w:t>负责塔吊审核塔吊安装方案中所需监测数据</w:t>
            </w:r>
          </w:p>
        </w:tc>
        <w:tc>
          <w:tcPr>
            <w:tcW w:w="593" w:type="pct"/>
            <w:vAlign w:val="center"/>
          </w:tcPr>
          <w:p>
            <w:pPr>
              <w:pStyle w:val="65"/>
              <w:adjustRightInd w:val="0"/>
              <w:snapToGrid w:val="0"/>
              <w:rPr>
                <w:rFonts w:cstheme="minorBidi"/>
                <w:highlight w:val="yellow"/>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543" w:type="pct"/>
            <w:vAlign w:val="center"/>
          </w:tcPr>
          <w:p>
            <w:pPr>
              <w:pStyle w:val="65"/>
              <w:adjustRightInd w:val="0"/>
              <w:snapToGrid w:val="0"/>
              <w:rPr>
                <w:rFonts w:hint="eastAsia" w:cstheme="minorBidi"/>
                <w:highlight w:val="none"/>
                <w:lang w:eastAsia="zh-CN"/>
              </w:rPr>
            </w:pPr>
            <w:r>
              <w:rPr>
                <w:rFonts w:hint="eastAsia" w:cstheme="minorBidi"/>
                <w:highlight w:val="none"/>
                <w:lang w:val="en-US" w:eastAsia="zh-CN"/>
              </w:rPr>
              <w:t>温涛</w:t>
            </w:r>
          </w:p>
        </w:tc>
        <w:tc>
          <w:tcPr>
            <w:tcW w:w="836" w:type="pct"/>
            <w:vAlign w:val="center"/>
          </w:tcPr>
          <w:p>
            <w:pPr>
              <w:pStyle w:val="65"/>
              <w:adjustRightInd w:val="0"/>
              <w:snapToGrid w:val="0"/>
              <w:rPr>
                <w:rFonts w:hint="eastAsia" w:cstheme="minorBidi"/>
                <w:highlight w:val="none"/>
              </w:rPr>
            </w:pPr>
            <w:r>
              <w:rPr>
                <w:rFonts w:hint="eastAsia" w:cstheme="minorBidi"/>
                <w:highlight w:val="none"/>
              </w:rPr>
              <w:t>技术总工</w:t>
            </w:r>
          </w:p>
        </w:tc>
        <w:tc>
          <w:tcPr>
            <w:tcW w:w="3027" w:type="pct"/>
            <w:vAlign w:val="center"/>
          </w:tcPr>
          <w:p>
            <w:pPr>
              <w:pStyle w:val="65"/>
              <w:adjustRightInd w:val="0"/>
              <w:snapToGrid w:val="0"/>
              <w:rPr>
                <w:rFonts w:hint="eastAsia" w:cstheme="minorBidi"/>
                <w:highlight w:val="none"/>
              </w:rPr>
            </w:pPr>
            <w:r>
              <w:rPr>
                <w:rFonts w:hint="eastAsia" w:cstheme="minorBidi"/>
                <w:highlight w:val="none"/>
              </w:rPr>
              <w:t>负责协调工作、监管测量员与安装单位对塔吊安装前、中、</w:t>
            </w:r>
          </w:p>
          <w:p>
            <w:pPr>
              <w:pStyle w:val="65"/>
              <w:adjustRightInd w:val="0"/>
              <w:snapToGrid w:val="0"/>
              <w:rPr>
                <w:rFonts w:hint="eastAsia" w:cstheme="minorBidi"/>
                <w:highlight w:val="none"/>
              </w:rPr>
            </w:pPr>
            <w:r>
              <w:rPr>
                <w:rFonts w:hint="eastAsia" w:cstheme="minorBidi"/>
                <w:highlight w:val="none"/>
              </w:rPr>
              <w:t>后的相关数据进行测量，并制作测量表格，收集监测资料。</w:t>
            </w:r>
          </w:p>
        </w:tc>
        <w:tc>
          <w:tcPr>
            <w:tcW w:w="593" w:type="pct"/>
            <w:vAlign w:val="center"/>
          </w:tcPr>
          <w:p>
            <w:pPr>
              <w:pStyle w:val="65"/>
              <w:adjustRightInd w:val="0"/>
              <w:snapToGrid w:val="0"/>
              <w:rPr>
                <w:rFonts w:cstheme="minorBidi"/>
                <w:highlight w:val="yellow"/>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543" w:type="pct"/>
            <w:vAlign w:val="center"/>
          </w:tcPr>
          <w:p>
            <w:pPr>
              <w:pStyle w:val="65"/>
              <w:adjustRightInd w:val="0"/>
              <w:snapToGrid w:val="0"/>
              <w:rPr>
                <w:rFonts w:hint="eastAsia" w:cstheme="minorBidi"/>
                <w:highlight w:val="none"/>
              </w:rPr>
            </w:pPr>
            <w:r>
              <w:rPr>
                <w:rFonts w:hint="eastAsia" w:cstheme="minorBidi"/>
                <w:highlight w:val="none"/>
              </w:rPr>
              <w:t>刘云祥</w:t>
            </w:r>
          </w:p>
        </w:tc>
        <w:tc>
          <w:tcPr>
            <w:tcW w:w="836" w:type="pct"/>
            <w:vAlign w:val="center"/>
          </w:tcPr>
          <w:p>
            <w:pPr>
              <w:pStyle w:val="65"/>
              <w:adjustRightInd w:val="0"/>
              <w:snapToGrid w:val="0"/>
              <w:rPr>
                <w:rFonts w:hint="eastAsia" w:cstheme="minorBidi"/>
                <w:highlight w:val="none"/>
              </w:rPr>
            </w:pPr>
            <w:r>
              <w:rPr>
                <w:rFonts w:hint="eastAsia" w:cstheme="minorBidi"/>
                <w:highlight w:val="none"/>
              </w:rPr>
              <w:t>安全总监</w:t>
            </w:r>
          </w:p>
        </w:tc>
        <w:tc>
          <w:tcPr>
            <w:tcW w:w="3027" w:type="pct"/>
            <w:vAlign w:val="center"/>
          </w:tcPr>
          <w:p>
            <w:pPr>
              <w:pStyle w:val="65"/>
              <w:adjustRightInd w:val="0"/>
              <w:snapToGrid w:val="0"/>
              <w:rPr>
                <w:rFonts w:hint="eastAsia" w:cstheme="minorBidi"/>
                <w:highlight w:val="none"/>
              </w:rPr>
            </w:pPr>
            <w:r>
              <w:rPr>
                <w:rFonts w:hint="eastAsia" w:cstheme="minorBidi"/>
                <w:highlight w:val="none"/>
              </w:rPr>
              <w:t>负责塔吊安装过程中的安全监管</w:t>
            </w:r>
          </w:p>
        </w:tc>
        <w:tc>
          <w:tcPr>
            <w:tcW w:w="593" w:type="pct"/>
            <w:vAlign w:val="center"/>
          </w:tcPr>
          <w:p>
            <w:pPr>
              <w:pStyle w:val="65"/>
              <w:adjustRightInd w:val="0"/>
              <w:snapToGrid w:val="0"/>
              <w:rPr>
                <w:rFonts w:cstheme="minorBidi"/>
                <w:highlight w:val="yellow"/>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43" w:type="pct"/>
            <w:vAlign w:val="center"/>
          </w:tcPr>
          <w:p>
            <w:pPr>
              <w:pStyle w:val="65"/>
              <w:adjustRightInd w:val="0"/>
              <w:snapToGrid w:val="0"/>
              <w:rPr>
                <w:rFonts w:hint="eastAsia" w:cstheme="minorBidi"/>
                <w:highlight w:val="none"/>
              </w:rPr>
            </w:pPr>
            <w:r>
              <w:rPr>
                <w:rFonts w:hint="eastAsia" w:cstheme="minorBidi"/>
                <w:highlight w:val="none"/>
              </w:rPr>
              <w:t>罗乾龙</w:t>
            </w:r>
          </w:p>
        </w:tc>
        <w:tc>
          <w:tcPr>
            <w:tcW w:w="836" w:type="pct"/>
            <w:vAlign w:val="center"/>
          </w:tcPr>
          <w:p>
            <w:pPr>
              <w:pStyle w:val="65"/>
              <w:adjustRightInd w:val="0"/>
              <w:snapToGrid w:val="0"/>
              <w:rPr>
                <w:rFonts w:hint="eastAsia" w:cstheme="minorBidi"/>
                <w:highlight w:val="none"/>
              </w:rPr>
            </w:pPr>
            <w:r>
              <w:rPr>
                <w:rFonts w:hint="eastAsia" w:cstheme="minorBidi"/>
                <w:highlight w:val="none"/>
              </w:rPr>
              <w:t>测量组长</w:t>
            </w:r>
          </w:p>
        </w:tc>
        <w:tc>
          <w:tcPr>
            <w:tcW w:w="3027" w:type="pct"/>
            <w:vAlign w:val="center"/>
          </w:tcPr>
          <w:p>
            <w:pPr>
              <w:pStyle w:val="65"/>
              <w:adjustRightInd w:val="0"/>
              <w:snapToGrid w:val="0"/>
              <w:rPr>
                <w:rFonts w:hint="eastAsia" w:cstheme="minorBidi"/>
                <w:highlight w:val="none"/>
              </w:rPr>
            </w:pPr>
            <w:r>
              <w:rPr>
                <w:rFonts w:hint="eastAsia" w:cstheme="minorBidi"/>
                <w:highlight w:val="none"/>
              </w:rPr>
              <w:t>负责塔吊安装过程中的测量工作</w:t>
            </w:r>
          </w:p>
        </w:tc>
        <w:tc>
          <w:tcPr>
            <w:tcW w:w="593" w:type="pct"/>
            <w:vAlign w:val="center"/>
          </w:tcPr>
          <w:p>
            <w:pPr>
              <w:pStyle w:val="65"/>
              <w:adjustRightInd w:val="0"/>
              <w:snapToGrid w:val="0"/>
              <w:rPr>
                <w:rFonts w:cstheme="minorBidi"/>
                <w:highlight w:val="yellow"/>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43" w:type="pct"/>
            <w:vAlign w:val="center"/>
          </w:tcPr>
          <w:p>
            <w:pPr>
              <w:pStyle w:val="65"/>
              <w:adjustRightInd w:val="0"/>
              <w:snapToGrid w:val="0"/>
              <w:rPr>
                <w:rFonts w:hint="default" w:cstheme="minorBidi"/>
                <w:highlight w:val="none"/>
                <w:lang w:val="en-US" w:eastAsia="zh-CN"/>
              </w:rPr>
            </w:pPr>
            <w:r>
              <w:rPr>
                <w:rFonts w:hint="eastAsia" w:cstheme="minorBidi"/>
                <w:highlight w:val="none"/>
              </w:rPr>
              <w:t>熊登</w:t>
            </w:r>
          </w:p>
        </w:tc>
        <w:tc>
          <w:tcPr>
            <w:tcW w:w="836" w:type="pct"/>
            <w:vAlign w:val="center"/>
          </w:tcPr>
          <w:p>
            <w:pPr>
              <w:pStyle w:val="65"/>
              <w:adjustRightInd w:val="0"/>
              <w:snapToGrid w:val="0"/>
              <w:rPr>
                <w:rFonts w:hint="eastAsia" w:cstheme="minorBidi"/>
                <w:highlight w:val="none"/>
              </w:rPr>
            </w:pPr>
            <w:r>
              <w:rPr>
                <w:rFonts w:hint="eastAsia" w:cstheme="minorBidi"/>
                <w:highlight w:val="none"/>
              </w:rPr>
              <w:t>安拆工长</w:t>
            </w:r>
          </w:p>
        </w:tc>
        <w:tc>
          <w:tcPr>
            <w:tcW w:w="3027" w:type="pct"/>
            <w:vAlign w:val="center"/>
          </w:tcPr>
          <w:p>
            <w:pPr>
              <w:pStyle w:val="65"/>
              <w:adjustRightInd w:val="0"/>
              <w:snapToGrid w:val="0"/>
              <w:rPr>
                <w:rFonts w:hint="eastAsia" w:cstheme="minorBidi"/>
                <w:highlight w:val="none"/>
              </w:rPr>
            </w:pPr>
            <w:r>
              <w:rPr>
                <w:rFonts w:hint="eastAsia" w:cstheme="minorBidi"/>
                <w:highlight w:val="none"/>
              </w:rPr>
              <w:t>负责配合测量员完成塔吊监测工作</w:t>
            </w:r>
          </w:p>
        </w:tc>
        <w:tc>
          <w:tcPr>
            <w:tcW w:w="593" w:type="pct"/>
            <w:vAlign w:val="center"/>
          </w:tcPr>
          <w:p>
            <w:pPr>
              <w:pStyle w:val="65"/>
              <w:adjustRightInd w:val="0"/>
              <w:snapToGrid w:val="0"/>
              <w:rPr>
                <w:rFonts w:cstheme="minorBidi"/>
                <w:highlight w:val="yellow"/>
              </w:rPr>
            </w:pPr>
          </w:p>
        </w:tc>
      </w:tr>
    </w:tbl>
    <w:p>
      <w:pPr>
        <w:pStyle w:val="7"/>
        <w:ind w:left="-482" w:leftChars="0" w:firstLine="482" w:firstLineChars="0"/>
      </w:pPr>
      <w:r>
        <w:rPr>
          <w:rFonts w:hint="eastAsia"/>
        </w:rPr>
        <w:t>监测监管要求</w:t>
      </w:r>
    </w:p>
    <w:p>
      <w:pPr>
        <w:ind w:firstLine="480"/>
      </w:pPr>
      <w:r>
        <w:rPr>
          <w:rFonts w:hint="eastAsia"/>
        </w:rPr>
        <w:t>前期准备：必须将所需监测资料收集齐全，所需测量数据制定成表格，并将控制 要求负责表格后面；</w:t>
      </w:r>
    </w:p>
    <w:p>
      <w:pPr>
        <w:ind w:firstLine="480"/>
      </w:pPr>
      <w:r>
        <w:rPr>
          <w:rFonts w:hint="eastAsia"/>
        </w:rPr>
        <w:t>现场测量：保证测量人员固定，设备固定、观测线路固定的三固定原则，保证测 量仪器工作正常，现场测量员技术过关，注意施工安全；</w:t>
      </w:r>
    </w:p>
    <w:p>
      <w:pPr>
        <w:ind w:firstLine="480"/>
      </w:pPr>
      <w:r>
        <w:rPr>
          <w:rFonts w:hint="eastAsia"/>
        </w:rPr>
        <w:t>数据处理：现场测量数据必须形成档案，以便存储。同时将测量数据及时反馈给 安拆工长，安拆工长根据反馈数据确定是否需要采取相应处理措施；</w:t>
      </w:r>
    </w:p>
    <w:p>
      <w:pPr>
        <w:ind w:firstLine="480"/>
      </w:pPr>
      <w:r>
        <w:rPr>
          <w:rFonts w:hint="eastAsia"/>
        </w:rPr>
        <w:t>档案归档：塔吊安装完成，检测合格后，保证所有监测资料能够快速查阅，资料 控制、保护措施全面；</w:t>
      </w:r>
    </w:p>
    <w:p>
      <w:pPr>
        <w:pStyle w:val="7"/>
        <w:ind w:left="-482" w:leftChars="0" w:firstLine="482" w:firstLineChars="0"/>
      </w:pPr>
      <w:r>
        <w:rPr>
          <w:rFonts w:hint="eastAsia"/>
        </w:rPr>
        <w:t>监测方法</w:t>
      </w:r>
    </w:p>
    <w:p>
      <w:pPr>
        <w:ind w:firstLine="480"/>
      </w:pPr>
      <w:r>
        <w:rPr>
          <w:rFonts w:hint="eastAsia"/>
        </w:rPr>
        <w:t>1）安装时每安装一节塔身节即对塔吊垂直度进行测量，满足要求后方可进行下道工序施工。</w:t>
      </w:r>
    </w:p>
    <w:p>
      <w:pPr>
        <w:ind w:firstLine="480"/>
      </w:pPr>
      <w:r>
        <w:rPr>
          <w:rFonts w:hint="eastAsia"/>
        </w:rPr>
        <w:t>安装完成每周对塔吊的垂直度进行监测，当倾斜度超过4/1000时或者倾斜速率连续三日大于5mm/d时，应立即停止塔吊的使用，查明相关原因。</w:t>
      </w:r>
    </w:p>
    <w:p>
      <w:pPr>
        <w:ind w:firstLine="480"/>
      </w:pPr>
      <w:r>
        <w:rPr>
          <w:rFonts w:hint="eastAsia"/>
        </w:rPr>
        <w:t>2）在塔吊上安装塔吊监控监控系统，确保塔吊作业安全，监控项目主要包括群塔防碰撞、空间限位保护、超载保护、人机管理、远程监控等方面。</w:t>
      </w:r>
    </w:p>
    <w:p>
      <w:pPr>
        <w:ind w:firstLine="480"/>
      </w:pPr>
      <w:r>
        <w:rPr>
          <w:rFonts w:hint="eastAsia"/>
        </w:rPr>
        <w:t>3）塔吊安装与使用期间安装风速仪对现场风速进行监测，当现场风速达到6级风时需停止塔吊安装与使用。</w:t>
      </w:r>
    </w:p>
    <w:p>
      <w:pPr>
        <w:ind w:firstLine="480"/>
      </w:pPr>
      <w:r>
        <w:rPr>
          <w:rFonts w:hint="eastAsia"/>
        </w:rPr>
        <w:t>大风天气时，将塔吊回转机构的制动器完全松开，起重臂应能随风转动，塔吊控制器挂零档，吊钩应收起，靠塔身放置，当气象播报风力可达10级及以上时应在大风天气来临前降低塔吊高度。</w:t>
      </w:r>
    </w:p>
    <w:p>
      <w:pPr>
        <w:ind w:firstLine="480"/>
      </w:pPr>
      <w:r>
        <w:rPr>
          <w:rFonts w:hint="eastAsia"/>
        </w:rPr>
        <w:t>4)塔吊限位装置、钢丝绳检测，定期对塔吊限位装置、钢丝绳进行检查，发现问题立即进行更换。</w:t>
      </w:r>
    </w:p>
    <w:p>
      <w:pPr>
        <w:ind w:firstLine="480"/>
      </w:pPr>
      <w:r>
        <w:rPr>
          <w:rFonts w:hint="eastAsia"/>
        </w:rPr>
        <w:t>5）用经纬仪定期测量塔吊垂直度确保塔吊使用过程的安全稳定，独立高度下或最上层附着框以上塔身轴线对支承面垂直度不得大于 4/ 1000。</w:t>
      </w:r>
    </w:p>
    <w:p>
      <w:pPr>
        <w:pStyle w:val="7"/>
        <w:ind w:left="-482" w:leftChars="0" w:firstLine="482" w:firstLineChars="0"/>
      </w:pPr>
      <w:r>
        <w:rPr>
          <w:rFonts w:hint="eastAsia"/>
        </w:rPr>
        <w:t>主要监测内容</w:t>
      </w:r>
    </w:p>
    <w:p>
      <w:pPr>
        <w:pStyle w:val="16"/>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6.4.8</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t>2</w:t>
      </w:r>
      <w:r>
        <w:fldChar w:fldCharType="end"/>
      </w:r>
      <w:r>
        <w:rPr>
          <w:rFonts w:hint="eastAsia"/>
        </w:rPr>
        <w:t>主要监测内容明细表</w:t>
      </w:r>
    </w:p>
    <w:tbl>
      <w:tblPr>
        <w:tblStyle w:val="122"/>
        <w:tblW w:w="9051"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557"/>
        <w:gridCol w:w="1552"/>
        <w:gridCol w:w="714"/>
        <w:gridCol w:w="21"/>
        <w:gridCol w:w="555"/>
        <w:gridCol w:w="2125"/>
        <w:gridCol w:w="133"/>
        <w:gridCol w:w="20"/>
        <w:gridCol w:w="969"/>
        <w:gridCol w:w="1271"/>
        <w:gridCol w:w="2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gridAfter w:val="1"/>
          <w:wAfter w:w="20" w:type="dxa"/>
          <w:trHeight w:val="576" w:hRule="atLeast"/>
          <w:tblHeader/>
          <w:jc w:val="center"/>
        </w:trPr>
        <w:tc>
          <w:tcPr>
            <w:tcW w:w="1114" w:type="dxa"/>
            <w:shd w:val="clear" w:color="auto" w:fill="C6D9F0" w:themeFill="text2" w:themeFillTint="33"/>
            <w:vAlign w:val="center"/>
          </w:tcPr>
          <w:p>
            <w:pPr>
              <w:pStyle w:val="65"/>
              <w:adjustRightInd w:val="0"/>
              <w:snapToGrid w:val="0"/>
              <w:rPr>
                <w:rFonts w:ascii="Times New Roman" w:hAnsi="Times New Roman" w:eastAsia="宋体" w:cstheme="minorBidi"/>
                <w:b w:val="0"/>
                <w:i w:val="0"/>
              </w:rPr>
            </w:pPr>
            <w:r>
              <w:rPr>
                <w:rFonts w:hint="eastAsia" w:ascii="Times New Roman" w:hAnsi="Times New Roman" w:eastAsia="宋体" w:cstheme="minorBidi"/>
                <w:b/>
                <w:i w:val="0"/>
              </w:rPr>
              <w:t>施工</w:t>
            </w:r>
            <w:r>
              <w:rPr>
                <w:rFonts w:hint="eastAsia" w:ascii="Times New Roman" w:hAnsi="Times New Roman" w:eastAsia="宋体" w:cstheme="minorBidi"/>
                <w:b/>
                <w:i w:val="0"/>
                <w:spacing w:val="7"/>
              </w:rPr>
              <w:t>单位</w:t>
            </w:r>
          </w:p>
        </w:tc>
        <w:tc>
          <w:tcPr>
            <w:tcW w:w="2109" w:type="dxa"/>
            <w:gridSpan w:val="2"/>
            <w:shd w:val="clear" w:color="auto" w:fill="C6D9F0" w:themeFill="text2" w:themeFillTint="33"/>
            <w:vAlign w:val="center"/>
          </w:tcPr>
          <w:p>
            <w:pPr>
              <w:pStyle w:val="65"/>
              <w:adjustRightInd w:val="0"/>
              <w:snapToGrid w:val="0"/>
              <w:rPr>
                <w:rFonts w:ascii="Times New Roman" w:hAnsi="Times New Roman" w:eastAsia="宋体" w:cstheme="minorBidi"/>
                <w:b w:val="0"/>
                <w:i w:val="0"/>
              </w:rPr>
            </w:pPr>
          </w:p>
        </w:tc>
        <w:tc>
          <w:tcPr>
            <w:tcW w:w="1290" w:type="dxa"/>
            <w:gridSpan w:val="3"/>
            <w:shd w:val="clear" w:color="auto" w:fill="C6D9F0" w:themeFill="text2" w:themeFillTint="33"/>
            <w:vAlign w:val="center"/>
          </w:tcPr>
          <w:p>
            <w:pPr>
              <w:pStyle w:val="65"/>
              <w:adjustRightInd w:val="0"/>
              <w:snapToGrid w:val="0"/>
              <w:rPr>
                <w:rFonts w:ascii="Times New Roman" w:hAnsi="Times New Roman" w:eastAsia="宋体" w:cstheme="minorBidi"/>
                <w:b w:val="0"/>
                <w:i w:val="0"/>
              </w:rPr>
            </w:pPr>
            <w:r>
              <w:rPr>
                <w:rFonts w:hint="eastAsia" w:ascii="Times New Roman" w:hAnsi="Times New Roman" w:eastAsia="宋体" w:cstheme="minorBidi"/>
                <w:b/>
                <w:i w:val="0"/>
                <w:spacing w:val="7"/>
              </w:rPr>
              <w:t>工程名</w:t>
            </w:r>
            <w:r>
              <w:rPr>
                <w:rFonts w:hint="eastAsia" w:ascii="Times New Roman" w:hAnsi="Times New Roman" w:eastAsia="宋体" w:cstheme="minorBidi"/>
                <w:b/>
                <w:i w:val="0"/>
                <w:spacing w:val="6"/>
              </w:rPr>
              <w:t>称</w:t>
            </w:r>
          </w:p>
        </w:tc>
        <w:tc>
          <w:tcPr>
            <w:tcW w:w="2125" w:type="dxa"/>
            <w:shd w:val="clear" w:color="auto" w:fill="C6D9F0" w:themeFill="text2" w:themeFillTint="33"/>
            <w:vAlign w:val="center"/>
          </w:tcPr>
          <w:p>
            <w:pPr>
              <w:pStyle w:val="65"/>
              <w:adjustRightInd w:val="0"/>
              <w:snapToGrid w:val="0"/>
              <w:rPr>
                <w:rFonts w:ascii="Times New Roman" w:hAnsi="Times New Roman" w:eastAsia="宋体" w:cstheme="minorBidi"/>
                <w:b w:val="0"/>
                <w:i w:val="0"/>
              </w:rPr>
            </w:pPr>
          </w:p>
        </w:tc>
        <w:tc>
          <w:tcPr>
            <w:tcW w:w="1122" w:type="dxa"/>
            <w:gridSpan w:val="3"/>
            <w:shd w:val="clear" w:color="auto" w:fill="C6D9F0" w:themeFill="text2" w:themeFillTint="33"/>
            <w:vAlign w:val="center"/>
          </w:tcPr>
          <w:p>
            <w:pPr>
              <w:pStyle w:val="65"/>
              <w:adjustRightInd w:val="0"/>
              <w:snapToGrid w:val="0"/>
              <w:rPr>
                <w:rFonts w:ascii="Times New Roman" w:hAnsi="Times New Roman" w:eastAsia="宋体" w:cstheme="minorBidi"/>
                <w:b w:val="0"/>
                <w:i w:val="0"/>
              </w:rPr>
            </w:pPr>
            <w:r>
              <w:rPr>
                <w:rFonts w:hint="eastAsia" w:ascii="Times New Roman" w:hAnsi="Times New Roman" w:eastAsia="宋体" w:cstheme="minorBidi"/>
                <w:b/>
                <w:i w:val="0"/>
                <w:spacing w:val="7"/>
              </w:rPr>
              <w:t>工程地</w:t>
            </w:r>
            <w:r>
              <w:rPr>
                <w:rFonts w:hint="eastAsia" w:ascii="Times New Roman" w:hAnsi="Times New Roman" w:eastAsia="宋体" w:cstheme="minorBidi"/>
                <w:b/>
                <w:i w:val="0"/>
                <w:spacing w:val="6"/>
              </w:rPr>
              <w:t>址</w:t>
            </w:r>
          </w:p>
        </w:tc>
        <w:tc>
          <w:tcPr>
            <w:tcW w:w="1271" w:type="dxa"/>
            <w:shd w:val="clear" w:color="auto" w:fill="C6D9F0" w:themeFill="text2" w:themeFillTint="33"/>
            <w:vAlign w:val="center"/>
          </w:tcPr>
          <w:p>
            <w:pPr>
              <w:pStyle w:val="65"/>
              <w:adjustRightInd w:val="0"/>
              <w:snapToGrid w:val="0"/>
              <w:rPr>
                <w:rFonts w:ascii="Times New Roman" w:hAnsi="Times New Roman" w:eastAsia="宋体" w:cstheme="minorBidi"/>
                <w:b w:val="0"/>
                <w:i w:val="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572" w:hRule="atLeast"/>
          <w:tblHeader/>
          <w:jc w:val="center"/>
        </w:trPr>
        <w:tc>
          <w:tcPr>
            <w:tcW w:w="1114" w:type="dxa"/>
            <w:shd w:val="clear" w:color="auto" w:fill="C6D9F0" w:themeFill="text2" w:themeFillTint="33"/>
            <w:vAlign w:val="center"/>
          </w:tcPr>
          <w:p>
            <w:pPr>
              <w:pStyle w:val="65"/>
              <w:adjustRightInd w:val="0"/>
              <w:snapToGrid w:val="0"/>
              <w:rPr>
                <w:rFonts w:ascii="Times New Roman" w:hAnsi="Times New Roman" w:eastAsia="宋体" w:cstheme="minorBidi"/>
                <w:b w:val="0"/>
                <w:i w:val="0"/>
              </w:rPr>
            </w:pPr>
            <w:r>
              <w:rPr>
                <w:rFonts w:hint="eastAsia" w:ascii="Times New Roman" w:hAnsi="Times New Roman" w:eastAsia="宋体" w:cstheme="minorBidi"/>
                <w:b/>
                <w:i w:val="0"/>
                <w:spacing w:val="7"/>
              </w:rPr>
              <w:t>生产厂</w:t>
            </w:r>
            <w:r>
              <w:rPr>
                <w:rFonts w:hint="eastAsia" w:ascii="Times New Roman" w:hAnsi="Times New Roman" w:eastAsia="宋体" w:cstheme="minorBidi"/>
                <w:b/>
                <w:i w:val="0"/>
                <w:spacing w:val="6"/>
              </w:rPr>
              <w:t>家</w:t>
            </w:r>
          </w:p>
        </w:tc>
        <w:tc>
          <w:tcPr>
            <w:tcW w:w="2109" w:type="dxa"/>
            <w:gridSpan w:val="2"/>
            <w:shd w:val="clear" w:color="auto" w:fill="C6D9F0" w:themeFill="text2" w:themeFillTint="33"/>
            <w:vAlign w:val="center"/>
          </w:tcPr>
          <w:p>
            <w:pPr>
              <w:pStyle w:val="65"/>
              <w:adjustRightInd w:val="0"/>
              <w:snapToGrid w:val="0"/>
              <w:rPr>
                <w:rFonts w:ascii="Times New Roman" w:hAnsi="Times New Roman" w:eastAsia="宋体" w:cstheme="minorBidi"/>
                <w:b w:val="0"/>
                <w:i w:val="0"/>
              </w:rPr>
            </w:pPr>
          </w:p>
        </w:tc>
        <w:tc>
          <w:tcPr>
            <w:tcW w:w="1290" w:type="dxa"/>
            <w:gridSpan w:val="3"/>
            <w:shd w:val="clear" w:color="auto" w:fill="C6D9F0" w:themeFill="text2" w:themeFillTint="33"/>
            <w:vAlign w:val="center"/>
          </w:tcPr>
          <w:p>
            <w:pPr>
              <w:pStyle w:val="65"/>
              <w:adjustRightInd w:val="0"/>
              <w:snapToGrid w:val="0"/>
              <w:rPr>
                <w:rFonts w:ascii="Times New Roman" w:hAnsi="Times New Roman" w:eastAsia="宋体" w:cstheme="minorBidi"/>
                <w:b w:val="0"/>
                <w:i w:val="0"/>
              </w:rPr>
            </w:pPr>
            <w:r>
              <w:rPr>
                <w:rFonts w:hint="eastAsia" w:ascii="Times New Roman" w:hAnsi="Times New Roman" w:eastAsia="宋体" w:cstheme="minorBidi"/>
                <w:b/>
                <w:i w:val="0"/>
                <w:spacing w:val="7"/>
              </w:rPr>
              <w:t>安</w:t>
            </w:r>
            <w:r>
              <w:rPr>
                <w:rFonts w:hint="eastAsia" w:ascii="Times New Roman" w:hAnsi="Times New Roman" w:eastAsia="宋体" w:cstheme="minorBidi"/>
                <w:b/>
                <w:i w:val="0"/>
                <w:spacing w:val="6"/>
              </w:rPr>
              <w:t>装单位</w:t>
            </w:r>
          </w:p>
        </w:tc>
        <w:tc>
          <w:tcPr>
            <w:tcW w:w="2125" w:type="dxa"/>
            <w:shd w:val="clear" w:color="auto" w:fill="C6D9F0" w:themeFill="text2" w:themeFillTint="33"/>
            <w:vAlign w:val="center"/>
          </w:tcPr>
          <w:p>
            <w:pPr>
              <w:pStyle w:val="65"/>
              <w:adjustRightInd w:val="0"/>
              <w:snapToGrid w:val="0"/>
              <w:rPr>
                <w:rFonts w:ascii="Times New Roman" w:hAnsi="Times New Roman" w:eastAsia="宋体" w:cstheme="minorBidi"/>
                <w:b w:val="0"/>
                <w:i w:val="0"/>
              </w:rPr>
            </w:pPr>
          </w:p>
        </w:tc>
        <w:tc>
          <w:tcPr>
            <w:tcW w:w="1122" w:type="dxa"/>
            <w:gridSpan w:val="3"/>
            <w:shd w:val="clear" w:color="auto" w:fill="C6D9F0" w:themeFill="text2" w:themeFillTint="33"/>
            <w:vAlign w:val="center"/>
          </w:tcPr>
          <w:p>
            <w:pPr>
              <w:pStyle w:val="65"/>
              <w:adjustRightInd w:val="0"/>
              <w:snapToGrid w:val="0"/>
              <w:rPr>
                <w:rFonts w:ascii="Times New Roman" w:hAnsi="Times New Roman" w:eastAsia="宋体" w:cstheme="minorBidi"/>
                <w:b w:val="0"/>
                <w:i w:val="0"/>
              </w:rPr>
            </w:pPr>
            <w:r>
              <w:rPr>
                <w:rFonts w:hint="eastAsia" w:ascii="Times New Roman" w:hAnsi="Times New Roman" w:eastAsia="宋体" w:cstheme="minorBidi"/>
                <w:b/>
                <w:i w:val="0"/>
                <w:spacing w:val="7"/>
              </w:rPr>
              <w:t>规格型号</w:t>
            </w:r>
          </w:p>
        </w:tc>
        <w:tc>
          <w:tcPr>
            <w:tcW w:w="1271" w:type="dxa"/>
            <w:shd w:val="clear" w:color="auto" w:fill="C6D9F0" w:themeFill="text2" w:themeFillTint="33"/>
            <w:vAlign w:val="center"/>
          </w:tcPr>
          <w:p>
            <w:pPr>
              <w:pStyle w:val="65"/>
              <w:adjustRightInd w:val="0"/>
              <w:snapToGrid w:val="0"/>
              <w:rPr>
                <w:rFonts w:ascii="Times New Roman" w:hAnsi="Times New Roman" w:eastAsia="宋体" w:cstheme="minorBidi"/>
                <w:b w:val="0"/>
                <w:i w:val="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572" w:hRule="atLeast"/>
          <w:jc w:val="center"/>
        </w:trPr>
        <w:tc>
          <w:tcPr>
            <w:tcW w:w="1671" w:type="dxa"/>
            <w:gridSpan w:val="2"/>
            <w:vAlign w:val="center"/>
          </w:tcPr>
          <w:p>
            <w:pPr>
              <w:pStyle w:val="65"/>
              <w:adjustRightInd w:val="0"/>
              <w:snapToGrid w:val="0"/>
              <w:rPr>
                <w:rFonts w:cstheme="minorBidi"/>
              </w:rPr>
            </w:pPr>
            <w:r>
              <w:rPr>
                <w:rFonts w:hint="eastAsia" w:cstheme="minorBidi"/>
                <w:spacing w:val="7"/>
              </w:rPr>
              <w:t>监测项目</w:t>
            </w:r>
          </w:p>
        </w:tc>
        <w:tc>
          <w:tcPr>
            <w:tcW w:w="2266" w:type="dxa"/>
            <w:gridSpan w:val="2"/>
            <w:vAlign w:val="center"/>
          </w:tcPr>
          <w:p>
            <w:pPr>
              <w:pStyle w:val="65"/>
              <w:adjustRightInd w:val="0"/>
              <w:snapToGrid w:val="0"/>
              <w:rPr>
                <w:rFonts w:cstheme="minorBidi"/>
              </w:rPr>
            </w:pPr>
            <w:r>
              <w:rPr>
                <w:rFonts w:hint="eastAsia" w:cstheme="minorBidi"/>
                <w:spacing w:val="7"/>
              </w:rPr>
              <w:t>技术要求</w:t>
            </w:r>
          </w:p>
        </w:tc>
        <w:tc>
          <w:tcPr>
            <w:tcW w:w="2834" w:type="dxa"/>
            <w:gridSpan w:val="4"/>
            <w:vAlign w:val="center"/>
          </w:tcPr>
          <w:p>
            <w:pPr>
              <w:pStyle w:val="65"/>
              <w:adjustRightInd w:val="0"/>
              <w:snapToGrid w:val="0"/>
              <w:rPr>
                <w:rFonts w:cstheme="minorBidi"/>
              </w:rPr>
            </w:pPr>
            <w:r>
              <w:rPr>
                <w:rFonts w:hint="eastAsia" w:cstheme="minorBidi"/>
                <w:spacing w:val="9"/>
              </w:rPr>
              <w:t>监</w:t>
            </w:r>
            <w:r>
              <w:rPr>
                <w:rFonts w:hint="eastAsia" w:cstheme="minorBidi"/>
              </w:rPr>
              <w:t>测方法</w:t>
            </w:r>
            <w:r>
              <w:rPr>
                <w:rFonts w:hint="eastAsia" w:cstheme="minorBidi"/>
                <w:spacing w:val="10"/>
              </w:rPr>
              <w:t>、</w:t>
            </w:r>
            <w:r>
              <w:rPr>
                <w:rFonts w:hint="eastAsia" w:cstheme="minorBidi"/>
              </w:rPr>
              <w:t>仪器</w:t>
            </w:r>
          </w:p>
        </w:tc>
        <w:tc>
          <w:tcPr>
            <w:tcW w:w="2260" w:type="dxa"/>
            <w:gridSpan w:val="3"/>
            <w:vAlign w:val="center"/>
          </w:tcPr>
          <w:p>
            <w:pPr>
              <w:pStyle w:val="65"/>
              <w:adjustRightInd w:val="0"/>
              <w:snapToGrid w:val="0"/>
              <w:rPr>
                <w:rFonts w:cstheme="minorBidi"/>
              </w:rPr>
            </w:pPr>
            <w:r>
              <w:rPr>
                <w:rFonts w:hint="eastAsia" w:cstheme="minorBidi"/>
                <w:spacing w:val="9"/>
              </w:rPr>
              <w:t>监测</w:t>
            </w:r>
            <w:r>
              <w:rPr>
                <w:rFonts w:hint="eastAsia" w:cstheme="minorBidi"/>
              </w:rPr>
              <w:t>周期</w:t>
            </w:r>
            <w:r>
              <w:rPr>
                <w:rFonts w:hint="eastAsia" w:cstheme="minorBidi"/>
                <w:spacing w:val="4"/>
              </w:rPr>
              <w:t>/</w:t>
            </w:r>
            <w:r>
              <w:rPr>
                <w:rFonts w:hint="eastAsia" w:cstheme="minorBidi"/>
              </w:rPr>
              <w:t>频率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1030" w:hRule="atLeast"/>
          <w:jc w:val="center"/>
        </w:trPr>
        <w:tc>
          <w:tcPr>
            <w:tcW w:w="1671" w:type="dxa"/>
            <w:gridSpan w:val="2"/>
            <w:vAlign w:val="center"/>
          </w:tcPr>
          <w:p>
            <w:pPr>
              <w:pStyle w:val="65"/>
              <w:adjustRightInd w:val="0"/>
              <w:snapToGrid w:val="0"/>
              <w:rPr>
                <w:rFonts w:cstheme="minorBidi"/>
              </w:rPr>
            </w:pPr>
            <w:r>
              <w:rPr>
                <w:rFonts w:hint="eastAsia" w:cstheme="minorBidi"/>
              </w:rPr>
              <w:t>埋件预埋质量</w:t>
            </w:r>
          </w:p>
        </w:tc>
        <w:tc>
          <w:tcPr>
            <w:tcW w:w="2266" w:type="dxa"/>
            <w:gridSpan w:val="2"/>
            <w:vAlign w:val="center"/>
          </w:tcPr>
          <w:p>
            <w:pPr>
              <w:pStyle w:val="65"/>
              <w:adjustRightInd w:val="0"/>
              <w:snapToGrid w:val="0"/>
              <w:rPr>
                <w:rFonts w:cstheme="minorBidi"/>
              </w:rPr>
            </w:pPr>
            <w:r>
              <w:rPr>
                <w:rFonts w:hint="eastAsia" w:cstheme="minorBidi"/>
                <w:spacing w:val="9"/>
                <w:position w:val="23"/>
              </w:rPr>
              <w:t>严格按照图纸要求</w:t>
            </w:r>
            <w:r>
              <w:rPr>
                <w:rFonts w:hint="eastAsia" w:cstheme="minorBidi"/>
                <w:spacing w:val="7"/>
                <w:position w:val="23"/>
              </w:rPr>
              <w:t>的</w:t>
            </w:r>
          </w:p>
          <w:p>
            <w:pPr>
              <w:pStyle w:val="65"/>
              <w:adjustRightInd w:val="0"/>
              <w:snapToGrid w:val="0"/>
              <w:rPr>
                <w:rFonts w:cstheme="minorBidi"/>
              </w:rPr>
            </w:pPr>
            <w:r>
              <w:rPr>
                <w:rFonts w:hint="eastAsia" w:cstheme="minorBidi"/>
                <w:spacing w:val="7"/>
              </w:rPr>
              <w:t>定位于精度预</w:t>
            </w:r>
            <w:r>
              <w:rPr>
                <w:rFonts w:hint="eastAsia" w:cstheme="minorBidi"/>
                <w:spacing w:val="6"/>
              </w:rPr>
              <w:t>埋</w:t>
            </w:r>
            <w:r>
              <w:rPr>
                <w:rFonts w:hint="eastAsia" w:cstheme="minorBidi"/>
              </w:rPr>
              <w:t>。</w:t>
            </w:r>
          </w:p>
        </w:tc>
        <w:tc>
          <w:tcPr>
            <w:tcW w:w="2834" w:type="dxa"/>
            <w:gridSpan w:val="4"/>
            <w:vAlign w:val="center"/>
          </w:tcPr>
          <w:p>
            <w:pPr>
              <w:pStyle w:val="65"/>
              <w:adjustRightInd w:val="0"/>
              <w:snapToGrid w:val="0"/>
              <w:rPr>
                <w:rFonts w:cstheme="minorBidi"/>
              </w:rPr>
            </w:pPr>
            <w:r>
              <w:rPr>
                <w:rFonts w:hint="eastAsia" w:cstheme="minorBidi"/>
                <w:spacing w:val="9"/>
                <w:position w:val="23"/>
              </w:rPr>
              <w:t>使用经纬仪定位基准线</w:t>
            </w:r>
            <w:r>
              <w:rPr>
                <w:rFonts w:hint="eastAsia" w:cstheme="minorBidi"/>
                <w:spacing w:val="10"/>
                <w:position w:val="23"/>
              </w:rPr>
              <w:t>，</w:t>
            </w:r>
            <w:r>
              <w:rPr>
                <w:rFonts w:hint="eastAsia" w:cstheme="minorBidi"/>
                <w:spacing w:val="9"/>
                <w:position w:val="23"/>
              </w:rPr>
              <w:t>卷</w:t>
            </w:r>
          </w:p>
          <w:p>
            <w:pPr>
              <w:pStyle w:val="65"/>
              <w:adjustRightInd w:val="0"/>
              <w:snapToGrid w:val="0"/>
              <w:rPr>
                <w:rFonts w:cstheme="minorBidi"/>
              </w:rPr>
            </w:pPr>
            <w:r>
              <w:rPr>
                <w:rFonts w:hint="eastAsia" w:cstheme="minorBidi"/>
              </w:rPr>
              <w:t>尺测量预</w:t>
            </w:r>
            <w:r>
              <w:rPr>
                <w:rFonts w:hint="eastAsia" w:cstheme="minorBidi"/>
                <w:spacing w:val="7"/>
              </w:rPr>
              <w:t>埋误差</w:t>
            </w:r>
            <w:r>
              <w:rPr>
                <w:rFonts w:hint="eastAsia" w:cstheme="minorBidi"/>
                <w:spacing w:val="9"/>
              </w:rPr>
              <w:t>。</w:t>
            </w:r>
          </w:p>
        </w:tc>
        <w:tc>
          <w:tcPr>
            <w:tcW w:w="2260" w:type="dxa"/>
            <w:gridSpan w:val="3"/>
            <w:vAlign w:val="center"/>
          </w:tcPr>
          <w:p>
            <w:pPr>
              <w:pStyle w:val="65"/>
              <w:adjustRightInd w:val="0"/>
              <w:snapToGrid w:val="0"/>
              <w:rPr>
                <w:rFonts w:cstheme="minorBidi"/>
              </w:rPr>
            </w:pPr>
            <w:r>
              <w:rPr>
                <w:rFonts w:hint="eastAsia" w:cstheme="minorBidi"/>
                <w:spacing w:val="9"/>
              </w:rPr>
              <w:t>塔</w:t>
            </w:r>
            <w:r>
              <w:rPr>
                <w:rFonts w:hint="eastAsia" w:cstheme="minorBidi"/>
              </w:rPr>
              <w:t>吊安装之前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572" w:hRule="atLeast"/>
          <w:jc w:val="center"/>
        </w:trPr>
        <w:tc>
          <w:tcPr>
            <w:tcW w:w="1671" w:type="dxa"/>
            <w:gridSpan w:val="2"/>
            <w:vAlign w:val="center"/>
          </w:tcPr>
          <w:p>
            <w:pPr>
              <w:pStyle w:val="65"/>
              <w:adjustRightInd w:val="0"/>
              <w:snapToGrid w:val="0"/>
              <w:rPr>
                <w:rFonts w:cstheme="minorBidi"/>
              </w:rPr>
            </w:pPr>
            <w:r>
              <w:rPr>
                <w:rFonts w:hint="eastAsia" w:cstheme="minorBidi"/>
                <w:spacing w:val="5"/>
              </w:rPr>
              <w:t>顶</w:t>
            </w:r>
            <w:r>
              <w:rPr>
                <w:rFonts w:hint="eastAsia" w:cstheme="minorBidi"/>
                <w:spacing w:val="4"/>
              </w:rPr>
              <w:t>升</w:t>
            </w:r>
          </w:p>
        </w:tc>
        <w:tc>
          <w:tcPr>
            <w:tcW w:w="2266" w:type="dxa"/>
            <w:gridSpan w:val="2"/>
            <w:vAlign w:val="center"/>
          </w:tcPr>
          <w:p>
            <w:pPr>
              <w:pStyle w:val="65"/>
              <w:adjustRightInd w:val="0"/>
              <w:snapToGrid w:val="0"/>
              <w:rPr>
                <w:rFonts w:cstheme="minorBidi"/>
              </w:rPr>
            </w:pPr>
            <w:r>
              <w:rPr>
                <w:rFonts w:hint="eastAsia" w:cstheme="minorBidi"/>
                <w:spacing w:val="9"/>
              </w:rPr>
              <w:t>按顶升</w:t>
            </w:r>
            <w:r>
              <w:rPr>
                <w:rFonts w:hint="eastAsia" w:cstheme="minorBidi"/>
              </w:rPr>
              <w:t>具体要求</w:t>
            </w:r>
          </w:p>
        </w:tc>
        <w:tc>
          <w:tcPr>
            <w:tcW w:w="2834" w:type="dxa"/>
            <w:gridSpan w:val="4"/>
            <w:vAlign w:val="center"/>
          </w:tcPr>
          <w:p>
            <w:pPr>
              <w:pStyle w:val="65"/>
              <w:adjustRightInd w:val="0"/>
              <w:snapToGrid w:val="0"/>
              <w:rPr>
                <w:rFonts w:cstheme="minorBidi"/>
                <w:color w:val="000000" w:themeColor="text1"/>
                <w14:textFill>
                  <w14:solidFill>
                    <w14:schemeClr w14:val="tx1"/>
                  </w14:solidFill>
                </w14:textFill>
              </w:rPr>
            </w:pPr>
            <w:r>
              <w:rPr>
                <w:rFonts w:hint="eastAsia" w:cstheme="minorBidi"/>
                <w:color w:val="000000" w:themeColor="text1"/>
                <w:spacing w:val="1"/>
                <w14:textFill>
                  <w14:solidFill>
                    <w14:schemeClr w14:val="tx1"/>
                  </w14:solidFill>
                </w14:textFill>
              </w:rPr>
              <w:t>肉眼观察</w:t>
            </w:r>
          </w:p>
        </w:tc>
        <w:tc>
          <w:tcPr>
            <w:tcW w:w="2260" w:type="dxa"/>
            <w:gridSpan w:val="3"/>
            <w:vAlign w:val="center"/>
          </w:tcPr>
          <w:p>
            <w:pPr>
              <w:pStyle w:val="65"/>
              <w:adjustRightInd w:val="0"/>
              <w:snapToGrid w:val="0"/>
              <w:rPr>
                <w:rFonts w:cstheme="minorBidi"/>
                <w:color w:val="000000" w:themeColor="text1"/>
                <w14:textFill>
                  <w14:solidFill>
                    <w14:schemeClr w14:val="tx1"/>
                  </w14:solidFill>
                </w14:textFill>
              </w:rPr>
            </w:pPr>
            <w:r>
              <w:rPr>
                <w:rFonts w:hint="eastAsia" w:cstheme="minorBidi"/>
                <w:color w:val="000000" w:themeColor="text1"/>
                <w14:textFill>
                  <w14:solidFill>
                    <w14:schemeClr w14:val="tx1"/>
                  </w14:solidFill>
                </w14:textFill>
              </w:rPr>
              <w:t>顶升</w:t>
            </w:r>
            <w:r>
              <w:rPr>
                <w:rFonts w:hint="eastAsia" w:cstheme="minorBidi"/>
                <w:color w:val="000000" w:themeColor="text1"/>
                <w:spacing w:val="7"/>
                <w14:textFill>
                  <w14:solidFill>
                    <w14:schemeClr w14:val="tx1"/>
                  </w14:solidFill>
                </w14:textFill>
              </w:rPr>
              <w:t>前</w:t>
            </w:r>
            <w:r>
              <w:rPr>
                <w:rFonts w:hint="eastAsia" w:cstheme="minorBidi"/>
                <w:color w:val="000000" w:themeColor="text1"/>
                <w:spacing w:val="12"/>
                <w14:textFill>
                  <w14:solidFill>
                    <w14:schemeClr w14:val="tx1"/>
                  </w14:solidFill>
                </w14:textFill>
              </w:rPr>
              <w:t>、</w:t>
            </w:r>
            <w:r>
              <w:rPr>
                <w:rFonts w:hint="eastAsia" w:cstheme="minorBidi"/>
                <w:color w:val="000000" w:themeColor="text1"/>
                <w:spacing w:val="7"/>
                <w14:textFill>
                  <w14:solidFill>
                    <w14:schemeClr w14:val="tx1"/>
                  </w14:solidFill>
                </w14:textFill>
              </w:rPr>
              <w:t>中</w:t>
            </w:r>
            <w:r>
              <w:rPr>
                <w:rFonts w:hint="eastAsia" w:cstheme="minorBidi"/>
                <w:color w:val="000000" w:themeColor="text1"/>
                <w:spacing w:val="12"/>
                <w14:textFill>
                  <w14:solidFill>
                    <w14:schemeClr w14:val="tx1"/>
                  </w14:solidFill>
                </w14:textFill>
              </w:rPr>
              <w:t>、</w:t>
            </w:r>
            <w:r>
              <w:rPr>
                <w:rFonts w:hint="eastAsia" w:cstheme="minorBidi"/>
                <w:color w:val="000000" w:themeColor="text1"/>
                <w:spacing w:val="7"/>
                <w14:textFill>
                  <w14:solidFill>
                    <w14:schemeClr w14:val="tx1"/>
                  </w14:solidFill>
                </w14:textFill>
              </w:rPr>
              <w:t>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568" w:hRule="atLeast"/>
          <w:jc w:val="center"/>
        </w:trPr>
        <w:tc>
          <w:tcPr>
            <w:tcW w:w="1671" w:type="dxa"/>
            <w:gridSpan w:val="2"/>
            <w:vAlign w:val="center"/>
          </w:tcPr>
          <w:p>
            <w:pPr>
              <w:pStyle w:val="65"/>
              <w:adjustRightInd w:val="0"/>
              <w:snapToGrid w:val="0"/>
              <w:rPr>
                <w:rFonts w:cstheme="minorBidi"/>
              </w:rPr>
            </w:pPr>
            <w:r>
              <w:rPr>
                <w:rFonts w:hint="eastAsia" w:cstheme="minorBidi"/>
              </w:rPr>
              <w:t>塔身垂直度</w:t>
            </w:r>
          </w:p>
        </w:tc>
        <w:tc>
          <w:tcPr>
            <w:tcW w:w="2266" w:type="dxa"/>
            <w:gridSpan w:val="2"/>
            <w:vAlign w:val="center"/>
          </w:tcPr>
          <w:p>
            <w:pPr>
              <w:pStyle w:val="65"/>
              <w:adjustRightInd w:val="0"/>
              <w:snapToGrid w:val="0"/>
              <w:rPr>
                <w:rFonts w:cstheme="minorBidi"/>
              </w:rPr>
            </w:pPr>
            <w:r>
              <w:rPr>
                <w:rFonts w:hint="eastAsia" w:cstheme="minorBidi"/>
                <w:spacing w:val="15"/>
              </w:rPr>
              <w:t>塔身垂直度偏</w:t>
            </w:r>
            <w:r>
              <w:rPr>
                <w:rFonts w:hint="eastAsia" w:cstheme="minorBidi"/>
                <w:spacing w:val="14"/>
              </w:rPr>
              <w:t>差在</w:t>
            </w:r>
            <w:r>
              <w:rPr>
                <w:rFonts w:hint="eastAsia" w:cstheme="minorBidi"/>
                <w:spacing w:val="7"/>
              </w:rPr>
              <w:t>4</w:t>
            </w:r>
            <w:r>
              <w:rPr>
                <w:rFonts w:hint="eastAsia" w:cstheme="minorBidi"/>
                <w:spacing w:val="14"/>
              </w:rPr>
              <w:t>‰</w:t>
            </w:r>
            <w:r>
              <w:rPr>
                <w:rFonts w:hint="eastAsia" w:cstheme="minorBidi"/>
              </w:rPr>
              <w:t xml:space="preserve"> </w:t>
            </w:r>
            <w:r>
              <w:rPr>
                <w:rFonts w:hint="eastAsia" w:cstheme="minorBidi"/>
                <w:spacing w:val="-7"/>
              </w:rPr>
              <w:t>以内</w:t>
            </w:r>
          </w:p>
        </w:tc>
        <w:tc>
          <w:tcPr>
            <w:tcW w:w="2834" w:type="dxa"/>
            <w:gridSpan w:val="4"/>
            <w:vAlign w:val="center"/>
          </w:tcPr>
          <w:p>
            <w:pPr>
              <w:pStyle w:val="65"/>
              <w:adjustRightInd w:val="0"/>
              <w:snapToGrid w:val="0"/>
              <w:rPr>
                <w:rFonts w:cstheme="minorBidi"/>
                <w:color w:val="000000" w:themeColor="text1"/>
                <w14:textFill>
                  <w14:solidFill>
                    <w14:schemeClr w14:val="tx1"/>
                  </w14:solidFill>
                </w14:textFill>
              </w:rPr>
            </w:pPr>
            <w:r>
              <w:rPr>
                <w:rFonts w:hint="eastAsia" w:cstheme="minorBidi"/>
                <w:color w:val="000000" w:themeColor="text1"/>
                <w:spacing w:val="9"/>
                <w14:textFill>
                  <w14:solidFill>
                    <w14:schemeClr w14:val="tx1"/>
                  </w14:solidFill>
                </w14:textFill>
              </w:rPr>
              <w:t>使用经纬仪测量</w:t>
            </w:r>
            <w:r>
              <w:rPr>
                <w:rFonts w:hint="eastAsia" w:cstheme="minorBidi"/>
                <w:color w:val="000000" w:themeColor="text1"/>
                <w:spacing w:val="10"/>
                <w14:textFill>
                  <w14:solidFill>
                    <w14:schemeClr w14:val="tx1"/>
                  </w14:solidFill>
                </w14:textFill>
              </w:rPr>
              <w:t>，</w:t>
            </w:r>
            <w:r>
              <w:rPr>
                <w:rFonts w:hint="eastAsia" w:cstheme="minorBidi"/>
                <w:color w:val="000000" w:themeColor="text1"/>
                <w:spacing w:val="9"/>
                <w14:textFill>
                  <w14:solidFill>
                    <w14:schemeClr w14:val="tx1"/>
                  </w14:solidFill>
                </w14:textFill>
              </w:rPr>
              <w:t>将起重</w:t>
            </w:r>
            <w:r>
              <w:rPr>
                <w:rFonts w:hint="eastAsia" w:cstheme="minorBidi"/>
                <w:color w:val="000000" w:themeColor="text1"/>
                <w14:textFill>
                  <w14:solidFill>
                    <w14:schemeClr w14:val="tx1"/>
                  </w14:solidFill>
                </w14:textFill>
              </w:rPr>
              <w:t xml:space="preserve">臂 </w:t>
            </w:r>
            <w:r>
              <w:rPr>
                <w:rFonts w:hint="eastAsia" w:cstheme="minorBidi"/>
                <w:color w:val="000000" w:themeColor="text1"/>
                <w:spacing w:val="9"/>
                <w14:textFill>
                  <w14:solidFill>
                    <w14:schemeClr w14:val="tx1"/>
                  </w14:solidFill>
                </w14:textFill>
              </w:rPr>
              <w:t>转到东西方向</w:t>
            </w:r>
            <w:r>
              <w:rPr>
                <w:rFonts w:hint="eastAsia" w:cstheme="minorBidi"/>
                <w:color w:val="000000" w:themeColor="text1"/>
                <w:spacing w:val="10"/>
                <w14:textFill>
                  <w14:solidFill>
                    <w14:schemeClr w14:val="tx1"/>
                  </w14:solidFill>
                </w14:textFill>
              </w:rPr>
              <w:t>，</w:t>
            </w:r>
            <w:r>
              <w:rPr>
                <w:rFonts w:hint="eastAsia" w:cstheme="minorBidi"/>
                <w:color w:val="000000" w:themeColor="text1"/>
                <w:spacing w:val="9"/>
                <w14:textFill>
                  <w14:solidFill>
                    <w14:schemeClr w14:val="tx1"/>
                  </w14:solidFill>
                </w14:textFill>
              </w:rPr>
              <w:t>检测南方</w:t>
            </w:r>
            <w:r>
              <w:rPr>
                <w:rFonts w:hint="eastAsia" w:cstheme="minorBidi"/>
                <w:color w:val="000000" w:themeColor="text1"/>
                <w14:textFill>
                  <w14:solidFill>
                    <w14:schemeClr w14:val="tx1"/>
                  </w14:solidFill>
                </w14:textFill>
              </w:rPr>
              <w:t xml:space="preserve">方 </w:t>
            </w:r>
            <w:r>
              <w:rPr>
                <w:rFonts w:hint="eastAsia" w:cstheme="minorBidi"/>
                <w:color w:val="000000" w:themeColor="text1"/>
                <w:spacing w:val="9"/>
                <w14:textFill>
                  <w14:solidFill>
                    <w14:schemeClr w14:val="tx1"/>
                  </w14:solidFill>
                </w14:textFill>
              </w:rPr>
              <w:t>向塔身垂直度</w:t>
            </w:r>
            <w:r>
              <w:rPr>
                <w:rFonts w:hint="eastAsia" w:cstheme="minorBidi"/>
                <w:color w:val="000000" w:themeColor="text1"/>
                <w:spacing w:val="10"/>
                <w14:textFill>
                  <w14:solidFill>
                    <w14:schemeClr w14:val="tx1"/>
                  </w14:solidFill>
                </w14:textFill>
              </w:rPr>
              <w:t>，</w:t>
            </w:r>
            <w:r>
              <w:rPr>
                <w:rFonts w:hint="eastAsia" w:cstheme="minorBidi"/>
                <w:color w:val="000000" w:themeColor="text1"/>
                <w:spacing w:val="9"/>
                <w14:textFill>
                  <w14:solidFill>
                    <w14:schemeClr w14:val="tx1"/>
                  </w14:solidFill>
                </w14:textFill>
              </w:rPr>
              <w:t>将起重臂</w:t>
            </w:r>
            <w:r>
              <w:rPr>
                <w:rFonts w:hint="eastAsia" w:cstheme="minorBidi"/>
                <w:color w:val="000000" w:themeColor="text1"/>
                <w14:textFill>
                  <w14:solidFill>
                    <w14:schemeClr w14:val="tx1"/>
                  </w14:solidFill>
                </w14:textFill>
              </w:rPr>
              <w:t xml:space="preserve">转 </w:t>
            </w:r>
            <w:r>
              <w:rPr>
                <w:rFonts w:hint="eastAsia" w:cstheme="minorBidi"/>
                <w:color w:val="000000" w:themeColor="text1"/>
                <w:spacing w:val="9"/>
                <w14:textFill>
                  <w14:solidFill>
                    <w14:schemeClr w14:val="tx1"/>
                  </w14:solidFill>
                </w14:textFill>
              </w:rPr>
              <w:t>到南北方向</w:t>
            </w:r>
            <w:r>
              <w:rPr>
                <w:rFonts w:hint="eastAsia" w:cstheme="minorBidi"/>
                <w:color w:val="000000" w:themeColor="text1"/>
                <w:spacing w:val="10"/>
                <w14:textFill>
                  <w14:solidFill>
                    <w14:schemeClr w14:val="tx1"/>
                  </w14:solidFill>
                </w14:textFill>
              </w:rPr>
              <w:t>，</w:t>
            </w:r>
            <w:r>
              <w:rPr>
                <w:rFonts w:hint="eastAsia" w:cstheme="minorBidi"/>
                <w:color w:val="000000" w:themeColor="text1"/>
                <w:spacing w:val="9"/>
                <w14:textFill>
                  <w14:solidFill>
                    <w14:schemeClr w14:val="tx1"/>
                  </w14:solidFill>
                </w14:textFill>
              </w:rPr>
              <w:t>加测东西方</w:t>
            </w:r>
            <w:r>
              <w:rPr>
                <w:rFonts w:hint="eastAsia" w:cstheme="minorBidi"/>
                <w:color w:val="000000" w:themeColor="text1"/>
                <w14:textFill>
                  <w14:solidFill>
                    <w14:schemeClr w14:val="tx1"/>
                  </w14:solidFill>
                </w14:textFill>
              </w:rPr>
              <w:t>向</w:t>
            </w:r>
          </w:p>
          <w:p>
            <w:pPr>
              <w:pStyle w:val="65"/>
              <w:adjustRightInd w:val="0"/>
              <w:snapToGrid w:val="0"/>
              <w:rPr>
                <w:rFonts w:cstheme="minorBidi"/>
                <w:color w:val="000000" w:themeColor="text1"/>
                <w14:textFill>
                  <w14:solidFill>
                    <w14:schemeClr w14:val="tx1"/>
                  </w14:solidFill>
                </w14:textFill>
              </w:rPr>
            </w:pPr>
            <w:r>
              <w:rPr>
                <w:rFonts w:hint="eastAsia" w:cstheme="minorBidi"/>
                <w:color w:val="000000" w:themeColor="text1"/>
                <w:spacing w:val="7"/>
                <w14:textFill>
                  <w14:solidFill>
                    <w14:schemeClr w14:val="tx1"/>
                  </w14:solidFill>
                </w14:textFill>
              </w:rPr>
              <w:t>塔身垂</w:t>
            </w:r>
            <w:r>
              <w:rPr>
                <w:rFonts w:hint="eastAsia" w:cstheme="minorBidi"/>
                <w:color w:val="000000" w:themeColor="text1"/>
                <w:spacing w:val="6"/>
                <w14:textFill>
                  <w14:solidFill>
                    <w14:schemeClr w14:val="tx1"/>
                  </w14:solidFill>
                </w14:textFill>
              </w:rPr>
              <w:t>直度</w:t>
            </w:r>
            <w:r>
              <w:rPr>
                <w:rFonts w:hint="eastAsia" w:cstheme="minorBidi"/>
                <w:color w:val="000000" w:themeColor="text1"/>
                <w14:textFill>
                  <w14:solidFill>
                    <w14:schemeClr w14:val="tx1"/>
                  </w14:solidFill>
                </w14:textFill>
              </w:rPr>
              <w:t>。</w:t>
            </w:r>
          </w:p>
        </w:tc>
        <w:tc>
          <w:tcPr>
            <w:tcW w:w="2260" w:type="dxa"/>
            <w:gridSpan w:val="3"/>
            <w:vAlign w:val="center"/>
          </w:tcPr>
          <w:p>
            <w:pPr>
              <w:pStyle w:val="65"/>
              <w:adjustRightInd w:val="0"/>
              <w:snapToGrid w:val="0"/>
              <w:rPr>
                <w:rFonts w:cstheme="minorBidi"/>
                <w:color w:val="000000" w:themeColor="text1"/>
                <w14:textFill>
                  <w14:solidFill>
                    <w14:schemeClr w14:val="tx1"/>
                  </w14:solidFill>
                </w14:textFill>
              </w:rPr>
            </w:pPr>
            <w:r>
              <w:rPr>
                <w:rFonts w:hint="eastAsia" w:cstheme="minorBidi"/>
                <w:color w:val="000000" w:themeColor="text1"/>
                <w:spacing w:val="9"/>
                <w14:textFill>
                  <w14:solidFill>
                    <w14:schemeClr w14:val="tx1"/>
                  </w14:solidFill>
                </w14:textFill>
              </w:rPr>
              <w:t>首次安装或</w:t>
            </w:r>
            <w:r>
              <w:rPr>
                <w:rFonts w:hint="eastAsia" w:cstheme="minorBidi"/>
                <w:color w:val="000000" w:themeColor="text1"/>
                <w14:textFill>
                  <w14:solidFill>
                    <w14:schemeClr w14:val="tx1"/>
                  </w14:solidFill>
                </w14:textFill>
              </w:rPr>
              <w:t>每次加节 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1543" w:hRule="atLeast"/>
          <w:jc w:val="center"/>
        </w:trPr>
        <w:tc>
          <w:tcPr>
            <w:tcW w:w="1671" w:type="dxa"/>
            <w:gridSpan w:val="2"/>
            <w:vAlign w:val="center"/>
          </w:tcPr>
          <w:p>
            <w:pPr>
              <w:pStyle w:val="65"/>
              <w:adjustRightInd w:val="0"/>
              <w:snapToGrid w:val="0"/>
              <w:rPr>
                <w:rFonts w:cstheme="minorBidi"/>
              </w:rPr>
            </w:pPr>
            <w:r>
              <w:rPr>
                <w:rFonts w:hint="eastAsia" w:cstheme="minorBidi"/>
                <w:spacing w:val="4"/>
              </w:rPr>
              <w:t>风速</w:t>
            </w:r>
          </w:p>
        </w:tc>
        <w:tc>
          <w:tcPr>
            <w:tcW w:w="2266" w:type="dxa"/>
            <w:gridSpan w:val="2"/>
            <w:vAlign w:val="center"/>
          </w:tcPr>
          <w:p>
            <w:pPr>
              <w:pStyle w:val="65"/>
              <w:adjustRightInd w:val="0"/>
              <w:snapToGrid w:val="0"/>
              <w:rPr>
                <w:rFonts w:cstheme="minorBidi"/>
              </w:rPr>
            </w:pPr>
            <w:r>
              <w:rPr>
                <w:rFonts w:hint="eastAsia" w:cstheme="minorBidi"/>
                <w:spacing w:val="9"/>
              </w:rPr>
              <w:t>6 级风以上不准起吊</w:t>
            </w:r>
          </w:p>
        </w:tc>
        <w:tc>
          <w:tcPr>
            <w:tcW w:w="2834" w:type="dxa"/>
            <w:gridSpan w:val="4"/>
            <w:vAlign w:val="center"/>
          </w:tcPr>
          <w:p>
            <w:pPr>
              <w:pStyle w:val="65"/>
              <w:adjustRightInd w:val="0"/>
              <w:snapToGrid w:val="0"/>
              <w:rPr>
                <w:rFonts w:cstheme="minorBidi"/>
                <w:color w:val="000000" w:themeColor="text1"/>
                <w14:textFill>
                  <w14:solidFill>
                    <w14:schemeClr w14:val="tx1"/>
                  </w14:solidFill>
                </w14:textFill>
              </w:rPr>
            </w:pPr>
            <w:r>
              <w:rPr>
                <w:rFonts w:hint="eastAsia" w:cstheme="minorBidi"/>
                <w:color w:val="000000" w:themeColor="text1"/>
                <w:spacing w:val="9"/>
                <w14:textFill>
                  <w14:solidFill>
                    <w14:schemeClr w14:val="tx1"/>
                  </w14:solidFill>
                </w14:textFill>
              </w:rPr>
              <w:t>使用风速仪监控塔吊顶部风</w:t>
            </w:r>
            <w:r>
              <w:rPr>
                <w:rFonts w:hint="eastAsia" w:cstheme="minorBidi"/>
                <w:color w:val="000000" w:themeColor="text1"/>
                <w14:textFill>
                  <w14:solidFill>
                    <w14:schemeClr w14:val="tx1"/>
                  </w14:solidFill>
                </w14:textFill>
              </w:rPr>
              <w:t xml:space="preserve"> 速</w:t>
            </w:r>
            <w:r>
              <w:rPr>
                <w:rFonts w:hint="eastAsia" w:cstheme="minorBidi"/>
                <w:color w:val="000000" w:themeColor="text1"/>
                <w:spacing w:val="-94"/>
                <w14:textFill>
                  <w14:solidFill>
                    <w14:schemeClr w14:val="tx1"/>
                  </w14:solidFill>
                </w14:textFill>
              </w:rPr>
              <w:t>，</w:t>
            </w:r>
            <w:r>
              <w:rPr>
                <w:rFonts w:hint="eastAsia" w:cstheme="minorBidi"/>
                <w:color w:val="000000" w:themeColor="text1"/>
                <w14:textFill>
                  <w14:solidFill>
                    <w14:schemeClr w14:val="tx1"/>
                  </w14:solidFill>
                </w14:textFill>
              </w:rPr>
              <w:t>6</w:t>
            </w:r>
            <w:r>
              <w:rPr>
                <w:rFonts w:hint="eastAsia" w:cstheme="minorBidi"/>
                <w:color w:val="000000" w:themeColor="text1"/>
                <w:spacing w:val="-1"/>
                <w14:textFill>
                  <w14:solidFill>
                    <w14:schemeClr w14:val="tx1"/>
                  </w14:solidFill>
                </w14:textFill>
              </w:rPr>
              <w:t xml:space="preserve"> </w:t>
            </w:r>
            <w:r>
              <w:rPr>
                <w:rFonts w:hint="eastAsia" w:cstheme="minorBidi"/>
                <w:color w:val="000000" w:themeColor="text1"/>
                <w14:textFill>
                  <w14:solidFill>
                    <w14:schemeClr w14:val="tx1"/>
                  </w14:solidFill>
                </w14:textFill>
              </w:rPr>
              <w:t>级风以上不准吊重</w:t>
            </w:r>
            <w:r>
              <w:rPr>
                <w:rFonts w:hint="eastAsia" w:cstheme="minorBidi"/>
                <w:color w:val="000000" w:themeColor="text1"/>
                <w:spacing w:val="-94"/>
                <w14:textFill>
                  <w14:solidFill>
                    <w14:schemeClr w14:val="tx1"/>
                  </w14:solidFill>
                </w14:textFill>
              </w:rPr>
              <w:t>。</w:t>
            </w:r>
            <w:r>
              <w:rPr>
                <w:rFonts w:hint="eastAsia" w:cstheme="minorBidi"/>
                <w:color w:val="000000" w:themeColor="text1"/>
                <w14:textFill>
                  <w14:solidFill>
                    <w14:schemeClr w14:val="tx1"/>
                  </w14:solidFill>
                </w14:textFill>
              </w:rPr>
              <w:t>（塔吊自带</w:t>
            </w:r>
            <w:r>
              <w:rPr>
                <w:rFonts w:hint="eastAsia" w:cstheme="minorBidi"/>
                <w:color w:val="000000" w:themeColor="text1"/>
                <w:spacing w:val="-5"/>
                <w14:textFill>
                  <w14:solidFill>
                    <w14:schemeClr w14:val="tx1"/>
                  </w14:solidFill>
                </w14:textFill>
              </w:rPr>
              <w:t>）</w:t>
            </w:r>
          </w:p>
        </w:tc>
        <w:tc>
          <w:tcPr>
            <w:tcW w:w="2260" w:type="dxa"/>
            <w:gridSpan w:val="3"/>
            <w:vAlign w:val="center"/>
          </w:tcPr>
          <w:p>
            <w:pPr>
              <w:pStyle w:val="65"/>
              <w:adjustRightInd w:val="0"/>
              <w:snapToGrid w:val="0"/>
              <w:rPr>
                <w:rFonts w:cstheme="minorBidi"/>
                <w:color w:val="000000" w:themeColor="text1"/>
                <w14:textFill>
                  <w14:solidFill>
                    <w14:schemeClr w14:val="tx1"/>
                  </w14:solidFill>
                </w14:textFill>
              </w:rPr>
            </w:pPr>
            <w:r>
              <w:rPr>
                <w:rFonts w:hint="eastAsia" w:cstheme="minorBidi"/>
                <w:color w:val="000000" w:themeColor="text1"/>
                <w:spacing w:val="5"/>
                <w14:textFill>
                  <w14:solidFill>
                    <w14:schemeClr w14:val="tx1"/>
                  </w14:solidFill>
                </w14:textFill>
              </w:rPr>
              <w:t>每</w:t>
            </w:r>
            <w:r>
              <w:rPr>
                <w:rFonts w:hint="eastAsia" w:cstheme="minorBidi"/>
                <w:color w:val="000000" w:themeColor="text1"/>
                <w:spacing w:val="4"/>
                <w14:textFill>
                  <w14:solidFill>
                    <w14:schemeClr w14:val="tx1"/>
                  </w14:solidFill>
                </w14:textFill>
              </w:rPr>
              <w:t>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574" w:hRule="atLeast"/>
          <w:jc w:val="center"/>
        </w:trPr>
        <w:tc>
          <w:tcPr>
            <w:tcW w:w="1671" w:type="dxa"/>
            <w:gridSpan w:val="2"/>
            <w:vAlign w:val="center"/>
          </w:tcPr>
          <w:p>
            <w:pPr>
              <w:pStyle w:val="65"/>
              <w:adjustRightInd w:val="0"/>
              <w:snapToGrid w:val="0"/>
              <w:rPr>
                <w:rFonts w:cstheme="minorBidi"/>
              </w:rPr>
            </w:pPr>
            <w:r>
              <w:rPr>
                <w:rFonts w:hint="eastAsia" w:cstheme="minorBidi"/>
              </w:rPr>
              <w:t>安全保</w:t>
            </w:r>
            <w:r>
              <w:rPr>
                <w:rFonts w:hint="eastAsia" w:cstheme="minorBidi"/>
                <w:spacing w:val="7"/>
              </w:rPr>
              <w:t>护装置</w:t>
            </w:r>
          </w:p>
        </w:tc>
        <w:tc>
          <w:tcPr>
            <w:tcW w:w="2266" w:type="dxa"/>
            <w:gridSpan w:val="2"/>
            <w:vAlign w:val="center"/>
          </w:tcPr>
          <w:p>
            <w:pPr>
              <w:pStyle w:val="65"/>
              <w:adjustRightInd w:val="0"/>
              <w:snapToGrid w:val="0"/>
              <w:rPr>
                <w:rFonts w:cstheme="minorBidi"/>
              </w:rPr>
            </w:pPr>
            <w:r>
              <w:rPr>
                <w:rFonts w:hint="eastAsia" w:cstheme="minorBidi"/>
                <w:spacing w:val="9"/>
              </w:rPr>
              <w:t>1.高度限位，吊钩距起重臂 2m 跳闸； 2.重量与力矩限制：根据性能参数试吊；</w:t>
            </w:r>
          </w:p>
        </w:tc>
        <w:tc>
          <w:tcPr>
            <w:tcW w:w="2834" w:type="dxa"/>
            <w:gridSpan w:val="4"/>
            <w:vAlign w:val="center"/>
          </w:tcPr>
          <w:p>
            <w:pPr>
              <w:pStyle w:val="65"/>
              <w:adjustRightInd w:val="0"/>
              <w:snapToGrid w:val="0"/>
              <w:rPr>
                <w:rFonts w:cstheme="minorBidi"/>
                <w:color w:val="000000" w:themeColor="text1"/>
                <w:spacing w:val="9"/>
                <w14:textFill>
                  <w14:solidFill>
                    <w14:schemeClr w14:val="tx1"/>
                  </w14:solidFill>
                </w14:textFill>
              </w:rPr>
            </w:pPr>
            <w:r>
              <w:rPr>
                <w:rFonts w:hint="eastAsia" w:cstheme="minorBidi"/>
                <w:color w:val="000000" w:themeColor="text1"/>
                <w:spacing w:val="9"/>
                <w14:textFill>
                  <w14:solidFill>
                    <w14:schemeClr w14:val="tx1"/>
                  </w14:solidFill>
                </w14:textFill>
              </w:rPr>
              <w:t>1.塔机吊钩到达距离起重臂2m 位置时跳闸。（塔机自带） 2.超重、超力矩塔机不能起</w:t>
            </w:r>
          </w:p>
          <w:p>
            <w:pPr>
              <w:pStyle w:val="65"/>
              <w:adjustRightInd w:val="0"/>
              <w:snapToGrid w:val="0"/>
              <w:rPr>
                <w:rFonts w:cstheme="minorBidi"/>
                <w:color w:val="000000" w:themeColor="text1"/>
                <w14:textFill>
                  <w14:solidFill>
                    <w14:schemeClr w14:val="tx1"/>
                  </w14:solidFill>
                </w14:textFill>
              </w:rPr>
            </w:pPr>
            <w:r>
              <w:rPr>
                <w:rFonts w:hint="eastAsia" w:cstheme="minorBidi"/>
                <w:color w:val="000000" w:themeColor="text1"/>
                <w:spacing w:val="9"/>
                <w14:textFill>
                  <w14:solidFill>
                    <w14:schemeClr w14:val="tx1"/>
                  </w14:solidFill>
                </w14:textFill>
              </w:rPr>
              <w:t>吊（塔机自带）</w:t>
            </w:r>
          </w:p>
        </w:tc>
        <w:tc>
          <w:tcPr>
            <w:tcW w:w="2260" w:type="dxa"/>
            <w:gridSpan w:val="3"/>
            <w:vAlign w:val="center"/>
          </w:tcPr>
          <w:p>
            <w:pPr>
              <w:pStyle w:val="65"/>
              <w:adjustRightInd w:val="0"/>
              <w:snapToGrid w:val="0"/>
              <w:rPr>
                <w:rFonts w:cstheme="minorBidi"/>
                <w:color w:val="000000" w:themeColor="text1"/>
                <w14:textFill>
                  <w14:solidFill>
                    <w14:schemeClr w14:val="tx1"/>
                  </w14:solidFill>
                </w14:textFill>
              </w:rPr>
            </w:pPr>
            <w:r>
              <w:rPr>
                <w:rFonts w:hint="eastAsia" w:cstheme="minorBidi"/>
                <w:color w:val="000000" w:themeColor="text1"/>
                <w:spacing w:val="5"/>
                <w14:textFill>
                  <w14:solidFill>
                    <w14:schemeClr w14:val="tx1"/>
                  </w14:solidFill>
                </w14:textFill>
              </w:rPr>
              <w:t>每</w:t>
            </w:r>
            <w:r>
              <w:rPr>
                <w:rFonts w:hint="eastAsia" w:cstheme="minorBidi"/>
                <w:color w:val="000000" w:themeColor="text1"/>
                <w:spacing w:val="4"/>
                <w14:textFill>
                  <w14:solidFill>
                    <w14:schemeClr w14:val="tx1"/>
                  </w14:solidFill>
                </w14:textFill>
              </w:rPr>
              <w:t>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671" w:type="dxa"/>
            <w:gridSpan w:val="2"/>
            <w:vAlign w:val="center"/>
          </w:tcPr>
          <w:p>
            <w:pPr>
              <w:pStyle w:val="65"/>
              <w:adjustRightInd w:val="0"/>
              <w:snapToGrid w:val="0"/>
              <w:rPr>
                <w:rFonts w:cstheme="minorBidi"/>
              </w:rPr>
            </w:pPr>
            <w:r>
              <w:rPr>
                <w:rFonts w:hint="eastAsia" w:cstheme="minorBidi"/>
                <w:spacing w:val="4"/>
              </w:rPr>
              <w:t>防雷装置</w:t>
            </w:r>
          </w:p>
        </w:tc>
        <w:tc>
          <w:tcPr>
            <w:tcW w:w="2267" w:type="dxa"/>
            <w:gridSpan w:val="3"/>
            <w:vAlign w:val="center"/>
          </w:tcPr>
          <w:p>
            <w:pPr>
              <w:pStyle w:val="65"/>
              <w:adjustRightInd w:val="0"/>
              <w:snapToGrid w:val="0"/>
              <w:rPr>
                <w:rFonts w:cstheme="minorBidi"/>
                <w:color w:val="000000" w:themeColor="text1"/>
                <w:spacing w:val="5"/>
                <w14:textFill>
                  <w14:solidFill>
                    <w14:schemeClr w14:val="tx1"/>
                  </w14:solidFill>
                </w14:textFill>
              </w:rPr>
            </w:pPr>
            <w:r>
              <w:rPr>
                <w:rFonts w:hint="eastAsia" w:cstheme="minorBidi"/>
                <w:color w:val="000000" w:themeColor="text1"/>
                <w:spacing w:val="5"/>
                <w14:textFill>
                  <w14:solidFill>
                    <w14:schemeClr w14:val="tx1"/>
                  </w14:solidFill>
                </w14:textFill>
              </w:rPr>
              <w:t>塔机避雷线与建筑物</w:t>
            </w:r>
          </w:p>
          <w:p>
            <w:pPr>
              <w:pStyle w:val="65"/>
              <w:adjustRightInd w:val="0"/>
              <w:snapToGrid w:val="0"/>
              <w:rPr>
                <w:rFonts w:cstheme="minorBidi"/>
                <w:color w:val="000000" w:themeColor="text1"/>
                <w:spacing w:val="9"/>
                <w14:textFill>
                  <w14:solidFill>
                    <w14:schemeClr w14:val="tx1"/>
                  </w14:solidFill>
                </w14:textFill>
              </w:rPr>
            </w:pPr>
            <w:r>
              <w:rPr>
                <w:rFonts w:hint="eastAsia" w:cstheme="minorBidi"/>
                <w:color w:val="000000" w:themeColor="text1"/>
                <w:spacing w:val="5"/>
                <w14:textFill>
                  <w14:solidFill>
                    <w14:schemeClr w14:val="tx1"/>
                  </w14:solidFill>
                </w14:textFill>
              </w:rPr>
              <w:t>接地相连</w:t>
            </w:r>
          </w:p>
        </w:tc>
        <w:tc>
          <w:tcPr>
            <w:tcW w:w="2833" w:type="dxa"/>
            <w:gridSpan w:val="4"/>
            <w:vAlign w:val="center"/>
          </w:tcPr>
          <w:p>
            <w:pPr>
              <w:pStyle w:val="65"/>
              <w:adjustRightInd w:val="0"/>
              <w:snapToGrid w:val="0"/>
              <w:rPr>
                <w:rFonts w:cstheme="minorBidi"/>
                <w:color w:val="000000" w:themeColor="text1"/>
                <w:spacing w:val="9"/>
                <w14:textFill>
                  <w14:solidFill>
                    <w14:schemeClr w14:val="tx1"/>
                  </w14:solidFill>
                </w14:textFill>
              </w:rPr>
            </w:pPr>
            <w:r>
              <w:rPr>
                <w:rFonts w:hint="eastAsia" w:cstheme="minorBidi"/>
                <w:color w:val="000000" w:themeColor="text1"/>
                <w:spacing w:val="9"/>
                <w14:textFill>
                  <w14:solidFill>
                    <w14:schemeClr w14:val="tx1"/>
                  </w14:solidFill>
                </w14:textFill>
              </w:rPr>
              <w:t>检测避雷电阻，要求电阻在 1Ω之内</w:t>
            </w:r>
          </w:p>
        </w:tc>
        <w:tc>
          <w:tcPr>
            <w:tcW w:w="2260" w:type="dxa"/>
            <w:gridSpan w:val="3"/>
            <w:vAlign w:val="center"/>
          </w:tcPr>
          <w:p>
            <w:pPr>
              <w:pStyle w:val="65"/>
              <w:adjustRightInd w:val="0"/>
              <w:snapToGrid w:val="0"/>
              <w:rPr>
                <w:rFonts w:cstheme="minorBidi"/>
              </w:rPr>
            </w:pPr>
            <w:r>
              <w:rPr>
                <w:rFonts w:hint="eastAsia" w:cstheme="minorBidi"/>
              </w:rPr>
              <w:t>每次爬升后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671" w:type="dxa"/>
            <w:gridSpan w:val="2"/>
            <w:vAlign w:val="center"/>
          </w:tcPr>
          <w:p>
            <w:pPr>
              <w:pStyle w:val="65"/>
              <w:adjustRightInd w:val="0"/>
              <w:snapToGrid w:val="0"/>
              <w:rPr>
                <w:rFonts w:cstheme="minorBidi"/>
              </w:rPr>
            </w:pPr>
            <w:r>
              <w:rPr>
                <w:rFonts w:hint="eastAsia" w:cstheme="minorBidi"/>
              </w:rPr>
              <w:t>钢</w:t>
            </w:r>
            <w:r>
              <w:rPr>
                <w:rFonts w:hint="eastAsia" w:cstheme="minorBidi"/>
                <w:spacing w:val="7"/>
              </w:rPr>
              <w:t>丝绳</w:t>
            </w:r>
          </w:p>
        </w:tc>
        <w:tc>
          <w:tcPr>
            <w:tcW w:w="2267" w:type="dxa"/>
            <w:gridSpan w:val="3"/>
            <w:vAlign w:val="center"/>
          </w:tcPr>
          <w:p>
            <w:pPr>
              <w:pStyle w:val="65"/>
              <w:adjustRightInd w:val="0"/>
              <w:snapToGrid w:val="0"/>
              <w:rPr>
                <w:rFonts w:cstheme="minorBidi"/>
                <w:color w:val="000000" w:themeColor="text1"/>
                <w:spacing w:val="9"/>
                <w14:textFill>
                  <w14:solidFill>
                    <w14:schemeClr w14:val="tx1"/>
                  </w14:solidFill>
                </w14:textFill>
              </w:rPr>
            </w:pPr>
            <w:r>
              <w:rPr>
                <w:rFonts w:hint="eastAsia" w:cstheme="minorBidi"/>
                <w:color w:val="000000" w:themeColor="text1"/>
                <w:spacing w:val="9"/>
                <w14:textFill>
                  <w14:solidFill>
                    <w14:schemeClr w14:val="tx1"/>
                  </w14:solidFill>
                </w14:textFill>
              </w:rPr>
              <w:t>按钢丝绳标准</w:t>
            </w:r>
          </w:p>
          <w:p>
            <w:pPr>
              <w:pStyle w:val="65"/>
              <w:adjustRightInd w:val="0"/>
              <w:snapToGrid w:val="0"/>
              <w:rPr>
                <w:rFonts w:cstheme="minorBidi"/>
                <w:color w:val="000000" w:themeColor="text1"/>
                <w14:textFill>
                  <w14:solidFill>
                    <w14:schemeClr w14:val="tx1"/>
                  </w14:solidFill>
                </w14:textFill>
              </w:rPr>
            </w:pPr>
            <w:r>
              <w:rPr>
                <w:rFonts w:hint="eastAsia" w:cstheme="minorBidi"/>
                <w:color w:val="000000" w:themeColor="text1"/>
                <w:spacing w:val="9"/>
                <w14:textFill>
                  <w14:solidFill>
                    <w14:schemeClr w14:val="tx1"/>
                  </w14:solidFill>
                </w14:textFill>
              </w:rPr>
              <w:t>GB8918-2006</w:t>
            </w:r>
          </w:p>
        </w:tc>
        <w:tc>
          <w:tcPr>
            <w:tcW w:w="2833" w:type="dxa"/>
            <w:gridSpan w:val="4"/>
            <w:vAlign w:val="center"/>
          </w:tcPr>
          <w:p>
            <w:pPr>
              <w:pStyle w:val="65"/>
              <w:adjustRightInd w:val="0"/>
              <w:snapToGrid w:val="0"/>
              <w:rPr>
                <w:rFonts w:cstheme="minorBidi"/>
                <w:color w:val="000000" w:themeColor="text1"/>
                <w14:textFill>
                  <w14:solidFill>
                    <w14:schemeClr w14:val="tx1"/>
                  </w14:solidFill>
                </w14:textFill>
              </w:rPr>
            </w:pPr>
            <w:r>
              <w:rPr>
                <w:rFonts w:hint="eastAsia" w:cstheme="minorBidi"/>
                <w:color w:val="000000" w:themeColor="text1"/>
                <w:spacing w:val="3"/>
                <w14:textFill>
                  <w14:solidFill>
                    <w14:schemeClr w14:val="tx1"/>
                  </w14:solidFill>
                </w14:textFill>
              </w:rPr>
              <w:t>肉</w:t>
            </w:r>
            <w:r>
              <w:rPr>
                <w:rFonts w:hint="eastAsia" w:cstheme="minorBidi"/>
                <w:color w:val="000000" w:themeColor="text1"/>
                <w:spacing w:val="2"/>
                <w14:textFill>
                  <w14:solidFill>
                    <w14:schemeClr w14:val="tx1"/>
                  </w14:solidFill>
                </w14:textFill>
              </w:rPr>
              <w:t>眼观察</w:t>
            </w:r>
          </w:p>
        </w:tc>
        <w:tc>
          <w:tcPr>
            <w:tcW w:w="2260" w:type="dxa"/>
            <w:gridSpan w:val="3"/>
            <w:vAlign w:val="center"/>
          </w:tcPr>
          <w:p>
            <w:pPr>
              <w:pStyle w:val="65"/>
              <w:adjustRightInd w:val="0"/>
              <w:snapToGrid w:val="0"/>
              <w:rPr>
                <w:rFonts w:cstheme="minorBidi"/>
              </w:rPr>
            </w:pPr>
            <w:r>
              <w:rPr>
                <w:rFonts w:hint="eastAsia" w:cstheme="minorBidi"/>
                <w:spacing w:val="5"/>
              </w:rPr>
              <w:t>每</w:t>
            </w:r>
            <w:r>
              <w:rPr>
                <w:rFonts w:hint="eastAsia" w:cstheme="minorBidi"/>
                <w:spacing w:val="4"/>
              </w:rPr>
              <w:t>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1671" w:type="dxa"/>
            <w:gridSpan w:val="2"/>
            <w:vAlign w:val="center"/>
          </w:tcPr>
          <w:p>
            <w:pPr>
              <w:pStyle w:val="65"/>
              <w:adjustRightInd w:val="0"/>
              <w:snapToGrid w:val="0"/>
              <w:rPr>
                <w:rFonts w:cstheme="minorBidi"/>
              </w:rPr>
            </w:pPr>
            <w:r>
              <w:rPr>
                <w:rFonts w:hint="eastAsia" w:cstheme="minorBidi"/>
                <w:spacing w:val="4"/>
              </w:rPr>
              <w:t>吊装吊点与吊</w:t>
            </w:r>
            <w:r>
              <w:rPr>
                <w:rFonts w:hint="eastAsia" w:cstheme="minorBidi"/>
              </w:rPr>
              <w:t xml:space="preserve"> 装用钢丝绳</w:t>
            </w:r>
          </w:p>
        </w:tc>
        <w:tc>
          <w:tcPr>
            <w:tcW w:w="2267" w:type="dxa"/>
            <w:gridSpan w:val="3"/>
            <w:vAlign w:val="center"/>
          </w:tcPr>
          <w:p>
            <w:pPr>
              <w:pStyle w:val="65"/>
              <w:adjustRightInd w:val="0"/>
              <w:snapToGrid w:val="0"/>
              <w:rPr>
                <w:rFonts w:cstheme="minorBidi"/>
                <w:color w:val="000000" w:themeColor="text1"/>
                <w:spacing w:val="9"/>
                <w14:textFill>
                  <w14:solidFill>
                    <w14:schemeClr w14:val="tx1"/>
                  </w14:solidFill>
                </w14:textFill>
              </w:rPr>
            </w:pPr>
            <w:r>
              <w:rPr>
                <w:rFonts w:hint="eastAsia" w:cstheme="minorBidi"/>
                <w:color w:val="000000" w:themeColor="text1"/>
                <w:spacing w:val="9"/>
                <w14:textFill>
                  <w14:solidFill>
                    <w14:schemeClr w14:val="tx1"/>
                  </w14:solidFill>
                </w14:textFill>
              </w:rPr>
              <w:t>要求构件吊点选择合 理，吊装钢丝绳满足使</w:t>
            </w:r>
          </w:p>
          <w:p>
            <w:pPr>
              <w:pStyle w:val="65"/>
              <w:adjustRightInd w:val="0"/>
              <w:snapToGrid w:val="0"/>
              <w:rPr>
                <w:rFonts w:cstheme="minorBidi"/>
                <w:color w:val="000000" w:themeColor="text1"/>
                <w:spacing w:val="9"/>
                <w14:textFill>
                  <w14:solidFill>
                    <w14:schemeClr w14:val="tx1"/>
                  </w14:solidFill>
                </w14:textFill>
              </w:rPr>
            </w:pPr>
            <w:r>
              <w:rPr>
                <w:rFonts w:hint="eastAsia" w:cstheme="minorBidi"/>
                <w:color w:val="000000" w:themeColor="text1"/>
                <w:spacing w:val="9"/>
                <w14:textFill>
                  <w14:solidFill>
                    <w14:schemeClr w14:val="tx1"/>
                  </w14:solidFill>
                </w14:textFill>
              </w:rPr>
              <w:t>用要求。</w:t>
            </w:r>
          </w:p>
        </w:tc>
        <w:tc>
          <w:tcPr>
            <w:tcW w:w="2833" w:type="dxa"/>
            <w:gridSpan w:val="4"/>
            <w:vAlign w:val="center"/>
          </w:tcPr>
          <w:p>
            <w:pPr>
              <w:pStyle w:val="65"/>
              <w:adjustRightInd w:val="0"/>
              <w:snapToGrid w:val="0"/>
              <w:rPr>
                <w:rFonts w:cstheme="minorBidi"/>
                <w:color w:val="000000" w:themeColor="text1"/>
                <w:spacing w:val="9"/>
                <w14:textFill>
                  <w14:solidFill>
                    <w14:schemeClr w14:val="tx1"/>
                  </w14:solidFill>
                </w14:textFill>
              </w:rPr>
            </w:pPr>
            <w:r>
              <w:rPr>
                <w:rFonts w:hint="eastAsia" w:cstheme="minorBidi"/>
                <w:color w:val="000000" w:themeColor="text1"/>
                <w:spacing w:val="9"/>
                <w14:textFill>
                  <w14:solidFill>
                    <w14:schemeClr w14:val="tx1"/>
                  </w14:solidFill>
                </w14:textFill>
              </w:rPr>
              <w:t>专人绑扎构件，吊装钢丝绳 安全系数取 8 倍以上。</w:t>
            </w:r>
          </w:p>
        </w:tc>
        <w:tc>
          <w:tcPr>
            <w:tcW w:w="2260" w:type="dxa"/>
            <w:gridSpan w:val="3"/>
            <w:vAlign w:val="center"/>
          </w:tcPr>
          <w:p>
            <w:pPr>
              <w:pStyle w:val="65"/>
              <w:adjustRightInd w:val="0"/>
              <w:snapToGrid w:val="0"/>
              <w:rPr>
                <w:rFonts w:cstheme="minorBidi"/>
                <w:spacing w:val="9"/>
              </w:rPr>
            </w:pPr>
            <w:r>
              <w:rPr>
                <w:rFonts w:hint="eastAsia" w:cstheme="minorBidi"/>
                <w:spacing w:val="9"/>
              </w:rPr>
              <w:t>每天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71" w:type="dxa"/>
            <w:gridSpan w:val="2"/>
            <w:vAlign w:val="center"/>
          </w:tcPr>
          <w:p>
            <w:pPr>
              <w:pStyle w:val="65"/>
              <w:adjustRightInd w:val="0"/>
              <w:snapToGrid w:val="0"/>
              <w:rPr>
                <w:rFonts w:hint="eastAsia" w:eastAsia="宋体" w:cstheme="minorBidi"/>
                <w:lang w:eastAsia="zh-CN"/>
              </w:rPr>
            </w:pPr>
            <w:r>
              <w:rPr>
                <w:rFonts w:hint="eastAsia" w:cstheme="minorBidi"/>
                <w:spacing w:val="-1"/>
                <w:lang w:val="en-US" w:eastAsia="zh-CN"/>
              </w:rPr>
              <w:t>135</w:t>
            </w:r>
            <w:r>
              <w:rPr>
                <w:rFonts w:hint="eastAsia" w:cstheme="minorBidi"/>
                <w:spacing w:val="-1"/>
              </w:rPr>
              <w:t>t</w:t>
            </w:r>
            <w:r>
              <w:rPr>
                <w:rFonts w:hint="eastAsia" w:cstheme="minorBidi"/>
                <w:spacing w:val="-13"/>
              </w:rPr>
              <w:t xml:space="preserve"> </w:t>
            </w:r>
            <w:r>
              <w:rPr>
                <w:rFonts w:hint="eastAsia" w:cstheme="minorBidi"/>
                <w:spacing w:val="-1"/>
                <w:lang w:eastAsia="zh-CN"/>
              </w:rPr>
              <w:t>汽车吊</w:t>
            </w:r>
          </w:p>
        </w:tc>
        <w:tc>
          <w:tcPr>
            <w:tcW w:w="2267" w:type="dxa"/>
            <w:gridSpan w:val="3"/>
            <w:vAlign w:val="center"/>
          </w:tcPr>
          <w:p>
            <w:pPr>
              <w:pStyle w:val="65"/>
              <w:adjustRightInd w:val="0"/>
              <w:snapToGrid w:val="0"/>
              <w:rPr>
                <w:rFonts w:cstheme="minorBidi"/>
                <w:color w:val="000000" w:themeColor="text1"/>
                <w:spacing w:val="9"/>
                <w14:textFill>
                  <w14:solidFill>
                    <w14:schemeClr w14:val="tx1"/>
                  </w14:solidFill>
                </w14:textFill>
              </w:rPr>
            </w:pPr>
            <w:r>
              <w:rPr>
                <w:rFonts w:hint="eastAsia" w:cstheme="minorBidi"/>
                <w:color w:val="000000" w:themeColor="text1"/>
                <w:spacing w:val="9"/>
                <w14:textFill>
                  <w14:solidFill>
                    <w14:schemeClr w14:val="tx1"/>
                  </w14:solidFill>
                </w14:textFill>
              </w:rPr>
              <w:t>严禁超力矩</w:t>
            </w:r>
          </w:p>
        </w:tc>
        <w:tc>
          <w:tcPr>
            <w:tcW w:w="2833" w:type="dxa"/>
            <w:gridSpan w:val="4"/>
            <w:vAlign w:val="center"/>
          </w:tcPr>
          <w:p>
            <w:pPr>
              <w:pStyle w:val="65"/>
              <w:adjustRightInd w:val="0"/>
              <w:snapToGrid w:val="0"/>
              <w:rPr>
                <w:rFonts w:cstheme="minorBidi"/>
                <w:color w:val="000000" w:themeColor="text1"/>
                <w:spacing w:val="9"/>
                <w14:textFill>
                  <w14:solidFill>
                    <w14:schemeClr w14:val="tx1"/>
                  </w14:solidFill>
                </w14:textFill>
              </w:rPr>
            </w:pPr>
            <w:r>
              <w:rPr>
                <w:rFonts w:hint="eastAsia" w:cstheme="minorBidi"/>
                <w:color w:val="000000" w:themeColor="text1"/>
                <w:spacing w:val="9"/>
                <w14:textFill>
                  <w14:solidFill>
                    <w14:schemeClr w14:val="tx1"/>
                  </w14:solidFill>
                </w14:textFill>
              </w:rPr>
              <w:t>肉眼观察</w:t>
            </w:r>
          </w:p>
        </w:tc>
        <w:tc>
          <w:tcPr>
            <w:tcW w:w="2260" w:type="dxa"/>
            <w:gridSpan w:val="3"/>
            <w:vAlign w:val="center"/>
          </w:tcPr>
          <w:p>
            <w:pPr>
              <w:pStyle w:val="65"/>
              <w:adjustRightInd w:val="0"/>
              <w:snapToGrid w:val="0"/>
              <w:rPr>
                <w:rFonts w:cstheme="minorBidi"/>
                <w:spacing w:val="9"/>
              </w:rPr>
            </w:pPr>
            <w:r>
              <w:rPr>
                <w:rFonts w:hint="eastAsia" w:cstheme="minorBidi"/>
                <w:spacing w:val="9"/>
              </w:rPr>
              <w:t>塔机安装时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651" w:type="dxa"/>
            <w:gridSpan w:val="2"/>
            <w:vAlign w:val="center"/>
          </w:tcPr>
          <w:p>
            <w:pPr>
              <w:pStyle w:val="65"/>
              <w:adjustRightInd w:val="0"/>
              <w:snapToGrid w:val="0"/>
              <w:rPr>
                <w:rFonts w:cstheme="minorBidi"/>
              </w:rPr>
            </w:pPr>
            <w:r>
              <w:rPr>
                <w:rFonts w:hint="eastAsia" w:cstheme="minorBidi"/>
                <w:spacing w:val="7"/>
              </w:rPr>
              <w:t>标</w:t>
            </w:r>
            <w:r>
              <w:rPr>
                <w:rFonts w:hint="eastAsia" w:cstheme="minorBidi"/>
                <w:spacing w:val="6"/>
              </w:rPr>
              <w:t>准节</w:t>
            </w:r>
          </w:p>
        </w:tc>
        <w:tc>
          <w:tcPr>
            <w:tcW w:w="2287" w:type="dxa"/>
            <w:gridSpan w:val="3"/>
            <w:vAlign w:val="center"/>
          </w:tcPr>
          <w:p>
            <w:pPr>
              <w:pStyle w:val="65"/>
              <w:adjustRightInd w:val="0"/>
              <w:snapToGrid w:val="0"/>
              <w:rPr>
                <w:rFonts w:cstheme="minorBidi"/>
                <w:color w:val="000000" w:themeColor="text1"/>
                <w:spacing w:val="9"/>
                <w14:textFill>
                  <w14:solidFill>
                    <w14:schemeClr w14:val="tx1"/>
                  </w14:solidFill>
                </w14:textFill>
              </w:rPr>
            </w:pPr>
            <w:r>
              <w:rPr>
                <w:rFonts w:hint="eastAsia" w:cstheme="minorBidi"/>
                <w:color w:val="000000" w:themeColor="text1"/>
                <w:spacing w:val="9"/>
                <w14:textFill>
                  <w14:solidFill>
                    <w14:schemeClr w14:val="tx1"/>
                  </w14:solidFill>
                </w14:textFill>
              </w:rPr>
              <w:t>标准节主枝，斜撑杆无</w:t>
            </w:r>
          </w:p>
          <w:p>
            <w:pPr>
              <w:pStyle w:val="65"/>
              <w:adjustRightInd w:val="0"/>
              <w:snapToGrid w:val="0"/>
              <w:rPr>
                <w:rFonts w:cstheme="minorBidi"/>
                <w:color w:val="000000" w:themeColor="text1"/>
                <w:spacing w:val="9"/>
                <w14:textFill>
                  <w14:solidFill>
                    <w14:schemeClr w14:val="tx1"/>
                  </w14:solidFill>
                </w14:textFill>
              </w:rPr>
            </w:pPr>
            <w:r>
              <w:rPr>
                <w:rFonts w:hint="eastAsia" w:cstheme="minorBidi"/>
                <w:color w:val="000000" w:themeColor="text1"/>
                <w:spacing w:val="9"/>
                <w14:textFill>
                  <w14:solidFill>
                    <w14:schemeClr w14:val="tx1"/>
                  </w14:solidFill>
                </w14:textFill>
              </w:rPr>
              <w:t>裂纹，螺栓连接牢靠</w:t>
            </w:r>
          </w:p>
        </w:tc>
        <w:tc>
          <w:tcPr>
            <w:tcW w:w="2833" w:type="dxa"/>
            <w:gridSpan w:val="4"/>
            <w:vAlign w:val="center"/>
          </w:tcPr>
          <w:p>
            <w:pPr>
              <w:pStyle w:val="65"/>
              <w:adjustRightInd w:val="0"/>
              <w:snapToGrid w:val="0"/>
              <w:rPr>
                <w:rFonts w:cstheme="minorBidi"/>
                <w:color w:val="000000" w:themeColor="text1"/>
                <w:spacing w:val="9"/>
                <w14:textFill>
                  <w14:solidFill>
                    <w14:schemeClr w14:val="tx1"/>
                  </w14:solidFill>
                </w14:textFill>
              </w:rPr>
            </w:pPr>
            <w:r>
              <w:rPr>
                <w:rFonts w:hint="eastAsia" w:cstheme="minorBidi"/>
                <w:color w:val="000000" w:themeColor="text1"/>
                <w:spacing w:val="9"/>
                <w14:textFill>
                  <w14:solidFill>
                    <w14:schemeClr w14:val="tx1"/>
                  </w14:solidFill>
                </w14:textFill>
              </w:rPr>
              <w:t>肉眼观察</w:t>
            </w:r>
          </w:p>
        </w:tc>
        <w:tc>
          <w:tcPr>
            <w:tcW w:w="2260" w:type="dxa"/>
            <w:gridSpan w:val="3"/>
            <w:vAlign w:val="center"/>
          </w:tcPr>
          <w:p>
            <w:pPr>
              <w:pStyle w:val="65"/>
              <w:adjustRightInd w:val="0"/>
              <w:snapToGrid w:val="0"/>
              <w:rPr>
                <w:rFonts w:cstheme="minorBidi"/>
                <w:spacing w:val="9"/>
              </w:rPr>
            </w:pPr>
            <w:r>
              <w:rPr>
                <w:rFonts w:hint="eastAsia" w:cstheme="minorBidi"/>
                <w:spacing w:val="9"/>
              </w:rPr>
              <w:t>每天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651" w:type="dxa"/>
            <w:gridSpan w:val="2"/>
            <w:vAlign w:val="center"/>
          </w:tcPr>
          <w:p>
            <w:pPr>
              <w:pStyle w:val="65"/>
              <w:adjustRightInd w:val="0"/>
              <w:snapToGrid w:val="0"/>
              <w:rPr>
                <w:rFonts w:cstheme="minorBidi"/>
              </w:rPr>
            </w:pPr>
            <w:r>
              <w:rPr>
                <w:rFonts w:hint="eastAsia" w:cstheme="minorBidi"/>
              </w:rPr>
              <w:t>塔</w:t>
            </w:r>
            <w:r>
              <w:rPr>
                <w:rFonts w:hint="eastAsia" w:cstheme="minorBidi"/>
                <w:spacing w:val="7"/>
              </w:rPr>
              <w:t>吊基础</w:t>
            </w:r>
          </w:p>
        </w:tc>
        <w:tc>
          <w:tcPr>
            <w:tcW w:w="2287" w:type="dxa"/>
            <w:gridSpan w:val="3"/>
            <w:vAlign w:val="center"/>
          </w:tcPr>
          <w:p>
            <w:pPr>
              <w:pStyle w:val="65"/>
              <w:adjustRightInd w:val="0"/>
              <w:snapToGrid w:val="0"/>
              <w:rPr>
                <w:rFonts w:cstheme="minorBidi"/>
                <w:spacing w:val="9"/>
              </w:rPr>
            </w:pPr>
            <w:r>
              <w:rPr>
                <w:rFonts w:hint="eastAsia" w:cstheme="minorBidi"/>
                <w:spacing w:val="9"/>
              </w:rPr>
              <w:t>基础无积水，下沉</w:t>
            </w:r>
          </w:p>
        </w:tc>
        <w:tc>
          <w:tcPr>
            <w:tcW w:w="2833" w:type="dxa"/>
            <w:gridSpan w:val="4"/>
            <w:vAlign w:val="center"/>
          </w:tcPr>
          <w:p>
            <w:pPr>
              <w:pStyle w:val="65"/>
              <w:adjustRightInd w:val="0"/>
              <w:snapToGrid w:val="0"/>
              <w:rPr>
                <w:rFonts w:cstheme="minorBidi"/>
                <w:spacing w:val="9"/>
              </w:rPr>
            </w:pPr>
            <w:r>
              <w:rPr>
                <w:rFonts w:hint="eastAsia" w:cstheme="minorBidi"/>
                <w:spacing w:val="9"/>
              </w:rPr>
              <w:t>肉眼观察</w:t>
            </w:r>
          </w:p>
        </w:tc>
        <w:tc>
          <w:tcPr>
            <w:tcW w:w="2260" w:type="dxa"/>
            <w:gridSpan w:val="3"/>
            <w:vAlign w:val="center"/>
          </w:tcPr>
          <w:p>
            <w:pPr>
              <w:pStyle w:val="65"/>
              <w:adjustRightInd w:val="0"/>
              <w:snapToGrid w:val="0"/>
              <w:rPr>
                <w:rFonts w:cstheme="minorBidi"/>
                <w:spacing w:val="9"/>
              </w:rPr>
            </w:pPr>
            <w:r>
              <w:rPr>
                <w:rFonts w:hint="eastAsia" w:cstheme="minorBidi"/>
                <w:spacing w:val="9"/>
              </w:rPr>
              <w:t>每天</w:t>
            </w:r>
          </w:p>
        </w:tc>
      </w:tr>
    </w:tbl>
    <w:p>
      <w:pPr>
        <w:pStyle w:val="5"/>
        <w:bidi w:val="0"/>
        <w:ind w:left="0" w:leftChars="0" w:firstLine="0" w:firstLineChars="0"/>
        <w:rPr>
          <w:rFonts w:hint="eastAsia"/>
          <w:sz w:val="24"/>
          <w:szCs w:val="24"/>
          <w:lang w:val="en-US" w:eastAsia="zh-CN"/>
        </w:rPr>
      </w:pPr>
      <w:r>
        <w:rPr>
          <w:rFonts w:hint="eastAsia"/>
          <w:sz w:val="24"/>
          <w:szCs w:val="24"/>
          <w:lang w:val="en-US" w:eastAsia="zh-CN"/>
        </w:rPr>
        <w:t>电气设备</w:t>
      </w:r>
    </w:p>
    <w:p>
      <w:pPr>
        <w:ind w:firstLine="480"/>
      </w:pPr>
      <w:r>
        <w:rPr>
          <w:rFonts w:hint="eastAsia"/>
        </w:rPr>
        <w:t>（1）电气部分</w:t>
      </w:r>
    </w:p>
    <w:p>
      <w:pPr>
        <w:ind w:firstLine="480"/>
      </w:pPr>
      <w:r>
        <w:rPr>
          <w:rFonts w:hint="eastAsia"/>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pPr>
        <w:ind w:firstLine="480"/>
      </w:pPr>
      <w:r>
        <w:rPr>
          <w:rFonts w:hint="eastAsia"/>
        </w:rPr>
        <w:t>（2）供电</w:t>
      </w:r>
    </w:p>
    <w:p>
      <w:pPr>
        <w:ind w:firstLine="480"/>
      </w:pPr>
      <w:r>
        <w:rPr>
          <w:rFonts w:hint="eastAsia"/>
        </w:rPr>
        <w:t>起重机供电电源为三相交流电源,电压380V±10%,频率50HZ。</w:t>
      </w:r>
    </w:p>
    <w:p>
      <w:pPr>
        <w:ind w:firstLine="480"/>
      </w:pPr>
      <w:r>
        <w:rPr>
          <w:rFonts w:hint="eastAsia"/>
        </w:rPr>
        <w:t>（3）电气保护</w:t>
      </w:r>
    </w:p>
    <w:p>
      <w:pPr>
        <w:ind w:firstLine="480"/>
      </w:pPr>
      <w:r>
        <w:rPr>
          <w:rFonts w:hint="eastAsia"/>
        </w:rPr>
        <w:t>1）短路及过载保护</w:t>
      </w:r>
    </w:p>
    <w:p>
      <w:pPr>
        <w:ind w:firstLine="480"/>
      </w:pPr>
      <w:r>
        <w:rPr>
          <w:rFonts w:hint="eastAsia"/>
        </w:rPr>
        <w:t>起重机总受电屏、控制屏进出电源设置断路器、控制回路设置小容量断路器，使各机构在短路，过载等事故状态下，迅速与电源脱离,以达到保护设备及人机安全的目的。</w:t>
      </w:r>
    </w:p>
    <w:p>
      <w:pPr>
        <w:ind w:firstLine="480"/>
      </w:pPr>
      <w:r>
        <w:rPr>
          <w:rFonts w:hint="eastAsia"/>
        </w:rPr>
        <w:t>2）失压保护</w:t>
      </w:r>
    </w:p>
    <w:p>
      <w:pPr>
        <w:ind w:firstLine="480"/>
      </w:pPr>
      <w:r>
        <w:rPr>
          <w:rFonts w:hint="eastAsia"/>
        </w:rPr>
        <w:t>在总受电屏及机构控制屏中，用线路接触器作为失压保护装置，当供电电源中断时,能够自动断开电源。</w:t>
      </w:r>
    </w:p>
    <w:p>
      <w:pPr>
        <w:ind w:firstLine="480"/>
      </w:pPr>
      <w:r>
        <w:rPr>
          <w:rFonts w:hint="eastAsia"/>
        </w:rPr>
        <w:t>3）零位保护</w:t>
      </w:r>
    </w:p>
    <w:p>
      <w:pPr>
        <w:ind w:firstLine="480"/>
      </w:pPr>
      <w:r>
        <w:rPr>
          <w:rFonts w:hint="eastAsia"/>
        </w:rPr>
        <w:t>司机室的联动台凸轮控制器手柄上设有零位连锁，达到零位的目的。即当起重机开始运转前和失压恢复供电时，必须将控制器的手柄置于零位，各机构的电动机才能启动工作。</w:t>
      </w:r>
    </w:p>
    <w:p>
      <w:pPr>
        <w:ind w:firstLine="480"/>
      </w:pPr>
      <w:r>
        <w:rPr>
          <w:rFonts w:hint="eastAsia"/>
        </w:rPr>
        <w:t>4）紧急断电保护</w:t>
      </w:r>
    </w:p>
    <w:p>
      <w:pPr>
        <w:ind w:firstLine="480"/>
      </w:pPr>
      <w:r>
        <w:rPr>
          <w:rFonts w:hint="eastAsia"/>
        </w:rPr>
        <w:t>司机室内设有紧急断电按钮，当起重机发生紧急情况时，随时方便地切断控制回路电源，从而使主回路断电，确保起重机的安全运行。</w:t>
      </w:r>
    </w:p>
    <w:p>
      <w:pPr>
        <w:ind w:firstLine="480"/>
      </w:pPr>
      <w:r>
        <w:rPr>
          <w:rFonts w:hint="eastAsia"/>
        </w:rPr>
        <w:t>5）起升,行程限位保护</w:t>
      </w:r>
    </w:p>
    <w:p>
      <w:pPr>
        <w:ind w:firstLine="480"/>
      </w:pPr>
      <w:r>
        <w:rPr>
          <w:rFonts w:hint="eastAsia"/>
        </w:rPr>
        <w:t>起升采用变频控制，起升机构设有限位开关，可保证吊钩上升到极限位置时切断电源，变幅、回转运行到极限位置时切断控制回路电源，使主回路断电，从而达到减速和停车的目的，确保起重机的安全运行。</w:t>
      </w:r>
    </w:p>
    <w:p>
      <w:pPr>
        <w:ind w:firstLine="480"/>
      </w:pPr>
      <w:r>
        <w:rPr>
          <w:rFonts w:hint="eastAsia"/>
        </w:rPr>
        <w:t>7）超载保护</w:t>
      </w:r>
    </w:p>
    <w:p>
      <w:pPr>
        <w:ind w:firstLine="480"/>
      </w:pPr>
      <w:r>
        <w:rPr>
          <w:rFonts w:hint="eastAsia"/>
        </w:rPr>
        <w:t>起升机构配置超载限制器，具有报警功能，当载荷达到额定起重量的90％时，能发出提示性报警信号，当起重量超过额定起重量时，能自动切断起升动力源，并发出禁止性报警信号。</w:t>
      </w:r>
    </w:p>
    <w:p>
      <w:pPr>
        <w:ind w:firstLine="480"/>
      </w:pPr>
      <w:r>
        <w:rPr>
          <w:rFonts w:hint="eastAsia"/>
        </w:rPr>
        <w:t>8）控制柜,端子箱防护等级IP55，端子箱采用下部或侧部进线上部做防雨，槽盖加防脱落装置。</w:t>
      </w:r>
    </w:p>
    <w:p>
      <w:pPr>
        <w:ind w:firstLine="480"/>
      </w:pPr>
      <w:r>
        <w:rPr>
          <w:rFonts w:hint="eastAsia"/>
        </w:rPr>
        <w:t>（4）起重机的接地</w:t>
      </w:r>
    </w:p>
    <w:p>
      <w:pPr>
        <w:ind w:firstLine="480"/>
      </w:pPr>
      <w:r>
        <w:rPr>
          <w:rFonts w:hint="eastAsia"/>
        </w:rPr>
        <w:t>1）起重机的金属结构及所有电气设备的金属外壳，电缆金属外皮和变压器的低压侧均有可靠的接地。</w:t>
      </w:r>
    </w:p>
    <w:p>
      <w:pPr>
        <w:ind w:firstLine="480"/>
      </w:pPr>
      <w:r>
        <w:rPr>
          <w:rFonts w:hint="eastAsia"/>
        </w:rPr>
        <w:t>3）起重机上任何一点的接地电阻均不大于4Ω。</w:t>
      </w:r>
    </w:p>
    <w:p>
      <w:pPr>
        <w:ind w:firstLine="480"/>
      </w:pPr>
      <w:r>
        <w:rPr>
          <w:rFonts w:hint="eastAsia"/>
        </w:rPr>
        <w:t>（5）操纵方式</w:t>
      </w:r>
    </w:p>
    <w:p>
      <w:pPr>
        <w:ind w:firstLine="480"/>
      </w:pPr>
      <w:r>
        <w:rPr>
          <w:rFonts w:hint="eastAsia"/>
        </w:rPr>
        <w:t>1）司机室设有总电源和控制电源开关状态信号指示灯。</w:t>
      </w:r>
    </w:p>
    <w:p>
      <w:pPr>
        <w:ind w:firstLine="480"/>
      </w:pPr>
      <w:r>
        <w:rPr>
          <w:rFonts w:hint="eastAsia"/>
        </w:rPr>
        <w:t>2）司机室设置交流220V电源插座及三相380V电源，备接其它电气设备。</w:t>
      </w:r>
    </w:p>
    <w:p>
      <w:pPr>
        <w:ind w:firstLine="480"/>
      </w:pPr>
      <w:r>
        <w:rPr>
          <w:rFonts w:hint="eastAsia"/>
        </w:rPr>
        <w:t>3）司机室设有36V插座，以便于检修作业。</w:t>
      </w:r>
    </w:p>
    <w:p>
      <w:pPr>
        <w:ind w:firstLine="480"/>
      </w:pPr>
      <w:r>
        <w:rPr>
          <w:rFonts w:hint="eastAsia"/>
        </w:rPr>
        <w:t>4）司机室用交流220V/40W荧光灯具照明，以满足照度不低于200LX的要求。</w:t>
      </w:r>
    </w:p>
    <w:p>
      <w:pPr>
        <w:ind w:firstLine="480"/>
      </w:pPr>
      <w:r>
        <w:rPr>
          <w:rFonts w:hint="eastAsia"/>
        </w:rPr>
        <w:t>（6）照明信号</w:t>
      </w:r>
    </w:p>
    <w:p>
      <w:pPr>
        <w:ind w:firstLine="480"/>
      </w:pPr>
      <w:r>
        <w:rPr>
          <w:rFonts w:hint="eastAsia"/>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pPr>
        <w:ind w:firstLine="480"/>
      </w:pPr>
      <w:r>
        <w:rPr>
          <w:rFonts w:hint="eastAsia"/>
        </w:rPr>
        <w:t>2）设有报警装置,操作时起提示作用，在司机室通过按钮开关控制。</w:t>
      </w:r>
    </w:p>
    <w:p>
      <w:pPr>
        <w:ind w:firstLine="480"/>
      </w:pPr>
      <w:r>
        <w:rPr>
          <w:rFonts w:hint="eastAsia"/>
        </w:rPr>
        <w:t>（7）其它</w:t>
      </w:r>
    </w:p>
    <w:p>
      <w:pPr>
        <w:ind w:firstLine="480"/>
      </w:pPr>
      <w:r>
        <w:rPr>
          <w:rFonts w:hint="eastAsia"/>
        </w:rPr>
        <w:t>1）起重机上布线采用截面积不小于2.5 mm²的铜导线。</w:t>
      </w:r>
    </w:p>
    <w:p>
      <w:pPr>
        <w:ind w:firstLine="480"/>
      </w:pPr>
      <w:r>
        <w:rPr>
          <w:rFonts w:hint="eastAsia"/>
        </w:rPr>
        <w:t>2）总受电屏和各机构控制屏中的布线采用铜导线和铜排。</w:t>
      </w:r>
    </w:p>
    <w:p>
      <w:pPr>
        <w:pStyle w:val="5"/>
        <w:bidi w:val="0"/>
        <w:ind w:left="0" w:leftChars="0" w:firstLine="0" w:firstLineChars="0"/>
        <w:rPr>
          <w:rFonts w:hint="eastAsia"/>
          <w:sz w:val="24"/>
          <w:szCs w:val="24"/>
          <w:lang w:val="en-US" w:eastAsia="zh-CN"/>
        </w:rPr>
      </w:pPr>
      <w:r>
        <w:rPr>
          <w:rFonts w:hint="eastAsia"/>
          <w:sz w:val="24"/>
          <w:szCs w:val="24"/>
          <w:lang w:val="en-US" w:eastAsia="zh-CN"/>
        </w:rPr>
        <w:t>塔吊防雷安全保证措施</w:t>
      </w:r>
    </w:p>
    <w:p>
      <w:pPr>
        <w:ind w:firstLine="480"/>
        <w:rPr>
          <w:rFonts w:hint="eastAsia"/>
        </w:rPr>
      </w:pPr>
      <w:r>
        <w:rPr>
          <w:rFonts w:hint="eastAsia"/>
        </w:rPr>
        <w:t>（1）塔机装有防雷装置。防雷接地电阻实际检测一般不超过</w:t>
      </w:r>
      <w:r>
        <w:t>4</w:t>
      </w:r>
      <w:r>
        <w:rPr>
          <w:rFonts w:hint="eastAsia"/>
        </w:rPr>
        <w:t>Ω，特殊情况遵从安全设计值，允许与其他接地装置共用时，应满足其中最低的要求。</w:t>
      </w:r>
    </w:p>
    <w:p>
      <w:pPr>
        <w:ind w:firstLine="480"/>
        <w:rPr>
          <w:rFonts w:hint="eastAsia"/>
        </w:rPr>
      </w:pPr>
      <w:r>
        <w:rPr>
          <w:rFonts w:hint="eastAsia"/>
        </w:rPr>
        <w:t xml:space="preserve">（2）避雷针（带）与引下线的接地装置连接应采用焊接。整体防雷装置应保证完好的电气通路和连接的可靠性（包括跨接线和过度伸缩缝的处理等）。  </w:t>
      </w:r>
    </w:p>
    <w:p>
      <w:pPr>
        <w:ind w:firstLine="480"/>
        <w:rPr>
          <w:rFonts w:hint="eastAsia"/>
        </w:rPr>
      </w:pPr>
      <w:r>
        <w:rPr>
          <w:rFonts w:hint="eastAsia"/>
        </w:rPr>
        <w:t>（3）对防雷装置应当作为电力设备一样进行预防性试验与检查、检测，保持其良好的保护性能。</w:t>
      </w:r>
    </w:p>
    <w:p>
      <w:pPr>
        <w:ind w:firstLine="480"/>
      </w:pPr>
      <w:r>
        <w:rPr>
          <w:rFonts w:hint="eastAsia"/>
        </w:rPr>
        <w:t>（4）对各种防雷装置应按规范标准要求检查整体和器件情况，例如，连接点有无裂纹，引下线上有无闪络或烧损痕迹，腐蚀锈蚀以及与相邻异体的安全距离情况等。</w:t>
      </w:r>
    </w:p>
    <w:p>
      <w:pPr>
        <w:ind w:firstLine="480"/>
        <w:rPr>
          <w:rFonts w:hint="eastAsia"/>
        </w:rPr>
      </w:pPr>
      <w:r>
        <w:rPr>
          <w:rFonts w:hint="eastAsia"/>
        </w:rPr>
        <w:t>（5）防雷接地在安装完成后及时向报当地气象部门或专业机构检验并出具防雷接地检验报告。</w:t>
      </w:r>
    </w:p>
    <w:p>
      <w:pPr>
        <w:pStyle w:val="5"/>
        <w:bidi w:val="0"/>
        <w:ind w:left="0" w:leftChars="0" w:firstLine="0" w:firstLineChars="0"/>
        <w:rPr>
          <w:rFonts w:hint="eastAsia"/>
          <w:sz w:val="24"/>
          <w:szCs w:val="24"/>
          <w:lang w:val="en-US" w:eastAsia="zh-CN"/>
        </w:rPr>
      </w:pPr>
      <w:r>
        <w:rPr>
          <w:rFonts w:hint="eastAsia"/>
          <w:sz w:val="24"/>
          <w:szCs w:val="24"/>
          <w:lang w:val="en-US" w:eastAsia="zh-CN"/>
        </w:rPr>
        <w:t>强制性条文和具体措施</w:t>
      </w:r>
    </w:p>
    <w:p>
      <w:pPr>
        <w:ind w:firstLine="480"/>
      </w:pPr>
      <w:r>
        <w:rPr>
          <w:rFonts w:hint="eastAsia"/>
        </w:rPr>
        <w:t>（1）应执行的强制性条文</w:t>
      </w:r>
    </w:p>
    <w:p>
      <w:pPr>
        <w:ind w:firstLine="480"/>
      </w:pPr>
      <w:r>
        <w:rPr>
          <w:rFonts w:hint="eastAsia"/>
        </w:rP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pPr>
        <w:ind w:firstLine="480"/>
      </w:pPr>
      <w:r>
        <w:rPr>
          <w:rFonts w:hint="eastAsia"/>
        </w:rPr>
        <w:t>（2）具体措施</w:t>
      </w:r>
    </w:p>
    <w:p>
      <w:pPr>
        <w:ind w:firstLine="480"/>
      </w:pPr>
      <w:r>
        <w:rPr>
          <w:rFonts w:hint="eastAsia"/>
        </w:rPr>
        <w:t>电气系统的验收作为整机验收的一部分，调试不合格不得投入使用。</w:t>
      </w:r>
    </w:p>
    <w:p>
      <w:pPr>
        <w:pStyle w:val="5"/>
        <w:bidi w:val="0"/>
        <w:ind w:left="0" w:leftChars="0" w:firstLine="0" w:firstLineChars="0"/>
        <w:rPr>
          <w:rFonts w:hint="eastAsia"/>
          <w:sz w:val="24"/>
          <w:szCs w:val="24"/>
          <w:lang w:val="en-US" w:eastAsia="zh-CN"/>
        </w:rPr>
      </w:pPr>
      <w:r>
        <w:rPr>
          <w:rFonts w:hint="eastAsia"/>
          <w:sz w:val="24"/>
          <w:szCs w:val="24"/>
          <w:lang w:val="en-US" w:eastAsia="zh-CN"/>
        </w:rPr>
        <w:t>塔吊作业安全技术保证措施</w:t>
      </w:r>
    </w:p>
    <w:p>
      <w:pPr>
        <w:ind w:firstLine="480"/>
        <w:rPr>
          <w:rFonts w:hint="eastAsia"/>
        </w:rPr>
      </w:pPr>
      <w:r>
        <w:rPr>
          <w:rFonts w:hint="eastAsia"/>
        </w:rPr>
        <w:t>（1）必须严格执行ZBJ80012-89《塔式起重机操作使用规程》的有关规定 ，司机与起重工必须是按劳动人事部门有关规定进行考核并取得合格证者。</w:t>
      </w:r>
    </w:p>
    <w:p>
      <w:pPr>
        <w:ind w:firstLine="480"/>
        <w:rPr>
          <w:rFonts w:hint="eastAsia"/>
        </w:rPr>
      </w:pPr>
      <w:r>
        <w:rPr>
          <w:rFonts w:hint="eastAsia"/>
        </w:rPr>
        <w:t>（</w:t>
      </w:r>
      <w:r>
        <w:t>2</w:t>
      </w:r>
      <w:r>
        <w:rPr>
          <w:rFonts w:hint="eastAsia"/>
        </w:rPr>
        <w:t>）司机必须了解所操作塔机的工作原理， 熟悉该塔机的构造及安全装置的功能及其调整方法， 掌握该起重机各项性能的操作方法以及该起重机的维修保养技术。</w:t>
      </w:r>
    </w:p>
    <w:p>
      <w:pPr>
        <w:ind w:firstLine="480"/>
        <w:rPr>
          <w:rFonts w:hint="eastAsia"/>
        </w:rPr>
      </w:pPr>
      <w:r>
        <w:rPr>
          <w:rFonts w:hint="eastAsia"/>
        </w:rPr>
        <w:t>（</w:t>
      </w:r>
      <w:r>
        <w:t>3</w:t>
      </w:r>
      <w:r>
        <w:rPr>
          <w:rFonts w:hint="eastAsia"/>
        </w:rPr>
        <w:t>）严格按本说明书提供的起重特性表操作，严禁超载运行。</w:t>
      </w:r>
    </w:p>
    <w:p>
      <w:pPr>
        <w:ind w:firstLine="480"/>
        <w:rPr>
          <w:rFonts w:hint="eastAsia"/>
        </w:rPr>
      </w:pPr>
      <w:r>
        <w:rPr>
          <w:rFonts w:hint="eastAsia"/>
        </w:rPr>
        <w:t>（</w:t>
      </w:r>
      <w:r>
        <w:t>4</w:t>
      </w:r>
      <w:r>
        <w:rPr>
          <w:rFonts w:hint="eastAsia"/>
        </w:rPr>
        <w:t>）起升机构、回转机构、牵引机构的操作动作要柔和， 由低速到高速逐步转换， 不得将操作手柄从静止(或低速) 猛地向中速或高速位置推进。</w:t>
      </w:r>
    </w:p>
    <w:p>
      <w:pPr>
        <w:ind w:firstLine="480"/>
        <w:rPr>
          <w:rFonts w:hint="eastAsia"/>
        </w:rPr>
      </w:pPr>
      <w:r>
        <w:rPr>
          <w:rFonts w:hint="eastAsia"/>
        </w:rPr>
        <w:t>（</w:t>
      </w:r>
      <w:r>
        <w:t>5</w:t>
      </w:r>
      <w:r>
        <w:rPr>
          <w:rFonts w:hint="eastAsia"/>
        </w:rPr>
        <w:t>）施工面要设专人指挥塔机作业，与司机联络， 必须规定严格的信号，采用对讲机联络</w:t>
      </w:r>
    </w:p>
    <w:p>
      <w:pPr>
        <w:ind w:firstLine="480"/>
        <w:rPr>
          <w:rFonts w:hint="eastAsia"/>
        </w:rPr>
      </w:pPr>
      <w:r>
        <w:rPr>
          <w:rFonts w:hint="eastAsia"/>
        </w:rPr>
        <w:t>（</w:t>
      </w:r>
      <w:r>
        <w:t>6</w:t>
      </w:r>
      <w:r>
        <w:rPr>
          <w:rFonts w:hint="eastAsia"/>
        </w:rPr>
        <w:t>）操作司机发现塔机有异常现象时，应停机切断电源，待查清并排除故障后再使用。</w:t>
      </w:r>
    </w:p>
    <w:p>
      <w:pPr>
        <w:ind w:firstLine="480"/>
        <w:rPr>
          <w:rFonts w:hint="eastAsia"/>
        </w:rPr>
      </w:pPr>
      <w:r>
        <w:rPr>
          <w:rFonts w:hint="eastAsia"/>
        </w:rPr>
        <w:t>（</w:t>
      </w:r>
      <w:r>
        <w:t>7</w:t>
      </w:r>
      <w:r>
        <w:rPr>
          <w:rFonts w:hint="eastAsia"/>
        </w:rPr>
        <w:t>）每班工作前，司机必须对塔吊各部件进行日常检查，对各部件进行按规日常保养加油 ，必须逐项检查各安全装置的可靠性，绝不允许在安全装置失灵的情况下勉强作业；</w:t>
      </w:r>
    </w:p>
    <w:p>
      <w:pPr>
        <w:ind w:firstLine="480"/>
        <w:rPr>
          <w:rFonts w:hint="eastAsia"/>
        </w:rPr>
      </w:pPr>
      <w:r>
        <w:rPr>
          <w:rFonts w:hint="eastAsia"/>
        </w:rPr>
        <w:t>（</w:t>
      </w:r>
      <w:r>
        <w:t>8</w:t>
      </w:r>
      <w:r>
        <w:rPr>
          <w:rFonts w:hint="eastAsia"/>
        </w:rPr>
        <w:t>）不准斜拉斜吊物品，不准抽吊交错挤压物品， 不准起吊埋在地上的物品。</w:t>
      </w:r>
    </w:p>
    <w:p>
      <w:pPr>
        <w:ind w:firstLine="480"/>
        <w:rPr>
          <w:rFonts w:hint="eastAsia"/>
        </w:rPr>
      </w:pPr>
      <w:r>
        <w:rPr>
          <w:rFonts w:hint="eastAsia"/>
        </w:rPr>
        <w:t>（</w:t>
      </w:r>
      <w:r>
        <w:t>9</w:t>
      </w:r>
      <w:r>
        <w:rPr>
          <w:rFonts w:hint="eastAsia"/>
        </w:rPr>
        <w:t>）夜间作业，施工现场必须备有充分的照明设施。</w:t>
      </w:r>
    </w:p>
    <w:p>
      <w:pPr>
        <w:ind w:firstLine="480"/>
        <w:rPr>
          <w:rFonts w:hint="eastAsia"/>
        </w:rPr>
      </w:pPr>
      <w:r>
        <w:rPr>
          <w:rFonts w:hint="eastAsia"/>
        </w:rPr>
        <w:t>（</w:t>
      </w:r>
      <w:r>
        <w:t>10</w:t>
      </w:r>
      <w:r>
        <w:rPr>
          <w:rFonts w:hint="eastAsia"/>
        </w:rPr>
        <w:t>）有物品悬挂在空中时，司机与起重工不得离开工作岗位。</w:t>
      </w:r>
    </w:p>
    <w:p>
      <w:pPr>
        <w:ind w:firstLine="480"/>
        <w:rPr>
          <w:rFonts w:hint="eastAsia"/>
        </w:rPr>
      </w:pPr>
      <w:r>
        <w:rPr>
          <w:rFonts w:hint="eastAsia"/>
        </w:rPr>
        <w:t>（1</w:t>
      </w:r>
      <w:r>
        <w:t>1</w:t>
      </w:r>
      <w:r>
        <w:rPr>
          <w:rFonts w:hint="eastAsia"/>
        </w:rPr>
        <w:t>）指挥的信号、手势、旗号应符合GB5082-85 规定。</w:t>
      </w:r>
    </w:p>
    <w:p>
      <w:pPr>
        <w:ind w:firstLine="480"/>
        <w:rPr>
          <w:rFonts w:hint="eastAsia"/>
        </w:rPr>
      </w:pPr>
      <w:r>
        <w:rPr>
          <w:rFonts w:hint="eastAsia"/>
        </w:rPr>
        <w:t>（1</w:t>
      </w:r>
      <w:r>
        <w:t>2</w:t>
      </w:r>
      <w:r>
        <w:rPr>
          <w:rFonts w:hint="eastAsia"/>
        </w:rPr>
        <w:t>）司机必须认真做好起重机的使用、维修、保养和交接班的记录工作。</w:t>
      </w:r>
    </w:p>
    <w:p>
      <w:pPr>
        <w:ind w:firstLine="480"/>
        <w:rPr>
          <w:rFonts w:hint="eastAsia"/>
        </w:rPr>
      </w:pPr>
      <w:r>
        <w:rPr>
          <w:rFonts w:hint="eastAsia"/>
        </w:rPr>
        <w:t>（1</w:t>
      </w:r>
      <w:r>
        <w:t>3</w:t>
      </w:r>
      <w:r>
        <w:rPr>
          <w:rFonts w:hint="eastAsia"/>
        </w:rPr>
        <w:t>）塔机在非工作状态时应处于安全状态。即起重臂转到与风向一致，将吊钩提升至超过周围障碍物的高度，将所有手柄回到零位，左控制台的回转制动开关转到松开位置，并将总电源切断。</w:t>
      </w:r>
    </w:p>
    <w:p>
      <w:pPr>
        <w:ind w:firstLine="480"/>
        <w:rPr>
          <w:rFonts w:hint="eastAsia"/>
        </w:rPr>
      </w:pPr>
      <w:r>
        <w:rPr>
          <w:rFonts w:hint="eastAsia"/>
        </w:rPr>
        <w:t>（1</w:t>
      </w:r>
      <w:r>
        <w:t>4</w:t>
      </w:r>
      <w:r>
        <w:rPr>
          <w:rFonts w:hint="eastAsia"/>
        </w:rPr>
        <w:t>）在遇大雷雨，暴雨，浓雾或塔机最高处风速超过 20m/s 时，一律停止起重作业。</w:t>
      </w:r>
    </w:p>
    <w:p>
      <w:pPr>
        <w:ind w:firstLine="480"/>
        <w:rPr>
          <w:rFonts w:hint="eastAsia"/>
        </w:rPr>
      </w:pPr>
      <w:r>
        <w:rPr>
          <w:rFonts w:hint="eastAsia"/>
        </w:rPr>
        <w:t>（1</w:t>
      </w:r>
      <w:r>
        <w:t>5</w:t>
      </w:r>
      <w:r>
        <w:rPr>
          <w:rFonts w:hint="eastAsia"/>
        </w:rPr>
        <w:t>）严禁司机酒后上机操作</w:t>
      </w:r>
    </w:p>
    <w:p>
      <w:pPr>
        <w:ind w:firstLine="480"/>
        <w:rPr>
          <w:rFonts w:hint="eastAsia"/>
        </w:rPr>
      </w:pPr>
      <w:r>
        <w:rPr>
          <w:rFonts w:hint="eastAsia"/>
        </w:rPr>
        <w:t>（1</w:t>
      </w:r>
      <w:r>
        <w:t>6</w:t>
      </w:r>
      <w:r>
        <w:rPr>
          <w:rFonts w:hint="eastAsia"/>
        </w:rPr>
        <w:t>）吊钩、吊环有下列情形之一的，应更换：</w:t>
      </w:r>
    </w:p>
    <w:p>
      <w:pPr>
        <w:ind w:firstLine="480"/>
        <w:rPr>
          <w:rFonts w:hint="eastAsia"/>
        </w:rPr>
      </w:pPr>
      <w:r>
        <w:rPr>
          <w:rFonts w:hint="eastAsia"/>
        </w:rPr>
        <w:t>①表面有裂纹、破口，严禁补焊，应更换。②危险断面及钩颈有永久变形。③挂绳面磨损超过10%。④心轴（销子）磨损超过其直径的3—5%。</w:t>
      </w:r>
    </w:p>
    <w:p>
      <w:pPr>
        <w:ind w:firstLine="480"/>
        <w:rPr>
          <w:rFonts w:hint="eastAsia"/>
        </w:rPr>
      </w:pPr>
      <w:r>
        <w:rPr>
          <w:rFonts w:hint="eastAsia"/>
        </w:rPr>
        <w:t>（1</w:t>
      </w:r>
      <w:r>
        <w:t>7</w:t>
      </w:r>
      <w:r>
        <w:rPr>
          <w:rFonts w:hint="eastAsia"/>
        </w:rPr>
        <w:t>）起重“十不吊”内容：</w:t>
      </w:r>
    </w:p>
    <w:p>
      <w:pPr>
        <w:ind w:firstLine="480"/>
        <w:rPr>
          <w:rFonts w:hint="eastAsia"/>
        </w:rPr>
      </w:pPr>
      <w:r>
        <w:rPr>
          <w:rFonts w:hint="eastAsia"/>
        </w:rPr>
        <w:t>①指挥信号不明或违章指挥不吊；②载荷不明不吊；③工件捆绑不良不吊；④吊物上面有人不吊；⑤安全装置不灵不吊；⑥光线阴暗视线不清不吊；⑦工件埋在地下不吊；⑧棱角物件无防护措施不吊；⑨斜拉工件不吊；⑩六级以上强风不吊。</w:t>
      </w:r>
    </w:p>
    <w:p>
      <w:pPr>
        <w:pStyle w:val="3"/>
        <w:rPr>
          <w:rFonts w:hint="eastAsia"/>
          <w:sz w:val="32"/>
          <w:szCs w:val="32"/>
        </w:rPr>
      </w:pPr>
      <w:bookmarkStart w:id="97" w:name="_Toc16762"/>
      <w:r>
        <w:rPr>
          <w:rFonts w:hint="eastAsia"/>
          <w:sz w:val="32"/>
          <w:szCs w:val="32"/>
        </w:rPr>
        <w:t>施工管理及作业人员配备和分工</w:t>
      </w:r>
      <w:bookmarkEnd w:id="97"/>
    </w:p>
    <w:p>
      <w:pPr>
        <w:pStyle w:val="130"/>
        <w:ind w:firstLine="480"/>
        <w:rPr>
          <w:rFonts w:cs="Times New Roman"/>
        </w:rPr>
      </w:pPr>
      <w:r>
        <w:rPr>
          <w:rFonts w:cs="Times New Roman"/>
        </w:rPr>
        <w:t>为确保承台施工安全、优质、高效、如期地完成，成立以项目经理为首的管理团队进行项目的统筹管理。现场施工主要管理人员由具有丰富施工经验的人员组成，选择专业的施工劳务队伍进行施工。</w:t>
      </w:r>
    </w:p>
    <w:p>
      <w:pPr>
        <w:pStyle w:val="4"/>
        <w:bidi w:val="0"/>
        <w:ind w:left="0" w:leftChars="0" w:firstLine="0" w:firstLineChars="0"/>
        <w:rPr>
          <w:lang w:val="en-US" w:eastAsia="zh-CN"/>
        </w:rPr>
      </w:pPr>
      <w:bookmarkStart w:id="98" w:name="_Toc51089991"/>
      <w:bookmarkStart w:id="99" w:name="_Toc122514842"/>
      <w:bookmarkStart w:id="100" w:name="_Toc7272"/>
      <w:bookmarkStart w:id="101" w:name="_Toc759"/>
      <w:r>
        <w:rPr>
          <w:lang w:val="en-US" w:eastAsia="zh-CN"/>
        </w:rPr>
        <w:t>施工管理人员配备和分工</w:t>
      </w:r>
      <w:bookmarkEnd w:id="98"/>
      <w:bookmarkEnd w:id="99"/>
      <w:bookmarkEnd w:id="100"/>
      <w:bookmarkEnd w:id="101"/>
    </w:p>
    <w:p>
      <w:pPr>
        <w:pStyle w:val="130"/>
        <w:ind w:firstLine="480"/>
        <w:rPr>
          <w:rFonts w:cs="Times New Roman"/>
        </w:rPr>
      </w:pPr>
      <w:r>
        <w:rPr>
          <w:rFonts w:cs="Times New Roman"/>
        </w:rPr>
        <w:t>根据施工安排，施工管理人员配备和分工见</w:t>
      </w:r>
      <w:r>
        <w:rPr>
          <w:rFonts w:cs="Times New Roman"/>
          <w:b/>
          <w:bCs/>
        </w:rPr>
        <w:t>表7.1-1</w:t>
      </w:r>
      <w:r>
        <w:rPr>
          <w:rFonts w:cs="Times New Roman"/>
        </w:rPr>
        <w:t>。</w:t>
      </w:r>
    </w:p>
    <w:p>
      <w:pPr>
        <w:pStyle w:val="381"/>
        <w:ind w:firstLine="0" w:firstLineChars="0"/>
        <w:rPr>
          <w:rFonts w:hint="default"/>
        </w:rPr>
      </w:pPr>
      <w:r>
        <w:rPr>
          <w:rFonts w:hint="default"/>
        </w:rPr>
        <w:t xml:space="preserve">表 </w:t>
      </w:r>
      <w:r>
        <w:rPr>
          <w:rFonts w:hint="default"/>
        </w:rPr>
        <w:fldChar w:fldCharType="begin"/>
      </w:r>
      <w:r>
        <w:rPr>
          <w:rFonts w:hint="default"/>
        </w:rPr>
        <w:instrText xml:space="preserve"> STYLEREF 2 \s </w:instrText>
      </w:r>
      <w:r>
        <w:rPr>
          <w:rFonts w:hint="default"/>
        </w:rPr>
        <w:fldChar w:fldCharType="separate"/>
      </w:r>
      <w:r>
        <w:rPr>
          <w:rFonts w:hint="default"/>
        </w:rPr>
        <w:t>7.1</w:t>
      </w:r>
      <w:r>
        <w:rPr>
          <w:rFonts w:hint="default"/>
        </w:rPr>
        <w:fldChar w:fldCharType="end"/>
      </w:r>
      <w:r>
        <w:rPr>
          <w:rFonts w:hint="default"/>
        </w:rPr>
        <w:noBreakHyphen/>
      </w:r>
      <w:r>
        <w:rPr>
          <w:rFonts w:hint="default"/>
        </w:rPr>
        <w:fldChar w:fldCharType="begin"/>
      </w:r>
      <w:r>
        <w:rPr>
          <w:rFonts w:hint="default"/>
        </w:rPr>
        <w:instrText xml:space="preserve"> SEQ 表 \* ARABIC \s 2 </w:instrText>
      </w:r>
      <w:r>
        <w:rPr>
          <w:rFonts w:hint="default"/>
        </w:rPr>
        <w:fldChar w:fldCharType="separate"/>
      </w:r>
      <w:r>
        <w:rPr>
          <w:rFonts w:hint="default"/>
        </w:rPr>
        <w:t>1</w:t>
      </w:r>
      <w:r>
        <w:rPr>
          <w:rFonts w:hint="default"/>
        </w:rPr>
        <w:fldChar w:fldCharType="end"/>
      </w:r>
      <w:r>
        <w:rPr>
          <w:rFonts w:hint="default"/>
        </w:rPr>
        <w:t xml:space="preserve">  施工管理人员配备和分工表</w:t>
      </w:r>
    </w:p>
    <w:tbl>
      <w:tblPr>
        <w:tblStyle w:val="42"/>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2439"/>
        <w:gridCol w:w="1198"/>
        <w:gridCol w:w="449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1"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序号</w:t>
            </w:r>
          </w:p>
        </w:tc>
        <w:tc>
          <w:tcPr>
            <w:tcW w:w="131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岗位</w:t>
            </w:r>
          </w:p>
        </w:tc>
        <w:tc>
          <w:tcPr>
            <w:tcW w:w="645"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人数</w:t>
            </w:r>
          </w:p>
        </w:tc>
        <w:tc>
          <w:tcPr>
            <w:tcW w:w="242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1"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w:t>
            </w:r>
          </w:p>
        </w:tc>
        <w:tc>
          <w:tcPr>
            <w:tcW w:w="131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1"/>
                <w:lang w:val="en-US" w:eastAsia="zh-CN" w:bidi="ar-SA"/>
              </w:rPr>
              <w:t>项目经理</w:t>
            </w:r>
          </w:p>
        </w:tc>
        <w:tc>
          <w:tcPr>
            <w:tcW w:w="645"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w:t>
            </w:r>
          </w:p>
        </w:tc>
        <w:tc>
          <w:tcPr>
            <w:tcW w:w="242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项目总负责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1"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w:t>
            </w:r>
          </w:p>
        </w:tc>
        <w:tc>
          <w:tcPr>
            <w:tcW w:w="131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1"/>
                <w:lang w:val="en-US" w:eastAsia="zh-CN" w:bidi="ar-SA"/>
              </w:rPr>
              <w:t>项目书记</w:t>
            </w:r>
          </w:p>
        </w:tc>
        <w:tc>
          <w:tcPr>
            <w:tcW w:w="645"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w:t>
            </w:r>
          </w:p>
        </w:tc>
        <w:tc>
          <w:tcPr>
            <w:tcW w:w="242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负责项目组织、政治工作，与项目经理同为安全生产第一负责人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1"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w:t>
            </w:r>
          </w:p>
        </w:tc>
        <w:tc>
          <w:tcPr>
            <w:tcW w:w="131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1"/>
                <w:lang w:val="en-US" w:eastAsia="zh-CN" w:bidi="ar-SA"/>
              </w:rPr>
              <w:t>项目总工</w:t>
            </w:r>
          </w:p>
        </w:tc>
        <w:tc>
          <w:tcPr>
            <w:tcW w:w="645"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w:t>
            </w:r>
          </w:p>
        </w:tc>
        <w:tc>
          <w:tcPr>
            <w:tcW w:w="242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全面负责项目技术管理工作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1"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w:t>
            </w:r>
          </w:p>
        </w:tc>
        <w:tc>
          <w:tcPr>
            <w:tcW w:w="131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1"/>
                <w:lang w:val="en-US" w:eastAsia="zh-CN" w:bidi="ar-SA"/>
              </w:rPr>
              <w:t>生产副经理</w:t>
            </w:r>
          </w:p>
        </w:tc>
        <w:tc>
          <w:tcPr>
            <w:tcW w:w="645"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w:t>
            </w:r>
          </w:p>
        </w:tc>
        <w:tc>
          <w:tcPr>
            <w:tcW w:w="242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组织、协调现场生产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1"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w:t>
            </w:r>
          </w:p>
        </w:tc>
        <w:tc>
          <w:tcPr>
            <w:tcW w:w="131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1"/>
                <w:lang w:val="en-US" w:eastAsia="zh-CN" w:bidi="ar-SA"/>
              </w:rPr>
              <w:t>技术员</w:t>
            </w:r>
          </w:p>
        </w:tc>
        <w:tc>
          <w:tcPr>
            <w:tcW w:w="645"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5</w:t>
            </w:r>
          </w:p>
        </w:tc>
        <w:tc>
          <w:tcPr>
            <w:tcW w:w="242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现场技术管理及技术资料收集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1"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6</w:t>
            </w:r>
          </w:p>
        </w:tc>
        <w:tc>
          <w:tcPr>
            <w:tcW w:w="131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1"/>
                <w:lang w:val="en-US" w:eastAsia="zh-CN" w:bidi="ar-SA"/>
              </w:rPr>
              <w:t>质检员</w:t>
            </w:r>
          </w:p>
        </w:tc>
        <w:tc>
          <w:tcPr>
            <w:tcW w:w="645"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w:t>
            </w:r>
          </w:p>
        </w:tc>
        <w:tc>
          <w:tcPr>
            <w:tcW w:w="242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质量监督、检查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1"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7</w:t>
            </w:r>
          </w:p>
        </w:tc>
        <w:tc>
          <w:tcPr>
            <w:tcW w:w="131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1"/>
                <w:lang w:val="en-US" w:eastAsia="zh-CN" w:bidi="ar-SA"/>
              </w:rPr>
              <w:t>测量员</w:t>
            </w:r>
          </w:p>
        </w:tc>
        <w:tc>
          <w:tcPr>
            <w:tcW w:w="645"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w:t>
            </w:r>
          </w:p>
        </w:tc>
        <w:tc>
          <w:tcPr>
            <w:tcW w:w="242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测量、放线</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1"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8</w:t>
            </w:r>
          </w:p>
        </w:tc>
        <w:tc>
          <w:tcPr>
            <w:tcW w:w="131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1"/>
                <w:lang w:val="en-US" w:eastAsia="zh-CN" w:bidi="ar-SA"/>
              </w:rPr>
              <w:t>试验员</w:t>
            </w:r>
          </w:p>
        </w:tc>
        <w:tc>
          <w:tcPr>
            <w:tcW w:w="645"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w:t>
            </w:r>
          </w:p>
        </w:tc>
        <w:tc>
          <w:tcPr>
            <w:tcW w:w="242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试验、检验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1"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9</w:t>
            </w:r>
          </w:p>
        </w:tc>
        <w:tc>
          <w:tcPr>
            <w:tcW w:w="131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1"/>
                <w:lang w:val="en-US" w:eastAsia="zh-CN" w:bidi="ar-SA"/>
              </w:rPr>
              <w:t>材料员</w:t>
            </w:r>
          </w:p>
        </w:tc>
        <w:tc>
          <w:tcPr>
            <w:tcW w:w="645"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w:t>
            </w:r>
          </w:p>
        </w:tc>
        <w:tc>
          <w:tcPr>
            <w:tcW w:w="242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材料管理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1"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10</w:t>
            </w:r>
          </w:p>
        </w:tc>
        <w:tc>
          <w:tcPr>
            <w:tcW w:w="131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1"/>
                <w:lang w:val="en-US" w:eastAsia="zh-CN" w:bidi="ar-SA"/>
              </w:rPr>
              <w:t>设备员</w:t>
            </w:r>
          </w:p>
        </w:tc>
        <w:tc>
          <w:tcPr>
            <w:tcW w:w="645"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w:t>
            </w:r>
          </w:p>
        </w:tc>
        <w:tc>
          <w:tcPr>
            <w:tcW w:w="242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机械设备管理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1"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11</w:t>
            </w:r>
          </w:p>
        </w:tc>
        <w:tc>
          <w:tcPr>
            <w:tcW w:w="131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1"/>
                <w:lang w:val="en-US" w:eastAsia="zh-CN" w:bidi="ar-SA"/>
              </w:rPr>
              <w:t>工长</w:t>
            </w:r>
          </w:p>
        </w:tc>
        <w:tc>
          <w:tcPr>
            <w:tcW w:w="645"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4</w:t>
            </w:r>
          </w:p>
        </w:tc>
        <w:tc>
          <w:tcPr>
            <w:tcW w:w="2422"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施工安排及现场调度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34" w:type="pct"/>
            <w:gridSpan w:val="2"/>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合计</w:t>
            </w:r>
          </w:p>
        </w:tc>
        <w:tc>
          <w:tcPr>
            <w:tcW w:w="645" w:type="pct"/>
            <w:shd w:val="clear" w:color="auto" w:fill="auto"/>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22</w:t>
            </w:r>
          </w:p>
        </w:tc>
        <w:tc>
          <w:tcPr>
            <w:tcW w:w="2422" w:type="pct"/>
            <w:shd w:val="clear" w:color="auto" w:fill="auto"/>
            <w:vAlign w:val="center"/>
          </w:tcPr>
          <w:p>
            <w:pPr>
              <w:jc w:val="center"/>
              <w:rPr>
                <w:rFonts w:ascii="Times New Roman" w:hAnsi="Times New Roman" w:eastAsia="宋体" w:cs="Times New Roman"/>
                <w:kern w:val="2"/>
                <w:sz w:val="21"/>
                <w:szCs w:val="22"/>
                <w:lang w:val="en-US" w:eastAsia="zh-CN" w:bidi="ar-SA"/>
              </w:rPr>
            </w:pPr>
          </w:p>
        </w:tc>
      </w:tr>
    </w:tbl>
    <w:p>
      <w:pPr>
        <w:pStyle w:val="4"/>
        <w:bidi w:val="0"/>
        <w:ind w:left="575" w:leftChars="0" w:hanging="575" w:firstLineChars="0"/>
        <w:rPr>
          <w:lang w:val="en-US" w:eastAsia="zh-CN"/>
        </w:rPr>
      </w:pPr>
      <w:bookmarkStart w:id="102" w:name="_Toc51089992"/>
      <w:bookmarkStart w:id="103" w:name="_Toc32318"/>
      <w:bookmarkStart w:id="104" w:name="_Toc122514843"/>
      <w:bookmarkStart w:id="105" w:name="_Toc26419"/>
      <w:r>
        <w:rPr>
          <w:lang w:val="en-US" w:eastAsia="zh-CN"/>
        </w:rPr>
        <w:t>专职安全生产管理人员配备和分工</w:t>
      </w:r>
      <w:bookmarkEnd w:id="102"/>
      <w:bookmarkEnd w:id="103"/>
      <w:bookmarkEnd w:id="104"/>
      <w:bookmarkEnd w:id="105"/>
    </w:p>
    <w:p>
      <w:pPr>
        <w:pStyle w:val="130"/>
        <w:ind w:firstLine="480"/>
        <w:rPr>
          <w:rFonts w:cs="Times New Roman"/>
        </w:rPr>
      </w:pPr>
      <w:r>
        <w:rPr>
          <w:rFonts w:cs="Times New Roman"/>
        </w:rPr>
        <w:t>施工专职安全生产管理人员配备和分工见</w:t>
      </w:r>
      <w:r>
        <w:rPr>
          <w:rFonts w:cs="Times New Roman"/>
          <w:b/>
          <w:bCs/>
        </w:rPr>
        <w:t>表7.2-1</w:t>
      </w:r>
      <w:r>
        <w:rPr>
          <w:rFonts w:cs="Times New Roman"/>
        </w:rPr>
        <w:t>。</w:t>
      </w:r>
    </w:p>
    <w:p>
      <w:pPr>
        <w:pStyle w:val="381"/>
        <w:ind w:firstLine="0" w:firstLineChars="0"/>
        <w:rPr>
          <w:rFonts w:hint="default"/>
        </w:rPr>
      </w:pPr>
      <w:r>
        <w:rPr>
          <w:rFonts w:hint="default"/>
        </w:rPr>
        <w:t xml:space="preserve">表 </w:t>
      </w:r>
      <w:r>
        <w:rPr>
          <w:rFonts w:hint="default"/>
        </w:rPr>
        <w:fldChar w:fldCharType="begin"/>
      </w:r>
      <w:r>
        <w:rPr>
          <w:rFonts w:hint="default"/>
        </w:rPr>
        <w:instrText xml:space="preserve"> STYLEREF 2 \s </w:instrText>
      </w:r>
      <w:r>
        <w:rPr>
          <w:rFonts w:hint="default"/>
        </w:rPr>
        <w:fldChar w:fldCharType="separate"/>
      </w:r>
      <w:r>
        <w:rPr>
          <w:rFonts w:hint="default"/>
        </w:rPr>
        <w:t>7.2</w:t>
      </w:r>
      <w:r>
        <w:rPr>
          <w:rFonts w:hint="default"/>
        </w:rPr>
        <w:fldChar w:fldCharType="end"/>
      </w:r>
      <w:r>
        <w:rPr>
          <w:rFonts w:hint="default"/>
        </w:rPr>
        <w:noBreakHyphen/>
      </w:r>
      <w:r>
        <w:rPr>
          <w:rFonts w:hint="default"/>
        </w:rPr>
        <w:fldChar w:fldCharType="begin"/>
      </w:r>
      <w:r>
        <w:rPr>
          <w:rFonts w:hint="default"/>
        </w:rPr>
        <w:instrText xml:space="preserve"> SEQ 表 \* ARABIC \s 2 </w:instrText>
      </w:r>
      <w:r>
        <w:rPr>
          <w:rFonts w:hint="default"/>
        </w:rPr>
        <w:fldChar w:fldCharType="separate"/>
      </w:r>
      <w:r>
        <w:rPr>
          <w:rFonts w:hint="default"/>
        </w:rPr>
        <w:t>1</w:t>
      </w:r>
      <w:r>
        <w:rPr>
          <w:rFonts w:hint="default"/>
        </w:rPr>
        <w:fldChar w:fldCharType="end"/>
      </w:r>
      <w:r>
        <w:rPr>
          <w:rFonts w:hint="default"/>
        </w:rPr>
        <w:t xml:space="preserve">  专职安全生产管理人员配备和分工表</w:t>
      </w:r>
    </w:p>
    <w:tbl>
      <w:tblPr>
        <w:tblStyle w:val="42"/>
        <w:tblW w:w="8787"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822"/>
        <w:gridCol w:w="2295"/>
        <w:gridCol w:w="1185"/>
        <w:gridCol w:w="4485"/>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FFFFFF"/>
        </w:tblPrEx>
        <w:trPr>
          <w:trHeight w:val="454" w:hRule="exact"/>
          <w:jc w:val="center"/>
        </w:trPr>
        <w:tc>
          <w:tcPr>
            <w:tcW w:w="822" w:type="dxa"/>
            <w:tcBorders>
              <w:tl2br w:val="nil"/>
              <w:tr2bl w:val="nil"/>
            </w:tcBorders>
            <w:shd w:val="clear" w:color="auto" w:fill="FFFFFF"/>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序号</w:t>
            </w:r>
          </w:p>
        </w:tc>
        <w:tc>
          <w:tcPr>
            <w:tcW w:w="2295" w:type="dxa"/>
            <w:tcBorders>
              <w:tl2br w:val="nil"/>
              <w:tr2bl w:val="nil"/>
            </w:tcBorders>
            <w:shd w:val="clear" w:color="auto" w:fill="FFFFFF"/>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岗    位</w:t>
            </w:r>
          </w:p>
        </w:tc>
        <w:tc>
          <w:tcPr>
            <w:tcW w:w="1185" w:type="dxa"/>
            <w:tcBorders>
              <w:tl2br w:val="nil"/>
              <w:tr2bl w:val="nil"/>
            </w:tcBorders>
            <w:shd w:val="clear" w:color="auto" w:fill="FFFFFF"/>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人数</w:t>
            </w:r>
          </w:p>
        </w:tc>
        <w:tc>
          <w:tcPr>
            <w:tcW w:w="4485" w:type="dxa"/>
            <w:tcBorders>
              <w:tl2br w:val="nil"/>
              <w:tr2bl w:val="nil"/>
            </w:tcBorders>
            <w:shd w:val="clear" w:color="auto" w:fill="FFFFFF"/>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责任分工</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exact"/>
          <w:jc w:val="center"/>
        </w:trPr>
        <w:tc>
          <w:tcPr>
            <w:tcW w:w="822" w:type="dxa"/>
            <w:tcBorders>
              <w:tl2br w:val="nil"/>
              <w:tr2bl w:val="nil"/>
            </w:tcBorders>
            <w:shd w:val="clear" w:color="auto" w:fill="FFFFFF"/>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w:t>
            </w:r>
          </w:p>
        </w:tc>
        <w:tc>
          <w:tcPr>
            <w:tcW w:w="2295" w:type="dxa"/>
            <w:tcBorders>
              <w:tl2br w:val="nil"/>
              <w:tr2bl w:val="nil"/>
            </w:tcBorders>
            <w:shd w:val="clear" w:color="auto" w:fill="FFFFFF"/>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安全总监</w:t>
            </w:r>
          </w:p>
        </w:tc>
        <w:tc>
          <w:tcPr>
            <w:tcW w:w="1185" w:type="dxa"/>
            <w:tcBorders>
              <w:tl2br w:val="nil"/>
              <w:tr2bl w:val="nil"/>
            </w:tcBorders>
            <w:shd w:val="clear" w:color="auto" w:fill="FFFFFF"/>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1</w:t>
            </w:r>
          </w:p>
        </w:tc>
        <w:tc>
          <w:tcPr>
            <w:tcW w:w="4485" w:type="dxa"/>
            <w:tcBorders>
              <w:tl2br w:val="nil"/>
              <w:tr2bl w:val="nil"/>
            </w:tcBorders>
            <w:shd w:val="clear" w:color="auto" w:fill="FFFFFF"/>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全面负责安全生产工作</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exact"/>
          <w:jc w:val="center"/>
        </w:trPr>
        <w:tc>
          <w:tcPr>
            <w:tcW w:w="822" w:type="dxa"/>
            <w:tcBorders>
              <w:tl2br w:val="nil"/>
              <w:tr2bl w:val="nil"/>
            </w:tcBorders>
            <w:shd w:val="clear" w:color="auto" w:fill="FFFFFF"/>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w:t>
            </w:r>
          </w:p>
        </w:tc>
        <w:tc>
          <w:tcPr>
            <w:tcW w:w="2295" w:type="dxa"/>
            <w:tcBorders>
              <w:tl2br w:val="nil"/>
              <w:tr2bl w:val="nil"/>
            </w:tcBorders>
            <w:shd w:val="clear" w:color="auto" w:fill="FFFFFF"/>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专职安全员</w:t>
            </w:r>
          </w:p>
        </w:tc>
        <w:tc>
          <w:tcPr>
            <w:tcW w:w="1185" w:type="dxa"/>
            <w:tcBorders>
              <w:tl2br w:val="nil"/>
              <w:tr2bl w:val="nil"/>
            </w:tcBorders>
            <w:shd w:val="clear" w:color="auto" w:fill="FFFFFF"/>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2</w:t>
            </w:r>
          </w:p>
        </w:tc>
        <w:tc>
          <w:tcPr>
            <w:tcW w:w="4485" w:type="dxa"/>
            <w:tcBorders>
              <w:tl2br w:val="nil"/>
              <w:tr2bl w:val="nil"/>
            </w:tcBorders>
            <w:shd w:val="clear" w:color="auto" w:fill="FFFFFF"/>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现场安全、文明施工监督</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exact"/>
          <w:jc w:val="center"/>
        </w:trPr>
        <w:tc>
          <w:tcPr>
            <w:tcW w:w="3117" w:type="dxa"/>
            <w:gridSpan w:val="2"/>
            <w:tcBorders>
              <w:tl2br w:val="nil"/>
              <w:tr2bl w:val="nil"/>
            </w:tcBorders>
            <w:shd w:val="clear" w:color="auto" w:fill="FFFFFF"/>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合计</w:t>
            </w:r>
          </w:p>
        </w:tc>
        <w:tc>
          <w:tcPr>
            <w:tcW w:w="1185" w:type="dxa"/>
            <w:tcBorders>
              <w:tl2br w:val="nil"/>
              <w:tr2bl w:val="nil"/>
            </w:tcBorders>
            <w:shd w:val="clear" w:color="auto" w:fill="FFFFFF"/>
            <w:vAlign w:val="center"/>
          </w:tcPr>
          <w:p>
            <w:pPr>
              <w:jc w:val="center"/>
              <w:rPr>
                <w:rFonts w:ascii="Times New Roman" w:hAnsi="Times New Roman" w:eastAsia="宋体" w:cs="Times New Roman"/>
                <w:kern w:val="2"/>
                <w:sz w:val="21"/>
                <w:szCs w:val="22"/>
                <w:lang w:val="en-US" w:eastAsia="zh-CN" w:bidi="ar-SA"/>
              </w:rPr>
            </w:pPr>
            <w:r>
              <w:rPr>
                <w:rFonts w:ascii="Times New Roman" w:hAnsi="Times New Roman" w:eastAsia="宋体" w:cs="Times New Roman"/>
                <w:kern w:val="2"/>
                <w:sz w:val="21"/>
                <w:szCs w:val="22"/>
                <w:lang w:val="en-US" w:eastAsia="zh-CN" w:bidi="ar-SA"/>
              </w:rPr>
              <w:t>3</w:t>
            </w:r>
          </w:p>
        </w:tc>
        <w:tc>
          <w:tcPr>
            <w:tcW w:w="4485" w:type="dxa"/>
            <w:tcBorders>
              <w:tl2br w:val="nil"/>
              <w:tr2bl w:val="nil"/>
            </w:tcBorders>
            <w:shd w:val="clear" w:color="auto" w:fill="FFFFFF"/>
            <w:vAlign w:val="center"/>
          </w:tcPr>
          <w:p>
            <w:pPr>
              <w:jc w:val="center"/>
              <w:rPr>
                <w:rFonts w:ascii="Times New Roman" w:hAnsi="Times New Roman" w:eastAsia="宋体" w:cs="Times New Roman"/>
                <w:kern w:val="2"/>
                <w:sz w:val="21"/>
                <w:szCs w:val="22"/>
                <w:lang w:val="en-US" w:eastAsia="zh-CN" w:bidi="ar-SA"/>
              </w:rPr>
            </w:pPr>
          </w:p>
        </w:tc>
      </w:tr>
    </w:tbl>
    <w:p>
      <w:pPr>
        <w:pStyle w:val="16"/>
        <w:rPr>
          <w:rFonts w:ascii="宋体" w:hAnsi="宋体" w:cs="宋体"/>
          <w:bCs/>
          <w:color w:val="000000" w:themeColor="text1"/>
          <w14:textFill>
            <w14:solidFill>
              <w14:schemeClr w14:val="tx1"/>
            </w14:solidFill>
          </w14:textFill>
        </w:rPr>
      </w:pPr>
      <w:r>
        <w:rPr>
          <w:rFonts w:hint="eastAsia"/>
        </w:rPr>
        <w:t xml:space="preserve">表 </w:t>
      </w:r>
      <w:r>
        <w:rPr>
          <w:rFonts w:hint="eastAsia"/>
          <w:lang w:val="en-US" w:eastAsia="zh-CN"/>
        </w:rPr>
        <w:t>7.2-2</w:t>
      </w:r>
      <w:r>
        <w:rPr>
          <w:rFonts w:hint="eastAsia" w:ascii="宋体" w:hAnsi="宋体" w:cs="宋体"/>
          <w:bCs/>
          <w:color w:val="000000" w:themeColor="text1"/>
          <w14:textFill>
            <w14:solidFill>
              <w14:schemeClr w14:val="tx1"/>
            </w14:solidFill>
          </w14:textFill>
        </w:rPr>
        <w:t>安拆专业分包单位管理人员及安拆人员名单汇总表</w:t>
      </w:r>
    </w:p>
    <w:tbl>
      <w:tblPr>
        <w:tblStyle w:val="42"/>
        <w:tblW w:w="5000" w:type="pct"/>
        <w:jc w:val="center"/>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Layout w:type="autofit"/>
        <w:tblCellMar>
          <w:top w:w="0" w:type="dxa"/>
          <w:left w:w="108" w:type="dxa"/>
          <w:bottom w:w="0" w:type="dxa"/>
          <w:right w:w="108" w:type="dxa"/>
        </w:tblCellMar>
      </w:tblPr>
      <w:tblGrid>
        <w:gridCol w:w="650"/>
        <w:gridCol w:w="922"/>
        <w:gridCol w:w="650"/>
        <w:gridCol w:w="2506"/>
        <w:gridCol w:w="2280"/>
        <w:gridCol w:w="2278"/>
      </w:tblGrid>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tcBorders>
              <w:top w:val="single" w:color="2E5292" w:sz="8" w:space="0"/>
              <w:bottom w:val="single" w:color="2E5292" w:sz="8" w:space="0"/>
            </w:tcBorders>
            <w:shd w:val="clear" w:color="auto" w:fill="8EAADB"/>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序号</w:t>
            </w:r>
          </w:p>
        </w:tc>
        <w:tc>
          <w:tcPr>
            <w:tcW w:w="496" w:type="pct"/>
            <w:tcBorders>
              <w:top w:val="single" w:color="2E5292" w:sz="8" w:space="0"/>
              <w:bottom w:val="single" w:color="2E5292" w:sz="8" w:space="0"/>
            </w:tcBorders>
            <w:shd w:val="clear" w:color="auto" w:fill="8EAADB"/>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姓名</w:t>
            </w:r>
          </w:p>
        </w:tc>
        <w:tc>
          <w:tcPr>
            <w:tcW w:w="350" w:type="pct"/>
            <w:tcBorders>
              <w:top w:val="single" w:color="2E5292" w:sz="8" w:space="0"/>
              <w:bottom w:val="single" w:color="2E5292" w:sz="8" w:space="0"/>
            </w:tcBorders>
            <w:shd w:val="clear" w:color="auto" w:fill="8EAADB"/>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性别</w:t>
            </w:r>
          </w:p>
        </w:tc>
        <w:tc>
          <w:tcPr>
            <w:tcW w:w="1349" w:type="pct"/>
            <w:tcBorders>
              <w:top w:val="single" w:color="2E5292" w:sz="8" w:space="0"/>
              <w:bottom w:val="single" w:color="2E5292" w:sz="8" w:space="0"/>
            </w:tcBorders>
            <w:shd w:val="clear" w:color="auto" w:fill="8EAADB"/>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工种</w:t>
            </w:r>
          </w:p>
        </w:tc>
        <w:tc>
          <w:tcPr>
            <w:tcW w:w="1227" w:type="pct"/>
            <w:tcBorders>
              <w:top w:val="single" w:color="2E5292" w:sz="8" w:space="0"/>
              <w:bottom w:val="single" w:color="2E5292" w:sz="8" w:space="0"/>
            </w:tcBorders>
            <w:shd w:val="clear" w:color="auto" w:fill="8EAADB"/>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证书编号</w:t>
            </w:r>
          </w:p>
        </w:tc>
        <w:tc>
          <w:tcPr>
            <w:tcW w:w="1226" w:type="pct"/>
            <w:tcBorders>
              <w:top w:val="single" w:color="2E5292" w:sz="8" w:space="0"/>
              <w:bottom w:val="single" w:color="2E5292" w:sz="8" w:space="0"/>
            </w:tcBorders>
            <w:shd w:val="clear" w:color="auto" w:fill="8EAADB"/>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身份证号</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tcBorders>
              <w:top w:val="single" w:color="2E5292" w:sz="8" w:space="0"/>
            </w:tcBorders>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ascii="Times New Roman" w:hAnsi="Times New Roman" w:eastAsia="宋体" w:cs="宋体"/>
                <w:w w:val="90"/>
                <w:sz w:val="20"/>
                <w:szCs w:val="21"/>
              </w:rPr>
              <w:t>1</w:t>
            </w:r>
          </w:p>
        </w:tc>
        <w:tc>
          <w:tcPr>
            <w:tcW w:w="496" w:type="pct"/>
            <w:tcBorders>
              <w:top w:val="single" w:color="2E5292" w:sz="8" w:space="0"/>
            </w:tcBorders>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吕</w:t>
            </w:r>
            <w:r>
              <w:rPr>
                <w:rFonts w:hint="eastAsia" w:ascii="Times New Roman" w:hAnsi="Times New Roman" w:eastAsia="宋体" w:cs="宋体"/>
                <w:w w:val="90"/>
                <w:sz w:val="20"/>
                <w:szCs w:val="21"/>
                <w:lang w:val="en-US" w:eastAsia="zh-CN"/>
              </w:rPr>
              <w:t>仕</w:t>
            </w:r>
            <w:r>
              <w:rPr>
                <w:rFonts w:hint="eastAsia" w:ascii="Times New Roman" w:hAnsi="Times New Roman" w:eastAsia="宋体" w:cs="宋体"/>
                <w:w w:val="90"/>
                <w:sz w:val="20"/>
                <w:szCs w:val="21"/>
              </w:rPr>
              <w:t>昌</w:t>
            </w:r>
          </w:p>
        </w:tc>
        <w:tc>
          <w:tcPr>
            <w:tcW w:w="350" w:type="pct"/>
            <w:tcBorders>
              <w:top w:val="single" w:color="2E5292" w:sz="8" w:space="0"/>
            </w:tcBorders>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男</w:t>
            </w:r>
          </w:p>
        </w:tc>
        <w:tc>
          <w:tcPr>
            <w:tcW w:w="1349" w:type="pct"/>
            <w:tcBorders>
              <w:top w:val="single" w:color="2E5292" w:sz="8" w:space="0"/>
            </w:tcBorders>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专职安全员</w:t>
            </w:r>
          </w:p>
        </w:tc>
        <w:tc>
          <w:tcPr>
            <w:tcW w:w="1227" w:type="pct"/>
            <w:tcBorders>
              <w:top w:val="single" w:color="2E5292" w:sz="8" w:space="0"/>
            </w:tcBorders>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宋体" w:hAnsi="宋体" w:eastAsia="宋体" w:cs="宋体"/>
                <w:sz w:val="20"/>
                <w:szCs w:val="24"/>
              </w:rPr>
              <w:t>500381198606081511</w:t>
            </w:r>
          </w:p>
        </w:tc>
        <w:tc>
          <w:tcPr>
            <w:tcW w:w="1226" w:type="pct"/>
            <w:tcBorders>
              <w:top w:val="single" w:color="2E5292" w:sz="8" w:space="0"/>
            </w:tcBorders>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宋体" w:hAnsi="宋体" w:eastAsia="宋体" w:cs="宋体"/>
                <w:sz w:val="20"/>
                <w:szCs w:val="24"/>
              </w:rPr>
              <w:t>500381198606081511</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ascii="Times New Roman" w:hAnsi="Times New Roman" w:eastAsia="宋体" w:cs="宋体"/>
                <w:w w:val="90"/>
                <w:sz w:val="20"/>
                <w:szCs w:val="21"/>
              </w:rPr>
              <w:t>2</w:t>
            </w:r>
          </w:p>
        </w:tc>
        <w:tc>
          <w:tcPr>
            <w:tcW w:w="496"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Times New Roman"/>
                <w:w w:val="90"/>
                <w:sz w:val="20"/>
                <w:szCs w:val="21"/>
              </w:rPr>
              <w:t>熊登</w:t>
            </w:r>
          </w:p>
        </w:tc>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男</w:t>
            </w:r>
          </w:p>
        </w:tc>
        <w:tc>
          <w:tcPr>
            <w:tcW w:w="1349"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塔式起重机安拆工</w:t>
            </w:r>
          </w:p>
        </w:tc>
        <w:tc>
          <w:tcPr>
            <w:tcW w:w="1227"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宋体" w:hAnsi="宋体" w:eastAsia="宋体" w:cs="宋体"/>
                <w:w w:val="90"/>
                <w:sz w:val="20"/>
                <w:szCs w:val="24"/>
              </w:rPr>
              <w:t>渝A082023000298</w:t>
            </w:r>
          </w:p>
        </w:tc>
        <w:tc>
          <w:tcPr>
            <w:tcW w:w="1226"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宋体" w:hAnsi="宋体" w:eastAsia="宋体" w:cs="宋体"/>
                <w:w w:val="90"/>
                <w:sz w:val="20"/>
                <w:szCs w:val="24"/>
              </w:rPr>
              <w:t>500381198611031519</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ascii="Times New Roman" w:hAnsi="Times New Roman" w:eastAsia="宋体" w:cs="宋体"/>
                <w:w w:val="90"/>
                <w:sz w:val="20"/>
                <w:szCs w:val="21"/>
              </w:rPr>
              <w:t>3</w:t>
            </w:r>
          </w:p>
        </w:tc>
        <w:tc>
          <w:tcPr>
            <w:tcW w:w="496" w:type="pct"/>
            <w:shd w:val="clear" w:color="auto" w:fill="auto"/>
            <w:vAlign w:val="center"/>
          </w:tcPr>
          <w:p>
            <w:pPr>
              <w:spacing w:line="240" w:lineRule="auto"/>
              <w:ind w:firstLine="0" w:firstLineChars="0"/>
              <w:jc w:val="center"/>
              <w:rPr>
                <w:rFonts w:hint="eastAsia" w:ascii="Times New Roman" w:hAnsi="Times New Roman" w:eastAsia="宋体" w:cs="宋体"/>
                <w:w w:val="90"/>
                <w:sz w:val="20"/>
                <w:szCs w:val="21"/>
                <w:lang w:eastAsia="zh-CN"/>
              </w:rPr>
            </w:pPr>
            <w:r>
              <w:rPr>
                <w:rFonts w:hint="eastAsia" w:ascii="Times New Roman" w:hAnsi="Times New Roman" w:eastAsia="宋体" w:cs="Times New Roman"/>
                <w:w w:val="90"/>
                <w:sz w:val="20"/>
                <w:szCs w:val="21"/>
              </w:rPr>
              <w:t>黄教</w:t>
            </w:r>
            <w:r>
              <w:rPr>
                <w:rFonts w:hint="eastAsia" w:cs="Times New Roman"/>
                <w:w w:val="90"/>
                <w:sz w:val="20"/>
                <w:szCs w:val="21"/>
                <w:lang w:val="en-US" w:eastAsia="zh-CN"/>
              </w:rPr>
              <w:t>亮</w:t>
            </w:r>
          </w:p>
        </w:tc>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男</w:t>
            </w:r>
          </w:p>
        </w:tc>
        <w:tc>
          <w:tcPr>
            <w:tcW w:w="1349"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塔式起重机安拆工</w:t>
            </w:r>
          </w:p>
        </w:tc>
        <w:tc>
          <w:tcPr>
            <w:tcW w:w="1227"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宋体" w:hAnsi="宋体" w:eastAsia="宋体" w:cs="宋体"/>
                <w:w w:val="90"/>
                <w:sz w:val="20"/>
                <w:szCs w:val="24"/>
              </w:rPr>
              <w:t>渝A082023000288</w:t>
            </w:r>
          </w:p>
        </w:tc>
        <w:tc>
          <w:tcPr>
            <w:tcW w:w="1226"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宋体" w:hAnsi="宋体" w:eastAsia="宋体" w:cs="宋体"/>
                <w:w w:val="90"/>
                <w:sz w:val="20"/>
                <w:szCs w:val="24"/>
              </w:rPr>
              <w:t>50038119870308591X</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ascii="Times New Roman" w:hAnsi="Times New Roman" w:eastAsia="宋体" w:cs="宋体"/>
                <w:w w:val="90"/>
                <w:sz w:val="20"/>
                <w:szCs w:val="21"/>
              </w:rPr>
              <w:t>4</w:t>
            </w:r>
          </w:p>
        </w:tc>
        <w:tc>
          <w:tcPr>
            <w:tcW w:w="496"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Times New Roman"/>
                <w:w w:val="90"/>
                <w:sz w:val="20"/>
                <w:szCs w:val="21"/>
              </w:rPr>
              <w:t>冯昌苹</w:t>
            </w:r>
          </w:p>
        </w:tc>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男</w:t>
            </w:r>
          </w:p>
        </w:tc>
        <w:tc>
          <w:tcPr>
            <w:tcW w:w="1349"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塔式起重机安拆工</w:t>
            </w:r>
          </w:p>
        </w:tc>
        <w:tc>
          <w:tcPr>
            <w:tcW w:w="1227"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宋体" w:hAnsi="宋体" w:eastAsia="宋体" w:cs="宋体"/>
                <w:w w:val="90"/>
                <w:sz w:val="20"/>
                <w:szCs w:val="24"/>
              </w:rPr>
              <w:t>渝A082023001929</w:t>
            </w:r>
          </w:p>
        </w:tc>
        <w:tc>
          <w:tcPr>
            <w:tcW w:w="1226"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宋体" w:hAnsi="宋体" w:eastAsia="宋体" w:cs="宋体"/>
                <w:w w:val="90"/>
                <w:sz w:val="20"/>
                <w:szCs w:val="24"/>
              </w:rPr>
              <w:t>50010219870521175X</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ascii="Times New Roman" w:hAnsi="Times New Roman" w:eastAsia="宋体" w:cs="宋体"/>
                <w:w w:val="90"/>
                <w:sz w:val="20"/>
                <w:szCs w:val="21"/>
              </w:rPr>
              <w:t>5</w:t>
            </w:r>
          </w:p>
        </w:tc>
        <w:tc>
          <w:tcPr>
            <w:tcW w:w="496"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Times New Roman"/>
                <w:w w:val="90"/>
                <w:sz w:val="20"/>
                <w:szCs w:val="21"/>
              </w:rPr>
              <w:t>罗乾龙</w:t>
            </w:r>
          </w:p>
        </w:tc>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男</w:t>
            </w:r>
          </w:p>
        </w:tc>
        <w:tc>
          <w:tcPr>
            <w:tcW w:w="1349"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塔式起重机安拆工</w:t>
            </w:r>
          </w:p>
        </w:tc>
        <w:tc>
          <w:tcPr>
            <w:tcW w:w="1227"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宋体" w:hAnsi="宋体" w:eastAsia="宋体" w:cs="宋体"/>
                <w:w w:val="90"/>
                <w:sz w:val="20"/>
                <w:szCs w:val="24"/>
              </w:rPr>
              <w:t>渝A082023000265</w:t>
            </w:r>
          </w:p>
        </w:tc>
        <w:tc>
          <w:tcPr>
            <w:tcW w:w="1226"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宋体" w:hAnsi="宋体" w:eastAsia="宋体" w:cs="宋体"/>
                <w:w w:val="90"/>
                <w:sz w:val="20"/>
                <w:szCs w:val="24"/>
              </w:rPr>
              <w:t>500240198909025231</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shd w:val="clear" w:color="auto" w:fill="auto"/>
            <w:vAlign w:val="center"/>
          </w:tcPr>
          <w:p>
            <w:pPr>
              <w:spacing w:line="240" w:lineRule="auto"/>
              <w:ind w:firstLine="0" w:firstLineChars="0"/>
              <w:jc w:val="center"/>
              <w:rPr>
                <w:rFonts w:hint="eastAsia" w:ascii="Times New Roman" w:hAnsi="Times New Roman" w:eastAsia="宋体" w:cs="Times New Roman"/>
                <w:w w:val="90"/>
                <w:sz w:val="20"/>
                <w:szCs w:val="21"/>
              </w:rPr>
            </w:pPr>
            <w:r>
              <w:rPr>
                <w:rFonts w:hint="eastAsia" w:ascii="Times New Roman" w:hAnsi="Times New Roman" w:eastAsia="宋体" w:cs="Times New Roman"/>
                <w:w w:val="90"/>
                <w:sz w:val="20"/>
                <w:szCs w:val="21"/>
              </w:rPr>
              <w:t>6</w:t>
            </w:r>
          </w:p>
        </w:tc>
        <w:tc>
          <w:tcPr>
            <w:tcW w:w="496" w:type="pct"/>
            <w:shd w:val="clear" w:color="auto" w:fill="auto"/>
            <w:vAlign w:val="center"/>
          </w:tcPr>
          <w:p>
            <w:pPr>
              <w:spacing w:line="240" w:lineRule="auto"/>
              <w:ind w:firstLine="0" w:firstLineChars="0"/>
              <w:jc w:val="center"/>
              <w:rPr>
                <w:rFonts w:hint="eastAsia" w:ascii="Times New Roman" w:hAnsi="Times New Roman" w:eastAsia="宋体" w:cs="Times New Roman"/>
                <w:w w:val="90"/>
                <w:sz w:val="20"/>
                <w:szCs w:val="21"/>
              </w:rPr>
            </w:pPr>
            <w:r>
              <w:rPr>
                <w:rFonts w:hint="eastAsia" w:ascii="Times New Roman" w:hAnsi="Times New Roman" w:eastAsia="宋体" w:cs="Times New Roman"/>
                <w:w w:val="90"/>
                <w:sz w:val="20"/>
                <w:szCs w:val="21"/>
              </w:rPr>
              <w:t>张腾万</w:t>
            </w:r>
          </w:p>
        </w:tc>
        <w:tc>
          <w:tcPr>
            <w:tcW w:w="350" w:type="pct"/>
            <w:shd w:val="clear" w:color="auto" w:fill="auto"/>
            <w:vAlign w:val="center"/>
          </w:tcPr>
          <w:p>
            <w:pPr>
              <w:spacing w:line="240" w:lineRule="auto"/>
              <w:ind w:firstLine="0" w:firstLineChars="0"/>
              <w:jc w:val="center"/>
              <w:rPr>
                <w:rFonts w:hint="eastAsia" w:ascii="Times New Roman" w:hAnsi="Times New Roman" w:eastAsia="宋体" w:cs="Times New Roman"/>
                <w:w w:val="90"/>
                <w:sz w:val="20"/>
                <w:szCs w:val="21"/>
              </w:rPr>
            </w:pPr>
            <w:r>
              <w:rPr>
                <w:rFonts w:hint="eastAsia" w:ascii="Times New Roman" w:hAnsi="Times New Roman" w:eastAsia="宋体" w:cs="Times New Roman"/>
                <w:w w:val="90"/>
                <w:sz w:val="20"/>
                <w:szCs w:val="21"/>
              </w:rPr>
              <w:t>男</w:t>
            </w:r>
          </w:p>
        </w:tc>
        <w:tc>
          <w:tcPr>
            <w:tcW w:w="1349" w:type="pct"/>
            <w:shd w:val="clear" w:color="auto" w:fill="auto"/>
            <w:vAlign w:val="center"/>
          </w:tcPr>
          <w:p>
            <w:pPr>
              <w:spacing w:line="240" w:lineRule="auto"/>
              <w:ind w:firstLine="0" w:firstLineChars="0"/>
              <w:jc w:val="center"/>
              <w:rPr>
                <w:rFonts w:hint="eastAsia" w:ascii="Times New Roman" w:hAnsi="Times New Roman" w:eastAsia="宋体" w:cs="Times New Roman"/>
                <w:w w:val="90"/>
                <w:sz w:val="20"/>
                <w:szCs w:val="21"/>
              </w:rPr>
            </w:pPr>
            <w:r>
              <w:rPr>
                <w:rFonts w:hint="eastAsia" w:ascii="Times New Roman" w:hAnsi="Times New Roman" w:eastAsia="宋体" w:cs="Times New Roman"/>
                <w:w w:val="90"/>
                <w:sz w:val="20"/>
                <w:szCs w:val="21"/>
              </w:rPr>
              <w:t>建筑电工（维保人员）</w:t>
            </w:r>
          </w:p>
        </w:tc>
        <w:tc>
          <w:tcPr>
            <w:tcW w:w="1227" w:type="pct"/>
            <w:shd w:val="clear" w:color="auto" w:fill="auto"/>
            <w:vAlign w:val="center"/>
          </w:tcPr>
          <w:p>
            <w:pPr>
              <w:spacing w:line="240" w:lineRule="auto"/>
              <w:ind w:firstLine="0" w:firstLineChars="0"/>
              <w:jc w:val="center"/>
              <w:rPr>
                <w:rFonts w:hint="eastAsia" w:ascii="宋体" w:hAnsi="宋体" w:eastAsia="宋体" w:cs="宋体"/>
                <w:w w:val="90"/>
                <w:sz w:val="20"/>
                <w:szCs w:val="24"/>
              </w:rPr>
            </w:pPr>
            <w:r>
              <w:rPr>
                <w:rFonts w:hint="eastAsia" w:ascii="宋体" w:hAnsi="宋体" w:eastAsia="宋体" w:cs="宋体"/>
                <w:w w:val="90"/>
                <w:sz w:val="20"/>
                <w:szCs w:val="24"/>
              </w:rPr>
              <w:t>川R012016700009</w:t>
            </w:r>
          </w:p>
        </w:tc>
        <w:tc>
          <w:tcPr>
            <w:tcW w:w="1226" w:type="pct"/>
            <w:shd w:val="clear" w:color="auto" w:fill="auto"/>
            <w:vAlign w:val="center"/>
          </w:tcPr>
          <w:p>
            <w:pPr>
              <w:spacing w:line="240" w:lineRule="auto"/>
              <w:ind w:firstLine="0" w:firstLineChars="0"/>
              <w:jc w:val="center"/>
              <w:rPr>
                <w:rFonts w:hint="eastAsia" w:ascii="宋体" w:hAnsi="宋体" w:eastAsia="宋体" w:cs="宋体"/>
                <w:w w:val="90"/>
                <w:sz w:val="20"/>
                <w:szCs w:val="24"/>
              </w:rPr>
            </w:pPr>
            <w:r>
              <w:rPr>
                <w:rFonts w:hint="eastAsia" w:ascii="宋体" w:hAnsi="宋体" w:eastAsia="宋体" w:cs="宋体"/>
                <w:w w:val="90"/>
                <w:sz w:val="20"/>
                <w:szCs w:val="24"/>
              </w:rPr>
              <w:t>511324199311134276</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ascii="Times New Roman" w:hAnsi="Times New Roman" w:eastAsia="宋体" w:cs="宋体"/>
                <w:w w:val="90"/>
                <w:sz w:val="20"/>
                <w:szCs w:val="21"/>
              </w:rPr>
              <w:t>7</w:t>
            </w:r>
          </w:p>
        </w:tc>
        <w:tc>
          <w:tcPr>
            <w:tcW w:w="496" w:type="pct"/>
            <w:shd w:val="clear" w:color="auto" w:fill="auto"/>
            <w:vAlign w:val="center"/>
          </w:tcPr>
          <w:p>
            <w:pPr>
              <w:spacing w:line="240" w:lineRule="auto"/>
              <w:ind w:firstLine="0" w:firstLineChars="0"/>
              <w:jc w:val="center"/>
              <w:rPr>
                <w:rFonts w:ascii="Times New Roman" w:hAnsi="Times New Roman" w:eastAsia="宋体" w:cs="Times New Roman"/>
                <w:w w:val="90"/>
                <w:sz w:val="20"/>
                <w:szCs w:val="21"/>
              </w:rPr>
            </w:pPr>
            <w:r>
              <w:rPr>
                <w:rFonts w:hint="eastAsia" w:ascii="Times New Roman" w:hAnsi="Times New Roman" w:eastAsia="宋体" w:cs="Times New Roman"/>
                <w:w w:val="90"/>
                <w:sz w:val="20"/>
                <w:szCs w:val="21"/>
              </w:rPr>
              <w:t>李  陈</w:t>
            </w:r>
          </w:p>
        </w:tc>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男</w:t>
            </w:r>
          </w:p>
        </w:tc>
        <w:tc>
          <w:tcPr>
            <w:tcW w:w="1349"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Times New Roman"/>
                <w:w w:val="90"/>
                <w:sz w:val="20"/>
                <w:szCs w:val="21"/>
              </w:rPr>
              <w:t>汽车吊司机</w:t>
            </w:r>
          </w:p>
        </w:tc>
        <w:tc>
          <w:tcPr>
            <w:tcW w:w="1227" w:type="pct"/>
            <w:shd w:val="clear" w:color="auto" w:fill="auto"/>
            <w:vAlign w:val="center"/>
          </w:tcPr>
          <w:p>
            <w:pPr>
              <w:spacing w:line="240" w:lineRule="auto"/>
              <w:ind w:firstLine="0" w:firstLineChars="0"/>
              <w:jc w:val="center"/>
              <w:rPr>
                <w:rFonts w:ascii="宋体" w:hAnsi="宋体" w:eastAsia="宋体" w:cs="宋体"/>
                <w:w w:val="90"/>
                <w:sz w:val="20"/>
                <w:szCs w:val="24"/>
              </w:rPr>
            </w:pPr>
            <w:r>
              <w:rPr>
                <w:rFonts w:hint="eastAsia" w:ascii="宋体" w:hAnsi="宋体" w:eastAsia="宋体" w:cs="宋体"/>
                <w:w w:val="90"/>
                <w:sz w:val="20"/>
                <w:szCs w:val="24"/>
              </w:rPr>
              <w:t>510183199001052118</w:t>
            </w:r>
          </w:p>
        </w:tc>
        <w:tc>
          <w:tcPr>
            <w:tcW w:w="1226" w:type="pct"/>
            <w:shd w:val="clear" w:color="auto" w:fill="auto"/>
            <w:vAlign w:val="center"/>
          </w:tcPr>
          <w:p>
            <w:pPr>
              <w:spacing w:line="240" w:lineRule="auto"/>
              <w:ind w:firstLine="0" w:firstLineChars="0"/>
              <w:jc w:val="center"/>
              <w:rPr>
                <w:rFonts w:ascii="宋体" w:hAnsi="宋体" w:eastAsia="宋体" w:cs="宋体"/>
                <w:w w:val="90"/>
                <w:sz w:val="20"/>
                <w:szCs w:val="24"/>
              </w:rPr>
            </w:pPr>
            <w:r>
              <w:rPr>
                <w:rFonts w:hint="eastAsia" w:ascii="宋体" w:hAnsi="宋体" w:eastAsia="宋体" w:cs="宋体"/>
                <w:w w:val="90"/>
                <w:sz w:val="20"/>
                <w:szCs w:val="24"/>
              </w:rPr>
              <w:t>510183199001052118</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shd w:val="clear" w:color="auto" w:fill="auto"/>
            <w:vAlign w:val="center"/>
          </w:tcPr>
          <w:p>
            <w:pPr>
              <w:spacing w:line="240" w:lineRule="auto"/>
              <w:ind w:firstLine="0" w:firstLineChars="0"/>
              <w:jc w:val="center"/>
              <w:rPr>
                <w:rFonts w:hint="eastAsia" w:ascii="Times New Roman" w:hAnsi="Times New Roman" w:eastAsia="宋体" w:cs="宋体"/>
                <w:w w:val="90"/>
                <w:sz w:val="20"/>
                <w:szCs w:val="21"/>
                <w:lang w:eastAsia="zh-CN"/>
              </w:rPr>
            </w:pPr>
            <w:r>
              <w:rPr>
                <w:rFonts w:hint="eastAsia" w:ascii="Times New Roman" w:hAnsi="Times New Roman" w:eastAsia="宋体" w:cs="宋体"/>
                <w:w w:val="90"/>
                <w:sz w:val="20"/>
                <w:szCs w:val="21"/>
                <w:lang w:val="en-US" w:eastAsia="zh-CN"/>
              </w:rPr>
              <w:t>8</w:t>
            </w:r>
          </w:p>
        </w:tc>
        <w:tc>
          <w:tcPr>
            <w:tcW w:w="496" w:type="pct"/>
            <w:shd w:val="clear" w:color="auto" w:fill="auto"/>
            <w:vAlign w:val="center"/>
          </w:tcPr>
          <w:p>
            <w:pPr>
              <w:spacing w:line="240" w:lineRule="auto"/>
              <w:ind w:firstLine="0" w:firstLineChars="0"/>
              <w:jc w:val="center"/>
              <w:rPr>
                <w:rFonts w:ascii="Times New Roman" w:hAnsi="Times New Roman" w:eastAsia="宋体" w:cs="Times New Roman"/>
                <w:w w:val="90"/>
                <w:sz w:val="20"/>
                <w:szCs w:val="21"/>
              </w:rPr>
            </w:pPr>
            <w:r>
              <w:rPr>
                <w:rFonts w:hint="eastAsia" w:ascii="Times New Roman" w:hAnsi="Times New Roman" w:eastAsia="宋体" w:cs="Times New Roman"/>
                <w:w w:val="90"/>
                <w:sz w:val="20"/>
                <w:szCs w:val="21"/>
              </w:rPr>
              <w:t>易秀美</w:t>
            </w:r>
          </w:p>
        </w:tc>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女</w:t>
            </w:r>
          </w:p>
        </w:tc>
        <w:tc>
          <w:tcPr>
            <w:tcW w:w="1349"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Times New Roman"/>
                <w:w w:val="90"/>
                <w:sz w:val="20"/>
                <w:szCs w:val="21"/>
              </w:rPr>
              <w:t>司索信号工</w:t>
            </w:r>
          </w:p>
        </w:tc>
        <w:tc>
          <w:tcPr>
            <w:tcW w:w="1227" w:type="pct"/>
            <w:shd w:val="clear" w:color="auto" w:fill="auto"/>
            <w:vAlign w:val="center"/>
          </w:tcPr>
          <w:p>
            <w:pPr>
              <w:spacing w:line="240" w:lineRule="auto"/>
              <w:ind w:firstLine="0" w:firstLineChars="0"/>
              <w:jc w:val="center"/>
              <w:rPr>
                <w:rFonts w:ascii="宋体" w:hAnsi="宋体" w:eastAsia="宋体" w:cs="宋体"/>
                <w:w w:val="90"/>
                <w:sz w:val="20"/>
                <w:szCs w:val="24"/>
              </w:rPr>
            </w:pPr>
            <w:r>
              <w:rPr>
                <w:rFonts w:hint="eastAsia" w:ascii="宋体" w:hAnsi="宋体" w:eastAsia="宋体" w:cs="宋体"/>
                <w:w w:val="90"/>
                <w:sz w:val="20"/>
                <w:szCs w:val="24"/>
              </w:rPr>
              <w:t>渝A042012001422</w:t>
            </w:r>
          </w:p>
        </w:tc>
        <w:tc>
          <w:tcPr>
            <w:tcW w:w="1226" w:type="pct"/>
            <w:shd w:val="clear" w:color="auto" w:fill="auto"/>
            <w:vAlign w:val="center"/>
          </w:tcPr>
          <w:p>
            <w:pPr>
              <w:spacing w:line="240" w:lineRule="auto"/>
              <w:ind w:firstLine="0" w:firstLineChars="0"/>
              <w:jc w:val="center"/>
              <w:rPr>
                <w:rFonts w:ascii="宋体" w:hAnsi="宋体" w:eastAsia="宋体" w:cs="宋体"/>
                <w:w w:val="90"/>
                <w:sz w:val="20"/>
                <w:szCs w:val="24"/>
              </w:rPr>
            </w:pPr>
            <w:r>
              <w:rPr>
                <w:rFonts w:hint="eastAsia" w:ascii="宋体" w:hAnsi="宋体" w:eastAsia="宋体" w:cs="宋体"/>
                <w:w w:val="90"/>
                <w:sz w:val="20"/>
                <w:szCs w:val="24"/>
              </w:rPr>
              <w:t>513624198310152687</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shd w:val="clear" w:color="auto" w:fill="auto"/>
            <w:vAlign w:val="center"/>
          </w:tcPr>
          <w:p>
            <w:pPr>
              <w:spacing w:line="240" w:lineRule="auto"/>
              <w:ind w:firstLine="0" w:firstLineChars="0"/>
              <w:jc w:val="center"/>
              <w:rPr>
                <w:rFonts w:hint="eastAsia" w:ascii="Times New Roman" w:hAnsi="Times New Roman" w:eastAsia="宋体" w:cs="宋体"/>
                <w:w w:val="90"/>
                <w:sz w:val="20"/>
                <w:szCs w:val="21"/>
                <w:lang w:eastAsia="zh-CN"/>
              </w:rPr>
            </w:pPr>
            <w:r>
              <w:rPr>
                <w:rFonts w:hint="eastAsia" w:ascii="Times New Roman" w:hAnsi="Times New Roman" w:eastAsia="宋体" w:cs="宋体"/>
                <w:w w:val="90"/>
                <w:sz w:val="20"/>
                <w:szCs w:val="21"/>
                <w:lang w:val="en-US" w:eastAsia="zh-CN"/>
              </w:rPr>
              <w:t>9</w:t>
            </w:r>
          </w:p>
        </w:tc>
        <w:tc>
          <w:tcPr>
            <w:tcW w:w="496"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熊唯先</w:t>
            </w:r>
          </w:p>
        </w:tc>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男</w:t>
            </w:r>
          </w:p>
        </w:tc>
        <w:tc>
          <w:tcPr>
            <w:tcW w:w="1349"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焊工</w:t>
            </w:r>
          </w:p>
        </w:tc>
        <w:tc>
          <w:tcPr>
            <w:tcW w:w="1227" w:type="pct"/>
            <w:shd w:val="clear" w:color="auto" w:fill="auto"/>
            <w:vAlign w:val="center"/>
          </w:tcPr>
          <w:p>
            <w:pPr>
              <w:spacing w:line="240" w:lineRule="auto"/>
              <w:ind w:firstLine="0" w:firstLineChars="0"/>
              <w:jc w:val="center"/>
              <w:rPr>
                <w:rFonts w:ascii="Times New Roman" w:hAnsi="Times New Roman" w:eastAsia="宋体" w:cs="Times New Roman"/>
                <w:w w:val="90"/>
                <w:sz w:val="20"/>
                <w:szCs w:val="21"/>
              </w:rPr>
            </w:pPr>
            <w:r>
              <w:rPr>
                <w:rFonts w:hint="eastAsia" w:ascii="Times New Roman" w:hAnsi="Times New Roman" w:eastAsia="宋体" w:cs="Times New Roman"/>
                <w:w w:val="90"/>
                <w:sz w:val="20"/>
                <w:szCs w:val="21"/>
              </w:rPr>
              <w:t>500102199005192695</w:t>
            </w:r>
          </w:p>
        </w:tc>
        <w:tc>
          <w:tcPr>
            <w:tcW w:w="1226" w:type="pct"/>
            <w:shd w:val="clear" w:color="auto" w:fill="auto"/>
            <w:vAlign w:val="center"/>
          </w:tcPr>
          <w:p>
            <w:pPr>
              <w:spacing w:line="240" w:lineRule="auto"/>
              <w:ind w:firstLine="0" w:firstLineChars="0"/>
              <w:jc w:val="center"/>
              <w:rPr>
                <w:rFonts w:ascii="Times New Roman" w:hAnsi="Times New Roman" w:eastAsia="宋体" w:cs="Times New Roman"/>
                <w:w w:val="90"/>
                <w:sz w:val="20"/>
                <w:szCs w:val="21"/>
              </w:rPr>
            </w:pPr>
            <w:r>
              <w:rPr>
                <w:rFonts w:hint="eastAsia" w:ascii="Times New Roman" w:hAnsi="Times New Roman" w:eastAsia="宋体" w:cs="Times New Roman"/>
                <w:w w:val="90"/>
                <w:sz w:val="20"/>
                <w:szCs w:val="21"/>
              </w:rPr>
              <w:t>T500102199005192695</w:t>
            </w:r>
          </w:p>
        </w:tc>
      </w:tr>
    </w:tbl>
    <w:p>
      <w:pPr>
        <w:ind w:firstLine="480"/>
        <w:rPr>
          <w:rFonts w:hint="eastAsia"/>
        </w:rPr>
      </w:pPr>
    </w:p>
    <w:p>
      <w:pPr>
        <w:pStyle w:val="3"/>
        <w:rPr>
          <w:rFonts w:hint="eastAsia"/>
          <w:sz w:val="32"/>
          <w:szCs w:val="32"/>
        </w:rPr>
      </w:pPr>
      <w:bookmarkStart w:id="106" w:name="_Toc3482"/>
      <w:r>
        <w:rPr>
          <w:rFonts w:hint="eastAsia"/>
          <w:sz w:val="32"/>
          <w:szCs w:val="32"/>
        </w:rPr>
        <w:t>验收要求</w:t>
      </w:r>
      <w:bookmarkEnd w:id="106"/>
    </w:p>
    <w:p>
      <w:pPr>
        <w:pStyle w:val="4"/>
      </w:pPr>
      <w:bookmarkStart w:id="107" w:name="_Toc31106"/>
      <w:r>
        <w:rPr>
          <w:rFonts w:hint="eastAsia"/>
        </w:rPr>
        <w:t>验收标准</w:t>
      </w:r>
      <w:bookmarkEnd w:id="107"/>
    </w:p>
    <w:p>
      <w:pPr>
        <w:ind w:firstLine="480"/>
      </w:pPr>
      <w:r>
        <w:rPr>
          <w:rFonts w:hint="eastAsia"/>
        </w:rPr>
        <w:t>《建筑施工塔式起重机安装、使用、拆卸安全技术规程》（JGJ 196-2010）</w:t>
      </w:r>
    </w:p>
    <w:p>
      <w:pPr>
        <w:ind w:firstLine="480"/>
      </w:pPr>
      <w:r>
        <w:rPr>
          <w:rFonts w:hint="eastAsia"/>
        </w:rPr>
        <w:t>《塔式起重机》（GB/T 5031-2019）</w:t>
      </w:r>
    </w:p>
    <w:p>
      <w:pPr>
        <w:ind w:firstLine="480"/>
      </w:pPr>
      <w:r>
        <w:rPr>
          <w:rFonts w:hint="eastAsia"/>
        </w:rPr>
        <w:t>《塔式起重机混凝土基础工程技术规程》（JGJ/T187-2009）</w:t>
      </w:r>
    </w:p>
    <w:p>
      <w:pPr>
        <w:ind w:firstLine="480"/>
      </w:pPr>
      <w:r>
        <w:rPr>
          <w:rFonts w:hint="eastAsia"/>
        </w:rPr>
        <w:t>《起重机钢丝绳保养、维护、检验和报废》（</w:t>
      </w:r>
      <w:r>
        <w:t>GB/T 5972-2016</w:t>
      </w:r>
      <w:r>
        <w:rPr>
          <w:rFonts w:hint="eastAsia"/>
        </w:rPr>
        <w:t>）</w:t>
      </w:r>
    </w:p>
    <w:p>
      <w:pPr>
        <w:ind w:firstLine="480"/>
      </w:pPr>
      <w:r>
        <w:rPr>
          <w:rFonts w:hint="eastAsia"/>
        </w:rPr>
        <w:t>《施工现场机械设备检查技术规程》（JGJ 160-2016）</w:t>
      </w:r>
    </w:p>
    <w:p>
      <w:pPr>
        <w:ind w:firstLine="480"/>
      </w:pPr>
      <w:r>
        <w:rPr>
          <w:rFonts w:hint="eastAsia"/>
        </w:rPr>
        <w:t>《起重机械超载保护装置》（GB/T 12602-2020）</w:t>
      </w:r>
    </w:p>
    <w:p>
      <w:pPr>
        <w:ind w:firstLine="480"/>
      </w:pPr>
      <w:r>
        <w:rPr>
          <w:rFonts w:hint="eastAsia"/>
        </w:rPr>
        <w:t>《机械安全 机械电气设备 第1部分</w:t>
      </w:r>
      <w:r>
        <w:t>-</w:t>
      </w:r>
      <w:r>
        <w:rPr>
          <w:rFonts w:hint="eastAsia"/>
        </w:rPr>
        <w:t>通用技术条件》（</w:t>
      </w:r>
      <w:r>
        <w:t>GB 5226.1-2002</w:t>
      </w:r>
      <w:r>
        <w:rPr>
          <w:rFonts w:hint="eastAsia"/>
        </w:rPr>
        <w:t>）</w:t>
      </w:r>
    </w:p>
    <w:p>
      <w:pPr>
        <w:ind w:firstLine="480"/>
      </w:pPr>
      <w:r>
        <w:rPr>
          <w:rFonts w:hint="eastAsia"/>
        </w:rPr>
        <w:t>《塔式起重机安全规程》（GB 5144-2006）</w:t>
      </w:r>
    </w:p>
    <w:p>
      <w:pPr>
        <w:ind w:firstLine="480"/>
      </w:pPr>
      <w:r>
        <w:rPr>
          <w:rFonts w:hint="eastAsia"/>
        </w:rPr>
        <w:t>《塔式起重机设计规范》（GB/T 13752-2017）</w:t>
      </w:r>
    </w:p>
    <w:p>
      <w:pPr>
        <w:pStyle w:val="4"/>
      </w:pPr>
      <w:bookmarkStart w:id="108" w:name="_Toc20257"/>
      <w:r>
        <w:rPr>
          <w:rFonts w:hint="eastAsia"/>
        </w:rPr>
        <w:t>验收程序和使用登记备案程序</w:t>
      </w:r>
      <w:bookmarkEnd w:id="108"/>
    </w:p>
    <w:p>
      <w:pPr>
        <w:pStyle w:val="5"/>
        <w:bidi w:val="0"/>
        <w:ind w:left="0" w:leftChars="0" w:firstLine="0" w:firstLineChars="0"/>
        <w:rPr>
          <w:rFonts w:hint="eastAsia"/>
          <w:sz w:val="24"/>
          <w:szCs w:val="24"/>
          <w:lang w:val="en-US" w:eastAsia="zh-CN"/>
        </w:rPr>
      </w:pPr>
      <w:r>
        <w:rPr>
          <w:rFonts w:hint="eastAsia"/>
          <w:sz w:val="24"/>
          <w:szCs w:val="24"/>
          <w:lang w:val="en-US" w:eastAsia="zh-CN"/>
        </w:rPr>
        <w:t>塔吊的检验验收</w:t>
      </w:r>
    </w:p>
    <w:p>
      <w:pPr>
        <w:ind w:firstLine="480"/>
      </w:pPr>
      <w:r>
        <w:rPr>
          <w:rFonts w:hint="eastAsia"/>
        </w:rPr>
        <w:t>1、检验验收前，用户应当按照设备操作规程要求，完成塔吊的安装、调试、考核，并根据技术要求安装完成塔吊检验标志。</w:t>
      </w:r>
    </w:p>
    <w:p>
      <w:pPr>
        <w:ind w:firstLine="480"/>
      </w:pPr>
      <w:r>
        <w:rPr>
          <w:rFonts w:hint="eastAsia"/>
        </w:rPr>
        <w:t>2、经技术人员验收塔吊安装质量，确认吊物、索具、限位器、安全钳、安全装置等安装质量符合要求后，可以进行检验验收。</w:t>
      </w:r>
    </w:p>
    <w:p>
      <w:pPr>
        <w:ind w:firstLine="480"/>
      </w:pPr>
      <w:r>
        <w:rPr>
          <w:rFonts w:hint="eastAsia"/>
        </w:rPr>
        <w:t>3、检验验收实施前，用户应当提供塔吊设备的技术参数、设备型号、出厂日期、出厂编号、安装地点等相关信息。</w:t>
      </w:r>
    </w:p>
    <w:p>
      <w:pPr>
        <w:ind w:firstLine="480"/>
      </w:pPr>
      <w:r>
        <w:rPr>
          <w:rFonts w:hint="eastAsia"/>
        </w:rPr>
        <w:t>4、检验验收实施时，用户应当提供技术人员必要的检验工具、检验标准件等。</w:t>
      </w:r>
    </w:p>
    <w:p>
      <w:pPr>
        <w:ind w:firstLine="480"/>
      </w:pPr>
      <w:r>
        <w:rPr>
          <w:rFonts w:hint="eastAsia"/>
        </w:rPr>
        <w:t>5、实施检验验收时，用户应当按照相关技术规范和标准要求，对塔吊进行实物检查、操作检查、抗震检查、力学性能检查、液压检查、电气检查、限位器检查、控制系统检查等，确认塔吊设备各项技术性能及结构、安全装置等符合要求后，可以进行检验验收。</w:t>
      </w:r>
    </w:p>
    <w:p>
      <w:pPr>
        <w:ind w:firstLine="480"/>
      </w:pPr>
      <w:r>
        <w:rPr>
          <w:rFonts w:hint="eastAsia"/>
        </w:rPr>
        <w:t>6、检验验收完毕后，用户应当完成检验验收证书，交付给技术人员签字确认。</w:t>
      </w:r>
    </w:p>
    <w:p>
      <w:pPr>
        <w:pStyle w:val="5"/>
        <w:bidi w:val="0"/>
        <w:ind w:left="0" w:leftChars="0" w:firstLine="0" w:firstLineChars="0"/>
        <w:rPr>
          <w:rFonts w:hint="eastAsia"/>
          <w:sz w:val="24"/>
          <w:szCs w:val="24"/>
          <w:lang w:val="en-US" w:eastAsia="zh-CN"/>
        </w:rPr>
      </w:pPr>
      <w:r>
        <w:rPr>
          <w:rFonts w:hint="eastAsia"/>
          <w:sz w:val="24"/>
          <w:szCs w:val="24"/>
          <w:lang w:val="en-US" w:eastAsia="zh-CN"/>
        </w:rPr>
        <w:t>使用登记备案程序</w:t>
      </w:r>
    </w:p>
    <w:p>
      <w:pPr>
        <w:ind w:firstLine="480"/>
      </w:pPr>
      <w:r>
        <w:rPr>
          <w:rFonts w:hint="eastAsia"/>
        </w:rPr>
        <w:t>1、用户应当按照有关规定，按照要求填写塔吊使用登记表，并填写安装地点、塔吊型号、出厂日期、出厂编号、经营单位等相关信息。</w:t>
      </w:r>
    </w:p>
    <w:p>
      <w:pPr>
        <w:ind w:firstLine="480"/>
      </w:pPr>
      <w:r>
        <w:rPr>
          <w:rFonts w:hint="eastAsia"/>
        </w:rPr>
        <w:t>2、用户应当提供塔吊检验验收证书，经营单位安全生产许可证，塔吊安全操作规程、技术规程等文件。</w:t>
      </w:r>
    </w:p>
    <w:p>
      <w:pPr>
        <w:ind w:firstLine="480"/>
      </w:pPr>
      <w:r>
        <w:rPr>
          <w:rFonts w:hint="eastAsia"/>
        </w:rPr>
        <w:t>3、用户应当按照有关规定，定期对塔吊设备进行安全检查，并将检查结果记录在案。</w:t>
      </w:r>
    </w:p>
    <w:p>
      <w:pPr>
        <w:ind w:firstLine="480"/>
        <w:rPr>
          <w:rFonts w:hint="eastAsia"/>
        </w:rPr>
      </w:pPr>
      <w:r>
        <w:rPr>
          <w:rFonts w:hint="eastAsia"/>
        </w:rPr>
        <w:t>4、将塔吊使用登记表及相关文件上报监督管理部门审核备案，完成使用登记备案。</w:t>
      </w:r>
    </w:p>
    <w:p>
      <w:pPr>
        <w:pStyle w:val="4"/>
      </w:pPr>
      <w:bookmarkStart w:id="109" w:name="_Toc7728"/>
      <w:r>
        <w:rPr>
          <w:rFonts w:hint="eastAsia"/>
        </w:rPr>
        <w:t>验收内容</w:t>
      </w:r>
      <w:bookmarkEnd w:id="109"/>
    </w:p>
    <w:p>
      <w:pPr>
        <w:pStyle w:val="5"/>
        <w:bidi w:val="0"/>
        <w:ind w:left="0" w:leftChars="0" w:firstLine="0" w:firstLineChars="0"/>
        <w:rPr>
          <w:rFonts w:hint="eastAsia"/>
          <w:sz w:val="24"/>
          <w:szCs w:val="24"/>
          <w:lang w:val="en-US" w:eastAsia="zh-CN"/>
        </w:rPr>
      </w:pPr>
      <w:r>
        <w:rPr>
          <w:rFonts w:hint="eastAsia"/>
          <w:sz w:val="24"/>
          <w:szCs w:val="24"/>
          <w:lang w:val="en-US" w:eastAsia="zh-CN"/>
        </w:rPr>
        <w:t>安装单位自检验收</w:t>
      </w:r>
    </w:p>
    <w:p>
      <w:pPr>
        <w:pStyle w:val="16"/>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8.3.1</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t>1</w:t>
      </w:r>
      <w:r>
        <w:fldChar w:fldCharType="end"/>
      </w:r>
      <w:r>
        <w:rPr>
          <w:rFonts w:hint="eastAsia"/>
        </w:rPr>
        <w:t>塔吊安装自检表</w:t>
      </w:r>
    </w:p>
    <w:tbl>
      <w:tblPr>
        <w:tblStyle w:val="42"/>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pPr>
              <w:pStyle w:val="65"/>
            </w:pPr>
            <w:r>
              <w:rPr>
                <w:rFonts w:hint="eastAsia"/>
              </w:rPr>
              <w:t>工程名称</w:t>
            </w:r>
          </w:p>
        </w:tc>
        <w:tc>
          <w:tcPr>
            <w:tcW w:w="5979" w:type="dxa"/>
            <w:gridSpan w:val="4"/>
            <w:vAlign w:val="center"/>
          </w:tcPr>
          <w:p>
            <w:pPr>
              <w:pStyle w:val="65"/>
            </w:pPr>
          </w:p>
        </w:tc>
        <w:tc>
          <w:tcPr>
            <w:tcW w:w="1618" w:type="dxa"/>
            <w:gridSpan w:val="2"/>
            <w:vAlign w:val="center"/>
          </w:tcPr>
          <w:p>
            <w:pPr>
              <w:pStyle w:val="65"/>
              <w:rPr>
                <w:rFonts w:ascii="宋体" w:hAnsi="宋体"/>
              </w:rPr>
            </w:pPr>
            <w:r>
              <w:rPr>
                <w:rFonts w:hint="eastAsia" w:ascii="宋体" w:hAnsi="宋体"/>
              </w:rPr>
              <w:t>施工地址</w:t>
            </w:r>
          </w:p>
        </w:tc>
        <w:tc>
          <w:tcPr>
            <w:tcW w:w="1116" w:type="dxa"/>
            <w:vAlign w:val="center"/>
          </w:tcPr>
          <w:p>
            <w:pPr>
              <w:pStyle w:val="65"/>
              <w:rPr>
                <w:rFonts w:ascii="宋体" w:hAnsi="宋体"/>
              </w:rPr>
            </w:pPr>
            <w:r>
              <w:rPr>
                <w:rFonts w:hint="eastAsia" w:ascii="宋体" w:hAnsi="宋体"/>
              </w:rPr>
              <w:t>项目工地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pPr>
              <w:pStyle w:val="65"/>
              <w:rPr>
                <w:rFonts w:ascii="宋体" w:hAnsi="宋体"/>
              </w:rPr>
            </w:pPr>
            <w:r>
              <w:rPr>
                <w:rFonts w:hint="eastAsia" w:ascii="宋体" w:hAnsi="宋体"/>
              </w:rPr>
              <w:t>出租单位</w:t>
            </w:r>
          </w:p>
        </w:tc>
        <w:tc>
          <w:tcPr>
            <w:tcW w:w="8713" w:type="dxa"/>
            <w:gridSpan w:val="7"/>
            <w:vAlign w:val="center"/>
          </w:tcPr>
          <w:p>
            <w:pPr>
              <w:pStyle w:val="65"/>
              <w:rPr>
                <w:rFonts w:ascii="宋体" w:hAnsi="宋体"/>
              </w:rPr>
            </w:pPr>
            <w:r>
              <w:rPr>
                <w:rFonts w:hint="eastAsia" w:ascii="宋体" w:hAnsi="宋体"/>
              </w:rPr>
              <w:t>重庆钱桥建筑设备租赁有限公司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pPr>
              <w:pStyle w:val="65"/>
              <w:rPr>
                <w:rFonts w:ascii="宋体" w:hAnsi="宋体"/>
              </w:rPr>
            </w:pPr>
            <w:r>
              <w:rPr>
                <w:rFonts w:hint="eastAsia" w:ascii="宋体" w:hAnsi="宋体"/>
              </w:rPr>
              <w:t>型号</w:t>
            </w:r>
          </w:p>
        </w:tc>
        <w:tc>
          <w:tcPr>
            <w:tcW w:w="1897" w:type="dxa"/>
            <w:gridSpan w:val="2"/>
            <w:vAlign w:val="center"/>
          </w:tcPr>
          <w:p>
            <w:pPr>
              <w:pStyle w:val="65"/>
              <w:rPr>
                <w:rFonts w:ascii="宋体" w:hAnsi="宋体"/>
              </w:rPr>
            </w:pPr>
          </w:p>
        </w:tc>
        <w:tc>
          <w:tcPr>
            <w:tcW w:w="3056" w:type="dxa"/>
            <w:vAlign w:val="center"/>
          </w:tcPr>
          <w:p>
            <w:pPr>
              <w:pStyle w:val="65"/>
              <w:rPr>
                <w:rFonts w:ascii="宋体" w:hAnsi="宋体"/>
              </w:rPr>
            </w:pPr>
            <w:r>
              <w:rPr>
                <w:rFonts w:hint="eastAsia" w:ascii="宋体" w:hAnsi="宋体"/>
              </w:rPr>
              <w:t>设备编号</w:t>
            </w:r>
          </w:p>
        </w:tc>
        <w:tc>
          <w:tcPr>
            <w:tcW w:w="1041" w:type="dxa"/>
            <w:gridSpan w:val="2"/>
            <w:vAlign w:val="center"/>
          </w:tcPr>
          <w:p>
            <w:pPr>
              <w:pStyle w:val="65"/>
              <w:rPr>
                <w:rFonts w:ascii="宋体" w:hAnsi="宋体"/>
              </w:rPr>
            </w:pPr>
          </w:p>
        </w:tc>
        <w:tc>
          <w:tcPr>
            <w:tcW w:w="1603" w:type="dxa"/>
            <w:vAlign w:val="center"/>
          </w:tcPr>
          <w:p>
            <w:pPr>
              <w:pStyle w:val="65"/>
              <w:rPr>
                <w:rFonts w:ascii="宋体" w:hAnsi="宋体"/>
              </w:rPr>
            </w:pPr>
            <w:r>
              <w:rPr>
                <w:rFonts w:hint="eastAsia" w:ascii="宋体" w:hAnsi="宋体"/>
              </w:rPr>
              <w:t>施工高度</w:t>
            </w: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pPr>
              <w:pStyle w:val="65"/>
              <w:rPr>
                <w:rFonts w:ascii="宋体" w:hAnsi="宋体"/>
              </w:rPr>
            </w:pPr>
            <w:r>
              <w:rPr>
                <w:rFonts w:hint="eastAsia" w:ascii="宋体" w:hAnsi="宋体"/>
              </w:rPr>
              <w:t>附墙个数</w:t>
            </w:r>
          </w:p>
        </w:tc>
        <w:tc>
          <w:tcPr>
            <w:tcW w:w="1897" w:type="dxa"/>
            <w:gridSpan w:val="2"/>
            <w:vAlign w:val="center"/>
          </w:tcPr>
          <w:p>
            <w:pPr>
              <w:pStyle w:val="65"/>
              <w:rPr>
                <w:rFonts w:ascii="宋体" w:hAnsi="宋体"/>
              </w:rPr>
            </w:pPr>
          </w:p>
        </w:tc>
        <w:tc>
          <w:tcPr>
            <w:tcW w:w="3056" w:type="dxa"/>
            <w:vAlign w:val="center"/>
          </w:tcPr>
          <w:p>
            <w:pPr>
              <w:pStyle w:val="65"/>
              <w:rPr>
                <w:rFonts w:ascii="宋体" w:hAnsi="宋体"/>
              </w:rPr>
            </w:pPr>
            <w:r>
              <w:rPr>
                <w:rFonts w:hint="eastAsia" w:ascii="宋体" w:hAnsi="宋体"/>
              </w:rPr>
              <w:t>最大载重量</w:t>
            </w:r>
          </w:p>
        </w:tc>
        <w:tc>
          <w:tcPr>
            <w:tcW w:w="1041" w:type="dxa"/>
            <w:gridSpan w:val="2"/>
            <w:vAlign w:val="center"/>
          </w:tcPr>
          <w:p>
            <w:pPr>
              <w:pStyle w:val="65"/>
              <w:rPr>
                <w:rFonts w:ascii="宋体" w:hAnsi="宋体"/>
              </w:rPr>
            </w:pPr>
            <w:r>
              <w:rPr>
                <w:rFonts w:hint="eastAsia" w:ascii="宋体" w:hAnsi="宋体"/>
              </w:rPr>
              <w:t>吨</w:t>
            </w:r>
          </w:p>
        </w:tc>
        <w:tc>
          <w:tcPr>
            <w:tcW w:w="1603" w:type="dxa"/>
            <w:vAlign w:val="center"/>
          </w:tcPr>
          <w:p>
            <w:pPr>
              <w:pStyle w:val="65"/>
              <w:rPr>
                <w:rFonts w:ascii="宋体" w:hAnsi="宋体"/>
              </w:rPr>
            </w:pPr>
            <w:r>
              <w:rPr>
                <w:rFonts w:hint="eastAsia" w:ascii="宋体" w:hAnsi="宋体"/>
              </w:rPr>
              <w:t>检查日期</w:t>
            </w: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pPr>
              <w:pStyle w:val="65"/>
              <w:rPr>
                <w:rFonts w:ascii="宋体" w:hAnsi="宋体"/>
              </w:rPr>
            </w:pPr>
            <w:r>
              <w:rPr>
                <w:rFonts w:hint="eastAsia" w:ascii="宋体" w:hAnsi="宋体"/>
              </w:rPr>
              <w:t>检       查      内      容</w:t>
            </w:r>
          </w:p>
        </w:tc>
        <w:tc>
          <w:tcPr>
            <w:tcW w:w="1618" w:type="dxa"/>
            <w:gridSpan w:val="2"/>
            <w:vAlign w:val="center"/>
          </w:tcPr>
          <w:p>
            <w:pPr>
              <w:pStyle w:val="65"/>
              <w:rPr>
                <w:rFonts w:ascii="宋体" w:hAnsi="宋体"/>
              </w:rPr>
            </w:pPr>
            <w:r>
              <w:rPr>
                <w:rFonts w:hint="eastAsia" w:ascii="宋体" w:hAnsi="宋体"/>
              </w:rPr>
              <w:t>参照标准</w:t>
            </w:r>
          </w:p>
        </w:tc>
        <w:tc>
          <w:tcPr>
            <w:tcW w:w="1116" w:type="dxa"/>
            <w:vAlign w:val="center"/>
          </w:tcPr>
          <w:p>
            <w:pPr>
              <w:pStyle w:val="65"/>
              <w:rPr>
                <w:rFonts w:ascii="宋体" w:hAnsi="宋体"/>
              </w:rPr>
            </w:pPr>
            <w:r>
              <w:rPr>
                <w:rFonts w:hint="eastAsia" w:ascii="宋体" w:hAnsi="宋体"/>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pPr>
              <w:pStyle w:val="65"/>
              <w:rPr>
                <w:rFonts w:ascii="宋体" w:hAnsi="宋体"/>
              </w:rPr>
            </w:pPr>
            <w:r>
              <w:rPr>
                <w:rFonts w:hint="eastAsia" w:ascii="宋体" w:hAnsi="宋体"/>
              </w:rPr>
              <w:t>（一）基</w:t>
            </w:r>
          </w:p>
          <w:p>
            <w:pPr>
              <w:pStyle w:val="65"/>
              <w:rPr>
                <w:rFonts w:ascii="宋体" w:hAnsi="宋体"/>
              </w:rPr>
            </w:pPr>
            <w:r>
              <w:rPr>
                <w:rFonts w:hint="eastAsia" w:ascii="宋体" w:hAnsi="宋体"/>
              </w:rPr>
              <w:t>础</w:t>
            </w:r>
          </w:p>
        </w:tc>
        <w:tc>
          <w:tcPr>
            <w:tcW w:w="5799" w:type="dxa"/>
            <w:gridSpan w:val="3"/>
            <w:vAlign w:val="center"/>
          </w:tcPr>
          <w:p>
            <w:pPr>
              <w:pStyle w:val="65"/>
              <w:jc w:val="both"/>
              <w:rPr>
                <w:rFonts w:ascii="宋体" w:hAnsi="宋体" w:eastAsia="仿宋_GB2312"/>
              </w:rPr>
            </w:pPr>
            <w:r>
              <w:rPr>
                <w:rFonts w:hint="eastAsia" w:ascii="宋体" w:hAnsi="宋体" w:eastAsia="仿宋_GB2312"/>
              </w:rPr>
              <w:t>1.稳定性；</w:t>
            </w:r>
          </w:p>
        </w:tc>
        <w:tc>
          <w:tcPr>
            <w:tcW w:w="1618" w:type="dxa"/>
            <w:gridSpan w:val="2"/>
            <w:vMerge w:val="restart"/>
            <w:vAlign w:val="center"/>
          </w:tcPr>
          <w:p>
            <w:pPr>
              <w:pStyle w:val="65"/>
              <w:rPr>
                <w:rFonts w:ascii="宋体" w:hAnsi="宋体" w:eastAsia="仿宋_GB2312"/>
              </w:rPr>
            </w:pPr>
            <w:r>
              <w:rPr>
                <w:rFonts w:hint="eastAsia" w:ascii="宋体" w:hAnsi="宋体" w:eastAsia="仿宋_GB2312"/>
              </w:rPr>
              <w:t>JBJ/T187-2009</w:t>
            </w:r>
          </w:p>
        </w:tc>
        <w:tc>
          <w:tcPr>
            <w:tcW w:w="1116" w:type="dxa"/>
            <w:vAlign w:val="center"/>
          </w:tcPr>
          <w:p>
            <w:pPr>
              <w:pStyle w:val="65"/>
              <w:rPr>
                <w:rFonts w:ascii="宋体"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2.排水措施；</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3.沉降量不大于50mm。</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pPr>
              <w:pStyle w:val="65"/>
              <w:rPr>
                <w:rFonts w:ascii="宋体" w:hAnsi="宋体"/>
              </w:rPr>
            </w:pPr>
            <w:r>
              <w:rPr>
                <w:rFonts w:hint="eastAsia" w:ascii="宋体" w:hAnsi="宋体"/>
              </w:rPr>
              <w:t>（二）塔</w:t>
            </w:r>
          </w:p>
          <w:p>
            <w:pPr>
              <w:pStyle w:val="65"/>
              <w:rPr>
                <w:rFonts w:ascii="宋体" w:hAnsi="宋体"/>
              </w:rPr>
            </w:pPr>
            <w:r>
              <w:rPr>
                <w:rFonts w:hint="eastAsia" w:ascii="宋体" w:hAnsi="宋体"/>
              </w:rPr>
              <w:t>身</w:t>
            </w:r>
          </w:p>
          <w:p>
            <w:pPr>
              <w:pStyle w:val="65"/>
              <w:rPr>
                <w:rFonts w:ascii="宋体" w:hAnsi="宋体"/>
              </w:rPr>
            </w:pPr>
            <w:r>
              <w:rPr>
                <w:rFonts w:hint="eastAsia" w:ascii="宋体" w:hAnsi="宋体"/>
              </w:rPr>
              <w:t>结</w:t>
            </w:r>
          </w:p>
          <w:p>
            <w:pPr>
              <w:pStyle w:val="65"/>
              <w:rPr>
                <w:rFonts w:ascii="宋体" w:hAnsi="宋体"/>
              </w:rPr>
            </w:pPr>
            <w:r>
              <w:rPr>
                <w:rFonts w:hint="eastAsia" w:ascii="宋体" w:hAnsi="宋体"/>
              </w:rPr>
              <w:t>构</w:t>
            </w:r>
          </w:p>
        </w:tc>
        <w:tc>
          <w:tcPr>
            <w:tcW w:w="5799" w:type="dxa"/>
            <w:gridSpan w:val="3"/>
            <w:vAlign w:val="center"/>
          </w:tcPr>
          <w:p>
            <w:pPr>
              <w:pStyle w:val="65"/>
              <w:jc w:val="both"/>
              <w:rPr>
                <w:rFonts w:ascii="宋体" w:hAnsi="宋体" w:eastAsia="仿宋_GB2312"/>
              </w:rPr>
            </w:pPr>
            <w:r>
              <w:rPr>
                <w:rFonts w:hint="eastAsia" w:ascii="宋体" w:hAnsi="宋体" w:eastAsia="仿宋_GB2312"/>
              </w:rPr>
              <w:t>1.结构无变形、开焊、裂纹；</w:t>
            </w:r>
          </w:p>
        </w:tc>
        <w:tc>
          <w:tcPr>
            <w:tcW w:w="1618" w:type="dxa"/>
            <w:gridSpan w:val="2"/>
            <w:vMerge w:val="restart"/>
            <w:vAlign w:val="center"/>
          </w:tcPr>
          <w:p>
            <w:pPr>
              <w:pStyle w:val="65"/>
              <w:rPr>
                <w:rFonts w:ascii="宋体" w:hAnsi="宋体" w:eastAsia="仿宋_GB2312"/>
              </w:rPr>
            </w:pPr>
            <w:r>
              <w:rPr>
                <w:rFonts w:ascii="宋体" w:hAnsi="宋体" w:eastAsia="仿宋_GB2312"/>
              </w:rPr>
              <w:t>GBT5031-2008</w:t>
            </w:r>
          </w:p>
          <w:p>
            <w:pPr>
              <w:pStyle w:val="65"/>
              <w:rPr>
                <w:rFonts w:ascii="宋体" w:hAnsi="宋体" w:eastAsia="仿宋_GB2312"/>
              </w:rPr>
            </w:pPr>
            <w:r>
              <w:rPr>
                <w:rFonts w:hint="eastAsia" w:ascii="宋体" w:hAnsi="宋体" w:eastAsia="仿宋_GB2312"/>
              </w:rPr>
              <w:t>JGJ160-2008</w:t>
            </w: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2.过渡节、销轴、高强度螺栓等零部件配置齐全、无松动、缺损、无严重锈蚀；</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3.垂直度≤3‰；</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4.爬梯设置防护圈应符合国家标准；</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5.开口销不得用金属丝等代替。</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pPr>
              <w:pStyle w:val="65"/>
              <w:rPr>
                <w:rFonts w:ascii="宋体" w:hAnsi="宋体"/>
              </w:rPr>
            </w:pPr>
            <w:r>
              <w:rPr>
                <w:rFonts w:hint="eastAsia" w:ascii="宋体" w:hAnsi="宋体"/>
              </w:rPr>
              <w:t>（三）钢</w:t>
            </w:r>
          </w:p>
          <w:p>
            <w:pPr>
              <w:pStyle w:val="65"/>
              <w:rPr>
                <w:rFonts w:ascii="宋体" w:hAnsi="宋体"/>
              </w:rPr>
            </w:pPr>
            <w:r>
              <w:rPr>
                <w:rFonts w:hint="eastAsia" w:ascii="宋体" w:hAnsi="宋体"/>
              </w:rPr>
              <w:t>丝</w:t>
            </w:r>
          </w:p>
          <w:p>
            <w:pPr>
              <w:pStyle w:val="65"/>
              <w:rPr>
                <w:rFonts w:ascii="宋体" w:hAnsi="宋体"/>
              </w:rPr>
            </w:pPr>
            <w:r>
              <w:rPr>
                <w:rFonts w:hint="eastAsia" w:ascii="宋体" w:hAnsi="宋体"/>
              </w:rPr>
              <w:t>绳</w:t>
            </w:r>
          </w:p>
        </w:tc>
        <w:tc>
          <w:tcPr>
            <w:tcW w:w="5799" w:type="dxa"/>
            <w:gridSpan w:val="3"/>
            <w:vAlign w:val="center"/>
          </w:tcPr>
          <w:p>
            <w:pPr>
              <w:pStyle w:val="65"/>
              <w:jc w:val="both"/>
              <w:rPr>
                <w:rFonts w:ascii="宋体" w:hAnsi="宋体" w:eastAsia="仿宋_GB2312"/>
              </w:rPr>
            </w:pPr>
            <w:r>
              <w:rPr>
                <w:rFonts w:hint="eastAsia" w:ascii="宋体" w:hAnsi="宋体" w:eastAsia="仿宋_GB2312"/>
              </w:rPr>
              <w:t>1.完好、无断股；</w:t>
            </w:r>
          </w:p>
        </w:tc>
        <w:tc>
          <w:tcPr>
            <w:tcW w:w="1618" w:type="dxa"/>
            <w:gridSpan w:val="2"/>
            <w:vMerge w:val="restart"/>
            <w:vAlign w:val="center"/>
          </w:tcPr>
          <w:p>
            <w:pPr>
              <w:pStyle w:val="65"/>
              <w:rPr>
                <w:rFonts w:ascii="宋体" w:hAnsi="宋体" w:eastAsia="仿宋_GB2312"/>
              </w:rPr>
            </w:pPr>
            <w:r>
              <w:rPr>
                <w:rFonts w:ascii="宋体" w:hAnsi="宋体" w:eastAsia="仿宋_GB2312"/>
              </w:rPr>
              <w:t>GBT5972-2016</w:t>
            </w:r>
          </w:p>
          <w:p>
            <w:pPr>
              <w:pStyle w:val="65"/>
              <w:rPr>
                <w:rFonts w:ascii="宋体" w:hAnsi="宋体" w:eastAsia="仿宋_GB2312"/>
              </w:rPr>
            </w:pPr>
            <w:r>
              <w:rPr>
                <w:rFonts w:hint="eastAsia" w:ascii="宋体" w:hAnsi="宋体" w:eastAsia="仿宋_GB2312"/>
              </w:rPr>
              <w:t>JGJ160-2008</w:t>
            </w: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2.断丝不超过10％；</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3.型号、规格、长度符合本机说明书规定；</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4.固定绳卡数量与绳径匹配，卡间距为6-7倍绳径；</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5.钢绳磨损量不超过钢丝绳的10%；</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6.捆绑起重索具符合要求。</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pPr>
              <w:pStyle w:val="65"/>
              <w:rPr>
                <w:rFonts w:ascii="宋体" w:hAnsi="宋体"/>
              </w:rPr>
            </w:pPr>
            <w:r>
              <w:rPr>
                <w:rFonts w:hint="eastAsia" w:ascii="宋体" w:hAnsi="宋体"/>
              </w:rPr>
              <w:t>（四）吊</w:t>
            </w:r>
          </w:p>
          <w:p>
            <w:pPr>
              <w:pStyle w:val="65"/>
              <w:rPr>
                <w:rFonts w:ascii="宋体" w:hAnsi="宋体"/>
              </w:rPr>
            </w:pPr>
            <w:r>
              <w:rPr>
                <w:rFonts w:hint="eastAsia" w:ascii="宋体" w:hAnsi="宋体"/>
              </w:rPr>
              <w:t>钩</w:t>
            </w:r>
          </w:p>
        </w:tc>
        <w:tc>
          <w:tcPr>
            <w:tcW w:w="5799" w:type="dxa"/>
            <w:gridSpan w:val="3"/>
            <w:vAlign w:val="center"/>
          </w:tcPr>
          <w:p>
            <w:pPr>
              <w:pStyle w:val="65"/>
              <w:jc w:val="both"/>
              <w:rPr>
                <w:rFonts w:ascii="宋体" w:hAnsi="宋体" w:eastAsia="仿宋_GB2312"/>
              </w:rPr>
            </w:pPr>
            <w:r>
              <w:rPr>
                <w:rFonts w:hint="eastAsia" w:ascii="宋体" w:hAnsi="宋体" w:eastAsia="仿宋_GB2312"/>
              </w:rPr>
              <w:t>1.无裂纹、变形、严重磨损；</w:t>
            </w:r>
          </w:p>
        </w:tc>
        <w:tc>
          <w:tcPr>
            <w:tcW w:w="1618" w:type="dxa"/>
            <w:gridSpan w:val="2"/>
            <w:vMerge w:val="restart"/>
            <w:vAlign w:val="center"/>
          </w:tcPr>
          <w:p>
            <w:pPr>
              <w:pStyle w:val="65"/>
              <w:rPr>
                <w:rFonts w:ascii="宋体" w:hAnsi="宋体" w:eastAsia="仿宋_GB2312"/>
              </w:rPr>
            </w:pPr>
            <w:r>
              <w:rPr>
                <w:rFonts w:ascii="宋体" w:hAnsi="宋体" w:eastAsia="仿宋_GB2312"/>
              </w:rPr>
              <w:t>GBT5031-2008</w:t>
            </w:r>
          </w:p>
          <w:p>
            <w:pPr>
              <w:pStyle w:val="65"/>
              <w:rPr>
                <w:rFonts w:ascii="宋体" w:hAnsi="宋体" w:eastAsia="仿宋_GB2312"/>
              </w:rPr>
            </w:pPr>
            <w:r>
              <w:rPr>
                <w:rFonts w:hint="eastAsia" w:ascii="宋体" w:hAnsi="宋体" w:eastAsia="仿宋_GB2312"/>
              </w:rPr>
              <w:t>JGJ160-2008</w:t>
            </w: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2.钩身无补焊、钻孔现象；</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3.具有防脱装置;</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4.挂绳处截面磨损量不超过原高度的10%；</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pPr>
              <w:pStyle w:val="65"/>
              <w:rPr>
                <w:rFonts w:ascii="宋体" w:hAnsi="宋体"/>
              </w:rPr>
            </w:pPr>
            <w:r>
              <w:rPr>
                <w:rFonts w:hint="eastAsia" w:ascii="宋体" w:hAnsi="宋体"/>
              </w:rPr>
              <w:t>（五）高度限位</w:t>
            </w:r>
          </w:p>
        </w:tc>
        <w:tc>
          <w:tcPr>
            <w:tcW w:w="5799" w:type="dxa"/>
            <w:gridSpan w:val="3"/>
            <w:vAlign w:val="center"/>
          </w:tcPr>
          <w:p>
            <w:pPr>
              <w:pStyle w:val="65"/>
              <w:jc w:val="both"/>
              <w:rPr>
                <w:rFonts w:ascii="宋体" w:hAnsi="宋体" w:eastAsia="仿宋_GB2312"/>
              </w:rPr>
            </w:pPr>
            <w:r>
              <w:rPr>
                <w:rFonts w:hint="eastAsia" w:ascii="宋体" w:hAnsi="宋体" w:eastAsia="仿宋_GB2312"/>
              </w:rPr>
              <w:t>1.吊钩顶部距起重臂下端800mm，能立即停止起升，但有向下、向内变幅运动；</w:t>
            </w:r>
          </w:p>
        </w:tc>
        <w:tc>
          <w:tcPr>
            <w:tcW w:w="1618" w:type="dxa"/>
            <w:gridSpan w:val="2"/>
            <w:vMerge w:val="restart"/>
            <w:vAlign w:val="center"/>
          </w:tcPr>
          <w:p>
            <w:pPr>
              <w:pStyle w:val="65"/>
              <w:rPr>
                <w:rFonts w:ascii="宋体" w:hAnsi="宋体" w:eastAsia="仿宋_GB2312"/>
              </w:rPr>
            </w:pPr>
            <w:r>
              <w:rPr>
                <w:rFonts w:ascii="宋体" w:hAnsi="宋体" w:eastAsia="仿宋_GB2312"/>
              </w:rPr>
              <w:t>GBT5031-2008</w:t>
            </w: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2.吊钩不能再下降或卷筒上钢丝绳只剩3圈时，应能立即停止下降运动；</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3"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3.钢丝绳松弛可能造成卷筒上钢丝绳乱绳或反卷，设置下限位。</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pPr>
              <w:pStyle w:val="65"/>
              <w:rPr>
                <w:rFonts w:ascii="宋体" w:hAnsi="宋体"/>
              </w:rPr>
            </w:pPr>
            <w:r>
              <w:rPr>
                <w:rFonts w:hint="eastAsia" w:ascii="宋体" w:hAnsi="宋体"/>
              </w:rPr>
              <w:t>（六）幅度限位装置</w:t>
            </w:r>
          </w:p>
        </w:tc>
        <w:tc>
          <w:tcPr>
            <w:tcW w:w="5799" w:type="dxa"/>
            <w:gridSpan w:val="3"/>
            <w:vAlign w:val="center"/>
          </w:tcPr>
          <w:p>
            <w:pPr>
              <w:pStyle w:val="65"/>
              <w:jc w:val="both"/>
              <w:rPr>
                <w:rFonts w:ascii="宋体" w:hAnsi="宋体" w:eastAsia="仿宋_GB2312"/>
              </w:rPr>
            </w:pPr>
            <w:r>
              <w:rPr>
                <w:rFonts w:hint="eastAsia" w:ascii="宋体" w:hAnsi="宋体" w:eastAsia="仿宋_GB2312"/>
              </w:rPr>
              <w:t>1.小车前后两端应设置限位开关和缓冲装置；</w:t>
            </w:r>
          </w:p>
        </w:tc>
        <w:tc>
          <w:tcPr>
            <w:tcW w:w="1618" w:type="dxa"/>
            <w:gridSpan w:val="2"/>
            <w:vMerge w:val="restart"/>
            <w:vAlign w:val="center"/>
          </w:tcPr>
          <w:p>
            <w:pPr>
              <w:pStyle w:val="65"/>
              <w:rPr>
                <w:rFonts w:ascii="宋体" w:hAnsi="宋体" w:eastAsia="仿宋_GB2312"/>
              </w:rPr>
            </w:pPr>
            <w:r>
              <w:rPr>
                <w:rFonts w:ascii="宋体" w:hAnsi="宋体" w:eastAsia="仿宋_GB2312"/>
              </w:rPr>
              <w:t>GBT5031-2008</w:t>
            </w: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2.限位开关距小车停车时其端部缓冲装置最小距离200mm。</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pPr>
              <w:pStyle w:val="65"/>
              <w:rPr>
                <w:rFonts w:ascii="宋体" w:hAnsi="宋体"/>
              </w:rPr>
            </w:pPr>
            <w:r>
              <w:rPr>
                <w:rFonts w:hint="eastAsia" w:ascii="宋体" w:hAnsi="宋体"/>
              </w:rPr>
              <w:t>（七）力矩限制器</w:t>
            </w:r>
          </w:p>
        </w:tc>
        <w:tc>
          <w:tcPr>
            <w:tcW w:w="5799" w:type="dxa"/>
            <w:gridSpan w:val="3"/>
            <w:vAlign w:val="center"/>
          </w:tcPr>
          <w:p>
            <w:pPr>
              <w:pStyle w:val="65"/>
              <w:jc w:val="both"/>
              <w:rPr>
                <w:rFonts w:ascii="宋体" w:hAnsi="宋体" w:eastAsia="仿宋_GB2312"/>
              </w:rPr>
            </w:pPr>
            <w:r>
              <w:rPr>
                <w:rFonts w:hint="eastAsia" w:ascii="宋体" w:hAnsi="宋体" w:eastAsia="仿宋_GB2312"/>
              </w:rPr>
              <w:t>1.应设置力矩限制器；</w:t>
            </w:r>
          </w:p>
        </w:tc>
        <w:tc>
          <w:tcPr>
            <w:tcW w:w="1618" w:type="dxa"/>
            <w:gridSpan w:val="2"/>
            <w:vMerge w:val="restart"/>
            <w:vAlign w:val="center"/>
          </w:tcPr>
          <w:p>
            <w:pPr>
              <w:pStyle w:val="65"/>
              <w:rPr>
                <w:rFonts w:ascii="宋体" w:hAnsi="宋体" w:eastAsia="仿宋_GB2312"/>
              </w:rPr>
            </w:pPr>
            <w:r>
              <w:rPr>
                <w:rFonts w:ascii="宋体" w:hAnsi="宋体" w:eastAsia="仿宋_GB2312"/>
              </w:rPr>
              <w:t>GB12602-2020</w:t>
            </w: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2.起重量达到90%-95%时，能发出报警信号；</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3.起重量达到105%-110%时，能停止向不安全方向继续动作。</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4.力矩限制器综合误差不超过±8%。</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pPr>
              <w:pStyle w:val="65"/>
              <w:rPr>
                <w:rFonts w:ascii="宋体" w:hAnsi="宋体"/>
              </w:rPr>
            </w:pPr>
            <w:r>
              <w:rPr>
                <w:rFonts w:hint="eastAsia" w:ascii="宋体" w:hAnsi="宋体"/>
              </w:rPr>
              <w:t>（八）附</w:t>
            </w:r>
          </w:p>
          <w:p>
            <w:pPr>
              <w:pStyle w:val="65"/>
              <w:rPr>
                <w:rFonts w:ascii="宋体" w:hAnsi="宋体"/>
              </w:rPr>
            </w:pPr>
            <w:r>
              <w:rPr>
                <w:rFonts w:hint="eastAsia" w:ascii="宋体" w:hAnsi="宋体"/>
              </w:rPr>
              <w:t>着</w:t>
            </w:r>
          </w:p>
          <w:p>
            <w:pPr>
              <w:pStyle w:val="65"/>
              <w:rPr>
                <w:rFonts w:ascii="宋体" w:hAnsi="宋体"/>
              </w:rPr>
            </w:pPr>
            <w:r>
              <w:rPr>
                <w:rFonts w:hint="eastAsia" w:ascii="宋体" w:hAnsi="宋体"/>
              </w:rPr>
              <w:t>架</w:t>
            </w:r>
          </w:p>
        </w:tc>
        <w:tc>
          <w:tcPr>
            <w:tcW w:w="5799" w:type="dxa"/>
            <w:gridSpan w:val="3"/>
            <w:vAlign w:val="center"/>
          </w:tcPr>
          <w:p>
            <w:pPr>
              <w:pStyle w:val="65"/>
              <w:jc w:val="both"/>
              <w:rPr>
                <w:rFonts w:ascii="宋体" w:hAnsi="宋体" w:eastAsia="仿宋_GB2312"/>
              </w:rPr>
            </w:pPr>
            <w:r>
              <w:rPr>
                <w:rFonts w:hint="eastAsia" w:ascii="宋体" w:hAnsi="宋体" w:eastAsia="仿宋_GB2312"/>
              </w:rPr>
              <w:t>1.框架、附着杆安装正确、牢固；无开焊、变形、裂纹；</w:t>
            </w:r>
          </w:p>
        </w:tc>
        <w:tc>
          <w:tcPr>
            <w:tcW w:w="1618" w:type="dxa"/>
            <w:gridSpan w:val="2"/>
            <w:vMerge w:val="restart"/>
            <w:vAlign w:val="center"/>
          </w:tcPr>
          <w:p>
            <w:pPr>
              <w:pStyle w:val="65"/>
              <w:rPr>
                <w:rFonts w:ascii="宋体" w:hAnsi="宋体" w:eastAsia="仿宋_GB2312"/>
              </w:rPr>
            </w:pPr>
            <w:r>
              <w:rPr>
                <w:rFonts w:hint="eastAsia" w:ascii="宋体" w:hAnsi="宋体" w:eastAsia="仿宋_GB2312"/>
              </w:rPr>
              <w:t>JGJ196-2010</w:t>
            </w: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2.各处螺栓、轴销齐全牢固；</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3.间距、数量、安装固定符合说明书要求；</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4.架体不得擅自改动。</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pPr>
              <w:pStyle w:val="65"/>
              <w:rPr>
                <w:rFonts w:ascii="宋体" w:hAnsi="宋体"/>
              </w:rPr>
            </w:pPr>
            <w:r>
              <w:rPr>
                <w:rFonts w:hint="eastAsia" w:ascii="宋体" w:hAnsi="宋体"/>
              </w:rPr>
              <w:t>（九）电</w:t>
            </w:r>
          </w:p>
          <w:p>
            <w:pPr>
              <w:pStyle w:val="65"/>
              <w:rPr>
                <w:rFonts w:ascii="宋体" w:hAnsi="宋体"/>
              </w:rPr>
            </w:pPr>
            <w:r>
              <w:rPr>
                <w:rFonts w:hint="eastAsia" w:ascii="宋体" w:hAnsi="宋体"/>
              </w:rPr>
              <w:t>气</w:t>
            </w:r>
          </w:p>
        </w:tc>
        <w:tc>
          <w:tcPr>
            <w:tcW w:w="5799" w:type="dxa"/>
            <w:gridSpan w:val="3"/>
            <w:vAlign w:val="center"/>
          </w:tcPr>
          <w:p>
            <w:pPr>
              <w:pStyle w:val="65"/>
              <w:jc w:val="both"/>
              <w:rPr>
                <w:rFonts w:ascii="宋体" w:hAnsi="宋体" w:eastAsia="仿宋_GB2312"/>
              </w:rPr>
            </w:pPr>
            <w:r>
              <w:rPr>
                <w:rFonts w:hint="eastAsia" w:ascii="宋体" w:hAnsi="宋体" w:eastAsia="仿宋_GB2312"/>
              </w:rPr>
              <w:t>1.电缆无破损，无老化；</w:t>
            </w:r>
          </w:p>
        </w:tc>
        <w:tc>
          <w:tcPr>
            <w:tcW w:w="1618" w:type="dxa"/>
            <w:gridSpan w:val="2"/>
            <w:vMerge w:val="restart"/>
            <w:vAlign w:val="center"/>
          </w:tcPr>
          <w:p>
            <w:pPr>
              <w:pStyle w:val="65"/>
              <w:rPr>
                <w:rFonts w:ascii="宋体" w:hAnsi="宋体" w:eastAsia="仿宋_GB2312"/>
              </w:rPr>
            </w:pPr>
            <w:r>
              <w:rPr>
                <w:rFonts w:hint="eastAsia" w:ascii="宋体" w:hAnsi="宋体" w:eastAsia="仿宋_GB2312"/>
              </w:rPr>
              <w:t>GB5226</w:t>
            </w:r>
            <w:r>
              <w:rPr>
                <w:rFonts w:ascii="宋体" w:hAnsi="宋体" w:eastAsia="仿宋_GB2312"/>
              </w:rPr>
              <w:t>.1</w:t>
            </w:r>
            <w:r>
              <w:rPr>
                <w:rFonts w:hint="eastAsia" w:ascii="宋体" w:hAnsi="宋体" w:eastAsia="仿宋_GB2312"/>
              </w:rPr>
              <w:t>-2002</w:t>
            </w:r>
          </w:p>
          <w:p>
            <w:pPr>
              <w:pStyle w:val="65"/>
              <w:rPr>
                <w:rFonts w:ascii="宋体" w:hAnsi="宋体" w:eastAsia="仿宋_GB2312"/>
              </w:rPr>
            </w:pPr>
            <w:r>
              <w:rPr>
                <w:rFonts w:hint="eastAsia" w:ascii="宋体" w:hAnsi="宋体" w:eastAsia="仿宋_GB2312"/>
              </w:rPr>
              <w:t>JGJ160-2008</w:t>
            </w:r>
          </w:p>
          <w:p>
            <w:pPr>
              <w:pStyle w:val="65"/>
              <w:rPr>
                <w:rFonts w:ascii="宋体" w:hAnsi="宋体" w:eastAsia="仿宋_GB2312"/>
              </w:rPr>
            </w:pPr>
            <w:r>
              <w:rPr>
                <w:rFonts w:hint="eastAsia" w:ascii="宋体" w:hAnsi="宋体" w:eastAsia="仿宋_GB2312"/>
              </w:rPr>
              <w:t>GBT5031-2008</w:t>
            </w: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2.各接地、接零保护装置符合要求；</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3.开关等配电装置齐全有效；</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4.绝缘良好；</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5.接闪器、避雷等接地装置良好,；</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6.动力电路和控制电路对地绝缘值不超过0.5兆欧；</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pPr>
              <w:pStyle w:val="65"/>
              <w:rPr>
                <w:rFonts w:ascii="宋体" w:hAnsi="宋体"/>
              </w:rPr>
            </w:pPr>
            <w:r>
              <w:rPr>
                <w:rFonts w:hint="eastAsia" w:ascii="宋体" w:hAnsi="宋体"/>
              </w:rPr>
              <w:t>（十）机构油类</w:t>
            </w:r>
          </w:p>
        </w:tc>
        <w:tc>
          <w:tcPr>
            <w:tcW w:w="5799" w:type="dxa"/>
            <w:gridSpan w:val="3"/>
            <w:vAlign w:val="center"/>
          </w:tcPr>
          <w:p>
            <w:pPr>
              <w:pStyle w:val="65"/>
              <w:jc w:val="both"/>
              <w:rPr>
                <w:rFonts w:ascii="宋体" w:hAnsi="宋体" w:eastAsia="仿宋_GB2312"/>
              </w:rPr>
            </w:pPr>
            <w:r>
              <w:rPr>
                <w:rFonts w:hint="eastAsia" w:ascii="宋体" w:hAnsi="宋体" w:eastAsia="仿宋_GB2312"/>
              </w:rPr>
              <w:t>1.减速机、卷扬机、回转机构、液压顶升系统部件齐全、工作正常；</w:t>
            </w:r>
          </w:p>
        </w:tc>
        <w:tc>
          <w:tcPr>
            <w:tcW w:w="1618" w:type="dxa"/>
            <w:gridSpan w:val="2"/>
            <w:vMerge w:val="restart"/>
            <w:vAlign w:val="center"/>
          </w:tcPr>
          <w:p>
            <w:pPr>
              <w:pStyle w:val="65"/>
              <w:rPr>
                <w:rFonts w:ascii="宋体" w:hAnsi="宋体" w:eastAsia="仿宋_GB2312"/>
              </w:rPr>
            </w:pPr>
            <w:r>
              <w:rPr>
                <w:rFonts w:ascii="宋体" w:hAnsi="宋体" w:eastAsia="仿宋_GB2312"/>
              </w:rPr>
              <w:t>GBT5031-2008</w:t>
            </w:r>
          </w:p>
          <w:p>
            <w:pPr>
              <w:pStyle w:val="65"/>
              <w:rPr>
                <w:rFonts w:ascii="宋体" w:hAnsi="宋体" w:eastAsia="仿宋_GB2312"/>
              </w:rPr>
            </w:pPr>
            <w:r>
              <w:rPr>
                <w:rFonts w:hint="eastAsia" w:ascii="宋体" w:hAnsi="宋体" w:eastAsia="仿宋_GB2312"/>
              </w:rPr>
              <w:t>JGJ160-2008</w:t>
            </w: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2.传动部位有防护罩；</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3.油箱有足够容量；</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4.油路无泄露、堵塞现象。</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pPr>
              <w:pStyle w:val="65"/>
              <w:rPr>
                <w:rFonts w:ascii="宋体" w:hAnsi="宋体"/>
              </w:rPr>
            </w:pPr>
            <w:r>
              <w:rPr>
                <w:rFonts w:hint="eastAsia" w:ascii="宋体" w:hAnsi="宋体"/>
              </w:rPr>
              <w:t>十一</w:t>
            </w:r>
          </w:p>
          <w:p>
            <w:pPr>
              <w:pStyle w:val="65"/>
              <w:rPr>
                <w:rFonts w:ascii="宋体" w:hAnsi="宋体"/>
              </w:rPr>
            </w:pPr>
            <w:r>
              <w:rPr>
                <w:rFonts w:hint="eastAsia" w:ascii="宋体" w:hAnsi="宋体"/>
              </w:rPr>
              <w:t>制</w:t>
            </w:r>
          </w:p>
          <w:p>
            <w:pPr>
              <w:pStyle w:val="65"/>
              <w:rPr>
                <w:rFonts w:ascii="宋体" w:hAnsi="宋体"/>
              </w:rPr>
            </w:pPr>
            <w:r>
              <w:rPr>
                <w:rFonts w:hint="eastAsia" w:ascii="宋体" w:hAnsi="宋体"/>
              </w:rPr>
              <w:t>动</w:t>
            </w:r>
          </w:p>
          <w:p>
            <w:pPr>
              <w:pStyle w:val="65"/>
              <w:rPr>
                <w:rFonts w:ascii="宋体" w:hAnsi="宋体"/>
              </w:rPr>
            </w:pPr>
            <w:r>
              <w:rPr>
                <w:rFonts w:hint="eastAsia" w:ascii="宋体" w:hAnsi="宋体"/>
              </w:rPr>
              <w:t>器</w:t>
            </w:r>
          </w:p>
        </w:tc>
        <w:tc>
          <w:tcPr>
            <w:tcW w:w="5799" w:type="dxa"/>
            <w:gridSpan w:val="3"/>
            <w:vAlign w:val="center"/>
          </w:tcPr>
          <w:p>
            <w:pPr>
              <w:pStyle w:val="65"/>
              <w:jc w:val="both"/>
              <w:rPr>
                <w:rFonts w:ascii="宋体" w:hAnsi="宋体" w:eastAsia="仿宋_GB2312"/>
              </w:rPr>
            </w:pPr>
            <w:r>
              <w:rPr>
                <w:rFonts w:hint="eastAsia" w:ascii="宋体" w:hAnsi="宋体" w:eastAsia="仿宋_GB2312"/>
              </w:rPr>
              <w:t>1.无可见裂纹;</w:t>
            </w:r>
          </w:p>
        </w:tc>
        <w:tc>
          <w:tcPr>
            <w:tcW w:w="1618" w:type="dxa"/>
            <w:gridSpan w:val="2"/>
            <w:vMerge w:val="restart"/>
            <w:vAlign w:val="center"/>
          </w:tcPr>
          <w:p>
            <w:pPr>
              <w:pStyle w:val="65"/>
              <w:rPr>
                <w:rFonts w:ascii="宋体" w:hAnsi="宋体" w:eastAsia="仿宋_GB2312"/>
              </w:rPr>
            </w:pPr>
            <w:r>
              <w:rPr>
                <w:rFonts w:ascii="宋体" w:hAnsi="宋体" w:eastAsia="仿宋_GB2312"/>
              </w:rPr>
              <w:t>GB5144-2006</w:t>
            </w:r>
          </w:p>
          <w:p>
            <w:pPr>
              <w:pStyle w:val="65"/>
              <w:rPr>
                <w:rFonts w:ascii="宋体" w:hAnsi="宋体" w:eastAsia="仿宋_GB2312"/>
              </w:rPr>
            </w:pPr>
            <w:r>
              <w:rPr>
                <w:rFonts w:hint="eastAsia" w:ascii="宋体" w:hAnsi="宋体" w:eastAsia="仿宋_GB2312"/>
              </w:rPr>
              <w:t>JGJ160-2008</w:t>
            </w: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2.制动块摩擦衬垫磨损量未达原厚度的50%;</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3.制动轮表面磨损量未达1.5 mm ~2mm;</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pPr>
              <w:pStyle w:val="65"/>
              <w:rPr>
                <w:rFonts w:ascii="宋体" w:hAnsi="宋体"/>
              </w:rPr>
            </w:pPr>
          </w:p>
        </w:tc>
        <w:tc>
          <w:tcPr>
            <w:tcW w:w="5799" w:type="dxa"/>
            <w:gridSpan w:val="3"/>
            <w:vAlign w:val="center"/>
          </w:tcPr>
          <w:p>
            <w:pPr>
              <w:pStyle w:val="65"/>
              <w:jc w:val="both"/>
              <w:rPr>
                <w:rFonts w:ascii="宋体" w:hAnsi="宋体" w:eastAsia="仿宋_GB2312"/>
              </w:rPr>
            </w:pPr>
            <w:r>
              <w:rPr>
                <w:rFonts w:hint="eastAsia" w:ascii="宋体" w:hAnsi="宋体" w:eastAsia="仿宋_GB2312"/>
              </w:rPr>
              <w:t>4.弹簧未出现塑性变形;</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pPr>
              <w:pStyle w:val="65"/>
              <w:rPr>
                <w:rFonts w:ascii="仿宋_GB2312" w:hAnsi="宋体"/>
              </w:rPr>
            </w:pPr>
            <w:r>
              <w:rPr>
                <w:rFonts w:hint="eastAsia" w:ascii="仿宋_GB2312" w:hAnsi="宋体"/>
              </w:rPr>
              <w:t>十二</w:t>
            </w:r>
          </w:p>
          <w:p>
            <w:pPr>
              <w:pStyle w:val="65"/>
              <w:rPr>
                <w:rFonts w:ascii="仿宋_GB2312" w:hAnsi="宋体"/>
              </w:rPr>
            </w:pPr>
            <w:r>
              <w:rPr>
                <w:rFonts w:hint="eastAsia" w:ascii="仿宋_GB2312" w:hAnsi="宋体"/>
              </w:rPr>
              <w:t>安</w:t>
            </w:r>
          </w:p>
          <w:p>
            <w:pPr>
              <w:pStyle w:val="65"/>
              <w:rPr>
                <w:rFonts w:ascii="仿宋_GB2312" w:hAnsi="宋体"/>
              </w:rPr>
            </w:pPr>
            <w:r>
              <w:rPr>
                <w:rFonts w:hint="eastAsia" w:ascii="仿宋_GB2312" w:hAnsi="宋体"/>
              </w:rPr>
              <w:t>全</w:t>
            </w:r>
          </w:p>
          <w:p>
            <w:pPr>
              <w:pStyle w:val="65"/>
              <w:rPr>
                <w:rFonts w:ascii="仿宋_GB2312" w:hAnsi="宋体"/>
              </w:rPr>
            </w:pPr>
            <w:r>
              <w:rPr>
                <w:rFonts w:hint="eastAsia" w:ascii="仿宋_GB2312" w:hAnsi="宋体"/>
              </w:rPr>
              <w:t>距</w:t>
            </w:r>
          </w:p>
          <w:p>
            <w:pPr>
              <w:pStyle w:val="65"/>
              <w:rPr>
                <w:rFonts w:ascii="仿宋_GB2312" w:hAnsi="宋体"/>
              </w:rPr>
            </w:pPr>
            <w:r>
              <w:rPr>
                <w:rFonts w:hint="eastAsia" w:ascii="仿宋_GB2312" w:hAnsi="宋体"/>
              </w:rPr>
              <w:t>离</w:t>
            </w:r>
          </w:p>
        </w:tc>
        <w:tc>
          <w:tcPr>
            <w:tcW w:w="5799" w:type="dxa"/>
            <w:gridSpan w:val="3"/>
            <w:vAlign w:val="center"/>
          </w:tcPr>
          <w:p>
            <w:pPr>
              <w:pStyle w:val="65"/>
              <w:jc w:val="both"/>
              <w:rPr>
                <w:rFonts w:ascii="仿宋_GB2312" w:hAnsi="宋体" w:eastAsia="仿宋_GB2312"/>
              </w:rPr>
            </w:pPr>
            <w:r>
              <w:rPr>
                <w:rFonts w:hint="eastAsia" w:ascii="仿宋_GB2312" w:hAnsi="宋体" w:eastAsia="仿宋_GB2312"/>
              </w:rPr>
              <w:t>1.与建筑物周围施工设施之间距离≥0.5米；</w:t>
            </w:r>
          </w:p>
        </w:tc>
        <w:tc>
          <w:tcPr>
            <w:tcW w:w="1618" w:type="dxa"/>
            <w:gridSpan w:val="2"/>
            <w:vMerge w:val="restart"/>
            <w:vAlign w:val="center"/>
          </w:tcPr>
          <w:p>
            <w:pPr>
              <w:pStyle w:val="65"/>
              <w:rPr>
                <w:rFonts w:ascii="仿宋_GB2312" w:hAnsi="宋体" w:eastAsia="仿宋_GB2312"/>
              </w:rPr>
            </w:pPr>
            <w:r>
              <w:rPr>
                <w:rFonts w:hint="eastAsia" w:ascii="宋体" w:hAnsi="宋体" w:eastAsia="仿宋_GB2312"/>
              </w:rPr>
              <w:t>JGJ196-2010</w:t>
            </w:r>
          </w:p>
          <w:p>
            <w:pPr>
              <w:pStyle w:val="65"/>
              <w:rPr>
                <w:rFonts w:ascii="仿宋_GB2312" w:hAnsi="宋体" w:eastAsia="仿宋_GB2312"/>
              </w:rPr>
            </w:pPr>
            <w:r>
              <w:rPr>
                <w:rFonts w:hint="eastAsia" w:ascii="宋体" w:hAnsi="宋体" w:eastAsia="仿宋_GB2312"/>
              </w:rPr>
              <w:t>JGJ160-2008</w:t>
            </w: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pPr>
              <w:pStyle w:val="65"/>
              <w:rPr>
                <w:rFonts w:ascii="仿宋_GB2312" w:hAnsi="宋体"/>
              </w:rPr>
            </w:pPr>
          </w:p>
        </w:tc>
        <w:tc>
          <w:tcPr>
            <w:tcW w:w="5799" w:type="dxa"/>
            <w:gridSpan w:val="3"/>
            <w:vAlign w:val="center"/>
          </w:tcPr>
          <w:p>
            <w:pPr>
              <w:pStyle w:val="65"/>
              <w:jc w:val="both"/>
              <w:rPr>
                <w:rFonts w:ascii="仿宋_GB2312" w:hAnsi="宋体" w:eastAsia="仿宋_GB2312"/>
              </w:rPr>
            </w:pPr>
            <w:r>
              <w:rPr>
                <w:rFonts w:hint="eastAsia" w:ascii="仿宋_GB2312" w:hAnsi="宋体" w:eastAsia="仿宋_GB2312"/>
              </w:rPr>
              <w:t>2.多塔作业相互间应符合要求，有防碰撞措施；</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pPr>
              <w:pStyle w:val="65"/>
              <w:rPr>
                <w:rFonts w:ascii="仿宋_GB2312" w:hAnsi="宋体"/>
              </w:rPr>
            </w:pPr>
          </w:p>
        </w:tc>
        <w:tc>
          <w:tcPr>
            <w:tcW w:w="5799" w:type="dxa"/>
            <w:gridSpan w:val="3"/>
            <w:vAlign w:val="center"/>
          </w:tcPr>
          <w:p>
            <w:pPr>
              <w:pStyle w:val="65"/>
              <w:jc w:val="both"/>
              <w:rPr>
                <w:rFonts w:ascii="仿宋_GB2312" w:hAnsi="宋体" w:eastAsia="仿宋_GB2312"/>
              </w:rPr>
            </w:pPr>
            <w:r>
              <w:rPr>
                <w:rFonts w:hint="eastAsia" w:ascii="仿宋_GB2312" w:hAnsi="宋体" w:eastAsia="仿宋_GB2312"/>
              </w:rPr>
              <w:t>3.各部位与外电线路保持安全距离，达不到要求的必须按规定采取防护措施，防护措施应达到电业部门规定要求。</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pPr>
              <w:pStyle w:val="65"/>
              <w:rPr>
                <w:rFonts w:ascii="仿宋_GB2312" w:hAnsi="宋体"/>
              </w:rPr>
            </w:pPr>
            <w:r>
              <w:rPr>
                <w:rFonts w:hint="eastAsia" w:ascii="仿宋_GB2312" w:hAnsi="宋体"/>
              </w:rPr>
              <w:t>十三</w:t>
            </w:r>
          </w:p>
          <w:p>
            <w:pPr>
              <w:pStyle w:val="65"/>
              <w:rPr>
                <w:rFonts w:ascii="仿宋_GB2312" w:hAnsi="宋体"/>
              </w:rPr>
            </w:pPr>
            <w:r>
              <w:rPr>
                <w:rFonts w:hint="eastAsia" w:ascii="仿宋_GB2312" w:hAnsi="宋体"/>
              </w:rPr>
              <w:t>卷</w:t>
            </w:r>
          </w:p>
          <w:p>
            <w:pPr>
              <w:pStyle w:val="65"/>
              <w:rPr>
                <w:rFonts w:ascii="仿宋_GB2312" w:hAnsi="宋体"/>
              </w:rPr>
            </w:pPr>
            <w:r>
              <w:rPr>
                <w:rFonts w:hint="eastAsia" w:ascii="仿宋_GB2312" w:hAnsi="宋体"/>
              </w:rPr>
              <w:t>筒</w:t>
            </w:r>
          </w:p>
          <w:p>
            <w:pPr>
              <w:pStyle w:val="65"/>
              <w:rPr>
                <w:rFonts w:ascii="仿宋_GB2312" w:hAnsi="宋体"/>
              </w:rPr>
            </w:pPr>
            <w:r>
              <w:rPr>
                <w:rFonts w:hint="eastAsia" w:ascii="仿宋_GB2312" w:hAnsi="宋体"/>
              </w:rPr>
              <w:t>滑</w:t>
            </w:r>
          </w:p>
          <w:p>
            <w:pPr>
              <w:pStyle w:val="65"/>
              <w:rPr>
                <w:rFonts w:ascii="仿宋_GB2312" w:hAnsi="宋体"/>
              </w:rPr>
            </w:pPr>
            <w:r>
              <w:rPr>
                <w:rFonts w:hint="eastAsia" w:ascii="仿宋_GB2312" w:hAnsi="宋体"/>
              </w:rPr>
              <w:t>轮</w:t>
            </w:r>
          </w:p>
        </w:tc>
        <w:tc>
          <w:tcPr>
            <w:tcW w:w="5799" w:type="dxa"/>
            <w:gridSpan w:val="3"/>
            <w:vAlign w:val="center"/>
          </w:tcPr>
          <w:p>
            <w:pPr>
              <w:pStyle w:val="65"/>
              <w:jc w:val="both"/>
              <w:rPr>
                <w:rFonts w:ascii="仿宋_GB2312" w:hAnsi="宋体" w:eastAsia="仿宋_GB2312"/>
              </w:rPr>
            </w:pPr>
            <w:r>
              <w:rPr>
                <w:rFonts w:hint="eastAsia" w:ascii="仿宋_GB2312" w:hAnsi="宋体" w:eastAsia="仿宋_GB2312"/>
              </w:rPr>
              <w:t>1.卷筒两侧边沿的高度大于钢丝绳直径2倍；</w:t>
            </w:r>
          </w:p>
        </w:tc>
        <w:tc>
          <w:tcPr>
            <w:tcW w:w="1618" w:type="dxa"/>
            <w:gridSpan w:val="2"/>
            <w:vMerge w:val="restart"/>
            <w:vAlign w:val="center"/>
          </w:tcPr>
          <w:p>
            <w:pPr>
              <w:pStyle w:val="65"/>
              <w:rPr>
                <w:rFonts w:ascii="宋体" w:hAnsi="宋体" w:eastAsia="仿宋_GB2312"/>
              </w:rPr>
            </w:pPr>
            <w:r>
              <w:rPr>
                <w:rFonts w:hint="eastAsia" w:ascii="宋体" w:hAnsi="宋体" w:eastAsia="仿宋_GB2312"/>
              </w:rPr>
              <w:t>GBT13752</w:t>
            </w:r>
            <w:r>
              <w:rPr>
                <w:rFonts w:ascii="宋体" w:hAnsi="宋体" w:eastAsia="仿宋_GB2312"/>
              </w:rPr>
              <w:t>-2017</w:t>
            </w:r>
          </w:p>
          <w:p>
            <w:pPr>
              <w:pStyle w:val="65"/>
              <w:rPr>
                <w:rFonts w:ascii="仿宋_GB2312" w:hAnsi="宋体" w:eastAsia="仿宋_GB2312"/>
              </w:rPr>
            </w:pPr>
            <w:r>
              <w:rPr>
                <w:rFonts w:hint="eastAsia" w:ascii="宋体" w:hAnsi="宋体" w:eastAsia="仿宋_GB2312"/>
              </w:rPr>
              <w:t>JGJ160-2008</w:t>
            </w: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pPr>
              <w:pStyle w:val="65"/>
              <w:rPr>
                <w:rFonts w:ascii="仿宋_GB2312" w:hAnsi="宋体"/>
              </w:rPr>
            </w:pPr>
          </w:p>
        </w:tc>
        <w:tc>
          <w:tcPr>
            <w:tcW w:w="5799" w:type="dxa"/>
            <w:gridSpan w:val="3"/>
            <w:vAlign w:val="center"/>
          </w:tcPr>
          <w:p>
            <w:pPr>
              <w:pStyle w:val="65"/>
              <w:jc w:val="both"/>
              <w:rPr>
                <w:rFonts w:ascii="仿宋_GB2312" w:hAnsi="宋体" w:eastAsia="仿宋_GB2312"/>
              </w:rPr>
            </w:pPr>
            <w:r>
              <w:rPr>
                <w:rFonts w:hint="eastAsia" w:ascii="仿宋_GB2312" w:hAnsi="宋体" w:eastAsia="仿宋_GB2312"/>
              </w:rPr>
              <w:t>2.卷筒上的钢丝绳至少保留3圈；</w:t>
            </w:r>
          </w:p>
        </w:tc>
        <w:tc>
          <w:tcPr>
            <w:tcW w:w="1618" w:type="dxa"/>
            <w:gridSpan w:val="2"/>
            <w:vMerge w:val="continue"/>
            <w:vAlign w:val="center"/>
          </w:tcPr>
          <w:p>
            <w:pPr>
              <w:pStyle w:val="65"/>
              <w:rPr>
                <w:rFonts w:ascii="仿宋_GB2312"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pPr>
              <w:pStyle w:val="65"/>
              <w:rPr>
                <w:rFonts w:ascii="仿宋_GB2312" w:hAnsi="宋体"/>
              </w:rPr>
            </w:pPr>
          </w:p>
        </w:tc>
        <w:tc>
          <w:tcPr>
            <w:tcW w:w="5799" w:type="dxa"/>
            <w:gridSpan w:val="3"/>
            <w:vAlign w:val="center"/>
          </w:tcPr>
          <w:p>
            <w:pPr>
              <w:pStyle w:val="65"/>
              <w:jc w:val="both"/>
              <w:rPr>
                <w:rFonts w:ascii="仿宋_GB2312" w:hAnsi="宋体" w:eastAsia="仿宋_GB2312"/>
              </w:rPr>
            </w:pPr>
            <w:r>
              <w:rPr>
                <w:rFonts w:hint="eastAsia" w:ascii="仿宋_GB2312" w:hAnsi="宋体" w:eastAsia="仿宋_GB2312"/>
              </w:rPr>
              <w:t>3.滑轮应设有防绳跳槽装置，且与滑轮最外沿间隙不得超过钢丝绳直径的20％；</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pPr>
              <w:pStyle w:val="65"/>
              <w:rPr>
                <w:rFonts w:ascii="仿宋_GB2312" w:hAnsi="宋体"/>
              </w:rPr>
            </w:pPr>
          </w:p>
        </w:tc>
        <w:tc>
          <w:tcPr>
            <w:tcW w:w="5799" w:type="dxa"/>
            <w:gridSpan w:val="3"/>
            <w:vAlign w:val="center"/>
          </w:tcPr>
          <w:p>
            <w:pPr>
              <w:pStyle w:val="65"/>
              <w:jc w:val="both"/>
              <w:rPr>
                <w:rFonts w:ascii="仿宋_GB2312" w:hAnsi="宋体" w:eastAsia="仿宋_GB2312"/>
              </w:rPr>
            </w:pPr>
            <w:r>
              <w:rPr>
                <w:rFonts w:hint="eastAsia" w:ascii="仿宋_GB2312" w:hAnsi="宋体" w:eastAsia="仿宋_GB2312"/>
              </w:rPr>
              <w:t>4.滑轮转动灵活、无卡塞现象。</w:t>
            </w:r>
          </w:p>
        </w:tc>
        <w:tc>
          <w:tcPr>
            <w:tcW w:w="1618" w:type="dxa"/>
            <w:gridSpan w:val="2"/>
            <w:vMerge w:val="continue"/>
            <w:vAlign w:val="center"/>
          </w:tcPr>
          <w:p>
            <w:pPr>
              <w:pStyle w:val="65"/>
              <w:rPr>
                <w:rFonts w:ascii="宋体" w:hAnsi="宋体" w:eastAsia="仿宋_GB2312"/>
              </w:rPr>
            </w:pP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pPr>
              <w:pStyle w:val="65"/>
              <w:rPr>
                <w:rFonts w:ascii="宋体" w:hAnsi="宋体"/>
              </w:rPr>
            </w:pPr>
            <w:r>
              <w:rPr>
                <w:rFonts w:hint="eastAsia" w:ascii="宋体" w:hAnsi="宋体"/>
              </w:rPr>
              <w:t>十四</w:t>
            </w:r>
          </w:p>
          <w:p>
            <w:pPr>
              <w:pStyle w:val="65"/>
              <w:rPr>
                <w:rFonts w:ascii="宋体" w:hAnsi="宋体"/>
              </w:rPr>
            </w:pPr>
            <w:r>
              <w:rPr>
                <w:rFonts w:hint="eastAsia" w:ascii="宋体" w:hAnsi="宋体"/>
              </w:rPr>
              <w:t>持证上岗</w:t>
            </w:r>
          </w:p>
        </w:tc>
        <w:tc>
          <w:tcPr>
            <w:tcW w:w="5799" w:type="dxa"/>
            <w:gridSpan w:val="3"/>
            <w:vAlign w:val="center"/>
          </w:tcPr>
          <w:p>
            <w:pPr>
              <w:pStyle w:val="65"/>
              <w:jc w:val="both"/>
              <w:rPr>
                <w:rFonts w:ascii="宋体" w:hAnsi="宋体" w:eastAsia="仿宋_GB2312"/>
              </w:rPr>
            </w:pPr>
            <w:r>
              <w:rPr>
                <w:rFonts w:hint="eastAsia" w:ascii="宋体" w:hAnsi="宋体" w:eastAsia="仿宋_GB2312"/>
              </w:rPr>
              <w:t>1.使用过程中塔吊司机必须持证上岗。</w:t>
            </w:r>
          </w:p>
        </w:tc>
        <w:tc>
          <w:tcPr>
            <w:tcW w:w="1618" w:type="dxa"/>
            <w:gridSpan w:val="2"/>
            <w:vAlign w:val="center"/>
          </w:tcPr>
          <w:p>
            <w:pPr>
              <w:pStyle w:val="65"/>
              <w:rPr>
                <w:rFonts w:ascii="宋体" w:hAnsi="宋体" w:eastAsia="仿宋_GB2312"/>
              </w:rPr>
            </w:pPr>
            <w:r>
              <w:rPr>
                <w:rFonts w:ascii="宋体" w:hAnsi="宋体" w:eastAsia="仿宋_GB2312"/>
              </w:rPr>
              <w:t>JGJ196-2010</w:t>
            </w:r>
          </w:p>
        </w:tc>
        <w:tc>
          <w:tcPr>
            <w:tcW w:w="1116" w:type="dxa"/>
            <w:vAlign w:val="center"/>
          </w:tcPr>
          <w:p>
            <w:pPr>
              <w:pStyle w:val="65"/>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pPr>
              <w:pStyle w:val="65"/>
              <w:rPr>
                <w:rFonts w:ascii="宋体" w:hAnsi="宋体"/>
              </w:rPr>
            </w:pPr>
            <w:r>
              <w:rPr>
                <w:rFonts w:hint="eastAsia" w:ascii="宋体" w:hAnsi="宋体"/>
              </w:rPr>
              <w:t>十五</w:t>
            </w:r>
          </w:p>
          <w:p>
            <w:pPr>
              <w:pStyle w:val="65"/>
              <w:rPr>
                <w:rFonts w:ascii="宋体" w:hAnsi="宋体"/>
              </w:rPr>
            </w:pPr>
            <w:r>
              <w:rPr>
                <w:rFonts w:hint="eastAsia" w:ascii="宋体" w:hAnsi="宋体"/>
              </w:rPr>
              <w:t>检查结论及整改措施</w:t>
            </w:r>
          </w:p>
        </w:tc>
        <w:tc>
          <w:tcPr>
            <w:tcW w:w="8713" w:type="dxa"/>
            <w:gridSpan w:val="7"/>
            <w:tcBorders>
              <w:bottom w:val="single" w:color="auto" w:sz="4" w:space="0"/>
            </w:tcBorders>
            <w:vAlign w:val="center"/>
          </w:tcPr>
          <w:p>
            <w:pPr>
              <w:pStyle w:val="65"/>
              <w:rPr>
                <w:rFonts w:ascii="宋体" w:hAnsi="宋体"/>
              </w:rPr>
            </w:pPr>
          </w:p>
          <w:p>
            <w:pPr>
              <w:pStyle w:val="65"/>
              <w:rPr>
                <w:rFonts w:ascii="宋体" w:hAnsi="宋体"/>
              </w:rPr>
            </w:pPr>
          </w:p>
          <w:p>
            <w:pPr>
              <w:pStyle w:val="65"/>
              <w:rPr>
                <w:rFonts w:ascii="宋体" w:hAnsi="宋体"/>
              </w:rPr>
            </w:pPr>
          </w:p>
        </w:tc>
      </w:tr>
    </w:tbl>
    <w:p>
      <w:pPr>
        <w:pStyle w:val="5"/>
        <w:bidi w:val="0"/>
        <w:ind w:left="0" w:leftChars="0" w:firstLine="0" w:firstLineChars="0"/>
        <w:rPr>
          <w:rFonts w:hint="eastAsia"/>
          <w:sz w:val="24"/>
          <w:szCs w:val="24"/>
          <w:lang w:val="en-US" w:eastAsia="zh-CN"/>
        </w:rPr>
      </w:pPr>
      <w:r>
        <w:rPr>
          <w:rFonts w:hint="eastAsia"/>
          <w:sz w:val="24"/>
          <w:szCs w:val="24"/>
          <w:lang w:val="en-US" w:eastAsia="zh-CN"/>
        </w:rPr>
        <w:t>联合验收</w:t>
      </w:r>
    </w:p>
    <w:p>
      <w:pPr>
        <w:ind w:firstLine="480"/>
      </w:pPr>
      <w:r>
        <w:rPr>
          <w:rFonts w:hint="eastAsia"/>
        </w:rPr>
        <w:t>塔式起重机安装工程验收内容详见</w:t>
      </w:r>
    </w:p>
    <w:p>
      <w:pPr>
        <w:pStyle w:val="16"/>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8.3.2</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t>1</w:t>
      </w:r>
      <w:r>
        <w:fldChar w:fldCharType="end"/>
      </w:r>
      <w:r>
        <w:rPr>
          <w:rFonts w:hint="eastAsia"/>
        </w:rPr>
        <w:t>塔式起重机工程验收内容</w:t>
      </w:r>
    </w:p>
    <w:tbl>
      <w:tblPr>
        <w:tblStyle w:val="42"/>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666"/>
        <w:gridCol w:w="594"/>
        <w:gridCol w:w="1440"/>
        <w:gridCol w:w="1082"/>
        <w:gridCol w:w="435"/>
        <w:gridCol w:w="1902"/>
        <w:gridCol w:w="1103"/>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工程名称</w:t>
            </w:r>
          </w:p>
        </w:tc>
        <w:tc>
          <w:tcPr>
            <w:tcW w:w="3551" w:type="dxa"/>
            <w:gridSpan w:val="4"/>
            <w:tcBorders>
              <w:top w:val="single" w:color="auto" w:sz="4" w:space="0"/>
              <w:left w:val="single" w:color="auto" w:sz="4" w:space="0"/>
              <w:bottom w:val="single" w:color="auto" w:sz="4" w:space="0"/>
              <w:right w:val="single" w:color="auto" w:sz="4" w:space="0"/>
            </w:tcBorders>
            <w:vAlign w:val="center"/>
          </w:tcPr>
          <w:p>
            <w:pPr>
              <w:pStyle w:val="65"/>
            </w:pPr>
          </w:p>
        </w:tc>
        <w:tc>
          <w:tcPr>
            <w:tcW w:w="1902"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安装日期</w:t>
            </w:r>
          </w:p>
        </w:tc>
        <w:tc>
          <w:tcPr>
            <w:tcW w:w="2195" w:type="dxa"/>
            <w:gridSpan w:val="2"/>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建机一体化企业</w:t>
            </w:r>
          </w:p>
        </w:tc>
        <w:tc>
          <w:tcPr>
            <w:tcW w:w="3551" w:type="dxa"/>
            <w:gridSpan w:val="4"/>
            <w:tcBorders>
              <w:top w:val="single" w:color="auto" w:sz="4" w:space="0"/>
              <w:left w:val="single" w:color="auto" w:sz="4" w:space="0"/>
              <w:bottom w:val="single" w:color="auto" w:sz="4" w:space="0"/>
              <w:right w:val="single" w:color="auto" w:sz="4" w:space="0"/>
            </w:tcBorders>
            <w:vAlign w:val="center"/>
          </w:tcPr>
          <w:p>
            <w:pPr>
              <w:pStyle w:val="65"/>
            </w:pPr>
          </w:p>
        </w:tc>
        <w:tc>
          <w:tcPr>
            <w:tcW w:w="1902"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安装资质编号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制造厂家</w:t>
            </w:r>
          </w:p>
        </w:tc>
        <w:tc>
          <w:tcPr>
            <w:tcW w:w="3551" w:type="dxa"/>
            <w:gridSpan w:val="4"/>
            <w:tcBorders>
              <w:top w:val="single" w:color="auto" w:sz="4" w:space="0"/>
              <w:left w:val="single" w:color="auto" w:sz="4" w:space="0"/>
              <w:bottom w:val="single" w:color="auto" w:sz="4" w:space="0"/>
              <w:right w:val="single" w:color="auto" w:sz="4" w:space="0"/>
            </w:tcBorders>
            <w:vAlign w:val="center"/>
          </w:tcPr>
          <w:p>
            <w:pPr>
              <w:pStyle w:val="65"/>
            </w:pPr>
          </w:p>
        </w:tc>
        <w:tc>
          <w:tcPr>
            <w:tcW w:w="1902"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使用单位</w:t>
            </w:r>
          </w:p>
        </w:tc>
        <w:tc>
          <w:tcPr>
            <w:tcW w:w="2195" w:type="dxa"/>
            <w:gridSpan w:val="2"/>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规格型号</w:t>
            </w:r>
          </w:p>
        </w:tc>
        <w:tc>
          <w:tcPr>
            <w:tcW w:w="3551" w:type="dxa"/>
            <w:gridSpan w:val="4"/>
            <w:tcBorders>
              <w:top w:val="single" w:color="auto" w:sz="4" w:space="0"/>
              <w:left w:val="single" w:color="auto" w:sz="4" w:space="0"/>
              <w:bottom w:val="single" w:color="auto" w:sz="4" w:space="0"/>
              <w:right w:val="single" w:color="auto" w:sz="4" w:space="0"/>
            </w:tcBorders>
            <w:vAlign w:val="center"/>
          </w:tcPr>
          <w:p>
            <w:pPr>
              <w:pStyle w:val="65"/>
            </w:pPr>
          </w:p>
        </w:tc>
        <w:tc>
          <w:tcPr>
            <w:tcW w:w="1902"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备案编号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初始安装高度</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p>
        </w:tc>
        <w:tc>
          <w:tcPr>
            <w:tcW w:w="1517"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本次自检高度</w:t>
            </w:r>
          </w:p>
        </w:tc>
        <w:tc>
          <w:tcPr>
            <w:tcW w:w="1902" w:type="dxa"/>
            <w:tcBorders>
              <w:top w:val="single" w:color="auto" w:sz="4" w:space="0"/>
              <w:left w:val="single" w:color="auto" w:sz="4" w:space="0"/>
              <w:bottom w:val="single" w:color="auto" w:sz="4" w:space="0"/>
              <w:right w:val="single" w:color="auto" w:sz="4" w:space="0"/>
            </w:tcBorders>
            <w:vAlign w:val="center"/>
          </w:tcPr>
          <w:p>
            <w:pPr>
              <w:pStyle w:val="65"/>
            </w:pP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计划安装</w:t>
            </w:r>
          </w:p>
          <w:p>
            <w:pPr>
              <w:pStyle w:val="65"/>
            </w:pPr>
            <w:r>
              <w:rPr>
                <w:rFonts w:hint="eastAsia"/>
              </w:rPr>
              <w:t>高度</w:t>
            </w: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检查结果</w:t>
            </w:r>
          </w:p>
          <w:p>
            <w:pPr>
              <w:pStyle w:val="65"/>
            </w:pPr>
            <w:r>
              <w:rPr>
                <w:rFonts w:hint="eastAsia"/>
              </w:rPr>
              <w:t>代号说明</w:t>
            </w:r>
          </w:p>
        </w:tc>
        <w:tc>
          <w:tcPr>
            <w:tcW w:w="7648" w:type="dxa"/>
            <w:gridSpan w:val="7"/>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“√”=合格  “○”=整改后合格  “×”=不合格  “/”=无此项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名称</w:t>
            </w: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序号</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检查项目</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要求</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检查结果</w:t>
            </w: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pPr>
              <w:pStyle w:val="65"/>
            </w:pPr>
            <w:r>
              <w:rPr>
                <w:rFonts w:hint="eastAsia"/>
              </w:rPr>
              <w:t>资料</w:t>
            </w: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1*</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基础验收表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检查或实测记录、应附资料及签章齐全</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2</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安装方案、安全技术交底记录</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3</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塔式起重机进场检查核验表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基础</w:t>
            </w: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4</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塔式起重机底架水平度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5</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行走式塔式起重机导轨的水平度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6</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塔式起重机接地装置的设置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符合规范要求</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7</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排水措施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有排水措施，且无积水</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标识与环境</w:t>
            </w: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8</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产品标牌</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符合使用说明书和规范要求</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9*</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塔式起重机与周围环境关系</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尾部与建(构)筑物及施工设施之间的距离不小于0.6m</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10*</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两台塔式起重机之间的最小架设距离应保证处于低位塔式起重机的起重臂端部与另一塔式起重机的塔身之间至少有2m的距离；处于高位塔式起重机的最低位置的部件与低位塔式起重机中处于最高位置部件之间的垂直距离不应小于2m</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11*</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与输电线的距离应不小于《施工现场临时用电安全技术规范》JGJ46的规定</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pPr>
              <w:pStyle w:val="65"/>
            </w:pPr>
          </w:p>
          <w:p>
            <w:pPr>
              <w:pStyle w:val="65"/>
            </w:pPr>
          </w:p>
          <w:p>
            <w:pPr>
              <w:pStyle w:val="65"/>
            </w:pPr>
          </w:p>
          <w:p>
            <w:pPr>
              <w:pStyle w:val="65"/>
            </w:pPr>
            <w:r>
              <w:rPr>
                <w:rFonts w:hint="eastAsia"/>
              </w:rPr>
              <w:t>金属结构件</w:t>
            </w: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r>
              <w:rPr>
                <w:rFonts w:hint="eastAsia"/>
              </w:rPr>
              <w:t>金属结构件</w:t>
            </w: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12*</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主要结构件</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无可见裂纹和明显变形</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13*</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主要连接螺栓</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齐全，规格和预紧力达到使用说明书要求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14*</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主要连接销轴</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销轴符合出厂要求，连接可靠</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15</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过道、平台、栏杆、踏板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16</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梯子、护圈、休息平台</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17*</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塔身高度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塔身独立状态下的高度符合使用说明书要求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18*</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平衡重、压重</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平衡重、压重的重量与位置符合使用说明书要求，且安装牢固。</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19</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塔身垂直度偏差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在空载、风速不大于3m/s状态下，塔身独立状态的轴心线对支承面的垂直度≤4／1000</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20</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spacing w:val="-11"/>
                <w14:textFill>
                  <w14:solidFill>
                    <w14:schemeClr w14:val="tx1"/>
                  </w14:solidFill>
                </w14:textFill>
              </w:rPr>
              <w:t>内爬式塔式起重机的爬升框与支承钢梁、支承钢梁与建筑结构之间的连接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pPr>
              <w:pStyle w:val="65"/>
            </w:pPr>
            <w:r>
              <w:rPr>
                <w:rFonts w:hint="eastAsia"/>
              </w:rPr>
              <w:t>爬升与回转</w:t>
            </w: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21*</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平衡阀或液压锁与油缸间连接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设平衡阀或液压锁，且与油缸用硬管连接</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22</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爬升装置防脱功能</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自升式塔式起重在正常加节、降节作业时，具有可靠的防止爬升装置在塔身支承中或油缸端头从其连接结构中自行(非人为操作)脱出的功能</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23</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回转限位器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对回转处不设集电器供电的塔式起重机，设置正反两个方向回转限位开关。开关动作时臂架旋转角度不大于±540°</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pPr>
              <w:pStyle w:val="65"/>
            </w:pPr>
            <w:r>
              <w:rPr>
                <w:rFonts w:hint="eastAsia"/>
              </w:rPr>
              <w:t>起升系统</w:t>
            </w: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24*</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起重力矩限制器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灵敏可靠，限制值＜额定载荷ll0％，且显示误差≤±5%</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25*</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起升高度限位</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对动臂变幅和小车变幅的塔式起重机，当吊钩装置顶部升至起重臂下端的最小距离为800mm处时，能立即停止起升运动</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26*</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起重量限制器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灵敏可靠，限制值＜额定载荷110％，且显示误差≤±5％</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变幅系统</w:t>
            </w: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27</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小车断绳保护装置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双向均设置</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28</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小车断轴保护装置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齐全，设置位置合理</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29</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小车变幅检修挂篮</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30*</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小车变幅限位和终端止挡装置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对小车变幅的塔机，设置小车行程限位开关和终端缓冲装置。限位开关动作后应保证小车停车时其端部距缓冲装置最小距离为200mm</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31*</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动臂式变幅限位和防臂架后翻装置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rPr>
                <w:color w:val="000000" w:themeColor="text1"/>
                <w14:textFill>
                  <w14:solidFill>
                    <w14:schemeClr w14:val="tx1"/>
                  </w14:solidFill>
                </w14:textFill>
              </w:rPr>
            </w:pPr>
            <w:r>
              <w:rPr>
                <w:rFonts w:hint="eastAsia"/>
                <w:color w:val="000000" w:themeColor="text1"/>
                <w14:textFill>
                  <w14:solidFill>
                    <w14:schemeClr w14:val="tx1"/>
                  </w14:solidFill>
                </w14:textFill>
              </w:rPr>
              <w:t>动臂变幅有最大和最小幅度限位器，限制范围符合使用说明书要求；防止臂架反弹后翻的装置牢固可靠</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pPr>
              <w:pStyle w:val="65"/>
            </w:pPr>
          </w:p>
          <w:p>
            <w:pPr>
              <w:pStyle w:val="65"/>
            </w:pPr>
          </w:p>
          <w:p>
            <w:pPr>
              <w:pStyle w:val="65"/>
            </w:pPr>
          </w:p>
          <w:p>
            <w:pPr>
              <w:pStyle w:val="65"/>
            </w:pPr>
          </w:p>
          <w:p>
            <w:pPr>
              <w:pStyle w:val="65"/>
            </w:pPr>
            <w:r>
              <w:rPr>
                <w:rFonts w:hint="eastAsia"/>
              </w:rPr>
              <w:t>机构及</w:t>
            </w:r>
          </w:p>
          <w:p>
            <w:pPr>
              <w:pStyle w:val="65"/>
            </w:pPr>
            <w:r>
              <w:rPr>
                <w:rFonts w:hint="eastAsia"/>
              </w:rPr>
              <w:t>零部件</w:t>
            </w: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p>
          <w:p>
            <w:pPr>
              <w:pStyle w:val="65"/>
            </w:pPr>
            <w:r>
              <w:rPr>
                <w:rFonts w:hint="eastAsia"/>
              </w:rPr>
              <w:t>机构及</w:t>
            </w:r>
          </w:p>
          <w:p>
            <w:pPr>
              <w:pStyle w:val="65"/>
            </w:pPr>
            <w:r>
              <w:rPr>
                <w:rFonts w:hint="eastAsia"/>
              </w:rPr>
              <w:t>零部件</w:t>
            </w: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32</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吊钩</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钩体无裂纹、磨损、补焊，危险截面，钩筋无塑性变形</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33</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吊钩防钢丝绳脱钩装置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完整、可靠</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34</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滑轮</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滑轮转动良好，出现下列情况应报废：1．裂纹或轮缘破损；2.滑轮绳槽壁厚磨损量达原壁厚的20％；3．滑轮槽底的磨损量超过相应钢丝绳直径的25％</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35</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滑轮上钢丝绳防脱装置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完整、可靠，该装置与滑轮最外缘的间隙不应超过钢丝绳直径的20％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36</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卷筒</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卷筒壁不应有裂纹。筒壁磨损量不应大于原壁厚的10％；多层缠绕的卷筒，端部应有比最外层钢丝绳高出2倍钢丝绳直径的凸缘</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37</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卷筒上钢丝绳防脱装置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卷筒上钢丝绳,应排列有序，设有防钢丝绳脱槽装置。该装置与卷筒最外缘的间隙不应超过钢丝绳直径的20%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38</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钢丝绳端部固定</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符合使用说明书规定</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39</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钢丝绳穿绕方式、润</w:t>
            </w:r>
          </w:p>
          <w:p>
            <w:pPr>
              <w:pStyle w:val="65"/>
            </w:pPr>
            <w:r>
              <w:rPr>
                <w:rFonts w:hint="eastAsia"/>
              </w:rPr>
              <w:t>滑与干涉</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穿绕正确，润滑良好，无干涉</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40</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钢丝绳磨损量</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钢丝绳实测直径相对于公称直径减小7％或更多时，应报废</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41</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常用规格钢丝绳规定长度内达到报废标准的断丝数</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钢制滑轮上工作的圆股钢丝绳、抗扭钢丝绳中断丝根数的控制标准参照《起重机用钢丝绳检验和报废实用规范》GB/T 5972，达到报废标准应报废</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vMerge w:val="restart"/>
            <w:tcBorders>
              <w:top w:val="single" w:color="auto" w:sz="4" w:space="0"/>
              <w:left w:val="single" w:color="auto" w:sz="4" w:space="0"/>
              <w:bottom w:val="single" w:color="auto" w:sz="4" w:space="0"/>
              <w:right w:val="single" w:color="auto" w:sz="4" w:space="0"/>
            </w:tcBorders>
            <w:vAlign w:val="center"/>
          </w:tcPr>
          <w:p>
            <w:pPr>
              <w:pStyle w:val="65"/>
            </w:pPr>
            <w:r>
              <w:rPr>
                <w:rFonts w:hint="eastAsia"/>
              </w:rPr>
              <w:t>42</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钢丝绳的变形</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出现波浪形时，在钢丝绳长度不超过25d范围内，若波形幅度值达到4d／3或以上，则钢丝绳应报废</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笼状畸变、绳股挤出或钢丝挤出变形严重的钢丝绳应报废</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钢丝绳出现严重的扭结、压扁和弯折现象应报废</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绳径局部严重增大或减小均应报废</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43</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制动器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起升、回转、变幅、行走机构都应配备制动器，制动器不应有裂纹、过度磨损、塑性变形、缺件等缺陷。调整适宜，制动平稳可靠</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44</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传动装置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固定牢固，运行平稳</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45</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有可能伤人的活动零部件外露部分</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防护罩齐全</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pPr>
              <w:pStyle w:val="65"/>
            </w:pPr>
            <w:r>
              <w:rPr>
                <w:rFonts w:hint="eastAsia"/>
              </w:rPr>
              <w:t>电气及保护</w:t>
            </w: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46*</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紧急断电开关</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非自动复位，有效，且便于司机操作</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47*</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绝缘电阻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主电路和控制电路的对地绝缘电阻不应小于0.5MΩ</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48</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接地电阻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接地系统应便于复核检查，接地电阻不大于4Ω</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49</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专用开关箱</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单独设置并有警示标志</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50</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声响信号器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完好</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51</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保护零线</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绿/黄双色绝缘铜芯线，且不得作为载流回路</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52</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电源电缆与电缆保护</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无破损，老化。与金属接触处有绝缘材料隔离，移动电缆有电缆卷筒或其他防止磨损措施</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53</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障碍指示灯</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塔顶高度大于30m且高于周围建筑物时应安装，该指示灯的供电不应受停机的影响</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pPr>
              <w:pStyle w:val="65"/>
            </w:pPr>
            <w:r>
              <w:rPr>
                <w:rFonts w:hint="eastAsia"/>
              </w:rPr>
              <w:t>轨道</w:t>
            </w: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54</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行走轨道端部止挡装置与缓冲</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55*</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行走限位装置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制停后距止档装置≥1m</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56</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防风夹轨器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57</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排障清轨板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清孰板与轨道之目的间隙不应大于5mm</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58</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钢轨接头位置及误差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支承在道木或路基箱上时，两侧错开≥1.5m；间隙≤4mm；高差≤2mm</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59</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轨距误差及轨距拉杆设置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＜1／1000且最大应＜6mm；相邻两根间距≤6m</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司机室</w:t>
            </w: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60</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性能标牌(显示屏)</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齐全，清晰</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pPr>
              <w:pStyle w:val="65"/>
            </w:pP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61</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门窗和灭火器、雨刷</w:t>
            </w:r>
          </w:p>
          <w:p>
            <w:pPr>
              <w:pStyle w:val="65"/>
            </w:pPr>
            <w:r>
              <w:rPr>
                <w:rFonts w:hint="eastAsia"/>
              </w:rPr>
              <w:t>等附属设施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其他</w:t>
            </w:r>
          </w:p>
        </w:tc>
        <w:tc>
          <w:tcPr>
            <w:tcW w:w="666" w:type="dxa"/>
            <w:tcBorders>
              <w:top w:val="single" w:color="auto" w:sz="4" w:space="0"/>
              <w:left w:val="single" w:color="auto" w:sz="4" w:space="0"/>
              <w:bottom w:val="single" w:color="auto" w:sz="4" w:space="0"/>
              <w:right w:val="single" w:color="auto" w:sz="4" w:space="0"/>
            </w:tcBorders>
            <w:vAlign w:val="center"/>
          </w:tcPr>
          <w:p>
            <w:pPr>
              <w:pStyle w:val="65"/>
            </w:pPr>
            <w:r>
              <w:rPr>
                <w:rFonts w:hint="eastAsia"/>
              </w:rPr>
              <w:t>62</w:t>
            </w:r>
          </w:p>
        </w:tc>
        <w:tc>
          <w:tcPr>
            <w:tcW w:w="2034"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风速仪</w:t>
            </w:r>
          </w:p>
        </w:tc>
        <w:tc>
          <w:tcPr>
            <w:tcW w:w="3419"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臂架根部铰点高于50m时应设置</w:t>
            </w:r>
          </w:p>
        </w:tc>
        <w:tc>
          <w:tcPr>
            <w:tcW w:w="1103" w:type="dxa"/>
            <w:tcBorders>
              <w:top w:val="single" w:color="auto" w:sz="4" w:space="0"/>
              <w:left w:val="single" w:color="auto" w:sz="4" w:space="0"/>
              <w:bottom w:val="single" w:color="auto" w:sz="4" w:space="0"/>
              <w:right w:val="single" w:color="auto" w:sz="4" w:space="0"/>
            </w:tcBorders>
            <w:vAlign w:val="center"/>
          </w:tcPr>
          <w:p>
            <w:pPr>
              <w:pStyle w:val="65"/>
            </w:pPr>
          </w:p>
        </w:tc>
        <w:tc>
          <w:tcPr>
            <w:tcW w:w="1092" w:type="dxa"/>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0" w:type="dxa"/>
            <w:gridSpan w:val="9"/>
            <w:tcBorders>
              <w:top w:val="single" w:color="auto" w:sz="4" w:space="0"/>
              <w:left w:val="single" w:color="auto" w:sz="4" w:space="0"/>
              <w:bottom w:val="single" w:color="auto" w:sz="4" w:space="0"/>
              <w:right w:val="single" w:color="auto" w:sz="4" w:space="0"/>
            </w:tcBorders>
            <w:vAlign w:val="center"/>
          </w:tcPr>
          <w:p>
            <w:pPr>
              <w:pStyle w:val="65"/>
            </w:pPr>
            <w:r>
              <w:rPr>
                <w:rFonts w:hint="eastAsia"/>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6" w:type="dxa"/>
            <w:gridSpan w:val="3"/>
            <w:tcBorders>
              <w:top w:val="single" w:color="auto" w:sz="4" w:space="0"/>
              <w:left w:val="single" w:color="auto" w:sz="4" w:space="0"/>
              <w:bottom w:val="single" w:color="auto" w:sz="4" w:space="0"/>
              <w:right w:val="single" w:color="auto" w:sz="4" w:space="0"/>
            </w:tcBorders>
            <w:vAlign w:val="center"/>
          </w:tcPr>
          <w:p>
            <w:pPr>
              <w:pStyle w:val="65"/>
            </w:pPr>
            <w:r>
              <w:rPr>
                <w:rFonts w:hint="eastAsia"/>
              </w:rPr>
              <w:t>保证项目不合格项数</w:t>
            </w:r>
          </w:p>
        </w:tc>
        <w:tc>
          <w:tcPr>
            <w:tcW w:w="2522" w:type="dxa"/>
            <w:gridSpan w:val="2"/>
            <w:tcBorders>
              <w:top w:val="single" w:color="auto" w:sz="4" w:space="0"/>
              <w:left w:val="single" w:color="auto" w:sz="4" w:space="0"/>
              <w:bottom w:val="single" w:color="auto" w:sz="4" w:space="0"/>
              <w:right w:val="single" w:color="auto" w:sz="4" w:space="0"/>
            </w:tcBorders>
            <w:vAlign w:val="center"/>
          </w:tcPr>
          <w:p>
            <w:pPr>
              <w:pStyle w:val="65"/>
            </w:pPr>
          </w:p>
        </w:tc>
        <w:tc>
          <w:tcPr>
            <w:tcW w:w="2337" w:type="dxa"/>
            <w:gridSpan w:val="2"/>
            <w:tcBorders>
              <w:top w:val="single" w:color="auto" w:sz="4" w:space="0"/>
              <w:left w:val="single" w:color="auto" w:sz="4" w:space="0"/>
              <w:bottom w:val="single" w:color="auto" w:sz="4" w:space="0"/>
              <w:right w:val="single" w:color="auto" w:sz="4" w:space="0"/>
            </w:tcBorders>
            <w:vAlign w:val="center"/>
          </w:tcPr>
          <w:p>
            <w:pPr>
              <w:pStyle w:val="65"/>
            </w:pPr>
            <w:r>
              <w:rPr>
                <w:rFonts w:hint="eastAsia"/>
              </w:rPr>
              <w:t>一般项目不合格项数</w:t>
            </w:r>
          </w:p>
        </w:tc>
        <w:tc>
          <w:tcPr>
            <w:tcW w:w="2195" w:type="dxa"/>
            <w:gridSpan w:val="2"/>
            <w:tcBorders>
              <w:top w:val="single" w:color="auto" w:sz="4" w:space="0"/>
              <w:left w:val="single" w:color="auto" w:sz="4" w:space="0"/>
              <w:bottom w:val="single" w:color="auto" w:sz="4" w:space="0"/>
              <w:right w:val="single" w:color="auto" w:sz="4" w:space="0"/>
            </w:tcBorders>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pPr>
              <w:pStyle w:val="65"/>
              <w:rPr>
                <w:kern w:val="0"/>
                <w:lang w:bidi="ar"/>
              </w:rPr>
            </w:pPr>
            <w:r>
              <w:rPr>
                <w:rFonts w:hint="eastAsia"/>
                <w:kern w:val="0"/>
                <w:lang w:bidi="ar"/>
              </w:rPr>
              <w:t>租赁单位意见：</w:t>
            </w:r>
          </w:p>
          <w:p>
            <w:pPr>
              <w:pStyle w:val="65"/>
              <w:rPr>
                <w:kern w:val="0"/>
                <w:lang w:bidi="ar"/>
              </w:rPr>
            </w:pPr>
          </w:p>
          <w:p>
            <w:pPr>
              <w:pStyle w:val="65"/>
              <w:rPr>
                <w:kern w:val="0"/>
                <w:lang w:bidi="ar"/>
              </w:rPr>
            </w:pPr>
          </w:p>
          <w:p>
            <w:pPr>
              <w:pStyle w:val="65"/>
              <w:rPr>
                <w:kern w:val="0"/>
                <w:lang w:bidi="ar"/>
              </w:rPr>
            </w:pPr>
            <w:r>
              <w:rPr>
                <w:rFonts w:hint="eastAsia"/>
                <w:kern w:val="0"/>
                <w:lang w:bidi="ar"/>
              </w:rPr>
              <w:t>租赁负责人（签字）：                      （盖章）</w:t>
            </w:r>
          </w:p>
          <w:p>
            <w:pPr>
              <w:pStyle w:val="65"/>
              <w:rPr>
                <w:kern w:val="0"/>
                <w:lang w:bidi="ar"/>
              </w:rPr>
            </w:pPr>
          </w:p>
          <w:p>
            <w:pPr>
              <w:pStyle w:val="65"/>
            </w:pPr>
            <w:r>
              <w:rPr>
                <w:rFonts w:hint="eastAsia"/>
                <w:kern w:val="0"/>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pPr>
              <w:pStyle w:val="65"/>
              <w:rPr>
                <w:kern w:val="0"/>
                <w:lang w:bidi="ar"/>
              </w:rPr>
            </w:pPr>
            <w:r>
              <w:rPr>
                <w:rFonts w:hint="eastAsia"/>
                <w:kern w:val="0"/>
                <w:lang w:bidi="ar"/>
              </w:rPr>
              <w:t>使用单位意见：</w:t>
            </w:r>
          </w:p>
          <w:p>
            <w:pPr>
              <w:pStyle w:val="65"/>
              <w:rPr>
                <w:kern w:val="0"/>
                <w:lang w:bidi="ar"/>
              </w:rPr>
            </w:pPr>
          </w:p>
          <w:p>
            <w:pPr>
              <w:pStyle w:val="65"/>
              <w:rPr>
                <w:kern w:val="0"/>
                <w:lang w:bidi="ar"/>
              </w:rPr>
            </w:pPr>
          </w:p>
          <w:p>
            <w:pPr>
              <w:pStyle w:val="65"/>
              <w:rPr>
                <w:kern w:val="0"/>
                <w:lang w:bidi="ar"/>
              </w:rPr>
            </w:pPr>
            <w:r>
              <w:rPr>
                <w:rFonts w:hint="eastAsia"/>
                <w:kern w:val="0"/>
                <w:lang w:bidi="ar"/>
              </w:rPr>
              <w:t>项目技术负责人或机械员（签字）            （盖章）</w:t>
            </w:r>
          </w:p>
          <w:p>
            <w:pPr>
              <w:pStyle w:val="65"/>
              <w:rPr>
                <w:kern w:val="0"/>
                <w:lang w:bidi="ar"/>
              </w:rPr>
            </w:pPr>
          </w:p>
          <w:p>
            <w:pPr>
              <w:pStyle w:val="65"/>
            </w:pPr>
            <w:r>
              <w:rPr>
                <w:rFonts w:hint="eastAsia"/>
                <w:kern w:val="0"/>
                <w:lang w:bidi="ar"/>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pPr>
              <w:pStyle w:val="65"/>
              <w:rPr>
                <w:kern w:val="0"/>
                <w:lang w:bidi="ar"/>
              </w:rPr>
            </w:pPr>
            <w:r>
              <w:rPr>
                <w:rFonts w:hint="eastAsia"/>
                <w:kern w:val="0"/>
                <w:lang w:bidi="ar"/>
              </w:rPr>
              <w:t>安装单位意见：</w:t>
            </w:r>
          </w:p>
          <w:p>
            <w:pPr>
              <w:pStyle w:val="65"/>
              <w:rPr>
                <w:kern w:val="0"/>
                <w:lang w:bidi="ar"/>
              </w:rPr>
            </w:pPr>
          </w:p>
          <w:p>
            <w:pPr>
              <w:pStyle w:val="65"/>
              <w:rPr>
                <w:kern w:val="0"/>
                <w:lang w:bidi="ar"/>
              </w:rPr>
            </w:pPr>
          </w:p>
          <w:p>
            <w:pPr>
              <w:pStyle w:val="65"/>
              <w:rPr>
                <w:kern w:val="0"/>
                <w:lang w:bidi="ar"/>
              </w:rPr>
            </w:pPr>
            <w:r>
              <w:rPr>
                <w:rFonts w:hint="eastAsia"/>
                <w:kern w:val="0"/>
                <w:lang w:bidi="ar"/>
              </w:rPr>
              <w:t xml:space="preserve"> 技术负责人（或受委托负责人）（签字）      （盖章）</w:t>
            </w:r>
          </w:p>
          <w:p>
            <w:pPr>
              <w:pStyle w:val="65"/>
              <w:rPr>
                <w:kern w:val="0"/>
                <w:lang w:bidi="ar"/>
              </w:rPr>
            </w:pPr>
          </w:p>
          <w:p>
            <w:pPr>
              <w:pStyle w:val="65"/>
            </w:pPr>
            <w:r>
              <w:rPr>
                <w:rFonts w:hint="eastAsia"/>
                <w:kern w:val="0"/>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pPr>
              <w:pStyle w:val="65"/>
              <w:rPr>
                <w:kern w:val="0"/>
                <w:lang w:bidi="ar"/>
              </w:rPr>
            </w:pPr>
            <w:r>
              <w:rPr>
                <w:rFonts w:hint="eastAsia"/>
                <w:kern w:val="0"/>
                <w:lang w:bidi="ar"/>
              </w:rPr>
              <w:t>监理单位意见：</w:t>
            </w:r>
          </w:p>
          <w:p>
            <w:pPr>
              <w:pStyle w:val="65"/>
              <w:rPr>
                <w:kern w:val="0"/>
                <w:lang w:bidi="ar"/>
              </w:rPr>
            </w:pPr>
          </w:p>
          <w:p>
            <w:pPr>
              <w:pStyle w:val="65"/>
              <w:rPr>
                <w:kern w:val="0"/>
                <w:lang w:bidi="ar"/>
              </w:rPr>
            </w:pPr>
          </w:p>
          <w:p>
            <w:pPr>
              <w:pStyle w:val="65"/>
              <w:rPr>
                <w:kern w:val="0"/>
                <w:lang w:bidi="ar"/>
              </w:rPr>
            </w:pPr>
            <w:r>
              <w:rPr>
                <w:rFonts w:hint="eastAsia"/>
                <w:kern w:val="0"/>
                <w:lang w:bidi="ar"/>
              </w:rPr>
              <w:t>总监或专业监理工程师（签字）：             （盖章）</w:t>
            </w:r>
          </w:p>
          <w:p>
            <w:pPr>
              <w:pStyle w:val="65"/>
              <w:rPr>
                <w:kern w:val="0"/>
                <w:lang w:bidi="ar"/>
              </w:rPr>
            </w:pPr>
          </w:p>
          <w:p>
            <w:pPr>
              <w:pStyle w:val="65"/>
            </w:pPr>
            <w:r>
              <w:rPr>
                <w:rFonts w:hint="eastAsia"/>
                <w:kern w:val="0"/>
                <w:lang w:bidi="ar"/>
              </w:rPr>
              <w:t>年   月   日</w:t>
            </w:r>
          </w:p>
        </w:tc>
      </w:tr>
    </w:tbl>
    <w:p>
      <w:pPr>
        <w:pStyle w:val="3"/>
        <w:rPr>
          <w:rFonts w:hint="eastAsia"/>
          <w:sz w:val="32"/>
          <w:szCs w:val="32"/>
        </w:rPr>
      </w:pPr>
      <w:bookmarkStart w:id="110" w:name="_Toc11629"/>
      <w:r>
        <w:rPr>
          <w:rFonts w:hint="eastAsia"/>
          <w:sz w:val="32"/>
          <w:szCs w:val="32"/>
        </w:rPr>
        <w:t>应急处置措施</w:t>
      </w:r>
      <w:bookmarkEnd w:id="110"/>
    </w:p>
    <w:p>
      <w:pPr>
        <w:pStyle w:val="4"/>
      </w:pPr>
      <w:bookmarkStart w:id="111" w:name="_Toc1518"/>
      <w:r>
        <w:rPr>
          <w:rFonts w:hint="eastAsia"/>
        </w:rPr>
        <w:t>风险源辨识及分析</w:t>
      </w:r>
      <w:bookmarkEnd w:id="111"/>
    </w:p>
    <w:p>
      <w:pPr>
        <w:pStyle w:val="5"/>
        <w:bidi w:val="0"/>
        <w:ind w:left="0" w:leftChars="0" w:firstLine="0" w:firstLineChars="0"/>
        <w:rPr>
          <w:rFonts w:hint="eastAsia"/>
          <w:sz w:val="24"/>
          <w:szCs w:val="24"/>
          <w:lang w:val="en-US" w:eastAsia="zh-CN"/>
        </w:rPr>
      </w:pPr>
      <w:r>
        <w:rPr>
          <w:rFonts w:hint="eastAsia"/>
          <w:sz w:val="24"/>
          <w:szCs w:val="24"/>
          <w:lang w:val="en-US" w:eastAsia="zh-CN"/>
        </w:rPr>
        <w:t xml:space="preserve">LEC风险评估方法简介 </w:t>
      </w:r>
    </w:p>
    <w:p>
      <w:pPr>
        <w:ind w:firstLine="480"/>
      </w:pPr>
      <w:r>
        <w:rPr>
          <w:rFonts w:hint="eastAsia"/>
        </w:rPr>
        <w:t>本项目施工风险评估采用“LEC风险法”，其考虑的危险因素有三个：发生事故或危险事件的可能性，危险作业出现频率和事故的后果。主要是评估人员根据实际经验，对评估对象的现状情况进行分析，然后根据公式计算其危险性分数值，再按经验将危险性分数值划分危险程度等级表。</w:t>
      </w:r>
    </w:p>
    <w:p>
      <w:pPr>
        <w:ind w:firstLine="480"/>
        <w:rPr>
          <w:rFonts w:hint="eastAsia"/>
        </w:rPr>
      </w:pPr>
      <w:r>
        <w:rPr>
          <w:rFonts w:hint="eastAsia"/>
        </w:rPr>
        <w:t>“LEC风险法”事故风险大小计算公式为：D=L×E×C</w:t>
      </w:r>
    </w:p>
    <w:p>
      <w:pPr>
        <w:ind w:firstLine="480"/>
        <w:rPr>
          <w:rFonts w:hint="eastAsia"/>
        </w:rPr>
      </w:pPr>
      <w:r>
        <w:rPr>
          <w:rFonts w:hint="eastAsia"/>
        </w:rPr>
        <w:t>D——事故风险大小</w:t>
      </w:r>
    </w:p>
    <w:p>
      <w:pPr>
        <w:ind w:firstLine="480"/>
        <w:rPr>
          <w:rFonts w:hint="eastAsia"/>
        </w:rPr>
      </w:pPr>
      <w:r>
        <w:rPr>
          <w:rFonts w:hint="eastAsia"/>
        </w:rPr>
        <w:t>L——事故发生的可能性</w:t>
      </w:r>
    </w:p>
    <w:p>
      <w:pPr>
        <w:ind w:firstLine="480"/>
        <w:rPr>
          <w:rFonts w:hint="eastAsia"/>
        </w:rPr>
      </w:pPr>
      <w:r>
        <w:rPr>
          <w:rFonts w:hint="eastAsia"/>
        </w:rPr>
        <w:t>E——暴露于风险环境的频率</w:t>
      </w:r>
    </w:p>
    <w:p>
      <w:pPr>
        <w:ind w:firstLine="480"/>
        <w:rPr>
          <w:rFonts w:hint="eastAsia"/>
        </w:rPr>
      </w:pPr>
      <w:r>
        <w:rPr>
          <w:rFonts w:hint="eastAsia"/>
        </w:rPr>
        <w:t>C——发生事故的可能后果</w:t>
      </w:r>
    </w:p>
    <w:p>
      <w:pPr>
        <w:ind w:firstLine="480"/>
        <w:rPr>
          <w:rFonts w:hint="eastAsia"/>
        </w:rPr>
      </w:pPr>
      <w:r>
        <w:rPr>
          <w:rFonts w:hint="eastAsia"/>
        </w:rPr>
        <w:t>事故发生的可能性L定性表达了事故发生的概率。必然发生的事故的概率为1，规定对应得分值为10；实际上不可能事故发生的情况对应得分值为0.5；以此为基础确定，其取值范围如</w:t>
      </w:r>
      <w:r>
        <w:rPr>
          <w:rFonts w:hint="eastAsia"/>
        </w:rPr>
        <w:fldChar w:fldCharType="begin"/>
      </w:r>
      <w:r>
        <w:rPr>
          <w:rFonts w:hint="eastAsia"/>
        </w:rPr>
        <w:instrText xml:space="preserve"> REF _Ref67577224 \h  \* MERGEFORMAT </w:instrText>
      </w:r>
      <w:r>
        <w:rPr>
          <w:rFonts w:hint="eastAsia"/>
        </w:rPr>
        <w:fldChar w:fldCharType="separate"/>
      </w:r>
      <w:r>
        <w:rPr>
          <w:rFonts w:hint="eastAsia"/>
        </w:rPr>
        <w:t>表 9.1</w:t>
      </w:r>
      <w:r>
        <w:rPr>
          <w:rFonts w:hint="eastAsia"/>
        </w:rPr>
        <w:noBreakHyphen/>
      </w:r>
      <w:r>
        <w:rPr>
          <w:rFonts w:hint="eastAsia"/>
        </w:rPr>
        <w:t>1</w:t>
      </w:r>
      <w:r>
        <w:rPr>
          <w:rFonts w:hint="eastAsia"/>
        </w:rPr>
        <w:fldChar w:fldCharType="end"/>
      </w:r>
      <w:r>
        <w:rPr>
          <w:rFonts w:hint="eastAsia"/>
        </w:rPr>
        <w:t>。</w:t>
      </w:r>
    </w:p>
    <w:p>
      <w:pPr>
        <w:pStyle w:val="16"/>
        <w:rPr>
          <w:color w:val="000000" w:themeColor="text1"/>
          <w14:textFill>
            <w14:solidFill>
              <w14:schemeClr w14:val="tx1"/>
            </w14:solidFill>
          </w14:textFill>
        </w:rPr>
      </w:pPr>
      <w:bookmarkStart w:id="112" w:name="_Ref67577224"/>
      <w:r>
        <w:rPr>
          <w:rFonts w:hint="eastAsia"/>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STYLEREF 3 \s</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9.1.1</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 \* ARABIC \s 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bookmarkEnd w:id="112"/>
      <w:r>
        <w:rPr>
          <w:rFonts w:hint="eastAsia"/>
          <w:color w:val="000000" w:themeColor="text1"/>
          <w14:textFill>
            <w14:solidFill>
              <w14:schemeClr w14:val="tx1"/>
            </w14:solidFill>
          </w14:textFill>
        </w:rPr>
        <w:t>事故发生可能性（L）</w:t>
      </w:r>
    </w:p>
    <w:tbl>
      <w:tblPr>
        <w:tblStyle w:val="69"/>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07"/>
        <w:gridCol w:w="1056"/>
        <w:gridCol w:w="2679"/>
        <w:gridCol w:w="907"/>
        <w:gridCol w:w="1057"/>
        <w:gridCol w:w="26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44" w:type="pct"/>
            <w:shd w:val="clear" w:color="auto" w:fill="C6D9F0" w:themeFill="text2" w:themeFillTint="33"/>
            <w:vAlign w:val="center"/>
          </w:tcPr>
          <w:p>
            <w:pPr>
              <w:pStyle w:val="65"/>
              <w:ind w:firstLine="480"/>
              <w:rPr>
                <w:rFonts w:ascii="Times New Roman" w:hAnsi="Times New Roman" w:eastAsia="宋体"/>
                <w:b w:val="0"/>
                <w:i w:val="0"/>
                <w:color w:val="000000" w:themeColor="text1"/>
                <w14:textFill>
                  <w14:solidFill>
                    <w14:schemeClr w14:val="tx1"/>
                  </w14:solidFill>
                </w14:textFill>
              </w:rPr>
            </w:pPr>
            <w:r>
              <w:rPr>
                <w:rFonts w:hint="eastAsia" w:ascii="Times New Roman" w:hAnsi="Times New Roman" w:eastAsia="宋体"/>
                <w:b/>
                <w:i w:val="0"/>
                <w:color w:val="000000" w:themeColor="text1"/>
                <w14:textFill>
                  <w14:solidFill>
                    <w14:schemeClr w14:val="tx1"/>
                  </w14:solidFill>
                </w14:textFill>
              </w:rPr>
              <w:t>序号</w:t>
            </w:r>
          </w:p>
        </w:tc>
        <w:tc>
          <w:tcPr>
            <w:tcW w:w="591" w:type="pct"/>
            <w:shd w:val="clear" w:color="auto" w:fill="C6D9F0" w:themeFill="text2" w:themeFillTint="33"/>
            <w:vAlign w:val="center"/>
          </w:tcPr>
          <w:p>
            <w:pPr>
              <w:pStyle w:val="65"/>
              <w:ind w:firstLine="480"/>
              <w:rPr>
                <w:rFonts w:ascii="Times New Roman" w:hAnsi="Times New Roman" w:eastAsia="宋体"/>
                <w:b w:val="0"/>
                <w:i w:val="0"/>
                <w:color w:val="000000" w:themeColor="text1"/>
                <w14:textFill>
                  <w14:solidFill>
                    <w14:schemeClr w14:val="tx1"/>
                  </w14:solidFill>
                </w14:textFill>
              </w:rPr>
            </w:pPr>
            <w:r>
              <w:rPr>
                <w:rFonts w:hint="eastAsia" w:ascii="Times New Roman" w:hAnsi="Times New Roman" w:eastAsia="宋体"/>
                <w:b/>
                <w:i w:val="0"/>
                <w:color w:val="000000" w:themeColor="text1"/>
                <w14:textFill>
                  <w14:solidFill>
                    <w14:schemeClr w14:val="tx1"/>
                  </w14:solidFill>
                </w14:textFill>
              </w:rPr>
              <w:t>分数值</w:t>
            </w:r>
          </w:p>
        </w:tc>
        <w:tc>
          <w:tcPr>
            <w:tcW w:w="1465" w:type="pct"/>
            <w:shd w:val="clear" w:color="auto" w:fill="C6D9F0" w:themeFill="text2" w:themeFillTint="33"/>
            <w:vAlign w:val="center"/>
          </w:tcPr>
          <w:p>
            <w:pPr>
              <w:pStyle w:val="65"/>
              <w:ind w:firstLine="480"/>
              <w:rPr>
                <w:rFonts w:ascii="Times New Roman" w:hAnsi="Times New Roman" w:eastAsia="宋体"/>
                <w:b w:val="0"/>
                <w:i w:val="0"/>
                <w:color w:val="000000" w:themeColor="text1"/>
                <w14:textFill>
                  <w14:solidFill>
                    <w14:schemeClr w14:val="tx1"/>
                  </w14:solidFill>
                </w14:textFill>
              </w:rPr>
            </w:pPr>
            <w:r>
              <w:rPr>
                <w:rFonts w:hint="eastAsia" w:ascii="Times New Roman" w:hAnsi="Times New Roman" w:eastAsia="宋体"/>
                <w:b/>
                <w:i w:val="0"/>
                <w:color w:val="000000" w:themeColor="text1"/>
                <w14:textFill>
                  <w14:solidFill>
                    <w14:schemeClr w14:val="tx1"/>
                  </w14:solidFill>
                </w14:textFill>
              </w:rPr>
              <w:t>事故发生的可能性</w:t>
            </w:r>
          </w:p>
        </w:tc>
        <w:tc>
          <w:tcPr>
            <w:tcW w:w="444" w:type="pct"/>
            <w:shd w:val="clear" w:color="auto" w:fill="C6D9F0" w:themeFill="text2" w:themeFillTint="33"/>
            <w:vAlign w:val="center"/>
          </w:tcPr>
          <w:p>
            <w:pPr>
              <w:pStyle w:val="65"/>
              <w:ind w:firstLine="480"/>
              <w:rPr>
                <w:rFonts w:ascii="Times New Roman" w:hAnsi="Times New Roman" w:eastAsia="宋体"/>
                <w:b w:val="0"/>
                <w:i w:val="0"/>
                <w:color w:val="000000" w:themeColor="text1"/>
                <w14:textFill>
                  <w14:solidFill>
                    <w14:schemeClr w14:val="tx1"/>
                  </w14:solidFill>
                </w14:textFill>
              </w:rPr>
            </w:pPr>
            <w:r>
              <w:rPr>
                <w:rFonts w:hint="eastAsia" w:ascii="Times New Roman" w:hAnsi="Times New Roman" w:eastAsia="宋体"/>
                <w:b/>
                <w:i w:val="0"/>
                <w:color w:val="000000" w:themeColor="text1"/>
                <w14:textFill>
                  <w14:solidFill>
                    <w14:schemeClr w14:val="tx1"/>
                  </w14:solidFill>
                </w14:textFill>
              </w:rPr>
              <w:t>序号</w:t>
            </w:r>
          </w:p>
        </w:tc>
        <w:tc>
          <w:tcPr>
            <w:tcW w:w="591" w:type="pct"/>
            <w:shd w:val="clear" w:color="auto" w:fill="C6D9F0" w:themeFill="text2" w:themeFillTint="33"/>
            <w:vAlign w:val="center"/>
          </w:tcPr>
          <w:p>
            <w:pPr>
              <w:pStyle w:val="65"/>
              <w:ind w:firstLine="480"/>
              <w:rPr>
                <w:rFonts w:ascii="Times New Roman" w:hAnsi="Times New Roman" w:eastAsia="宋体"/>
                <w:b w:val="0"/>
                <w:i w:val="0"/>
                <w:color w:val="000000" w:themeColor="text1"/>
                <w14:textFill>
                  <w14:solidFill>
                    <w14:schemeClr w14:val="tx1"/>
                  </w14:solidFill>
                </w14:textFill>
              </w:rPr>
            </w:pPr>
            <w:r>
              <w:rPr>
                <w:rFonts w:hint="eastAsia" w:ascii="Times New Roman" w:hAnsi="Times New Roman" w:eastAsia="宋体"/>
                <w:b/>
                <w:i w:val="0"/>
                <w:color w:val="000000" w:themeColor="text1"/>
                <w14:textFill>
                  <w14:solidFill>
                    <w14:schemeClr w14:val="tx1"/>
                  </w14:solidFill>
                </w14:textFill>
              </w:rPr>
              <w:t>分数值</w:t>
            </w:r>
          </w:p>
        </w:tc>
        <w:tc>
          <w:tcPr>
            <w:tcW w:w="1465" w:type="pct"/>
            <w:shd w:val="clear" w:color="auto" w:fill="C6D9F0" w:themeFill="text2" w:themeFillTint="33"/>
            <w:vAlign w:val="center"/>
          </w:tcPr>
          <w:p>
            <w:pPr>
              <w:pStyle w:val="65"/>
              <w:ind w:firstLine="480"/>
              <w:rPr>
                <w:rFonts w:ascii="Times New Roman" w:hAnsi="Times New Roman" w:eastAsia="宋体"/>
                <w:b w:val="0"/>
                <w:i w:val="0"/>
                <w:color w:val="000000" w:themeColor="text1"/>
                <w14:textFill>
                  <w14:solidFill>
                    <w14:schemeClr w14:val="tx1"/>
                  </w14:solidFill>
                </w14:textFill>
              </w:rPr>
            </w:pPr>
            <w:r>
              <w:rPr>
                <w:rFonts w:hint="eastAsia" w:ascii="Times New Roman" w:hAnsi="Times New Roman" w:eastAsia="宋体"/>
                <w:b/>
                <w:i w:val="0"/>
                <w:color w:val="000000" w:themeColor="text1"/>
                <w14:textFill>
                  <w14:solidFill>
                    <w14:schemeClr w14:val="tx1"/>
                  </w14:solidFill>
                </w14:textFill>
              </w:rPr>
              <w:t>事故发生的可能性</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44" w:type="pct"/>
            <w:vAlign w:val="center"/>
          </w:tcPr>
          <w:p>
            <w:pPr>
              <w:pStyle w:val="65"/>
              <w:ind w:firstLine="480"/>
              <w:rPr>
                <w:rFonts w:ascii="Times New Roman" w:hAnsi="Times New Roman" w:eastAsia="宋体"/>
                <w:b w:val="0"/>
                <w:i w:val="0"/>
                <w:color w:val="000000" w:themeColor="text1"/>
                <w14:textFill>
                  <w14:solidFill>
                    <w14:schemeClr w14:val="tx1"/>
                  </w14:solidFill>
                </w14:textFill>
              </w:rPr>
            </w:pPr>
            <w:r>
              <w:rPr>
                <w:rFonts w:hint="eastAsia" w:ascii="Times New Roman" w:hAnsi="Times New Roman" w:eastAsia="宋体"/>
                <w:b w:val="0"/>
                <w:i w:val="0"/>
                <w:color w:val="000000" w:themeColor="text1"/>
                <w14:textFill>
                  <w14:solidFill>
                    <w14:schemeClr w14:val="tx1"/>
                  </w14:solidFill>
                </w14:textFill>
              </w:rPr>
              <w:t>1</w:t>
            </w:r>
          </w:p>
        </w:tc>
        <w:tc>
          <w:tcPr>
            <w:tcW w:w="591" w:type="pct"/>
            <w:vAlign w:val="center"/>
          </w:tcPr>
          <w:p>
            <w:pPr>
              <w:pStyle w:val="6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465" w:type="pct"/>
            <w:vAlign w:val="center"/>
          </w:tcPr>
          <w:p>
            <w:pPr>
              <w:pStyle w:val="6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完全可以预料</w:t>
            </w:r>
          </w:p>
        </w:tc>
        <w:tc>
          <w:tcPr>
            <w:tcW w:w="444" w:type="pct"/>
            <w:vAlign w:val="center"/>
          </w:tcPr>
          <w:p>
            <w:pPr>
              <w:pStyle w:val="6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591" w:type="pct"/>
            <w:vAlign w:val="center"/>
          </w:tcPr>
          <w:p>
            <w:pPr>
              <w:pStyle w:val="6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1465" w:type="pct"/>
            <w:vAlign w:val="center"/>
          </w:tcPr>
          <w:p>
            <w:pPr>
              <w:pStyle w:val="6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很不可能，可以设想</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44" w:type="pct"/>
            <w:vAlign w:val="center"/>
          </w:tcPr>
          <w:p>
            <w:pPr>
              <w:pStyle w:val="65"/>
              <w:ind w:firstLine="480"/>
              <w:rPr>
                <w:rFonts w:ascii="Times New Roman" w:hAnsi="Times New Roman" w:eastAsia="宋体"/>
                <w:b w:val="0"/>
                <w:i w:val="0"/>
                <w:color w:val="000000" w:themeColor="text1"/>
                <w14:textFill>
                  <w14:solidFill>
                    <w14:schemeClr w14:val="tx1"/>
                  </w14:solidFill>
                </w14:textFill>
              </w:rPr>
            </w:pPr>
            <w:r>
              <w:rPr>
                <w:rFonts w:hint="eastAsia" w:ascii="Times New Roman" w:hAnsi="Times New Roman" w:eastAsia="宋体"/>
                <w:b w:val="0"/>
                <w:i w:val="0"/>
                <w:color w:val="000000" w:themeColor="text1"/>
                <w14:textFill>
                  <w14:solidFill>
                    <w14:schemeClr w14:val="tx1"/>
                  </w14:solidFill>
                </w14:textFill>
              </w:rPr>
              <w:t>2</w:t>
            </w:r>
          </w:p>
        </w:tc>
        <w:tc>
          <w:tcPr>
            <w:tcW w:w="591" w:type="pct"/>
            <w:vAlign w:val="center"/>
          </w:tcPr>
          <w:p>
            <w:pPr>
              <w:pStyle w:val="6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465" w:type="pct"/>
            <w:vAlign w:val="center"/>
          </w:tcPr>
          <w:p>
            <w:pPr>
              <w:pStyle w:val="6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相当可能</w:t>
            </w:r>
          </w:p>
        </w:tc>
        <w:tc>
          <w:tcPr>
            <w:tcW w:w="444" w:type="pct"/>
            <w:vAlign w:val="center"/>
          </w:tcPr>
          <w:p>
            <w:pPr>
              <w:pStyle w:val="6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591" w:type="pct"/>
            <w:vAlign w:val="center"/>
          </w:tcPr>
          <w:p>
            <w:pPr>
              <w:pStyle w:val="6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w:t>
            </w:r>
          </w:p>
        </w:tc>
        <w:tc>
          <w:tcPr>
            <w:tcW w:w="1465" w:type="pct"/>
            <w:vAlign w:val="center"/>
          </w:tcPr>
          <w:p>
            <w:pPr>
              <w:pStyle w:val="6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极不可能</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44" w:type="pct"/>
            <w:vAlign w:val="center"/>
          </w:tcPr>
          <w:p>
            <w:pPr>
              <w:pStyle w:val="65"/>
              <w:ind w:firstLine="480"/>
              <w:rPr>
                <w:rFonts w:ascii="Times New Roman" w:hAnsi="Times New Roman" w:eastAsia="宋体"/>
                <w:b w:val="0"/>
                <w:i w:val="0"/>
                <w:color w:val="000000" w:themeColor="text1"/>
                <w14:textFill>
                  <w14:solidFill>
                    <w14:schemeClr w14:val="tx1"/>
                  </w14:solidFill>
                </w14:textFill>
              </w:rPr>
            </w:pPr>
            <w:r>
              <w:rPr>
                <w:rFonts w:hint="eastAsia" w:ascii="Times New Roman" w:hAnsi="Times New Roman" w:eastAsia="宋体"/>
                <w:b w:val="0"/>
                <w:i w:val="0"/>
                <w:color w:val="000000" w:themeColor="text1"/>
                <w14:textFill>
                  <w14:solidFill>
                    <w14:schemeClr w14:val="tx1"/>
                  </w14:solidFill>
                </w14:textFill>
              </w:rPr>
              <w:t>3</w:t>
            </w:r>
          </w:p>
        </w:tc>
        <w:tc>
          <w:tcPr>
            <w:tcW w:w="591" w:type="pct"/>
            <w:vAlign w:val="center"/>
          </w:tcPr>
          <w:p>
            <w:pPr>
              <w:pStyle w:val="6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465" w:type="pct"/>
            <w:vAlign w:val="center"/>
          </w:tcPr>
          <w:p>
            <w:pPr>
              <w:pStyle w:val="6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可能，但不经常</w:t>
            </w:r>
          </w:p>
        </w:tc>
        <w:tc>
          <w:tcPr>
            <w:tcW w:w="444" w:type="pct"/>
            <w:vAlign w:val="center"/>
          </w:tcPr>
          <w:p>
            <w:pPr>
              <w:pStyle w:val="65"/>
              <w:ind w:firstLine="480"/>
              <w:rPr>
                <w:color w:val="000000" w:themeColor="text1"/>
                <w14:textFill>
                  <w14:solidFill>
                    <w14:schemeClr w14:val="tx1"/>
                  </w14:solidFill>
                </w14:textFill>
              </w:rPr>
            </w:pPr>
          </w:p>
        </w:tc>
        <w:tc>
          <w:tcPr>
            <w:tcW w:w="591" w:type="pct"/>
            <w:vAlign w:val="center"/>
          </w:tcPr>
          <w:p>
            <w:pPr>
              <w:pStyle w:val="65"/>
              <w:ind w:firstLine="480"/>
              <w:rPr>
                <w:color w:val="000000" w:themeColor="text1"/>
                <w14:textFill>
                  <w14:solidFill>
                    <w14:schemeClr w14:val="tx1"/>
                  </w14:solidFill>
                </w14:textFill>
              </w:rPr>
            </w:pPr>
          </w:p>
        </w:tc>
        <w:tc>
          <w:tcPr>
            <w:tcW w:w="1465" w:type="pct"/>
            <w:vAlign w:val="center"/>
          </w:tcPr>
          <w:p>
            <w:pPr>
              <w:pStyle w:val="65"/>
              <w:ind w:firstLine="480"/>
              <w:rPr>
                <w:color w:val="000000" w:themeColor="text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44" w:type="pct"/>
            <w:vAlign w:val="center"/>
          </w:tcPr>
          <w:p>
            <w:pPr>
              <w:pStyle w:val="65"/>
              <w:ind w:firstLine="480"/>
              <w:rPr>
                <w:rFonts w:ascii="Times New Roman" w:hAnsi="Times New Roman" w:eastAsia="宋体"/>
                <w:b w:val="0"/>
                <w:i w:val="0"/>
              </w:rPr>
            </w:pPr>
            <w:r>
              <w:rPr>
                <w:rFonts w:hint="eastAsia" w:ascii="Times New Roman" w:hAnsi="Times New Roman" w:eastAsia="宋体"/>
                <w:b w:val="0"/>
                <w:i w:val="0"/>
              </w:rPr>
              <w:t>4</w:t>
            </w:r>
          </w:p>
        </w:tc>
        <w:tc>
          <w:tcPr>
            <w:tcW w:w="591" w:type="pct"/>
            <w:vAlign w:val="center"/>
          </w:tcPr>
          <w:p>
            <w:pPr>
              <w:pStyle w:val="65"/>
              <w:ind w:firstLine="480"/>
            </w:pPr>
            <w:r>
              <w:rPr>
                <w:rFonts w:hint="eastAsia"/>
              </w:rPr>
              <w:t>1</w:t>
            </w:r>
          </w:p>
        </w:tc>
        <w:tc>
          <w:tcPr>
            <w:tcW w:w="1465" w:type="pct"/>
            <w:vAlign w:val="center"/>
          </w:tcPr>
          <w:p>
            <w:pPr>
              <w:pStyle w:val="65"/>
              <w:ind w:firstLine="480"/>
            </w:pPr>
            <w:r>
              <w:rPr>
                <w:rFonts w:hint="eastAsia"/>
              </w:rPr>
              <w:t>可能性小，完全意外</w:t>
            </w:r>
          </w:p>
        </w:tc>
        <w:tc>
          <w:tcPr>
            <w:tcW w:w="444" w:type="pct"/>
            <w:vAlign w:val="center"/>
          </w:tcPr>
          <w:p>
            <w:pPr>
              <w:pStyle w:val="65"/>
              <w:ind w:firstLine="480"/>
            </w:pPr>
          </w:p>
        </w:tc>
        <w:tc>
          <w:tcPr>
            <w:tcW w:w="591" w:type="pct"/>
            <w:vAlign w:val="center"/>
          </w:tcPr>
          <w:p>
            <w:pPr>
              <w:pStyle w:val="65"/>
              <w:ind w:firstLine="480"/>
            </w:pPr>
          </w:p>
        </w:tc>
        <w:tc>
          <w:tcPr>
            <w:tcW w:w="1465" w:type="pct"/>
            <w:vAlign w:val="center"/>
          </w:tcPr>
          <w:p>
            <w:pPr>
              <w:pStyle w:val="65"/>
              <w:ind w:firstLine="480"/>
            </w:pPr>
          </w:p>
        </w:tc>
      </w:tr>
    </w:tbl>
    <w:p>
      <w:pPr>
        <w:ind w:firstLine="480"/>
        <w:rPr>
          <w:rFonts w:hint="eastAsia"/>
        </w:rPr>
      </w:pPr>
      <w:r>
        <w:rPr>
          <w:rFonts w:hint="eastAsia"/>
        </w:rPr>
        <w:t>人员出现在危险环境中的时间越多，则危险性越大规定连续出现在危险环境的情况，分数定为10，而非常罕见地出现在危险环境中分数定为0.5，将介于两者之间的各种情况规定若干个中间值，具体见</w:t>
      </w:r>
      <w:r>
        <w:rPr>
          <w:rFonts w:hint="eastAsia"/>
        </w:rPr>
        <w:fldChar w:fldCharType="begin"/>
      </w:r>
      <w:r>
        <w:rPr>
          <w:rFonts w:hint="eastAsia"/>
        </w:rPr>
        <w:instrText xml:space="preserve"> REF _Ref67577237 \h  \* MERGEFORMAT </w:instrText>
      </w:r>
      <w:r>
        <w:rPr>
          <w:rFonts w:hint="eastAsia"/>
        </w:rPr>
        <w:fldChar w:fldCharType="separate"/>
      </w:r>
      <w:r>
        <w:rPr>
          <w:rFonts w:hint="eastAsia"/>
        </w:rPr>
        <w:t>表 9.1</w:t>
      </w:r>
      <w:r>
        <w:rPr>
          <w:rFonts w:hint="eastAsia"/>
        </w:rPr>
        <w:noBreakHyphen/>
      </w:r>
      <w:r>
        <w:rPr>
          <w:rFonts w:hint="eastAsia"/>
        </w:rPr>
        <w:t>2</w:t>
      </w:r>
      <w:r>
        <w:rPr>
          <w:rFonts w:hint="eastAsia"/>
        </w:rPr>
        <w:fldChar w:fldCharType="end"/>
      </w:r>
      <w:r>
        <w:rPr>
          <w:rFonts w:hint="eastAsia"/>
        </w:rPr>
        <w:t>。</w:t>
      </w:r>
    </w:p>
    <w:p>
      <w:pPr>
        <w:pStyle w:val="16"/>
      </w:pPr>
      <w:bookmarkStart w:id="113" w:name="_Ref67577237"/>
    </w:p>
    <w:p>
      <w:pPr>
        <w:pStyle w:val="16"/>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9.1.1</w:t>
      </w:r>
      <w:r>
        <w:fldChar w:fldCharType="end"/>
      </w:r>
      <w:r>
        <w:rPr>
          <w:rFonts w:hint="eastAsia"/>
          <w:lang w:val="en-US" w:eastAsia="zh-CN"/>
        </w:rPr>
        <w:t>.2</w:t>
      </w:r>
      <w:r>
        <w:noBreakHyphen/>
      </w:r>
      <w:bookmarkEnd w:id="113"/>
      <w:r>
        <w:rPr>
          <w:rFonts w:hint="eastAsia"/>
          <w:lang w:val="en-US" w:eastAsia="zh-CN"/>
        </w:rPr>
        <w:t>1</w:t>
      </w:r>
      <w:r>
        <w:rPr>
          <w:rFonts w:hint="eastAsia"/>
        </w:rPr>
        <w:t>人员暴露时间（E）</w:t>
      </w:r>
    </w:p>
    <w:tbl>
      <w:tblPr>
        <w:tblStyle w:val="69"/>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19"/>
        <w:gridCol w:w="904"/>
        <w:gridCol w:w="3007"/>
        <w:gridCol w:w="752"/>
        <w:gridCol w:w="901"/>
        <w:gridCol w:w="300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387" w:type="pct"/>
            <w:shd w:val="clear" w:color="auto" w:fill="C6D9F0" w:themeFill="text2" w:themeFillTint="33"/>
            <w:vAlign w:val="center"/>
          </w:tcPr>
          <w:p>
            <w:pPr>
              <w:pStyle w:val="65"/>
              <w:rPr>
                <w:rFonts w:ascii="Times New Roman" w:hAnsi="Times New Roman" w:eastAsia="宋体"/>
                <w:b/>
                <w:i w:val="0"/>
              </w:rPr>
            </w:pPr>
            <w:r>
              <w:rPr>
                <w:rFonts w:hint="eastAsia" w:ascii="Times New Roman" w:hAnsi="Times New Roman" w:eastAsia="宋体"/>
                <w:b/>
                <w:i w:val="0"/>
              </w:rPr>
              <w:t>序号</w:t>
            </w:r>
          </w:p>
        </w:tc>
        <w:tc>
          <w:tcPr>
            <w:tcW w:w="487" w:type="pct"/>
            <w:shd w:val="clear" w:color="auto" w:fill="C6D9F0" w:themeFill="text2" w:themeFillTint="33"/>
            <w:vAlign w:val="center"/>
          </w:tcPr>
          <w:p>
            <w:pPr>
              <w:pStyle w:val="65"/>
              <w:rPr>
                <w:rFonts w:ascii="Times New Roman" w:hAnsi="Times New Roman" w:eastAsia="宋体"/>
                <w:b/>
                <w:i w:val="0"/>
              </w:rPr>
            </w:pPr>
            <w:r>
              <w:rPr>
                <w:rFonts w:hint="eastAsia" w:ascii="Times New Roman" w:hAnsi="Times New Roman" w:eastAsia="宋体"/>
                <w:b/>
                <w:i w:val="0"/>
              </w:rPr>
              <w:t>分数值</w:t>
            </w:r>
          </w:p>
        </w:tc>
        <w:tc>
          <w:tcPr>
            <w:tcW w:w="1619" w:type="pct"/>
            <w:shd w:val="clear" w:color="auto" w:fill="C6D9F0" w:themeFill="text2" w:themeFillTint="33"/>
            <w:vAlign w:val="center"/>
          </w:tcPr>
          <w:p>
            <w:pPr>
              <w:pStyle w:val="65"/>
              <w:rPr>
                <w:rFonts w:ascii="Times New Roman" w:hAnsi="Times New Roman" w:eastAsia="宋体"/>
                <w:b/>
                <w:i w:val="0"/>
              </w:rPr>
            </w:pPr>
            <w:r>
              <w:rPr>
                <w:rFonts w:hint="eastAsia" w:ascii="Times New Roman" w:hAnsi="Times New Roman" w:eastAsia="宋体"/>
                <w:b/>
                <w:i w:val="0"/>
              </w:rPr>
              <w:t>暴露于危险环境的频繁程度</w:t>
            </w:r>
          </w:p>
        </w:tc>
        <w:tc>
          <w:tcPr>
            <w:tcW w:w="405" w:type="pct"/>
            <w:shd w:val="clear" w:color="auto" w:fill="C6D9F0" w:themeFill="text2" w:themeFillTint="33"/>
            <w:vAlign w:val="center"/>
          </w:tcPr>
          <w:p>
            <w:pPr>
              <w:pStyle w:val="65"/>
              <w:rPr>
                <w:rFonts w:ascii="Times New Roman" w:hAnsi="Times New Roman" w:eastAsia="宋体"/>
                <w:b/>
                <w:i w:val="0"/>
              </w:rPr>
            </w:pPr>
            <w:r>
              <w:rPr>
                <w:rFonts w:hint="eastAsia" w:ascii="Times New Roman" w:hAnsi="Times New Roman" w:eastAsia="宋体"/>
                <w:b/>
                <w:i w:val="0"/>
              </w:rPr>
              <w:t>序号</w:t>
            </w:r>
          </w:p>
        </w:tc>
        <w:tc>
          <w:tcPr>
            <w:tcW w:w="485" w:type="pct"/>
            <w:shd w:val="clear" w:color="auto" w:fill="C6D9F0" w:themeFill="text2" w:themeFillTint="33"/>
            <w:vAlign w:val="center"/>
          </w:tcPr>
          <w:p>
            <w:pPr>
              <w:pStyle w:val="65"/>
              <w:rPr>
                <w:rFonts w:ascii="Times New Roman" w:hAnsi="Times New Roman" w:eastAsia="宋体"/>
                <w:b/>
                <w:i w:val="0"/>
              </w:rPr>
            </w:pPr>
            <w:r>
              <w:rPr>
                <w:rFonts w:hint="eastAsia" w:ascii="Times New Roman" w:hAnsi="Times New Roman" w:eastAsia="宋体"/>
                <w:b/>
                <w:i w:val="0"/>
              </w:rPr>
              <w:t>分数值</w:t>
            </w:r>
          </w:p>
        </w:tc>
        <w:tc>
          <w:tcPr>
            <w:tcW w:w="1618" w:type="pct"/>
            <w:shd w:val="clear" w:color="auto" w:fill="C6D9F0" w:themeFill="text2" w:themeFillTint="33"/>
            <w:vAlign w:val="center"/>
          </w:tcPr>
          <w:p>
            <w:pPr>
              <w:pStyle w:val="65"/>
              <w:rPr>
                <w:rFonts w:ascii="Times New Roman" w:hAnsi="Times New Roman" w:eastAsia="宋体"/>
                <w:b/>
                <w:i w:val="0"/>
              </w:rPr>
            </w:pPr>
            <w:r>
              <w:rPr>
                <w:rFonts w:hint="eastAsia" w:ascii="Times New Roman" w:hAnsi="Times New Roman" w:eastAsia="宋体"/>
                <w:b/>
                <w:i w:val="0"/>
              </w:rPr>
              <w:t>暴露于危险环境的频繁程度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7" w:type="pct"/>
            <w:vAlign w:val="center"/>
          </w:tcPr>
          <w:p>
            <w:pPr>
              <w:pStyle w:val="65"/>
              <w:rPr>
                <w:rFonts w:ascii="Times New Roman" w:hAnsi="Times New Roman" w:eastAsia="宋体"/>
                <w:b w:val="0"/>
                <w:i w:val="0"/>
              </w:rPr>
            </w:pPr>
            <w:r>
              <w:rPr>
                <w:rFonts w:hint="eastAsia" w:ascii="Times New Roman" w:hAnsi="Times New Roman" w:eastAsia="宋体"/>
                <w:b w:val="0"/>
                <w:i w:val="0"/>
              </w:rPr>
              <w:t>1</w:t>
            </w:r>
          </w:p>
        </w:tc>
        <w:tc>
          <w:tcPr>
            <w:tcW w:w="487" w:type="pct"/>
            <w:vAlign w:val="center"/>
          </w:tcPr>
          <w:p>
            <w:pPr>
              <w:pStyle w:val="65"/>
            </w:pPr>
            <w:r>
              <w:rPr>
                <w:rFonts w:hint="eastAsia"/>
              </w:rPr>
              <w:t>10</w:t>
            </w:r>
          </w:p>
        </w:tc>
        <w:tc>
          <w:tcPr>
            <w:tcW w:w="1619" w:type="pct"/>
            <w:vAlign w:val="center"/>
          </w:tcPr>
          <w:p>
            <w:pPr>
              <w:pStyle w:val="65"/>
            </w:pPr>
            <w:r>
              <w:rPr>
                <w:rFonts w:hint="eastAsia"/>
              </w:rPr>
              <w:t>连续暴露</w:t>
            </w:r>
          </w:p>
        </w:tc>
        <w:tc>
          <w:tcPr>
            <w:tcW w:w="405" w:type="pct"/>
            <w:vAlign w:val="center"/>
          </w:tcPr>
          <w:p>
            <w:pPr>
              <w:pStyle w:val="65"/>
            </w:pPr>
            <w:r>
              <w:rPr>
                <w:rFonts w:hint="eastAsia"/>
              </w:rPr>
              <w:t>4</w:t>
            </w:r>
          </w:p>
        </w:tc>
        <w:tc>
          <w:tcPr>
            <w:tcW w:w="485" w:type="pct"/>
            <w:vAlign w:val="center"/>
          </w:tcPr>
          <w:p>
            <w:pPr>
              <w:pStyle w:val="65"/>
            </w:pPr>
            <w:r>
              <w:rPr>
                <w:rFonts w:hint="eastAsia"/>
              </w:rPr>
              <w:t>2</w:t>
            </w:r>
          </w:p>
        </w:tc>
        <w:tc>
          <w:tcPr>
            <w:tcW w:w="1618" w:type="pct"/>
            <w:vAlign w:val="center"/>
          </w:tcPr>
          <w:p>
            <w:pPr>
              <w:pStyle w:val="65"/>
            </w:pPr>
            <w:r>
              <w:rPr>
                <w:rFonts w:hint="eastAsia"/>
              </w:rPr>
              <w:t>每月一次暴露</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7" w:type="pct"/>
            <w:vAlign w:val="center"/>
          </w:tcPr>
          <w:p>
            <w:pPr>
              <w:pStyle w:val="65"/>
              <w:rPr>
                <w:rFonts w:ascii="Times New Roman" w:hAnsi="Times New Roman" w:eastAsia="宋体"/>
                <w:b w:val="0"/>
                <w:i w:val="0"/>
              </w:rPr>
            </w:pPr>
            <w:r>
              <w:rPr>
                <w:rFonts w:hint="eastAsia" w:ascii="Times New Roman" w:hAnsi="Times New Roman" w:eastAsia="宋体"/>
                <w:b w:val="0"/>
                <w:i w:val="0"/>
              </w:rPr>
              <w:t>2</w:t>
            </w:r>
          </w:p>
        </w:tc>
        <w:tc>
          <w:tcPr>
            <w:tcW w:w="487" w:type="pct"/>
            <w:vAlign w:val="center"/>
          </w:tcPr>
          <w:p>
            <w:pPr>
              <w:pStyle w:val="65"/>
            </w:pPr>
            <w:r>
              <w:rPr>
                <w:rFonts w:hint="eastAsia"/>
              </w:rPr>
              <w:t>6</w:t>
            </w:r>
          </w:p>
        </w:tc>
        <w:tc>
          <w:tcPr>
            <w:tcW w:w="1619" w:type="pct"/>
            <w:vAlign w:val="center"/>
          </w:tcPr>
          <w:p>
            <w:pPr>
              <w:pStyle w:val="65"/>
            </w:pPr>
            <w:r>
              <w:rPr>
                <w:rFonts w:hint="eastAsia"/>
              </w:rPr>
              <w:t>每天工作时间内暴露</w:t>
            </w:r>
          </w:p>
        </w:tc>
        <w:tc>
          <w:tcPr>
            <w:tcW w:w="405" w:type="pct"/>
            <w:vAlign w:val="center"/>
          </w:tcPr>
          <w:p>
            <w:pPr>
              <w:pStyle w:val="65"/>
            </w:pPr>
            <w:r>
              <w:rPr>
                <w:rFonts w:hint="eastAsia"/>
              </w:rPr>
              <w:t>5</w:t>
            </w:r>
          </w:p>
        </w:tc>
        <w:tc>
          <w:tcPr>
            <w:tcW w:w="485" w:type="pct"/>
            <w:vAlign w:val="center"/>
          </w:tcPr>
          <w:p>
            <w:pPr>
              <w:pStyle w:val="65"/>
            </w:pPr>
            <w:r>
              <w:rPr>
                <w:rFonts w:hint="eastAsia"/>
              </w:rPr>
              <w:t>1</w:t>
            </w:r>
          </w:p>
        </w:tc>
        <w:tc>
          <w:tcPr>
            <w:tcW w:w="1618" w:type="pct"/>
            <w:vAlign w:val="center"/>
          </w:tcPr>
          <w:p>
            <w:pPr>
              <w:pStyle w:val="65"/>
            </w:pPr>
            <w:r>
              <w:rPr>
                <w:rFonts w:hint="eastAsia"/>
              </w:rPr>
              <w:t>每年几次暴露</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7" w:type="pct"/>
            <w:vAlign w:val="center"/>
          </w:tcPr>
          <w:p>
            <w:pPr>
              <w:pStyle w:val="65"/>
              <w:rPr>
                <w:rFonts w:ascii="Times New Roman" w:hAnsi="Times New Roman" w:eastAsia="宋体"/>
                <w:b w:val="0"/>
                <w:i w:val="0"/>
              </w:rPr>
            </w:pPr>
            <w:r>
              <w:rPr>
                <w:rFonts w:hint="eastAsia" w:ascii="Times New Roman" w:hAnsi="Times New Roman" w:eastAsia="宋体"/>
                <w:b w:val="0"/>
                <w:i w:val="0"/>
              </w:rPr>
              <w:t>3</w:t>
            </w:r>
          </w:p>
        </w:tc>
        <w:tc>
          <w:tcPr>
            <w:tcW w:w="487" w:type="pct"/>
            <w:vAlign w:val="center"/>
          </w:tcPr>
          <w:p>
            <w:pPr>
              <w:pStyle w:val="65"/>
            </w:pPr>
            <w:r>
              <w:rPr>
                <w:rFonts w:hint="eastAsia"/>
              </w:rPr>
              <w:t>3</w:t>
            </w:r>
          </w:p>
        </w:tc>
        <w:tc>
          <w:tcPr>
            <w:tcW w:w="1619" w:type="pct"/>
            <w:vAlign w:val="center"/>
          </w:tcPr>
          <w:p>
            <w:pPr>
              <w:pStyle w:val="65"/>
            </w:pPr>
            <w:r>
              <w:rPr>
                <w:rFonts w:hint="eastAsia"/>
              </w:rPr>
              <w:t>每周一次或偶然暴露</w:t>
            </w:r>
          </w:p>
        </w:tc>
        <w:tc>
          <w:tcPr>
            <w:tcW w:w="405" w:type="pct"/>
            <w:vAlign w:val="center"/>
          </w:tcPr>
          <w:p>
            <w:pPr>
              <w:pStyle w:val="65"/>
            </w:pPr>
            <w:r>
              <w:rPr>
                <w:rFonts w:hint="eastAsia"/>
              </w:rPr>
              <w:t>6</w:t>
            </w:r>
          </w:p>
        </w:tc>
        <w:tc>
          <w:tcPr>
            <w:tcW w:w="485" w:type="pct"/>
            <w:vAlign w:val="center"/>
          </w:tcPr>
          <w:p>
            <w:pPr>
              <w:pStyle w:val="65"/>
            </w:pPr>
            <w:r>
              <w:rPr>
                <w:rFonts w:hint="eastAsia"/>
              </w:rPr>
              <w:t>0.5</w:t>
            </w:r>
          </w:p>
        </w:tc>
        <w:tc>
          <w:tcPr>
            <w:tcW w:w="1618" w:type="pct"/>
            <w:vAlign w:val="center"/>
          </w:tcPr>
          <w:p>
            <w:pPr>
              <w:pStyle w:val="65"/>
            </w:pPr>
            <w:r>
              <w:rPr>
                <w:rFonts w:hint="eastAsia"/>
              </w:rPr>
              <w:t>几乎不暴露</w:t>
            </w:r>
          </w:p>
        </w:tc>
      </w:tr>
    </w:tbl>
    <w:p>
      <w:pPr>
        <w:ind w:firstLine="480"/>
      </w:pPr>
      <w:r>
        <w:rPr>
          <w:rFonts w:hint="eastAsia"/>
        </w:rPr>
        <w:t>事故造成的人身伤害与财产损失变化范围很大，对伤亡事故来说，可从极小的轻伤直到多人死亡的严重后果。由于范围广阔，所以规定的分数值为1～100，轻伤规定分数值1，把造成十人以上死亡的可能性分数规定为100，其它情况的数值在1～100之间，具体见</w:t>
      </w:r>
      <w:r>
        <w:fldChar w:fldCharType="begin"/>
      </w:r>
      <w:r>
        <w:instrText xml:space="preserve"> </w:instrText>
      </w:r>
      <w:r>
        <w:rPr>
          <w:rFonts w:hint="eastAsia"/>
        </w:rPr>
        <w:instrText xml:space="preserve">REF _Ref67577249 \h</w:instrText>
      </w:r>
      <w:r>
        <w:instrText xml:space="preserve"> </w:instrText>
      </w:r>
      <w:r>
        <w:fldChar w:fldCharType="separate"/>
      </w:r>
      <w:r>
        <w:rPr>
          <w:rFonts w:hint="eastAsia"/>
        </w:rPr>
        <w:t xml:space="preserve">表 </w:t>
      </w:r>
      <w:r>
        <w:t>9.1</w:t>
      </w:r>
      <w:r>
        <w:noBreakHyphen/>
      </w:r>
      <w:r>
        <w:t>3</w:t>
      </w:r>
      <w:r>
        <w:fldChar w:fldCharType="end"/>
      </w:r>
      <w:r>
        <w:rPr>
          <w:rFonts w:hint="eastAsia"/>
        </w:rPr>
        <w:t>。</w:t>
      </w:r>
    </w:p>
    <w:p>
      <w:pPr>
        <w:pStyle w:val="16"/>
      </w:pPr>
      <w:bookmarkStart w:id="114" w:name="_Ref67577249"/>
      <w:r>
        <w:rPr>
          <w:rFonts w:hint="eastAsia"/>
        </w:rPr>
        <w:t xml:space="preserve">表 </w:t>
      </w:r>
      <w:r>
        <w:rPr>
          <w:rFonts w:hint="eastAsia"/>
          <w:lang w:val="en-US" w:eastAsia="zh-CN"/>
        </w:rPr>
        <w:t>9.1.1.</w:t>
      </w:r>
      <w:r>
        <w:fldChar w:fldCharType="begin"/>
      </w:r>
      <w:r>
        <w:instrText xml:space="preserve"> </w:instrText>
      </w:r>
      <w:r>
        <w:rPr>
          <w:rFonts w:hint="eastAsia"/>
        </w:rPr>
        <w:instrText xml:space="preserve">SEQ 表 \* ARABIC \s 3</w:instrText>
      </w:r>
      <w:r>
        <w:instrText xml:space="preserve"> </w:instrText>
      </w:r>
      <w:r>
        <w:fldChar w:fldCharType="separate"/>
      </w:r>
      <w:r>
        <w:t>3</w:t>
      </w:r>
      <w:r>
        <w:fldChar w:fldCharType="end"/>
      </w:r>
      <w:bookmarkEnd w:id="114"/>
      <w:r>
        <w:rPr>
          <w:rFonts w:hint="eastAsia"/>
          <w:lang w:val="en-US" w:eastAsia="zh-CN"/>
        </w:rPr>
        <w:t>-1</w:t>
      </w:r>
      <w:r>
        <w:rPr>
          <w:rFonts w:hint="eastAsia"/>
        </w:rPr>
        <w:t>事故后果严重程度（C）</w:t>
      </w:r>
    </w:p>
    <w:tbl>
      <w:tblPr>
        <w:tblStyle w:val="69"/>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77"/>
        <w:gridCol w:w="1432"/>
        <w:gridCol w:w="3566"/>
        <w:gridCol w:w="3211"/>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80" w:type="pct"/>
            <w:shd w:val="clear" w:color="auto" w:fill="C6D9F0" w:themeFill="text2" w:themeFillTint="33"/>
            <w:vAlign w:val="center"/>
          </w:tcPr>
          <w:p>
            <w:pPr>
              <w:pStyle w:val="65"/>
              <w:rPr>
                <w:rFonts w:ascii="Times New Roman" w:hAnsi="Times New Roman" w:eastAsia="宋体"/>
                <w:b w:val="0"/>
                <w:i w:val="0"/>
              </w:rPr>
            </w:pPr>
            <w:r>
              <w:rPr>
                <w:rFonts w:hint="eastAsia" w:ascii="Times New Roman" w:hAnsi="Times New Roman" w:eastAsia="宋体"/>
                <w:b/>
                <w:i w:val="0"/>
              </w:rPr>
              <w:t>序号</w:t>
            </w:r>
          </w:p>
        </w:tc>
        <w:tc>
          <w:tcPr>
            <w:tcW w:w="771" w:type="pct"/>
            <w:shd w:val="clear" w:color="auto" w:fill="C6D9F0" w:themeFill="text2" w:themeFillTint="33"/>
            <w:vAlign w:val="center"/>
          </w:tcPr>
          <w:p>
            <w:pPr>
              <w:pStyle w:val="65"/>
              <w:rPr>
                <w:rFonts w:ascii="Times New Roman" w:hAnsi="Times New Roman" w:eastAsia="宋体"/>
                <w:b w:val="0"/>
                <w:i w:val="0"/>
              </w:rPr>
            </w:pPr>
            <w:r>
              <w:rPr>
                <w:rFonts w:hint="eastAsia" w:ascii="Times New Roman" w:hAnsi="Times New Roman" w:eastAsia="宋体"/>
                <w:b/>
                <w:i w:val="0"/>
              </w:rPr>
              <w:t>分数值</w:t>
            </w:r>
          </w:p>
        </w:tc>
        <w:tc>
          <w:tcPr>
            <w:tcW w:w="1920" w:type="pct"/>
            <w:shd w:val="clear" w:color="auto" w:fill="C6D9F0" w:themeFill="text2" w:themeFillTint="33"/>
            <w:vAlign w:val="center"/>
          </w:tcPr>
          <w:p>
            <w:pPr>
              <w:pStyle w:val="65"/>
              <w:rPr>
                <w:rFonts w:ascii="Times New Roman" w:hAnsi="Times New Roman" w:eastAsia="宋体"/>
                <w:b w:val="0"/>
                <w:i w:val="0"/>
              </w:rPr>
            </w:pPr>
            <w:r>
              <w:rPr>
                <w:rFonts w:hint="eastAsia" w:ascii="Times New Roman" w:hAnsi="Times New Roman" w:eastAsia="宋体"/>
                <w:b/>
                <w:i w:val="0"/>
              </w:rPr>
              <w:t>发生事故产生的后果</w:t>
            </w:r>
          </w:p>
        </w:tc>
        <w:tc>
          <w:tcPr>
            <w:tcW w:w="1729" w:type="pct"/>
            <w:shd w:val="clear" w:color="auto" w:fill="C6D9F0" w:themeFill="text2" w:themeFillTint="33"/>
            <w:vAlign w:val="center"/>
          </w:tcPr>
          <w:p>
            <w:pPr>
              <w:pStyle w:val="65"/>
              <w:rPr>
                <w:rFonts w:ascii="Times New Roman" w:hAnsi="Times New Roman" w:eastAsia="宋体"/>
                <w:b w:val="0"/>
                <w:i w:val="0"/>
              </w:rPr>
            </w:pPr>
            <w:r>
              <w:rPr>
                <w:rFonts w:hint="eastAsia" w:ascii="Times New Roman" w:hAnsi="Times New Roman" w:eastAsia="宋体"/>
                <w:b/>
                <w:i w:val="0"/>
              </w:rPr>
              <w:t>经济损失（万元）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80" w:type="pct"/>
            <w:vAlign w:val="center"/>
          </w:tcPr>
          <w:p>
            <w:pPr>
              <w:pStyle w:val="65"/>
              <w:rPr>
                <w:rFonts w:ascii="Times New Roman" w:hAnsi="Times New Roman" w:eastAsia="宋体"/>
                <w:b w:val="0"/>
                <w:i w:val="0"/>
              </w:rPr>
            </w:pPr>
            <w:r>
              <w:rPr>
                <w:rFonts w:hint="eastAsia" w:ascii="Times New Roman" w:hAnsi="Times New Roman" w:eastAsia="宋体"/>
                <w:b w:val="0"/>
                <w:i w:val="0"/>
              </w:rPr>
              <w:t>1</w:t>
            </w:r>
          </w:p>
        </w:tc>
        <w:tc>
          <w:tcPr>
            <w:tcW w:w="771" w:type="pct"/>
            <w:vAlign w:val="center"/>
          </w:tcPr>
          <w:p>
            <w:pPr>
              <w:pStyle w:val="65"/>
            </w:pPr>
            <w:r>
              <w:rPr>
                <w:rFonts w:hint="eastAsia"/>
              </w:rPr>
              <w:t>100</w:t>
            </w:r>
          </w:p>
        </w:tc>
        <w:tc>
          <w:tcPr>
            <w:tcW w:w="1920" w:type="pct"/>
            <w:vAlign w:val="center"/>
          </w:tcPr>
          <w:p>
            <w:pPr>
              <w:pStyle w:val="65"/>
            </w:pPr>
            <w:r>
              <w:rPr>
                <w:rFonts w:hint="eastAsia"/>
              </w:rPr>
              <w:t>10人以上死亡</w:t>
            </w:r>
          </w:p>
        </w:tc>
        <w:tc>
          <w:tcPr>
            <w:tcW w:w="1729" w:type="pct"/>
            <w:vAlign w:val="center"/>
          </w:tcPr>
          <w:p>
            <w:pPr>
              <w:pStyle w:val="65"/>
            </w:pPr>
            <w:r>
              <w:rPr>
                <w:rFonts w:hint="eastAsia"/>
              </w:rPr>
              <w:t>≥</w:t>
            </w:r>
            <w:r>
              <w:t>5000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80" w:type="pct"/>
            <w:vAlign w:val="center"/>
          </w:tcPr>
          <w:p>
            <w:pPr>
              <w:pStyle w:val="65"/>
              <w:rPr>
                <w:rFonts w:ascii="Times New Roman" w:hAnsi="Times New Roman" w:eastAsia="宋体"/>
                <w:b w:val="0"/>
                <w:i w:val="0"/>
              </w:rPr>
            </w:pPr>
            <w:r>
              <w:rPr>
                <w:rFonts w:hint="eastAsia" w:ascii="Times New Roman" w:hAnsi="Times New Roman" w:eastAsia="宋体"/>
                <w:b w:val="0"/>
                <w:i w:val="0"/>
              </w:rPr>
              <w:t>2</w:t>
            </w:r>
          </w:p>
        </w:tc>
        <w:tc>
          <w:tcPr>
            <w:tcW w:w="771" w:type="pct"/>
            <w:vAlign w:val="center"/>
          </w:tcPr>
          <w:p>
            <w:pPr>
              <w:pStyle w:val="65"/>
            </w:pPr>
            <w:r>
              <w:rPr>
                <w:rFonts w:hint="eastAsia"/>
              </w:rPr>
              <w:t>40</w:t>
            </w:r>
          </w:p>
        </w:tc>
        <w:tc>
          <w:tcPr>
            <w:tcW w:w="1920" w:type="pct"/>
            <w:vAlign w:val="center"/>
          </w:tcPr>
          <w:p>
            <w:pPr>
              <w:pStyle w:val="65"/>
            </w:pPr>
            <w:r>
              <w:rPr>
                <w:rFonts w:hint="eastAsia"/>
              </w:rPr>
              <w:t>3～9人死亡</w:t>
            </w:r>
          </w:p>
        </w:tc>
        <w:tc>
          <w:tcPr>
            <w:tcW w:w="1729" w:type="pct"/>
            <w:vAlign w:val="center"/>
          </w:tcPr>
          <w:p>
            <w:pPr>
              <w:pStyle w:val="65"/>
            </w:pPr>
            <w:r>
              <w:t>1000</w:t>
            </w:r>
            <w:r>
              <w:rPr>
                <w:rFonts w:hint="eastAsia"/>
              </w:rPr>
              <w:t>～</w:t>
            </w:r>
            <w:r>
              <w:t>5000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80" w:type="pct"/>
            <w:vAlign w:val="center"/>
          </w:tcPr>
          <w:p>
            <w:pPr>
              <w:pStyle w:val="65"/>
              <w:rPr>
                <w:rFonts w:ascii="Times New Roman" w:hAnsi="Times New Roman" w:eastAsia="宋体"/>
                <w:b w:val="0"/>
                <w:i w:val="0"/>
              </w:rPr>
            </w:pPr>
            <w:r>
              <w:rPr>
                <w:rFonts w:hint="eastAsia" w:ascii="Times New Roman" w:hAnsi="Times New Roman" w:eastAsia="宋体"/>
                <w:b w:val="0"/>
                <w:i w:val="0"/>
              </w:rPr>
              <w:t>3</w:t>
            </w:r>
          </w:p>
        </w:tc>
        <w:tc>
          <w:tcPr>
            <w:tcW w:w="771" w:type="pct"/>
            <w:vAlign w:val="center"/>
          </w:tcPr>
          <w:p>
            <w:pPr>
              <w:pStyle w:val="65"/>
            </w:pPr>
            <w:r>
              <w:rPr>
                <w:rFonts w:hint="eastAsia"/>
              </w:rPr>
              <w:t>15</w:t>
            </w:r>
          </w:p>
        </w:tc>
        <w:tc>
          <w:tcPr>
            <w:tcW w:w="1920" w:type="pct"/>
            <w:vAlign w:val="center"/>
          </w:tcPr>
          <w:p>
            <w:pPr>
              <w:pStyle w:val="65"/>
            </w:pPr>
            <w:r>
              <w:rPr>
                <w:rFonts w:hint="eastAsia"/>
              </w:rPr>
              <w:t>1～2人死亡</w:t>
            </w:r>
          </w:p>
        </w:tc>
        <w:tc>
          <w:tcPr>
            <w:tcW w:w="1729" w:type="pct"/>
            <w:vAlign w:val="center"/>
          </w:tcPr>
          <w:p>
            <w:pPr>
              <w:pStyle w:val="65"/>
            </w:pPr>
            <w:r>
              <w:t>100</w:t>
            </w:r>
            <w:r>
              <w:rPr>
                <w:rFonts w:hint="eastAsia"/>
              </w:rPr>
              <w:t>～</w:t>
            </w:r>
            <w:r>
              <w:t>1000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80" w:type="pct"/>
            <w:vAlign w:val="center"/>
          </w:tcPr>
          <w:p>
            <w:pPr>
              <w:pStyle w:val="65"/>
              <w:rPr>
                <w:rFonts w:ascii="Times New Roman" w:hAnsi="Times New Roman" w:eastAsia="宋体"/>
                <w:b w:val="0"/>
                <w:i w:val="0"/>
              </w:rPr>
            </w:pPr>
            <w:r>
              <w:rPr>
                <w:rFonts w:hint="eastAsia" w:ascii="Times New Roman" w:hAnsi="Times New Roman" w:eastAsia="宋体"/>
                <w:b w:val="0"/>
                <w:i w:val="0"/>
              </w:rPr>
              <w:t>4</w:t>
            </w:r>
          </w:p>
        </w:tc>
        <w:tc>
          <w:tcPr>
            <w:tcW w:w="771" w:type="pct"/>
            <w:vAlign w:val="center"/>
          </w:tcPr>
          <w:p>
            <w:pPr>
              <w:pStyle w:val="65"/>
            </w:pPr>
            <w:r>
              <w:rPr>
                <w:rFonts w:hint="eastAsia"/>
              </w:rPr>
              <w:t>7</w:t>
            </w:r>
          </w:p>
        </w:tc>
        <w:tc>
          <w:tcPr>
            <w:tcW w:w="1920" w:type="pct"/>
            <w:vAlign w:val="center"/>
          </w:tcPr>
          <w:p>
            <w:pPr>
              <w:pStyle w:val="65"/>
            </w:pPr>
            <w:r>
              <w:rPr>
                <w:rFonts w:hint="eastAsia"/>
              </w:rPr>
              <w:t>多人重伤</w:t>
            </w:r>
          </w:p>
        </w:tc>
        <w:tc>
          <w:tcPr>
            <w:tcW w:w="1729" w:type="pct"/>
            <w:vAlign w:val="center"/>
          </w:tcPr>
          <w:p>
            <w:pPr>
              <w:pStyle w:val="65"/>
            </w:pPr>
            <w:r>
              <w:t>50</w:t>
            </w:r>
            <w:r>
              <w:rPr>
                <w:rFonts w:hint="eastAsia"/>
              </w:rPr>
              <w:t>～</w:t>
            </w:r>
            <w:r>
              <w:t>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80" w:type="pct"/>
            <w:vAlign w:val="center"/>
          </w:tcPr>
          <w:p>
            <w:pPr>
              <w:pStyle w:val="65"/>
              <w:rPr>
                <w:rFonts w:ascii="Times New Roman" w:hAnsi="Times New Roman" w:eastAsia="宋体"/>
                <w:b w:val="0"/>
                <w:i w:val="0"/>
              </w:rPr>
            </w:pPr>
            <w:r>
              <w:rPr>
                <w:rFonts w:hint="eastAsia" w:ascii="Times New Roman" w:hAnsi="Times New Roman" w:eastAsia="宋体"/>
                <w:b w:val="0"/>
                <w:i w:val="0"/>
              </w:rPr>
              <w:t>5</w:t>
            </w:r>
          </w:p>
        </w:tc>
        <w:tc>
          <w:tcPr>
            <w:tcW w:w="771" w:type="pct"/>
            <w:vAlign w:val="center"/>
          </w:tcPr>
          <w:p>
            <w:pPr>
              <w:pStyle w:val="65"/>
            </w:pPr>
            <w:r>
              <w:rPr>
                <w:rFonts w:hint="eastAsia"/>
              </w:rPr>
              <w:t>3</w:t>
            </w:r>
          </w:p>
        </w:tc>
        <w:tc>
          <w:tcPr>
            <w:tcW w:w="1920" w:type="pct"/>
            <w:vAlign w:val="center"/>
          </w:tcPr>
          <w:p>
            <w:pPr>
              <w:pStyle w:val="65"/>
            </w:pPr>
            <w:r>
              <w:rPr>
                <w:rFonts w:hint="eastAsia"/>
              </w:rPr>
              <w:t>至少1</w:t>
            </w:r>
            <w:r>
              <w:t>人</w:t>
            </w:r>
            <w:r>
              <w:rPr>
                <w:rFonts w:hint="eastAsia"/>
              </w:rPr>
              <w:t>伤残</w:t>
            </w:r>
          </w:p>
        </w:tc>
        <w:tc>
          <w:tcPr>
            <w:tcW w:w="1729" w:type="pct"/>
            <w:vAlign w:val="center"/>
          </w:tcPr>
          <w:p>
            <w:pPr>
              <w:pStyle w:val="65"/>
            </w:pPr>
            <w:r>
              <w:t>10</w:t>
            </w:r>
            <w:r>
              <w:rPr>
                <w:rFonts w:hint="eastAsia"/>
              </w:rPr>
              <w:t>～</w:t>
            </w:r>
            <w:r>
              <w:t>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80" w:type="pct"/>
            <w:vAlign w:val="center"/>
          </w:tcPr>
          <w:p>
            <w:pPr>
              <w:pStyle w:val="65"/>
              <w:rPr>
                <w:rFonts w:ascii="Times New Roman" w:hAnsi="Times New Roman" w:eastAsia="宋体"/>
                <w:b w:val="0"/>
                <w:i w:val="0"/>
              </w:rPr>
            </w:pPr>
            <w:r>
              <w:rPr>
                <w:rFonts w:hint="eastAsia" w:ascii="Times New Roman" w:hAnsi="Times New Roman" w:eastAsia="宋体"/>
                <w:b w:val="0"/>
                <w:i w:val="0"/>
              </w:rPr>
              <w:t>6</w:t>
            </w:r>
          </w:p>
        </w:tc>
        <w:tc>
          <w:tcPr>
            <w:tcW w:w="771" w:type="pct"/>
            <w:vAlign w:val="center"/>
          </w:tcPr>
          <w:p>
            <w:pPr>
              <w:pStyle w:val="65"/>
            </w:pPr>
            <w:r>
              <w:rPr>
                <w:rFonts w:hint="eastAsia"/>
              </w:rPr>
              <w:t>1</w:t>
            </w:r>
          </w:p>
        </w:tc>
        <w:tc>
          <w:tcPr>
            <w:tcW w:w="1920" w:type="pct"/>
            <w:vAlign w:val="center"/>
          </w:tcPr>
          <w:p>
            <w:pPr>
              <w:pStyle w:val="65"/>
            </w:pPr>
            <w:r>
              <w:rPr>
                <w:rFonts w:hint="eastAsia"/>
              </w:rPr>
              <w:t>轻伤</w:t>
            </w:r>
          </w:p>
        </w:tc>
        <w:tc>
          <w:tcPr>
            <w:tcW w:w="1729" w:type="pct"/>
            <w:vAlign w:val="center"/>
          </w:tcPr>
          <w:p>
            <w:pPr>
              <w:pStyle w:val="65"/>
            </w:pPr>
            <w:r>
              <w:t>1</w:t>
            </w:r>
            <w:r>
              <w:rPr>
                <w:rFonts w:hint="eastAsia"/>
              </w:rPr>
              <w:t>～</w:t>
            </w:r>
            <w:r>
              <w:t>10</w:t>
            </w:r>
          </w:p>
        </w:tc>
      </w:tr>
    </w:tbl>
    <w:p>
      <w:pPr>
        <w:ind w:firstLine="480"/>
      </w:pPr>
      <w:r>
        <w:rPr>
          <w:rFonts w:hint="eastAsia"/>
        </w:rPr>
        <w:t>根据公式D＝LEC，求出风险值D。该方法规定D值在70以内时为Ⅰ级风险；在70~160之间为Ⅱ级风险；在160~320之间为Ⅲ级风险；D值大于320时为Ⅳ级风险。</w:t>
      </w:r>
    </w:p>
    <w:p>
      <w:pPr>
        <w:ind w:firstLine="480"/>
      </w:pPr>
      <w:r>
        <w:rPr>
          <w:rFonts w:hint="eastAsia"/>
        </w:rPr>
        <w:t>风险等级划分如</w:t>
      </w:r>
      <w:r>
        <w:fldChar w:fldCharType="begin"/>
      </w:r>
      <w:r>
        <w:instrText xml:space="preserve"> </w:instrText>
      </w:r>
      <w:r>
        <w:rPr>
          <w:rFonts w:hint="eastAsia"/>
        </w:rPr>
        <w:instrText xml:space="preserve">REF _Ref67577256 \h</w:instrText>
      </w:r>
      <w:r>
        <w:instrText xml:space="preserve"> </w:instrText>
      </w:r>
      <w:r>
        <w:fldChar w:fldCharType="separate"/>
      </w:r>
      <w:r>
        <w:rPr>
          <w:rFonts w:hint="eastAsia"/>
        </w:rPr>
        <w:t xml:space="preserve">表 </w:t>
      </w:r>
      <w:r>
        <w:t>9.1</w:t>
      </w:r>
      <w:r>
        <w:noBreakHyphen/>
      </w:r>
      <w:r>
        <w:t>4</w:t>
      </w:r>
      <w:r>
        <w:fldChar w:fldCharType="end"/>
      </w:r>
      <w:r>
        <w:rPr>
          <w:rFonts w:hint="eastAsia"/>
        </w:rPr>
        <w:t>所示。</w:t>
      </w:r>
    </w:p>
    <w:p>
      <w:pPr>
        <w:pStyle w:val="16"/>
      </w:pPr>
      <w:bookmarkStart w:id="115" w:name="_Ref67577256"/>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9.1.1</w:t>
      </w:r>
      <w:r>
        <w:fldChar w:fldCharType="end"/>
      </w:r>
      <w:bookmarkEnd w:id="115"/>
      <w:r>
        <w:rPr>
          <w:rFonts w:hint="eastAsia"/>
          <w:lang w:val="en-US" w:eastAsia="zh-CN"/>
        </w:rPr>
        <w:t>.4-1</w:t>
      </w:r>
      <w:r>
        <w:rPr>
          <w:rFonts w:hint="eastAsia"/>
        </w:rPr>
        <w:t xml:space="preserve"> LEC法评估结果分级</w:t>
      </w:r>
    </w:p>
    <w:tbl>
      <w:tblPr>
        <w:tblStyle w:val="69"/>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21"/>
        <w:gridCol w:w="2112"/>
        <w:gridCol w:w="505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142" w:type="pct"/>
            <w:shd w:val="clear" w:color="auto" w:fill="C6D9F0" w:themeFill="text2" w:themeFillTint="33"/>
            <w:vAlign w:val="center"/>
          </w:tcPr>
          <w:p>
            <w:pPr>
              <w:pStyle w:val="65"/>
              <w:rPr>
                <w:rFonts w:ascii="Times New Roman" w:hAnsi="Times New Roman" w:eastAsia="宋体"/>
                <w:b w:val="0"/>
                <w:i w:val="0"/>
              </w:rPr>
            </w:pPr>
            <w:r>
              <w:rPr>
                <w:rFonts w:hint="eastAsia" w:ascii="Times New Roman" w:hAnsi="Times New Roman" w:eastAsia="宋体"/>
                <w:b/>
                <w:i w:val="0"/>
              </w:rPr>
              <w:t>危害程度</w:t>
            </w:r>
          </w:p>
        </w:tc>
        <w:tc>
          <w:tcPr>
            <w:tcW w:w="1137" w:type="pct"/>
            <w:shd w:val="clear" w:color="auto" w:fill="C6D9F0" w:themeFill="text2" w:themeFillTint="33"/>
            <w:vAlign w:val="center"/>
          </w:tcPr>
          <w:p>
            <w:pPr>
              <w:pStyle w:val="65"/>
              <w:rPr>
                <w:rFonts w:ascii="Times New Roman" w:hAnsi="Times New Roman" w:eastAsia="宋体"/>
                <w:b w:val="0"/>
                <w:i w:val="0"/>
              </w:rPr>
            </w:pPr>
            <w:r>
              <w:rPr>
                <w:rFonts w:hint="eastAsia" w:ascii="Times New Roman" w:hAnsi="Times New Roman" w:eastAsia="宋体"/>
                <w:b/>
                <w:i w:val="0"/>
              </w:rPr>
              <w:t>D值</w:t>
            </w:r>
          </w:p>
        </w:tc>
        <w:tc>
          <w:tcPr>
            <w:tcW w:w="2721" w:type="pct"/>
            <w:shd w:val="clear" w:color="auto" w:fill="C6D9F0" w:themeFill="text2" w:themeFillTint="33"/>
            <w:vAlign w:val="center"/>
          </w:tcPr>
          <w:p>
            <w:pPr>
              <w:pStyle w:val="65"/>
              <w:rPr>
                <w:rFonts w:ascii="Times New Roman" w:hAnsi="Times New Roman" w:eastAsia="宋体"/>
                <w:b w:val="0"/>
                <w:i w:val="0"/>
              </w:rPr>
            </w:pPr>
            <w:r>
              <w:rPr>
                <w:rFonts w:hint="eastAsia" w:ascii="Times New Roman" w:hAnsi="Times New Roman" w:eastAsia="宋体"/>
                <w:b/>
                <w:i w:val="0"/>
              </w:rPr>
              <w:t>危险等级</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42" w:type="pct"/>
            <w:vAlign w:val="center"/>
          </w:tcPr>
          <w:p>
            <w:pPr>
              <w:pStyle w:val="65"/>
              <w:rPr>
                <w:rFonts w:ascii="Times New Roman" w:hAnsi="Times New Roman" w:eastAsia="宋体"/>
                <w:b w:val="0"/>
                <w:i w:val="0"/>
              </w:rPr>
            </w:pPr>
            <w:r>
              <w:rPr>
                <w:rFonts w:hint="eastAsia" w:ascii="Times New Roman" w:hAnsi="Times New Roman" w:eastAsia="宋体"/>
                <w:b w:val="0"/>
                <w:i w:val="0"/>
              </w:rPr>
              <w:t>Ⅳ</w:t>
            </w:r>
          </w:p>
        </w:tc>
        <w:tc>
          <w:tcPr>
            <w:tcW w:w="1137" w:type="pct"/>
            <w:vAlign w:val="center"/>
          </w:tcPr>
          <w:p>
            <w:pPr>
              <w:pStyle w:val="65"/>
            </w:pPr>
            <w:r>
              <w:rPr>
                <w:rFonts w:hint="eastAsia"/>
              </w:rPr>
              <w:t>＞320</w:t>
            </w:r>
          </w:p>
        </w:tc>
        <w:tc>
          <w:tcPr>
            <w:tcW w:w="2721" w:type="pct"/>
            <w:vAlign w:val="center"/>
          </w:tcPr>
          <w:p>
            <w:pPr>
              <w:pStyle w:val="65"/>
            </w:pPr>
            <w:r>
              <w:rPr>
                <w:rFonts w:hint="eastAsia" w:ascii="宋体" w:hAnsi="宋体"/>
              </w:rPr>
              <w:t>极其危险</w:t>
            </w:r>
            <w:r>
              <w:rPr>
                <w:rFonts w:hint="eastAsia"/>
              </w:rPr>
              <w:t>，停工整改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42" w:type="pct"/>
            <w:vAlign w:val="center"/>
          </w:tcPr>
          <w:p>
            <w:pPr>
              <w:pStyle w:val="65"/>
              <w:rPr>
                <w:rFonts w:ascii="Times New Roman" w:hAnsi="Times New Roman" w:eastAsia="宋体"/>
                <w:b w:val="0"/>
                <w:i w:val="0"/>
              </w:rPr>
            </w:pPr>
            <w:r>
              <w:rPr>
                <w:rFonts w:hint="eastAsia" w:ascii="Times New Roman" w:hAnsi="Times New Roman" w:eastAsia="宋体"/>
                <w:b w:val="0"/>
                <w:i w:val="0"/>
              </w:rPr>
              <w:t>Ⅲ</w:t>
            </w:r>
          </w:p>
        </w:tc>
        <w:tc>
          <w:tcPr>
            <w:tcW w:w="1137" w:type="pct"/>
            <w:vAlign w:val="center"/>
          </w:tcPr>
          <w:p>
            <w:pPr>
              <w:pStyle w:val="65"/>
            </w:pPr>
            <w:r>
              <w:rPr>
                <w:rFonts w:hint="eastAsia"/>
              </w:rPr>
              <w:t>160～320</w:t>
            </w:r>
          </w:p>
        </w:tc>
        <w:tc>
          <w:tcPr>
            <w:tcW w:w="2721" w:type="pct"/>
            <w:vAlign w:val="center"/>
          </w:tcPr>
          <w:p>
            <w:pPr>
              <w:pStyle w:val="65"/>
            </w:pPr>
            <w:r>
              <w:rPr>
                <w:rFonts w:hint="eastAsia" w:ascii="宋体" w:hAnsi="宋体"/>
              </w:rPr>
              <w:t>高度危险</w:t>
            </w:r>
            <w:r>
              <w:rPr>
                <w:rFonts w:hint="eastAsia"/>
              </w:rPr>
              <w:t>，要立即整改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42" w:type="pct"/>
            <w:vAlign w:val="center"/>
          </w:tcPr>
          <w:p>
            <w:pPr>
              <w:pStyle w:val="65"/>
              <w:rPr>
                <w:rFonts w:ascii="Times New Roman" w:hAnsi="Times New Roman" w:eastAsia="宋体"/>
                <w:b w:val="0"/>
                <w:i w:val="0"/>
              </w:rPr>
            </w:pPr>
            <w:r>
              <w:rPr>
                <w:rFonts w:hint="eastAsia" w:ascii="Times New Roman" w:hAnsi="Times New Roman" w:eastAsia="宋体"/>
                <w:b w:val="0"/>
                <w:i w:val="0"/>
              </w:rPr>
              <w:t>Ⅱ</w:t>
            </w:r>
          </w:p>
        </w:tc>
        <w:tc>
          <w:tcPr>
            <w:tcW w:w="1137" w:type="pct"/>
            <w:vAlign w:val="center"/>
          </w:tcPr>
          <w:p>
            <w:pPr>
              <w:pStyle w:val="65"/>
            </w:pPr>
            <w:r>
              <w:rPr>
                <w:rFonts w:hint="eastAsia"/>
              </w:rPr>
              <w:t>70～160</w:t>
            </w:r>
          </w:p>
        </w:tc>
        <w:tc>
          <w:tcPr>
            <w:tcW w:w="2721" w:type="pct"/>
            <w:vAlign w:val="center"/>
          </w:tcPr>
          <w:p>
            <w:pPr>
              <w:pStyle w:val="65"/>
            </w:pPr>
            <w:r>
              <w:rPr>
                <w:rFonts w:hint="eastAsia" w:ascii="宋体" w:hAnsi="宋体"/>
              </w:rPr>
              <w:t>显著危险</w:t>
            </w:r>
            <w:r>
              <w:rPr>
                <w:rFonts w:hint="eastAsia"/>
              </w:rPr>
              <w:t>，需要整改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42" w:type="pct"/>
            <w:vAlign w:val="center"/>
          </w:tcPr>
          <w:p>
            <w:pPr>
              <w:pStyle w:val="65"/>
              <w:rPr>
                <w:rFonts w:ascii="Times New Roman" w:hAnsi="Times New Roman" w:eastAsia="宋体"/>
                <w:b w:val="0"/>
                <w:i w:val="0"/>
              </w:rPr>
            </w:pPr>
            <w:r>
              <w:rPr>
                <w:rFonts w:hint="eastAsia" w:ascii="Times New Roman" w:hAnsi="Times New Roman" w:eastAsia="宋体"/>
                <w:b w:val="0"/>
                <w:i w:val="0"/>
              </w:rPr>
              <w:t>Ⅰ</w:t>
            </w:r>
          </w:p>
        </w:tc>
        <w:tc>
          <w:tcPr>
            <w:tcW w:w="1137" w:type="pct"/>
            <w:vAlign w:val="center"/>
          </w:tcPr>
          <w:p>
            <w:pPr>
              <w:pStyle w:val="65"/>
            </w:pPr>
            <w:r>
              <w:rPr>
                <w:rFonts w:hint="eastAsia"/>
              </w:rPr>
              <w:t>20～70</w:t>
            </w:r>
          </w:p>
        </w:tc>
        <w:tc>
          <w:tcPr>
            <w:tcW w:w="2721" w:type="pct"/>
            <w:vAlign w:val="center"/>
          </w:tcPr>
          <w:p>
            <w:pPr>
              <w:pStyle w:val="65"/>
            </w:pPr>
            <w:r>
              <w:rPr>
                <w:rFonts w:hint="eastAsia" w:ascii="宋体" w:hAnsi="宋体"/>
              </w:rPr>
              <w:t>一般危险</w:t>
            </w:r>
            <w:r>
              <w:rPr>
                <w:rFonts w:hint="eastAsia"/>
              </w:rPr>
              <w:t>，需要注意</w:t>
            </w:r>
          </w:p>
        </w:tc>
      </w:tr>
    </w:tbl>
    <w:p>
      <w:pPr>
        <w:ind w:firstLine="480"/>
      </w:pPr>
      <w:r>
        <w:rPr>
          <w:rFonts w:hint="eastAsia"/>
        </w:rPr>
        <w:t>一级：</w:t>
      </w:r>
      <w:r>
        <w:rPr>
          <w:rFonts w:hint="eastAsia" w:ascii="宋体" w:hAnsi="宋体"/>
        </w:rPr>
        <w:t>一般危险</w:t>
      </w:r>
      <w:r>
        <w:rPr>
          <w:rFonts w:hint="eastAsia"/>
        </w:rPr>
        <w:t>，毋须采取措施且不必保留文件记录；</w:t>
      </w:r>
    </w:p>
    <w:p>
      <w:pPr>
        <w:ind w:firstLine="480"/>
      </w:pPr>
      <w:r>
        <w:rPr>
          <w:rFonts w:hint="eastAsia"/>
        </w:rPr>
        <w:t>二级：</w:t>
      </w:r>
      <w:r>
        <w:rPr>
          <w:rFonts w:hint="eastAsia" w:ascii="宋体" w:hAnsi="宋体"/>
        </w:rPr>
        <w:t>显著危险</w:t>
      </w:r>
      <w:r>
        <w:rPr>
          <w:rFonts w:hint="eastAsia"/>
        </w:rPr>
        <w:t>，不需要另外的控制措施，需保持现有做法并进行关注；</w:t>
      </w:r>
    </w:p>
    <w:p>
      <w:pPr>
        <w:ind w:firstLine="480"/>
      </w:pPr>
      <w:r>
        <w:rPr>
          <w:rFonts w:hint="eastAsia"/>
        </w:rPr>
        <w:t>三级：</w:t>
      </w:r>
      <w:r>
        <w:rPr>
          <w:rFonts w:hint="eastAsia" w:ascii="宋体" w:hAnsi="宋体"/>
        </w:rPr>
        <w:t>高度危险</w:t>
      </w:r>
      <w:r>
        <w:rPr>
          <w:rFonts w:hint="eastAsia"/>
        </w:rPr>
        <w:t>，结合实际情况，制定针对性安全控制措施；</w:t>
      </w:r>
    </w:p>
    <w:p>
      <w:pPr>
        <w:ind w:firstLine="480"/>
      </w:pPr>
      <w:r>
        <w:rPr>
          <w:rFonts w:hint="eastAsia"/>
        </w:rPr>
        <w:t>四级：</w:t>
      </w:r>
      <w:r>
        <w:rPr>
          <w:rFonts w:hint="eastAsia" w:ascii="宋体" w:hAnsi="宋体"/>
        </w:rPr>
        <w:t>极其危险</w:t>
      </w:r>
      <w:r>
        <w:rPr>
          <w:rFonts w:hint="eastAsia"/>
        </w:rPr>
        <w:t>，应编制专项方案及应急预案，施工期间，严格落实领导带班制度，当风险涉及正在进行中的工作并暂时不能控制时，必须停止作业，采取应急措施。</w:t>
      </w:r>
    </w:p>
    <w:p>
      <w:pPr>
        <w:pStyle w:val="5"/>
        <w:bidi w:val="0"/>
        <w:ind w:left="0" w:leftChars="0" w:firstLine="0" w:firstLineChars="0"/>
        <w:rPr>
          <w:rFonts w:hint="eastAsia"/>
          <w:sz w:val="24"/>
          <w:szCs w:val="24"/>
          <w:lang w:val="en-US" w:eastAsia="zh-CN"/>
        </w:rPr>
      </w:pPr>
      <w:r>
        <w:rPr>
          <w:rFonts w:hint="eastAsia"/>
          <w:sz w:val="24"/>
          <w:szCs w:val="24"/>
          <w:lang w:val="en-US" w:eastAsia="zh-CN"/>
        </w:rPr>
        <w:t>风险源辨识与评价</w:t>
      </w:r>
    </w:p>
    <w:p>
      <w:pPr>
        <w:ind w:firstLine="480"/>
      </w:pPr>
      <w:r>
        <w:rPr>
          <w:rFonts w:hint="eastAsia"/>
        </w:rPr>
        <w:t>根据以上风险估测方法，对塔吊安拆施工过程主要危险源进行分析和风险估测，从而得出塔吊安拆施工危险有害因素辨识及评价一览表见</w:t>
      </w:r>
      <w:r>
        <w:rPr>
          <w:rFonts w:hint="eastAsia"/>
          <w:lang w:eastAsia="zh-CN"/>
        </w:rPr>
        <w:t>表</w:t>
      </w:r>
      <w:r>
        <w:rPr>
          <w:rFonts w:hint="eastAsia"/>
          <w:lang w:val="en-US" w:eastAsia="zh-CN"/>
        </w:rPr>
        <w:t>9.1.2-1</w:t>
      </w:r>
      <w:r>
        <w:rPr>
          <w:rFonts w:hint="eastAsia"/>
        </w:rPr>
        <w:t>。</w:t>
      </w:r>
    </w:p>
    <w:p>
      <w:pPr>
        <w:ind w:firstLine="480"/>
        <w:sectPr>
          <w:headerReference r:id="rId7" w:type="default"/>
          <w:footerReference r:id="rId8" w:type="default"/>
          <w:pgSz w:w="11906" w:h="16838"/>
          <w:pgMar w:top="1418" w:right="1418" w:bottom="1134" w:left="1418" w:header="851" w:footer="992" w:gutter="0"/>
          <w:pgNumType w:fmt="decimal" w:start="1"/>
          <w:cols w:space="425" w:num="1"/>
          <w:docGrid w:type="lines" w:linePitch="326" w:charSpace="0"/>
        </w:sectPr>
      </w:pPr>
    </w:p>
    <w:p>
      <w:pPr>
        <w:pStyle w:val="16"/>
        <w:rPr>
          <w:rFonts w:ascii="宋体" w:hAnsi="宋体" w:cs="宋体"/>
          <w:b w:val="0"/>
          <w:bCs/>
        </w:rPr>
      </w:pPr>
      <w:bookmarkStart w:id="116" w:name="_Ref123196482"/>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9.1.2</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t>1</w:t>
      </w:r>
      <w:r>
        <w:fldChar w:fldCharType="end"/>
      </w:r>
      <w:bookmarkEnd w:id="116"/>
      <w:r>
        <w:rPr>
          <w:rFonts w:hint="eastAsia"/>
        </w:rPr>
        <w:t>塔吊</w:t>
      </w:r>
      <w:r>
        <w:rPr>
          <w:rFonts w:hint="eastAsia" w:ascii="宋体" w:hAnsi="宋体" w:cs="宋体"/>
          <w:bCs/>
        </w:rPr>
        <w:t>安拆施工危险有害因素辨识及评价一览表</w:t>
      </w:r>
    </w:p>
    <w:tbl>
      <w:tblPr>
        <w:tblStyle w:val="125"/>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6"/>
        <w:gridCol w:w="909"/>
        <w:gridCol w:w="2106"/>
        <w:gridCol w:w="4735"/>
        <w:gridCol w:w="1513"/>
        <w:gridCol w:w="506"/>
        <w:gridCol w:w="506"/>
        <w:gridCol w:w="709"/>
        <w:gridCol w:w="710"/>
        <w:gridCol w:w="710"/>
        <w:gridCol w:w="710"/>
        <w:gridCol w:w="70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271" w:type="pct"/>
            <w:vMerge w:val="restart"/>
            <w:shd w:val="clear" w:color="auto" w:fill="C6D9F0" w:themeFill="text2" w:themeFillTint="33"/>
            <w:vAlign w:val="center"/>
          </w:tcPr>
          <w:p>
            <w:pPr>
              <w:pStyle w:val="65"/>
              <w:rPr>
                <w:rStyle w:val="214"/>
                <w:rFonts w:cstheme="minorBidi"/>
                <w:b w:val="0"/>
              </w:rPr>
            </w:pPr>
            <w:r>
              <w:rPr>
                <w:rStyle w:val="214"/>
                <w:rFonts w:hint="eastAsia" w:cstheme="minorBidi"/>
                <w:b/>
              </w:rPr>
              <w:t>序号</w:t>
            </w:r>
          </w:p>
        </w:tc>
        <w:tc>
          <w:tcPr>
            <w:tcW w:w="348" w:type="pct"/>
            <w:vMerge w:val="restart"/>
            <w:shd w:val="clear" w:color="auto" w:fill="C6D9F0" w:themeFill="text2" w:themeFillTint="33"/>
            <w:vAlign w:val="center"/>
          </w:tcPr>
          <w:p>
            <w:pPr>
              <w:pStyle w:val="65"/>
              <w:rPr>
                <w:rStyle w:val="214"/>
                <w:rFonts w:cstheme="minorBidi"/>
                <w:b w:val="0"/>
              </w:rPr>
            </w:pPr>
            <w:r>
              <w:rPr>
                <w:rStyle w:val="214"/>
                <w:rFonts w:hint="eastAsia" w:cstheme="minorBidi"/>
                <w:b/>
              </w:rPr>
              <w:t>作业活动单元</w:t>
            </w:r>
          </w:p>
        </w:tc>
        <w:tc>
          <w:tcPr>
            <w:tcW w:w="348" w:type="pct"/>
            <w:vMerge w:val="restart"/>
            <w:shd w:val="clear" w:color="auto" w:fill="C6D9F0" w:themeFill="text2" w:themeFillTint="33"/>
            <w:vAlign w:val="center"/>
          </w:tcPr>
          <w:p>
            <w:pPr>
              <w:pStyle w:val="65"/>
              <w:rPr>
                <w:rStyle w:val="214"/>
                <w:rFonts w:cstheme="minorBidi"/>
                <w:b w:val="0"/>
              </w:rPr>
            </w:pPr>
            <w:r>
              <w:rPr>
                <w:rStyle w:val="214"/>
                <w:rFonts w:hint="eastAsia" w:cstheme="minorBidi"/>
                <w:b/>
              </w:rPr>
              <w:t>活动</w:t>
            </w:r>
          </w:p>
          <w:p>
            <w:pPr>
              <w:pStyle w:val="65"/>
              <w:rPr>
                <w:rStyle w:val="214"/>
                <w:rFonts w:cstheme="minorBidi"/>
                <w:b w:val="0"/>
              </w:rPr>
            </w:pPr>
            <w:r>
              <w:rPr>
                <w:rStyle w:val="214"/>
                <w:rFonts w:hint="eastAsia" w:cstheme="minorBidi"/>
                <w:b/>
              </w:rPr>
              <w:t>内容</w:t>
            </w:r>
          </w:p>
        </w:tc>
        <w:tc>
          <w:tcPr>
            <w:tcW w:w="1667" w:type="pct"/>
            <w:vMerge w:val="restart"/>
            <w:shd w:val="clear" w:color="auto" w:fill="C6D9F0" w:themeFill="text2" w:themeFillTint="33"/>
            <w:vAlign w:val="center"/>
          </w:tcPr>
          <w:p>
            <w:pPr>
              <w:pStyle w:val="65"/>
              <w:rPr>
                <w:rStyle w:val="214"/>
                <w:rFonts w:cstheme="minorBidi"/>
                <w:b w:val="0"/>
              </w:rPr>
            </w:pPr>
            <w:r>
              <w:rPr>
                <w:rStyle w:val="214"/>
                <w:rFonts w:hint="eastAsia" w:cstheme="minorBidi"/>
                <w:b/>
              </w:rPr>
              <w:t>可能存在的隐患</w:t>
            </w:r>
          </w:p>
        </w:tc>
        <w:tc>
          <w:tcPr>
            <w:tcW w:w="556" w:type="pct"/>
            <w:vMerge w:val="restart"/>
            <w:shd w:val="clear" w:color="auto" w:fill="C6D9F0" w:themeFill="text2" w:themeFillTint="33"/>
            <w:vAlign w:val="center"/>
          </w:tcPr>
          <w:p>
            <w:pPr>
              <w:pStyle w:val="65"/>
              <w:rPr>
                <w:rStyle w:val="214"/>
                <w:rFonts w:cstheme="minorBidi"/>
                <w:b w:val="0"/>
              </w:rPr>
            </w:pPr>
            <w:r>
              <w:rPr>
                <w:rStyle w:val="214"/>
                <w:rFonts w:hint="eastAsia" w:cstheme="minorBidi"/>
                <w:b/>
              </w:rPr>
              <w:t>潜在事故</w:t>
            </w:r>
          </w:p>
          <w:p>
            <w:pPr>
              <w:pStyle w:val="65"/>
              <w:rPr>
                <w:rStyle w:val="214"/>
                <w:rFonts w:cstheme="minorBidi"/>
                <w:b w:val="0"/>
              </w:rPr>
            </w:pPr>
            <w:r>
              <w:rPr>
                <w:rStyle w:val="214"/>
                <w:rFonts w:hint="eastAsia" w:cstheme="minorBidi"/>
                <w:b/>
              </w:rPr>
              <w:t>类型</w:t>
            </w:r>
          </w:p>
        </w:tc>
        <w:tc>
          <w:tcPr>
            <w:tcW w:w="1532" w:type="pct"/>
            <w:gridSpan w:val="6"/>
            <w:shd w:val="clear" w:color="auto" w:fill="C6D9F0" w:themeFill="text2" w:themeFillTint="33"/>
            <w:vAlign w:val="center"/>
          </w:tcPr>
          <w:p>
            <w:pPr>
              <w:pStyle w:val="65"/>
              <w:rPr>
                <w:rStyle w:val="214"/>
                <w:rFonts w:cstheme="minorBidi"/>
                <w:b w:val="0"/>
              </w:rPr>
            </w:pPr>
            <w:r>
              <w:rPr>
                <w:rStyle w:val="214"/>
                <w:rFonts w:hint="eastAsia" w:cstheme="minorBidi"/>
                <w:b/>
              </w:rPr>
              <w:t>危险、有害因素评价</w:t>
            </w:r>
          </w:p>
        </w:tc>
        <w:tc>
          <w:tcPr>
            <w:tcW w:w="279" w:type="pct"/>
            <w:vMerge w:val="restart"/>
            <w:shd w:val="clear" w:color="auto" w:fill="C6D9F0" w:themeFill="text2" w:themeFillTint="33"/>
            <w:vAlign w:val="center"/>
          </w:tcPr>
          <w:p>
            <w:pPr>
              <w:pStyle w:val="65"/>
              <w:rPr>
                <w:rStyle w:val="214"/>
                <w:rFonts w:cstheme="minorBidi"/>
                <w:b w:val="0"/>
              </w:rPr>
            </w:pPr>
            <w:r>
              <w:rPr>
                <w:rStyle w:val="214"/>
                <w:rFonts w:hint="eastAsia" w:cstheme="minorBidi"/>
                <w:b/>
              </w:rPr>
              <w:t>危害</w:t>
            </w:r>
          </w:p>
          <w:p>
            <w:pPr>
              <w:pStyle w:val="65"/>
              <w:rPr>
                <w:rStyle w:val="214"/>
                <w:rFonts w:cstheme="minorBidi"/>
                <w:b w:val="0"/>
              </w:rPr>
            </w:pPr>
            <w:r>
              <w:rPr>
                <w:rStyle w:val="214"/>
                <w:rFonts w:hint="eastAsia" w:cstheme="minorBidi"/>
                <w:b/>
              </w:rPr>
              <w:t>级别</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9" w:hRule="atLeast"/>
          <w:tblHeader/>
        </w:trPr>
        <w:tc>
          <w:tcPr>
            <w:tcW w:w="271" w:type="pct"/>
            <w:vMerge w:val="continue"/>
            <w:shd w:val="clear" w:color="auto" w:fill="C6D9F0" w:themeFill="text2" w:themeFillTint="33"/>
            <w:vAlign w:val="center"/>
          </w:tcPr>
          <w:p>
            <w:pPr>
              <w:pStyle w:val="65"/>
              <w:rPr>
                <w:rStyle w:val="214"/>
                <w:rFonts w:cstheme="minorBidi"/>
                <w:b w:val="0"/>
              </w:rPr>
            </w:pPr>
          </w:p>
        </w:tc>
        <w:tc>
          <w:tcPr>
            <w:tcW w:w="348" w:type="pct"/>
            <w:vMerge w:val="continue"/>
            <w:shd w:val="clear" w:color="auto" w:fill="C6D9F0" w:themeFill="text2" w:themeFillTint="33"/>
            <w:vAlign w:val="center"/>
          </w:tcPr>
          <w:p>
            <w:pPr>
              <w:pStyle w:val="65"/>
              <w:rPr>
                <w:rStyle w:val="214"/>
                <w:rFonts w:cstheme="minorBidi"/>
                <w:b w:val="0"/>
              </w:rPr>
            </w:pPr>
          </w:p>
        </w:tc>
        <w:tc>
          <w:tcPr>
            <w:tcW w:w="348" w:type="pct"/>
            <w:vMerge w:val="continue"/>
            <w:shd w:val="clear" w:color="auto" w:fill="C6D9F0" w:themeFill="text2" w:themeFillTint="33"/>
            <w:vAlign w:val="center"/>
          </w:tcPr>
          <w:p>
            <w:pPr>
              <w:pStyle w:val="65"/>
              <w:rPr>
                <w:rStyle w:val="214"/>
                <w:rFonts w:cstheme="minorBidi"/>
                <w:b w:val="0"/>
              </w:rPr>
            </w:pPr>
          </w:p>
        </w:tc>
        <w:tc>
          <w:tcPr>
            <w:tcW w:w="1667" w:type="pct"/>
            <w:vMerge w:val="continue"/>
            <w:shd w:val="clear" w:color="auto" w:fill="C6D9F0" w:themeFill="text2" w:themeFillTint="33"/>
            <w:vAlign w:val="center"/>
          </w:tcPr>
          <w:p>
            <w:pPr>
              <w:pStyle w:val="65"/>
              <w:rPr>
                <w:rStyle w:val="214"/>
                <w:rFonts w:cstheme="minorBidi"/>
                <w:b w:val="0"/>
              </w:rPr>
            </w:pPr>
          </w:p>
        </w:tc>
        <w:tc>
          <w:tcPr>
            <w:tcW w:w="556" w:type="pct"/>
            <w:vMerge w:val="continue"/>
            <w:shd w:val="clear" w:color="auto" w:fill="C6D9F0" w:themeFill="text2" w:themeFillTint="33"/>
            <w:vAlign w:val="center"/>
          </w:tcPr>
          <w:p>
            <w:pPr>
              <w:pStyle w:val="65"/>
              <w:rPr>
                <w:rStyle w:val="214"/>
                <w:rFonts w:cstheme="minorBidi"/>
                <w:b w:val="0"/>
              </w:rPr>
            </w:pPr>
          </w:p>
        </w:tc>
        <w:tc>
          <w:tcPr>
            <w:tcW w:w="417" w:type="pct"/>
            <w:gridSpan w:val="2"/>
            <w:shd w:val="clear" w:color="auto" w:fill="C6D9F0" w:themeFill="text2" w:themeFillTint="33"/>
            <w:vAlign w:val="center"/>
          </w:tcPr>
          <w:p>
            <w:pPr>
              <w:pStyle w:val="65"/>
              <w:rPr>
                <w:rStyle w:val="214"/>
                <w:rFonts w:cstheme="minorBidi"/>
                <w:b w:val="0"/>
              </w:rPr>
            </w:pPr>
            <w:r>
              <w:rPr>
                <w:rStyle w:val="214"/>
                <w:rFonts w:hint="eastAsia" w:cstheme="minorBidi"/>
                <w:b/>
              </w:rPr>
              <w:t>直接</w:t>
            </w:r>
          </w:p>
          <w:p>
            <w:pPr>
              <w:pStyle w:val="65"/>
              <w:rPr>
                <w:rStyle w:val="214"/>
                <w:rFonts w:cstheme="minorBidi"/>
                <w:b w:val="0"/>
              </w:rPr>
            </w:pPr>
            <w:r>
              <w:rPr>
                <w:rStyle w:val="214"/>
                <w:rFonts w:hint="eastAsia" w:cstheme="minorBidi"/>
                <w:b/>
              </w:rPr>
              <w:t>判断</w:t>
            </w:r>
          </w:p>
        </w:tc>
        <w:tc>
          <w:tcPr>
            <w:tcW w:w="1114" w:type="pct"/>
            <w:gridSpan w:val="4"/>
            <w:shd w:val="clear" w:color="auto" w:fill="C6D9F0" w:themeFill="text2" w:themeFillTint="33"/>
            <w:vAlign w:val="center"/>
          </w:tcPr>
          <w:p>
            <w:pPr>
              <w:pStyle w:val="65"/>
              <w:rPr>
                <w:rStyle w:val="214"/>
                <w:rFonts w:cstheme="minorBidi"/>
                <w:b w:val="0"/>
              </w:rPr>
            </w:pPr>
            <w:r>
              <w:rPr>
                <w:rStyle w:val="214"/>
                <w:rFonts w:hint="eastAsia" w:cstheme="minorBidi"/>
                <w:b/>
              </w:rPr>
              <w:t>D=LEC</w:t>
            </w:r>
          </w:p>
        </w:tc>
        <w:tc>
          <w:tcPr>
            <w:tcW w:w="279" w:type="pct"/>
            <w:vMerge w:val="continue"/>
            <w:shd w:val="clear" w:color="auto" w:fill="C6D9F0" w:themeFill="text2" w:themeFillTint="33"/>
            <w:vAlign w:val="center"/>
          </w:tcPr>
          <w:p>
            <w:pPr>
              <w:pStyle w:val="65"/>
              <w:rPr>
                <w:rStyle w:val="214"/>
                <w:rFonts w:cstheme="minorBidi"/>
                <w:b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7" w:hRule="atLeast"/>
          <w:tblHeader/>
        </w:trPr>
        <w:tc>
          <w:tcPr>
            <w:tcW w:w="271" w:type="pct"/>
            <w:vMerge w:val="continue"/>
            <w:shd w:val="clear" w:color="auto" w:fill="C6D9F0" w:themeFill="text2" w:themeFillTint="33"/>
            <w:vAlign w:val="center"/>
          </w:tcPr>
          <w:p>
            <w:pPr>
              <w:pStyle w:val="65"/>
              <w:rPr>
                <w:rStyle w:val="214"/>
                <w:rFonts w:cstheme="minorBidi"/>
                <w:b w:val="0"/>
              </w:rPr>
            </w:pPr>
          </w:p>
        </w:tc>
        <w:tc>
          <w:tcPr>
            <w:tcW w:w="348" w:type="pct"/>
            <w:vMerge w:val="continue"/>
            <w:shd w:val="clear" w:color="auto" w:fill="C6D9F0" w:themeFill="text2" w:themeFillTint="33"/>
            <w:vAlign w:val="center"/>
          </w:tcPr>
          <w:p>
            <w:pPr>
              <w:pStyle w:val="65"/>
              <w:rPr>
                <w:rStyle w:val="214"/>
                <w:rFonts w:cstheme="minorBidi"/>
                <w:b w:val="0"/>
              </w:rPr>
            </w:pPr>
          </w:p>
        </w:tc>
        <w:tc>
          <w:tcPr>
            <w:tcW w:w="348" w:type="pct"/>
            <w:vMerge w:val="continue"/>
            <w:shd w:val="clear" w:color="auto" w:fill="C6D9F0" w:themeFill="text2" w:themeFillTint="33"/>
            <w:vAlign w:val="center"/>
          </w:tcPr>
          <w:p>
            <w:pPr>
              <w:pStyle w:val="65"/>
              <w:rPr>
                <w:rStyle w:val="214"/>
                <w:rFonts w:cstheme="minorBidi"/>
                <w:b w:val="0"/>
              </w:rPr>
            </w:pPr>
          </w:p>
        </w:tc>
        <w:tc>
          <w:tcPr>
            <w:tcW w:w="1667" w:type="pct"/>
            <w:vMerge w:val="continue"/>
            <w:shd w:val="clear" w:color="auto" w:fill="C6D9F0" w:themeFill="text2" w:themeFillTint="33"/>
            <w:vAlign w:val="center"/>
          </w:tcPr>
          <w:p>
            <w:pPr>
              <w:pStyle w:val="65"/>
              <w:rPr>
                <w:rStyle w:val="214"/>
                <w:rFonts w:cstheme="minorBidi"/>
                <w:b w:val="0"/>
              </w:rPr>
            </w:pPr>
          </w:p>
        </w:tc>
        <w:tc>
          <w:tcPr>
            <w:tcW w:w="556" w:type="pct"/>
            <w:vMerge w:val="continue"/>
            <w:shd w:val="clear" w:color="auto" w:fill="C6D9F0" w:themeFill="text2" w:themeFillTint="33"/>
            <w:vAlign w:val="center"/>
          </w:tcPr>
          <w:p>
            <w:pPr>
              <w:pStyle w:val="65"/>
              <w:rPr>
                <w:rStyle w:val="214"/>
                <w:rFonts w:cstheme="minorBidi"/>
                <w:b w:val="0"/>
              </w:rPr>
            </w:pPr>
          </w:p>
        </w:tc>
        <w:tc>
          <w:tcPr>
            <w:tcW w:w="209" w:type="pct"/>
            <w:shd w:val="clear" w:color="auto" w:fill="C6D9F0" w:themeFill="text2" w:themeFillTint="33"/>
            <w:vAlign w:val="center"/>
          </w:tcPr>
          <w:p>
            <w:pPr>
              <w:pStyle w:val="65"/>
              <w:rPr>
                <w:rStyle w:val="214"/>
                <w:rFonts w:cstheme="minorBidi"/>
                <w:b w:val="0"/>
              </w:rPr>
            </w:pPr>
            <w:r>
              <w:rPr>
                <w:rStyle w:val="214"/>
                <w:rFonts w:hint="eastAsia" w:cstheme="minorBidi"/>
                <w:b/>
              </w:rPr>
              <w:t>是</w:t>
            </w:r>
          </w:p>
        </w:tc>
        <w:tc>
          <w:tcPr>
            <w:tcW w:w="209" w:type="pct"/>
            <w:shd w:val="clear" w:color="auto" w:fill="C6D9F0" w:themeFill="text2" w:themeFillTint="33"/>
            <w:vAlign w:val="center"/>
          </w:tcPr>
          <w:p>
            <w:pPr>
              <w:pStyle w:val="65"/>
              <w:rPr>
                <w:rStyle w:val="214"/>
                <w:rFonts w:cstheme="minorBidi"/>
                <w:b w:val="0"/>
              </w:rPr>
            </w:pPr>
            <w:r>
              <w:rPr>
                <w:rStyle w:val="214"/>
                <w:rFonts w:hint="eastAsia" w:cstheme="minorBidi"/>
                <w:b/>
              </w:rPr>
              <w:t>非</w:t>
            </w:r>
          </w:p>
        </w:tc>
        <w:tc>
          <w:tcPr>
            <w:tcW w:w="279" w:type="pct"/>
            <w:shd w:val="clear" w:color="auto" w:fill="C6D9F0" w:themeFill="text2" w:themeFillTint="33"/>
            <w:vAlign w:val="center"/>
          </w:tcPr>
          <w:p>
            <w:pPr>
              <w:pStyle w:val="65"/>
              <w:rPr>
                <w:rStyle w:val="214"/>
                <w:rFonts w:cstheme="minorBidi"/>
                <w:b w:val="0"/>
              </w:rPr>
            </w:pPr>
            <w:r>
              <w:rPr>
                <w:rStyle w:val="214"/>
                <w:rFonts w:hint="eastAsia" w:cstheme="minorBidi"/>
                <w:b/>
              </w:rPr>
              <w:t>L</w:t>
            </w:r>
          </w:p>
        </w:tc>
        <w:tc>
          <w:tcPr>
            <w:tcW w:w="279" w:type="pct"/>
            <w:shd w:val="clear" w:color="auto" w:fill="C6D9F0" w:themeFill="text2" w:themeFillTint="33"/>
            <w:vAlign w:val="center"/>
          </w:tcPr>
          <w:p>
            <w:pPr>
              <w:pStyle w:val="65"/>
              <w:rPr>
                <w:rStyle w:val="214"/>
                <w:rFonts w:cstheme="minorBidi"/>
                <w:b w:val="0"/>
              </w:rPr>
            </w:pPr>
            <w:r>
              <w:rPr>
                <w:rStyle w:val="214"/>
                <w:rFonts w:hint="eastAsia" w:cstheme="minorBidi"/>
                <w:b/>
              </w:rPr>
              <w:t>E</w:t>
            </w:r>
          </w:p>
        </w:tc>
        <w:tc>
          <w:tcPr>
            <w:tcW w:w="279" w:type="pct"/>
            <w:shd w:val="clear" w:color="auto" w:fill="C6D9F0" w:themeFill="text2" w:themeFillTint="33"/>
            <w:vAlign w:val="center"/>
          </w:tcPr>
          <w:p>
            <w:pPr>
              <w:pStyle w:val="65"/>
              <w:rPr>
                <w:rStyle w:val="214"/>
                <w:rFonts w:cstheme="minorBidi"/>
                <w:b w:val="0"/>
              </w:rPr>
            </w:pPr>
            <w:r>
              <w:rPr>
                <w:rStyle w:val="214"/>
                <w:rFonts w:hint="eastAsia" w:cstheme="minorBidi"/>
                <w:b/>
              </w:rPr>
              <w:t>C</w:t>
            </w:r>
          </w:p>
        </w:tc>
        <w:tc>
          <w:tcPr>
            <w:tcW w:w="279" w:type="pct"/>
            <w:shd w:val="clear" w:color="auto" w:fill="C6D9F0" w:themeFill="text2" w:themeFillTint="33"/>
            <w:vAlign w:val="center"/>
          </w:tcPr>
          <w:p>
            <w:pPr>
              <w:pStyle w:val="65"/>
              <w:rPr>
                <w:rStyle w:val="214"/>
                <w:rFonts w:cstheme="minorBidi"/>
                <w:b w:val="0"/>
              </w:rPr>
            </w:pPr>
            <w:r>
              <w:rPr>
                <w:rStyle w:val="214"/>
                <w:rFonts w:hint="eastAsia" w:cstheme="minorBidi"/>
                <w:b/>
              </w:rPr>
              <w:t>D</w:t>
            </w:r>
          </w:p>
        </w:tc>
        <w:tc>
          <w:tcPr>
            <w:tcW w:w="279" w:type="pct"/>
            <w:vMerge w:val="continue"/>
            <w:shd w:val="clear" w:color="auto" w:fill="C6D9F0" w:themeFill="text2" w:themeFillTint="33"/>
            <w:vAlign w:val="center"/>
          </w:tcPr>
          <w:p>
            <w:pPr>
              <w:pStyle w:val="65"/>
              <w:rPr>
                <w:rStyle w:val="214"/>
                <w:rFonts w:cstheme="minorBidi"/>
                <w:b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1</w:t>
            </w:r>
          </w:p>
        </w:tc>
        <w:tc>
          <w:tcPr>
            <w:tcW w:w="348" w:type="pct"/>
            <w:vMerge w:val="restart"/>
            <w:vAlign w:val="center"/>
          </w:tcPr>
          <w:p>
            <w:pPr>
              <w:pStyle w:val="65"/>
              <w:rPr>
                <w:rStyle w:val="214"/>
                <w:rFonts w:cstheme="minorBidi"/>
              </w:rPr>
            </w:pPr>
            <w:r>
              <w:rPr>
                <w:rStyle w:val="214"/>
                <w:rFonts w:hint="eastAsia" w:cstheme="minorBidi"/>
              </w:rPr>
              <w:t>塔吊基础及塔吊安拆</w:t>
            </w:r>
          </w:p>
        </w:tc>
        <w:tc>
          <w:tcPr>
            <w:tcW w:w="348" w:type="pct"/>
            <w:vMerge w:val="restart"/>
            <w:noWrap/>
            <w:vAlign w:val="center"/>
          </w:tcPr>
          <w:p>
            <w:pPr>
              <w:pStyle w:val="65"/>
              <w:rPr>
                <w:rStyle w:val="214"/>
                <w:rFonts w:cstheme="minorBidi"/>
              </w:rPr>
            </w:pPr>
            <w:r>
              <w:rPr>
                <w:rStyle w:val="214"/>
                <w:rFonts w:hint="eastAsia" w:cstheme="minorBidi"/>
              </w:rPr>
              <w:t>施工</w:t>
            </w:r>
          </w:p>
          <w:p>
            <w:pPr>
              <w:pStyle w:val="65"/>
              <w:rPr>
                <w:rStyle w:val="214"/>
                <w:rFonts w:cstheme="minorBidi"/>
              </w:rPr>
            </w:pPr>
            <w:r>
              <w:rPr>
                <w:rStyle w:val="214"/>
                <w:rFonts w:hint="eastAsia" w:cstheme="minorBidi"/>
              </w:rPr>
              <w:t>准备</w:t>
            </w:r>
          </w:p>
        </w:tc>
        <w:tc>
          <w:tcPr>
            <w:tcW w:w="1667" w:type="pct"/>
            <w:vAlign w:val="center"/>
          </w:tcPr>
          <w:p>
            <w:pPr>
              <w:pStyle w:val="65"/>
              <w:rPr>
                <w:rStyle w:val="214"/>
                <w:rFonts w:cstheme="minorBidi"/>
              </w:rPr>
            </w:pPr>
            <w:r>
              <w:rPr>
                <w:rStyle w:val="214"/>
                <w:rFonts w:hint="eastAsia" w:cstheme="minorBidi"/>
              </w:rPr>
              <w:t>作业人员进场未进行安全培训教育和风险告知</w:t>
            </w:r>
          </w:p>
        </w:tc>
        <w:tc>
          <w:tcPr>
            <w:tcW w:w="556" w:type="pct"/>
            <w:vMerge w:val="restart"/>
            <w:vAlign w:val="center"/>
          </w:tcPr>
          <w:p>
            <w:pPr>
              <w:pStyle w:val="65"/>
              <w:rPr>
                <w:rStyle w:val="214"/>
                <w:rFonts w:cstheme="minorBidi"/>
              </w:rPr>
            </w:pPr>
            <w:r>
              <w:rPr>
                <w:rStyle w:val="214"/>
                <w:rFonts w:hint="eastAsia" w:cstheme="minorBidi"/>
              </w:rPr>
              <w:t>物体打击</w:t>
            </w:r>
          </w:p>
          <w:p>
            <w:pPr>
              <w:pStyle w:val="65"/>
              <w:rPr>
                <w:rStyle w:val="214"/>
                <w:rFonts w:cstheme="minorBidi"/>
              </w:rPr>
            </w:pPr>
            <w:r>
              <w:rPr>
                <w:rStyle w:val="214"/>
                <w:rFonts w:hint="eastAsia" w:cstheme="minorBidi"/>
              </w:rPr>
              <w:t>起重伤害</w:t>
            </w:r>
          </w:p>
          <w:p>
            <w:pPr>
              <w:pStyle w:val="65"/>
              <w:rPr>
                <w:rStyle w:val="214"/>
                <w:rFonts w:cstheme="minorBidi"/>
              </w:rPr>
            </w:pPr>
            <w:r>
              <w:rPr>
                <w:rStyle w:val="214"/>
                <w:rFonts w:hint="eastAsia" w:cstheme="minorBidi"/>
              </w:rPr>
              <w:t>高处坠落</w:t>
            </w:r>
          </w:p>
          <w:p>
            <w:pPr>
              <w:pStyle w:val="65"/>
              <w:rPr>
                <w:rStyle w:val="214"/>
                <w:rFonts w:cstheme="minorBidi"/>
              </w:rPr>
            </w:pPr>
            <w:r>
              <w:rPr>
                <w:rStyle w:val="214"/>
                <w:rFonts w:hint="eastAsia" w:cstheme="minorBidi"/>
              </w:rPr>
              <w:t>车辆伤害</w:t>
            </w:r>
          </w:p>
          <w:p>
            <w:pPr>
              <w:pStyle w:val="65"/>
              <w:rPr>
                <w:rStyle w:val="214"/>
                <w:rFonts w:cstheme="minorBidi"/>
              </w:rPr>
            </w:pPr>
            <w:r>
              <w:rPr>
                <w:rStyle w:val="214"/>
                <w:rFonts w:hint="eastAsia" w:cstheme="minorBidi"/>
              </w:rPr>
              <w:t>触电</w:t>
            </w:r>
          </w:p>
          <w:p>
            <w:pPr>
              <w:pStyle w:val="65"/>
              <w:rPr>
                <w:rStyle w:val="214"/>
                <w:rFonts w:cstheme="minorBidi"/>
              </w:rPr>
            </w:pPr>
            <w:r>
              <w:rPr>
                <w:rStyle w:val="214"/>
                <w:rFonts w:hint="eastAsia" w:cstheme="minorBidi"/>
              </w:rPr>
              <w:t>等</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0.2</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48</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2</w:t>
            </w:r>
          </w:p>
        </w:tc>
        <w:tc>
          <w:tcPr>
            <w:tcW w:w="348" w:type="pct"/>
            <w:vMerge w:val="continue"/>
            <w:vAlign w:val="center"/>
          </w:tcPr>
          <w:p>
            <w:pPr>
              <w:pStyle w:val="65"/>
              <w:rPr>
                <w:rStyle w:val="214"/>
                <w:rFonts w:cstheme="minorBidi"/>
              </w:rPr>
            </w:pPr>
          </w:p>
        </w:tc>
        <w:tc>
          <w:tcPr>
            <w:tcW w:w="348" w:type="pct"/>
            <w:vMerge w:val="continue"/>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未对作业人员进行安全技术交底或交底不充分</w:t>
            </w:r>
          </w:p>
        </w:tc>
        <w:tc>
          <w:tcPr>
            <w:tcW w:w="556" w:type="pct"/>
            <w:vMerge w:val="continue"/>
            <w:vAlign w:val="center"/>
          </w:tcPr>
          <w:p>
            <w:pPr>
              <w:pStyle w:val="65"/>
              <w:rPr>
                <w:rStyle w:val="214"/>
                <w:rFonts w:cstheme="minorBidi"/>
              </w:rPr>
            </w:pP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0.2</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48</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1" w:type="pct"/>
            <w:noWrap/>
            <w:vAlign w:val="center"/>
          </w:tcPr>
          <w:p>
            <w:pPr>
              <w:pStyle w:val="65"/>
              <w:rPr>
                <w:rStyle w:val="214"/>
                <w:rFonts w:cstheme="minorBidi"/>
              </w:rPr>
            </w:pPr>
            <w:r>
              <w:rPr>
                <w:rStyle w:val="214"/>
                <w:rFonts w:hint="eastAsia" w:cstheme="minorBidi"/>
              </w:rPr>
              <w:t>3</w:t>
            </w:r>
          </w:p>
        </w:tc>
        <w:tc>
          <w:tcPr>
            <w:tcW w:w="348" w:type="pct"/>
            <w:vMerge w:val="continue"/>
            <w:vAlign w:val="center"/>
          </w:tcPr>
          <w:p>
            <w:pPr>
              <w:pStyle w:val="65"/>
              <w:rPr>
                <w:rStyle w:val="214"/>
                <w:rFonts w:cstheme="minorBidi"/>
              </w:rPr>
            </w:pPr>
          </w:p>
        </w:tc>
        <w:tc>
          <w:tcPr>
            <w:tcW w:w="348" w:type="pct"/>
            <w:vMerge w:val="continue"/>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作业人员未进行体检或带病作业</w:t>
            </w:r>
          </w:p>
        </w:tc>
        <w:tc>
          <w:tcPr>
            <w:tcW w:w="556" w:type="pct"/>
            <w:vMerge w:val="continue"/>
            <w:vAlign w:val="center"/>
          </w:tcPr>
          <w:p>
            <w:pPr>
              <w:pStyle w:val="65"/>
              <w:rPr>
                <w:rStyle w:val="214"/>
                <w:rFonts w:cstheme="minorBidi"/>
              </w:rPr>
            </w:pP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0.2</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18</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4</w:t>
            </w:r>
          </w:p>
        </w:tc>
        <w:tc>
          <w:tcPr>
            <w:tcW w:w="348" w:type="pct"/>
            <w:vMerge w:val="continue"/>
            <w:vAlign w:val="center"/>
          </w:tcPr>
          <w:p>
            <w:pPr>
              <w:pStyle w:val="65"/>
              <w:rPr>
                <w:rStyle w:val="214"/>
                <w:rFonts w:cstheme="minorBidi"/>
              </w:rPr>
            </w:pPr>
          </w:p>
        </w:tc>
        <w:tc>
          <w:tcPr>
            <w:tcW w:w="348" w:type="pct"/>
            <w:vMerge w:val="continue"/>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作业人员进入施工现场未正确使用安全防护用品</w:t>
            </w:r>
          </w:p>
        </w:tc>
        <w:tc>
          <w:tcPr>
            <w:tcW w:w="556" w:type="pct"/>
            <w:vMerge w:val="continue"/>
            <w:vAlign w:val="center"/>
          </w:tcPr>
          <w:p>
            <w:pPr>
              <w:pStyle w:val="65"/>
              <w:rPr>
                <w:rStyle w:val="214"/>
                <w:rFonts w:cstheme="minorBidi"/>
              </w:rPr>
            </w:pP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90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5</w:t>
            </w:r>
          </w:p>
        </w:tc>
        <w:tc>
          <w:tcPr>
            <w:tcW w:w="348" w:type="pct"/>
            <w:vMerge w:val="continue"/>
            <w:vAlign w:val="center"/>
          </w:tcPr>
          <w:p>
            <w:pPr>
              <w:pStyle w:val="65"/>
              <w:rPr>
                <w:rStyle w:val="214"/>
                <w:rFonts w:cstheme="minorBidi"/>
              </w:rPr>
            </w:pPr>
          </w:p>
        </w:tc>
        <w:tc>
          <w:tcPr>
            <w:tcW w:w="348" w:type="pct"/>
            <w:vMerge w:val="continue"/>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特种作业人员未持证上岗或证件过期</w:t>
            </w:r>
          </w:p>
        </w:tc>
        <w:tc>
          <w:tcPr>
            <w:tcW w:w="556" w:type="pct"/>
            <w:vMerge w:val="continue"/>
            <w:vAlign w:val="center"/>
          </w:tcPr>
          <w:p>
            <w:pPr>
              <w:pStyle w:val="65"/>
              <w:rPr>
                <w:rStyle w:val="214"/>
                <w:rFonts w:cstheme="minorBidi"/>
              </w:rPr>
            </w:pP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0.5</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45</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6</w:t>
            </w:r>
          </w:p>
        </w:tc>
        <w:tc>
          <w:tcPr>
            <w:tcW w:w="348" w:type="pct"/>
            <w:vMerge w:val="continue"/>
            <w:vAlign w:val="center"/>
          </w:tcPr>
          <w:p>
            <w:pPr>
              <w:pStyle w:val="65"/>
              <w:rPr>
                <w:rStyle w:val="214"/>
                <w:rFonts w:cstheme="minorBidi"/>
              </w:rPr>
            </w:pPr>
          </w:p>
        </w:tc>
        <w:tc>
          <w:tcPr>
            <w:tcW w:w="348" w:type="pct"/>
            <w:vMerge w:val="continue"/>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现场场所警戒、封闭不到位</w:t>
            </w:r>
          </w:p>
        </w:tc>
        <w:tc>
          <w:tcPr>
            <w:tcW w:w="556" w:type="pct"/>
            <w:vMerge w:val="continue"/>
            <w:vAlign w:val="center"/>
          </w:tcPr>
          <w:p>
            <w:pPr>
              <w:pStyle w:val="65"/>
              <w:rPr>
                <w:rStyle w:val="214"/>
                <w:rFonts w:cstheme="minorBidi"/>
              </w:rPr>
            </w:pP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7</w:t>
            </w:r>
          </w:p>
        </w:tc>
        <w:tc>
          <w:tcPr>
            <w:tcW w:w="279" w:type="pct"/>
            <w:vAlign w:val="center"/>
          </w:tcPr>
          <w:p>
            <w:pPr>
              <w:pStyle w:val="65"/>
              <w:rPr>
                <w:rStyle w:val="214"/>
                <w:rFonts w:cstheme="minorBidi"/>
              </w:rPr>
            </w:pPr>
            <w:r>
              <w:rPr>
                <w:rStyle w:val="214"/>
                <w:rFonts w:hint="eastAsia" w:cstheme="minorBidi"/>
              </w:rPr>
              <w:t>42</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8</w:t>
            </w:r>
          </w:p>
        </w:tc>
        <w:tc>
          <w:tcPr>
            <w:tcW w:w="348" w:type="pct"/>
            <w:vMerge w:val="continue"/>
            <w:vAlign w:val="center"/>
          </w:tcPr>
          <w:p>
            <w:pPr>
              <w:pStyle w:val="65"/>
              <w:rPr>
                <w:rStyle w:val="214"/>
                <w:rFonts w:cstheme="minorBidi"/>
              </w:rPr>
            </w:pPr>
          </w:p>
        </w:tc>
        <w:tc>
          <w:tcPr>
            <w:tcW w:w="348" w:type="pct"/>
            <w:vMerge w:val="continue"/>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未办理危险作业施工许可证</w:t>
            </w:r>
          </w:p>
        </w:tc>
        <w:tc>
          <w:tcPr>
            <w:tcW w:w="556" w:type="pct"/>
            <w:vMerge w:val="continue"/>
            <w:vAlign w:val="center"/>
          </w:tcPr>
          <w:p>
            <w:pPr>
              <w:pStyle w:val="65"/>
              <w:rPr>
                <w:rStyle w:val="214"/>
                <w:rFonts w:cstheme="minorBidi"/>
              </w:rPr>
            </w:pP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7</w:t>
            </w:r>
          </w:p>
        </w:tc>
        <w:tc>
          <w:tcPr>
            <w:tcW w:w="279" w:type="pct"/>
            <w:vAlign w:val="center"/>
          </w:tcPr>
          <w:p>
            <w:pPr>
              <w:pStyle w:val="65"/>
              <w:rPr>
                <w:rStyle w:val="214"/>
                <w:rFonts w:cstheme="minorBidi"/>
              </w:rPr>
            </w:pPr>
            <w:r>
              <w:rPr>
                <w:rStyle w:val="214"/>
                <w:rFonts w:hint="eastAsia" w:cstheme="minorBidi"/>
              </w:rPr>
              <w:t>42</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9</w:t>
            </w:r>
          </w:p>
        </w:tc>
        <w:tc>
          <w:tcPr>
            <w:tcW w:w="348" w:type="pct"/>
            <w:vMerge w:val="continue"/>
            <w:vAlign w:val="center"/>
          </w:tcPr>
          <w:p>
            <w:pPr>
              <w:pStyle w:val="65"/>
              <w:rPr>
                <w:rStyle w:val="214"/>
                <w:rFonts w:cstheme="minorBidi"/>
              </w:rPr>
            </w:pPr>
          </w:p>
        </w:tc>
        <w:tc>
          <w:tcPr>
            <w:tcW w:w="348" w:type="pct"/>
            <w:vMerge w:val="restart"/>
            <w:noWrap/>
            <w:vAlign w:val="center"/>
          </w:tcPr>
          <w:p>
            <w:pPr>
              <w:pStyle w:val="65"/>
              <w:rPr>
                <w:rStyle w:val="214"/>
                <w:rFonts w:cstheme="minorBidi"/>
              </w:rPr>
            </w:pPr>
            <w:r>
              <w:rPr>
                <w:rStyle w:val="214"/>
                <w:rFonts w:hint="eastAsia" w:cstheme="minorBidi"/>
              </w:rPr>
              <w:t>塔吊构件运输、转场</w:t>
            </w:r>
          </w:p>
        </w:tc>
        <w:tc>
          <w:tcPr>
            <w:tcW w:w="1667" w:type="pct"/>
            <w:vAlign w:val="center"/>
          </w:tcPr>
          <w:p>
            <w:pPr>
              <w:pStyle w:val="65"/>
              <w:rPr>
                <w:rStyle w:val="214"/>
                <w:rFonts w:cstheme="minorBidi"/>
              </w:rPr>
            </w:pPr>
            <w:r>
              <w:rPr>
                <w:rStyle w:val="214"/>
                <w:rFonts w:hint="eastAsia" w:cstheme="minorBidi"/>
              </w:rPr>
              <w:t>司机违规驾驶</w:t>
            </w:r>
          </w:p>
        </w:tc>
        <w:tc>
          <w:tcPr>
            <w:tcW w:w="556" w:type="pct"/>
            <w:vAlign w:val="center"/>
          </w:tcPr>
          <w:p>
            <w:pPr>
              <w:pStyle w:val="65"/>
              <w:rPr>
                <w:rStyle w:val="214"/>
                <w:rFonts w:cstheme="minorBidi"/>
              </w:rPr>
            </w:pPr>
            <w:r>
              <w:rPr>
                <w:rStyle w:val="214"/>
                <w:rFonts w:hint="eastAsia" w:cstheme="minorBidi"/>
              </w:rPr>
              <w:t>机械伤害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7</w:t>
            </w:r>
          </w:p>
        </w:tc>
        <w:tc>
          <w:tcPr>
            <w:tcW w:w="279" w:type="pct"/>
            <w:vAlign w:val="center"/>
          </w:tcPr>
          <w:p>
            <w:pPr>
              <w:pStyle w:val="65"/>
              <w:rPr>
                <w:rStyle w:val="214"/>
                <w:rFonts w:cstheme="minorBidi"/>
              </w:rPr>
            </w:pPr>
            <w:r>
              <w:rPr>
                <w:rStyle w:val="214"/>
                <w:rFonts w:hint="eastAsia" w:cstheme="minorBidi"/>
              </w:rPr>
              <w:t>42</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10</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运输车辆行驶速度过快</w:t>
            </w:r>
          </w:p>
        </w:tc>
        <w:tc>
          <w:tcPr>
            <w:tcW w:w="556" w:type="pct"/>
            <w:vAlign w:val="center"/>
          </w:tcPr>
          <w:p>
            <w:pPr>
              <w:pStyle w:val="65"/>
              <w:rPr>
                <w:rStyle w:val="214"/>
                <w:rFonts w:cstheme="minorBidi"/>
              </w:rPr>
            </w:pPr>
            <w:r>
              <w:rPr>
                <w:rStyle w:val="214"/>
                <w:rFonts w:hint="eastAsia" w:cstheme="minorBidi"/>
              </w:rPr>
              <w:t>交通事故</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7</w:t>
            </w:r>
          </w:p>
        </w:tc>
        <w:tc>
          <w:tcPr>
            <w:tcW w:w="279" w:type="pct"/>
            <w:vAlign w:val="center"/>
          </w:tcPr>
          <w:p>
            <w:pPr>
              <w:pStyle w:val="65"/>
              <w:rPr>
                <w:rStyle w:val="214"/>
                <w:rFonts w:cstheme="minorBidi"/>
              </w:rPr>
            </w:pPr>
            <w:r>
              <w:rPr>
                <w:rStyle w:val="214"/>
                <w:rFonts w:hint="eastAsia" w:cstheme="minorBidi"/>
              </w:rPr>
              <w:t>42</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11</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运输车辆超载</w:t>
            </w:r>
          </w:p>
        </w:tc>
        <w:tc>
          <w:tcPr>
            <w:tcW w:w="556" w:type="pct"/>
            <w:vAlign w:val="center"/>
          </w:tcPr>
          <w:p>
            <w:pPr>
              <w:pStyle w:val="65"/>
              <w:rPr>
                <w:rStyle w:val="214"/>
                <w:rFonts w:cstheme="minorBidi"/>
              </w:rPr>
            </w:pPr>
            <w:r>
              <w:rPr>
                <w:rStyle w:val="214"/>
                <w:rFonts w:hint="eastAsia" w:cstheme="minorBidi"/>
              </w:rPr>
              <w:t>交通事故</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7</w:t>
            </w:r>
          </w:p>
        </w:tc>
        <w:tc>
          <w:tcPr>
            <w:tcW w:w="279" w:type="pct"/>
            <w:vAlign w:val="center"/>
          </w:tcPr>
          <w:p>
            <w:pPr>
              <w:pStyle w:val="65"/>
              <w:rPr>
                <w:rStyle w:val="214"/>
                <w:rFonts w:cstheme="minorBidi"/>
              </w:rPr>
            </w:pPr>
            <w:r>
              <w:rPr>
                <w:rStyle w:val="214"/>
                <w:rFonts w:hint="eastAsia" w:cstheme="minorBidi"/>
              </w:rPr>
              <w:t>42</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12</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运输车辆急走急停</w:t>
            </w:r>
          </w:p>
        </w:tc>
        <w:tc>
          <w:tcPr>
            <w:tcW w:w="556" w:type="pct"/>
            <w:vAlign w:val="center"/>
          </w:tcPr>
          <w:p>
            <w:pPr>
              <w:pStyle w:val="65"/>
              <w:rPr>
                <w:rStyle w:val="214"/>
                <w:rFonts w:cstheme="minorBidi"/>
              </w:rPr>
            </w:pPr>
            <w:r>
              <w:rPr>
                <w:rStyle w:val="214"/>
                <w:rFonts w:hint="eastAsia" w:cstheme="minorBidi"/>
              </w:rPr>
              <w:t>物体打击、机械伤害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10</w:t>
            </w:r>
          </w:p>
        </w:tc>
        <w:tc>
          <w:tcPr>
            <w:tcW w:w="279" w:type="pct"/>
            <w:vAlign w:val="center"/>
          </w:tcPr>
          <w:p>
            <w:pPr>
              <w:pStyle w:val="65"/>
              <w:rPr>
                <w:rStyle w:val="214"/>
                <w:rFonts w:cstheme="minorBidi"/>
              </w:rPr>
            </w:pPr>
            <w:r>
              <w:rPr>
                <w:rStyle w:val="214"/>
                <w:rFonts w:hint="eastAsia" w:cstheme="minorBidi"/>
              </w:rPr>
              <w:t>3</w:t>
            </w:r>
          </w:p>
        </w:tc>
        <w:tc>
          <w:tcPr>
            <w:tcW w:w="279" w:type="pct"/>
            <w:vAlign w:val="center"/>
          </w:tcPr>
          <w:p>
            <w:pPr>
              <w:pStyle w:val="65"/>
              <w:rPr>
                <w:rStyle w:val="214"/>
                <w:rFonts w:cstheme="minorBidi"/>
              </w:rPr>
            </w:pPr>
            <w:r>
              <w:rPr>
                <w:rStyle w:val="214"/>
                <w:rFonts w:hint="eastAsia" w:cstheme="minorBidi"/>
              </w:rPr>
              <w:t>30</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13</w:t>
            </w:r>
          </w:p>
        </w:tc>
        <w:tc>
          <w:tcPr>
            <w:tcW w:w="348" w:type="pct"/>
            <w:vMerge w:val="continue"/>
            <w:vAlign w:val="center"/>
          </w:tcPr>
          <w:p>
            <w:pPr>
              <w:pStyle w:val="65"/>
              <w:rPr>
                <w:rStyle w:val="214"/>
                <w:rFonts w:cstheme="minorBidi"/>
              </w:rPr>
            </w:pPr>
          </w:p>
        </w:tc>
        <w:tc>
          <w:tcPr>
            <w:tcW w:w="348" w:type="pct"/>
            <w:vMerge w:val="restart"/>
            <w:noWrap/>
            <w:vAlign w:val="center"/>
          </w:tcPr>
          <w:p>
            <w:pPr>
              <w:pStyle w:val="65"/>
              <w:rPr>
                <w:rStyle w:val="214"/>
                <w:rFonts w:cstheme="minorBidi"/>
              </w:rPr>
            </w:pPr>
            <w:r>
              <w:rPr>
                <w:rStyle w:val="214"/>
                <w:rFonts w:hint="eastAsia" w:cstheme="minorBidi"/>
              </w:rPr>
              <w:t>塔吊安装、拆除</w:t>
            </w:r>
          </w:p>
        </w:tc>
        <w:tc>
          <w:tcPr>
            <w:tcW w:w="1667" w:type="pct"/>
            <w:vAlign w:val="center"/>
          </w:tcPr>
          <w:p>
            <w:pPr>
              <w:pStyle w:val="65"/>
              <w:rPr>
                <w:rStyle w:val="214"/>
                <w:rFonts w:cstheme="minorBidi"/>
              </w:rPr>
            </w:pPr>
            <w:r>
              <w:rPr>
                <w:rStyle w:val="214"/>
                <w:rFonts w:hint="eastAsia" w:cstheme="minorBidi"/>
              </w:rPr>
              <w:t>塔吊安装前未对基础位置、标高、尺寸、预埋件进行检查验收。</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14</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安装过程中塔身垂直度</w:t>
            </w:r>
          </w:p>
        </w:tc>
        <w:tc>
          <w:tcPr>
            <w:tcW w:w="556" w:type="pct"/>
            <w:vAlign w:val="center"/>
          </w:tcPr>
          <w:p>
            <w:pPr>
              <w:pStyle w:val="65"/>
              <w:rPr>
                <w:rStyle w:val="214"/>
                <w:rFonts w:cstheme="minorBidi"/>
              </w:rPr>
            </w:pPr>
            <w:r>
              <w:rPr>
                <w:rStyle w:val="214"/>
                <w:rFonts w:hint="eastAsia" w:cstheme="minorBidi"/>
              </w:rPr>
              <w:t>坍塌</w:t>
            </w:r>
          </w:p>
        </w:tc>
        <w:tc>
          <w:tcPr>
            <w:tcW w:w="209" w:type="pct"/>
            <w:vAlign w:val="center"/>
          </w:tcPr>
          <w:p>
            <w:pPr>
              <w:pStyle w:val="65"/>
              <w:rPr>
                <w:rStyle w:val="214"/>
                <w:rFonts w:cstheme="minorBidi"/>
              </w:rPr>
            </w:pP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0.1</w:t>
            </w:r>
          </w:p>
        </w:tc>
        <w:tc>
          <w:tcPr>
            <w:tcW w:w="279" w:type="pct"/>
            <w:vAlign w:val="center"/>
          </w:tcPr>
          <w:p>
            <w:pPr>
              <w:pStyle w:val="65"/>
              <w:rPr>
                <w:rStyle w:val="214"/>
                <w:rFonts w:cstheme="minorBidi"/>
              </w:rPr>
            </w:pPr>
            <w:r>
              <w:rPr>
                <w:rStyle w:val="214"/>
                <w:rFonts w:hint="eastAsia" w:cstheme="minorBidi"/>
              </w:rPr>
              <w:t>10</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15</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作业人员高处作业时未系安全带</w:t>
            </w:r>
          </w:p>
        </w:tc>
        <w:tc>
          <w:tcPr>
            <w:tcW w:w="556" w:type="pct"/>
            <w:vAlign w:val="center"/>
          </w:tcPr>
          <w:p>
            <w:pPr>
              <w:pStyle w:val="65"/>
              <w:rPr>
                <w:rStyle w:val="214"/>
                <w:rFonts w:cstheme="minorBidi"/>
              </w:rPr>
            </w:pPr>
            <w:r>
              <w:rPr>
                <w:rStyle w:val="214"/>
                <w:rFonts w:hint="eastAsia" w:cstheme="minorBidi"/>
              </w:rPr>
              <w:t>高处坠落</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3</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120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16</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作业人员在起重臂下弦行走时未交替悬挂安全带</w:t>
            </w:r>
          </w:p>
        </w:tc>
        <w:tc>
          <w:tcPr>
            <w:tcW w:w="556" w:type="pct"/>
            <w:vAlign w:val="center"/>
          </w:tcPr>
          <w:p>
            <w:pPr>
              <w:pStyle w:val="65"/>
              <w:rPr>
                <w:rStyle w:val="214"/>
                <w:rFonts w:cstheme="minorBidi"/>
              </w:rPr>
            </w:pPr>
            <w:r>
              <w:rPr>
                <w:rStyle w:val="214"/>
                <w:rFonts w:hint="eastAsia" w:cstheme="minorBidi"/>
              </w:rPr>
              <w:t>高处坠落</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3</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120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17</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作业人员未站位于牢固可靠的地方</w:t>
            </w:r>
          </w:p>
        </w:tc>
        <w:tc>
          <w:tcPr>
            <w:tcW w:w="556" w:type="pct"/>
            <w:vAlign w:val="center"/>
          </w:tcPr>
          <w:p>
            <w:pPr>
              <w:pStyle w:val="65"/>
              <w:rPr>
                <w:rStyle w:val="214"/>
                <w:rFonts w:cstheme="minorBidi"/>
              </w:rPr>
            </w:pPr>
            <w:r>
              <w:rPr>
                <w:rStyle w:val="214"/>
                <w:rFonts w:hint="eastAsia" w:cstheme="minorBidi"/>
              </w:rPr>
              <w:t>高处坠落</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3</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120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18</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塔吊构件未按方案和说明书顺序进行安装或拆除</w:t>
            </w:r>
          </w:p>
        </w:tc>
        <w:tc>
          <w:tcPr>
            <w:tcW w:w="556" w:type="pct"/>
            <w:vAlign w:val="center"/>
          </w:tcPr>
          <w:p>
            <w:pPr>
              <w:pStyle w:val="65"/>
              <w:rPr>
                <w:rStyle w:val="214"/>
                <w:rFonts w:cstheme="minorBidi"/>
              </w:rPr>
            </w:pPr>
            <w:r>
              <w:rPr>
                <w:rStyle w:val="214"/>
                <w:rFonts w:hint="eastAsia" w:cstheme="minorBidi"/>
              </w:rPr>
              <w:t>倒塌</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2</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80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271" w:type="pct"/>
            <w:noWrap/>
            <w:vAlign w:val="center"/>
          </w:tcPr>
          <w:p>
            <w:pPr>
              <w:pStyle w:val="65"/>
              <w:rPr>
                <w:rStyle w:val="214"/>
                <w:rFonts w:cstheme="minorBidi"/>
              </w:rPr>
            </w:pPr>
            <w:r>
              <w:rPr>
                <w:rStyle w:val="214"/>
                <w:rFonts w:hint="eastAsia" w:cstheme="minorBidi"/>
              </w:rPr>
              <w:t>19</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变幅钢丝绳及起重钢丝绳未连接牢固</w:t>
            </w:r>
          </w:p>
        </w:tc>
        <w:tc>
          <w:tcPr>
            <w:tcW w:w="556" w:type="pct"/>
            <w:vAlign w:val="center"/>
          </w:tcPr>
          <w:p>
            <w:pPr>
              <w:pStyle w:val="65"/>
              <w:rPr>
                <w:rStyle w:val="214"/>
                <w:rFonts w:cstheme="minorBidi"/>
              </w:rPr>
            </w:pPr>
            <w:r>
              <w:rPr>
                <w:rStyle w:val="214"/>
                <w:rFonts w:hint="eastAsia" w:cstheme="minorBidi"/>
              </w:rPr>
              <w:t>物体打击</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7</w:t>
            </w:r>
          </w:p>
        </w:tc>
        <w:tc>
          <w:tcPr>
            <w:tcW w:w="279" w:type="pct"/>
            <w:vAlign w:val="center"/>
          </w:tcPr>
          <w:p>
            <w:pPr>
              <w:pStyle w:val="65"/>
              <w:rPr>
                <w:rStyle w:val="214"/>
                <w:rFonts w:cstheme="minorBidi"/>
              </w:rPr>
            </w:pPr>
            <w:r>
              <w:rPr>
                <w:rStyle w:val="214"/>
                <w:rFonts w:hint="eastAsia" w:cstheme="minorBidi"/>
              </w:rPr>
              <w:t>42</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271" w:type="pct"/>
            <w:noWrap/>
            <w:vAlign w:val="center"/>
          </w:tcPr>
          <w:p>
            <w:pPr>
              <w:pStyle w:val="65"/>
              <w:rPr>
                <w:rStyle w:val="214"/>
                <w:rFonts w:cstheme="minorBidi"/>
              </w:rPr>
            </w:pPr>
            <w:r>
              <w:rPr>
                <w:rStyle w:val="214"/>
                <w:rFonts w:hint="eastAsia" w:cstheme="minorBidi"/>
              </w:rPr>
              <w:t>20</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塔吊构件之间未连接牢固</w:t>
            </w:r>
          </w:p>
        </w:tc>
        <w:tc>
          <w:tcPr>
            <w:tcW w:w="556" w:type="pct"/>
            <w:vAlign w:val="center"/>
          </w:tcPr>
          <w:p>
            <w:pPr>
              <w:pStyle w:val="65"/>
              <w:rPr>
                <w:rStyle w:val="214"/>
                <w:rFonts w:cstheme="minorBidi"/>
              </w:rPr>
            </w:pPr>
            <w:r>
              <w:rPr>
                <w:rStyle w:val="214"/>
                <w:rFonts w:hint="eastAsia" w:cstheme="minorBidi"/>
              </w:rPr>
              <w:t>物体打击</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0.1</w:t>
            </w:r>
          </w:p>
        </w:tc>
        <w:tc>
          <w:tcPr>
            <w:tcW w:w="279" w:type="pct"/>
            <w:vAlign w:val="center"/>
          </w:tcPr>
          <w:p>
            <w:pPr>
              <w:pStyle w:val="65"/>
              <w:rPr>
                <w:rStyle w:val="214"/>
                <w:rFonts w:cstheme="minorBidi"/>
              </w:rPr>
            </w:pPr>
            <w:r>
              <w:rPr>
                <w:rStyle w:val="214"/>
                <w:rFonts w:hint="eastAsia" w:cstheme="minorBidi"/>
              </w:rPr>
              <w:t>10</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271" w:type="pct"/>
            <w:noWrap/>
            <w:vAlign w:val="center"/>
          </w:tcPr>
          <w:p>
            <w:pPr>
              <w:pStyle w:val="65"/>
              <w:rPr>
                <w:rStyle w:val="214"/>
                <w:rFonts w:cstheme="minorBidi"/>
              </w:rPr>
            </w:pPr>
            <w:r>
              <w:rPr>
                <w:rStyle w:val="214"/>
                <w:rFonts w:hint="eastAsia" w:cstheme="minorBidi"/>
              </w:rPr>
              <w:t>21</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高处作业时，作业人员注意力不集中，麻痹大意</w:t>
            </w:r>
          </w:p>
        </w:tc>
        <w:tc>
          <w:tcPr>
            <w:tcW w:w="556" w:type="pct"/>
            <w:vAlign w:val="center"/>
          </w:tcPr>
          <w:p>
            <w:pPr>
              <w:pStyle w:val="65"/>
              <w:rPr>
                <w:rStyle w:val="214"/>
                <w:rFonts w:cstheme="minorBidi"/>
              </w:rPr>
            </w:pPr>
            <w:r>
              <w:rPr>
                <w:rStyle w:val="214"/>
                <w:rFonts w:hint="eastAsia" w:cstheme="minorBidi"/>
              </w:rPr>
              <w:t>高处坠落</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3</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45</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22</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顶升前未检查系统是否完好</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3</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120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23</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顶升前，塔吊下支座未与爬升架进行连接</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3</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120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24</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顶升前，未将塔吊进行配平</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3</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120</w:t>
            </w:r>
          </w:p>
        </w:tc>
        <w:tc>
          <w:tcPr>
            <w:tcW w:w="279" w:type="pct"/>
            <w:vAlign w:val="center"/>
          </w:tcPr>
          <w:p>
            <w:pPr>
              <w:pStyle w:val="65"/>
              <w:rPr>
                <w:rStyle w:val="214"/>
                <w:rFonts w:cstheme="minorBidi"/>
              </w:rPr>
            </w:pPr>
            <w:r>
              <w:rPr>
                <w:rStyle w:val="214"/>
                <w:rFonts w:hint="eastAsia" w:cstheme="minorBidi"/>
              </w:rPr>
              <w:t>Ⅱ</w:t>
            </w:r>
          </w:p>
        </w:tc>
      </w:tr>
      <w:tr>
        <w:tblPrEx>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25</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顶升过程中，进行起升、回转、变幅等动作</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3</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120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26</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顶升结束后，未将标准节与特殊节进行连接</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3</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120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27</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拆除作业时，工索具未连接牢固就拆除连接销轴</w:t>
            </w:r>
          </w:p>
        </w:tc>
        <w:tc>
          <w:tcPr>
            <w:tcW w:w="556" w:type="pct"/>
            <w:vAlign w:val="center"/>
          </w:tcPr>
          <w:p>
            <w:pPr>
              <w:pStyle w:val="65"/>
              <w:rPr>
                <w:rStyle w:val="214"/>
                <w:rFonts w:cstheme="minorBidi"/>
              </w:rPr>
            </w:pPr>
            <w:r>
              <w:rPr>
                <w:rStyle w:val="214"/>
                <w:rFonts w:hint="eastAsia" w:cstheme="minorBidi"/>
              </w:rPr>
              <w:t>物体打击、高处坠落</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90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28</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安装或拆除时塔吊最高处的风速不符合使用说明书的要求</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29</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当遇特殊情况，安装或拆除作业不能连续进行时，没有将已安装的部位固定牢固，并达到安全状态。</w:t>
            </w:r>
          </w:p>
        </w:tc>
        <w:tc>
          <w:tcPr>
            <w:tcW w:w="556" w:type="pct"/>
            <w:vAlign w:val="center"/>
          </w:tcPr>
          <w:p>
            <w:pPr>
              <w:pStyle w:val="65"/>
              <w:rPr>
                <w:rStyle w:val="214"/>
                <w:rFonts w:cstheme="minorBidi"/>
              </w:rPr>
            </w:pPr>
            <w:r>
              <w:rPr>
                <w:rStyle w:val="214"/>
                <w:rFonts w:hint="eastAsia" w:cstheme="minorBidi"/>
              </w:rPr>
              <w:t>物体打击</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30</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塔吊未经第三方检验机构检验合格就投入使用</w:t>
            </w:r>
          </w:p>
        </w:tc>
        <w:tc>
          <w:tcPr>
            <w:tcW w:w="556" w:type="pct"/>
            <w:vAlign w:val="center"/>
          </w:tcPr>
          <w:p>
            <w:pPr>
              <w:pStyle w:val="65"/>
              <w:rPr>
                <w:rStyle w:val="214"/>
                <w:rFonts w:cstheme="minorBidi"/>
              </w:rPr>
            </w:pPr>
            <w:r>
              <w:rPr>
                <w:rStyle w:val="214"/>
                <w:rFonts w:hint="eastAsia" w:cstheme="minorBidi"/>
              </w:rPr>
              <w:t>起重伤害等</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31</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拆除前塔吊未配平</w:t>
            </w:r>
          </w:p>
        </w:tc>
        <w:tc>
          <w:tcPr>
            <w:tcW w:w="556" w:type="pct"/>
            <w:vAlign w:val="center"/>
          </w:tcPr>
          <w:p>
            <w:pPr>
              <w:pStyle w:val="65"/>
              <w:rPr>
                <w:rStyle w:val="214"/>
                <w:rFonts w:cstheme="minorBidi"/>
              </w:rPr>
            </w:pPr>
            <w:r>
              <w:rPr>
                <w:rStyle w:val="214"/>
                <w:rFonts w:hint="eastAsia" w:cstheme="minorBidi"/>
              </w:rPr>
              <w:t>倒塌</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2</w:t>
            </w:r>
          </w:p>
        </w:tc>
        <w:tc>
          <w:tcPr>
            <w:tcW w:w="279" w:type="pct"/>
            <w:vAlign w:val="center"/>
          </w:tcPr>
          <w:p>
            <w:pPr>
              <w:pStyle w:val="65"/>
              <w:rPr>
                <w:rStyle w:val="214"/>
                <w:rFonts w:cstheme="minorBidi"/>
              </w:rPr>
            </w:pPr>
            <w:r>
              <w:rPr>
                <w:rStyle w:val="214"/>
                <w:rFonts w:hint="eastAsia" w:cstheme="minorBidi"/>
              </w:rPr>
              <w:t>40</w:t>
            </w:r>
          </w:p>
        </w:tc>
        <w:tc>
          <w:tcPr>
            <w:tcW w:w="279" w:type="pct"/>
            <w:vAlign w:val="center"/>
          </w:tcPr>
          <w:p>
            <w:pPr>
              <w:pStyle w:val="65"/>
              <w:rPr>
                <w:rStyle w:val="214"/>
                <w:rFonts w:cstheme="minorBidi"/>
              </w:rPr>
            </w:pPr>
            <w:r>
              <w:rPr>
                <w:rStyle w:val="214"/>
                <w:rFonts w:hint="eastAsia" w:cstheme="minorBidi"/>
              </w:rPr>
              <w:t>80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32</w:t>
            </w:r>
          </w:p>
        </w:tc>
        <w:tc>
          <w:tcPr>
            <w:tcW w:w="348" w:type="pct"/>
            <w:vMerge w:val="continue"/>
            <w:vAlign w:val="center"/>
          </w:tcPr>
          <w:p>
            <w:pPr>
              <w:pStyle w:val="65"/>
              <w:rPr>
                <w:rStyle w:val="214"/>
                <w:rFonts w:cstheme="minorBidi"/>
              </w:rPr>
            </w:pPr>
          </w:p>
        </w:tc>
        <w:tc>
          <w:tcPr>
            <w:tcW w:w="348" w:type="pct"/>
            <w:vMerge w:val="restart"/>
            <w:noWrap/>
            <w:vAlign w:val="center"/>
          </w:tcPr>
          <w:p>
            <w:pPr>
              <w:pStyle w:val="65"/>
              <w:rPr>
                <w:rStyle w:val="214"/>
                <w:rFonts w:cstheme="minorBidi"/>
              </w:rPr>
            </w:pPr>
            <w:r>
              <w:rPr>
                <w:rStyle w:val="214"/>
                <w:rFonts w:hint="eastAsia" w:cstheme="minorBidi"/>
              </w:rPr>
              <w:t>附墙安装及拆除</w:t>
            </w:r>
          </w:p>
        </w:tc>
        <w:tc>
          <w:tcPr>
            <w:tcW w:w="1667" w:type="pct"/>
            <w:vAlign w:val="center"/>
          </w:tcPr>
          <w:p>
            <w:pPr>
              <w:pStyle w:val="65"/>
              <w:rPr>
                <w:rStyle w:val="214"/>
                <w:rFonts w:cstheme="minorBidi"/>
              </w:rPr>
            </w:pPr>
            <w:r>
              <w:rPr>
                <w:rStyle w:val="214"/>
                <w:rFonts w:hint="eastAsia" w:cstheme="minorBidi"/>
              </w:rPr>
              <w:t>附墙预埋件安装定位不准，安装质量较差</w:t>
            </w:r>
          </w:p>
        </w:tc>
        <w:tc>
          <w:tcPr>
            <w:tcW w:w="556" w:type="pct"/>
            <w:vAlign w:val="center"/>
          </w:tcPr>
          <w:p>
            <w:pPr>
              <w:pStyle w:val="65"/>
              <w:rPr>
                <w:rStyle w:val="214"/>
                <w:rFonts w:cstheme="minorBidi"/>
              </w:rPr>
            </w:pPr>
            <w:r>
              <w:rPr>
                <w:rStyle w:val="214"/>
                <w:rFonts w:hint="eastAsia" w:cstheme="minorBidi"/>
              </w:rPr>
              <w:t>坍塌</w:t>
            </w:r>
          </w:p>
        </w:tc>
        <w:tc>
          <w:tcPr>
            <w:tcW w:w="209" w:type="pct"/>
            <w:vAlign w:val="center"/>
          </w:tcPr>
          <w:p>
            <w:pPr>
              <w:pStyle w:val="65"/>
              <w:rPr>
                <w:rStyle w:val="214"/>
                <w:rFonts w:cstheme="minorBidi"/>
              </w:rPr>
            </w:pP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3</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45</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33</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附墙杆件质量不满足要求，或位置设置不准确</w:t>
            </w:r>
          </w:p>
        </w:tc>
        <w:tc>
          <w:tcPr>
            <w:tcW w:w="556" w:type="pct"/>
            <w:vAlign w:val="center"/>
          </w:tcPr>
          <w:p>
            <w:pPr>
              <w:pStyle w:val="65"/>
              <w:rPr>
                <w:rStyle w:val="214"/>
                <w:rFonts w:cstheme="minorBidi"/>
              </w:rPr>
            </w:pPr>
            <w:r>
              <w:rPr>
                <w:rStyle w:val="214"/>
                <w:rFonts w:hint="eastAsia" w:cstheme="minorBidi"/>
              </w:rPr>
              <w:t>坍塌</w:t>
            </w:r>
          </w:p>
        </w:tc>
        <w:tc>
          <w:tcPr>
            <w:tcW w:w="209" w:type="pct"/>
            <w:vAlign w:val="center"/>
          </w:tcPr>
          <w:p>
            <w:pPr>
              <w:pStyle w:val="65"/>
              <w:rPr>
                <w:rStyle w:val="214"/>
                <w:rFonts w:cstheme="minorBidi"/>
              </w:rPr>
            </w:pP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3</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45</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34</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附墙杆件安装时未按要求设置操作平台或操作平台不满足要求</w:t>
            </w:r>
          </w:p>
        </w:tc>
        <w:tc>
          <w:tcPr>
            <w:tcW w:w="556" w:type="pct"/>
            <w:vAlign w:val="center"/>
          </w:tcPr>
          <w:p>
            <w:pPr>
              <w:pStyle w:val="65"/>
              <w:rPr>
                <w:rStyle w:val="214"/>
                <w:rFonts w:cstheme="minorBidi"/>
              </w:rPr>
            </w:pPr>
            <w:r>
              <w:rPr>
                <w:rStyle w:val="214"/>
                <w:rFonts w:hint="eastAsia" w:cstheme="minorBidi"/>
              </w:rPr>
              <w:t>高处坠落</w:t>
            </w:r>
          </w:p>
        </w:tc>
        <w:tc>
          <w:tcPr>
            <w:tcW w:w="209" w:type="pct"/>
            <w:vAlign w:val="center"/>
          </w:tcPr>
          <w:p>
            <w:pPr>
              <w:pStyle w:val="65"/>
              <w:rPr>
                <w:rStyle w:val="214"/>
                <w:rFonts w:cstheme="minorBidi"/>
              </w:rPr>
            </w:pP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90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35</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人员在附墙杆件上进行行走</w:t>
            </w:r>
          </w:p>
        </w:tc>
        <w:tc>
          <w:tcPr>
            <w:tcW w:w="556" w:type="pct"/>
            <w:vAlign w:val="center"/>
          </w:tcPr>
          <w:p>
            <w:pPr>
              <w:pStyle w:val="65"/>
              <w:rPr>
                <w:rStyle w:val="214"/>
                <w:rFonts w:cstheme="minorBidi"/>
              </w:rPr>
            </w:pPr>
            <w:r>
              <w:rPr>
                <w:rStyle w:val="214"/>
                <w:rFonts w:hint="eastAsia" w:cstheme="minorBidi"/>
              </w:rPr>
              <w:t>高处坠落</w:t>
            </w:r>
          </w:p>
        </w:tc>
        <w:tc>
          <w:tcPr>
            <w:tcW w:w="209" w:type="pct"/>
            <w:vAlign w:val="center"/>
          </w:tcPr>
          <w:p>
            <w:pPr>
              <w:pStyle w:val="65"/>
              <w:rPr>
                <w:rStyle w:val="214"/>
                <w:rFonts w:cstheme="minorBidi"/>
              </w:rPr>
            </w:pP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3</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45</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36</w:t>
            </w:r>
          </w:p>
        </w:tc>
        <w:tc>
          <w:tcPr>
            <w:tcW w:w="348" w:type="pct"/>
            <w:vMerge w:val="continue"/>
            <w:vAlign w:val="center"/>
          </w:tcPr>
          <w:p>
            <w:pPr>
              <w:pStyle w:val="65"/>
              <w:rPr>
                <w:rStyle w:val="214"/>
                <w:rFonts w:cstheme="minorBidi"/>
              </w:rPr>
            </w:pPr>
          </w:p>
        </w:tc>
        <w:tc>
          <w:tcPr>
            <w:tcW w:w="348" w:type="pct"/>
            <w:vMerge w:val="restart"/>
            <w:noWrap/>
            <w:vAlign w:val="center"/>
          </w:tcPr>
          <w:p>
            <w:pPr>
              <w:pStyle w:val="65"/>
              <w:rPr>
                <w:rStyle w:val="214"/>
                <w:rFonts w:cstheme="minorBidi"/>
              </w:rPr>
            </w:pPr>
            <w:r>
              <w:rPr>
                <w:rStyle w:val="214"/>
                <w:rFonts w:hint="eastAsia" w:cstheme="minorBidi"/>
              </w:rPr>
              <w:t>起重作业</w:t>
            </w:r>
          </w:p>
        </w:tc>
        <w:tc>
          <w:tcPr>
            <w:tcW w:w="1667" w:type="pct"/>
            <w:vAlign w:val="center"/>
          </w:tcPr>
          <w:p>
            <w:pPr>
              <w:pStyle w:val="65"/>
              <w:rPr>
                <w:rStyle w:val="214"/>
                <w:rFonts w:cstheme="minorBidi"/>
              </w:rPr>
            </w:pPr>
            <w:r>
              <w:rPr>
                <w:rStyle w:val="214"/>
                <w:rFonts w:hint="eastAsia" w:cstheme="minorBidi"/>
              </w:rPr>
              <w:t>起吊钢丝绳规格未经验算</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0.5</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45</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37</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吊物吊点设置不合理或不牢固</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0.5</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45</w:t>
            </w:r>
          </w:p>
        </w:tc>
        <w:tc>
          <w:tcPr>
            <w:tcW w:w="279" w:type="pct"/>
            <w:vAlign w:val="center"/>
          </w:tcPr>
          <w:p>
            <w:pPr>
              <w:pStyle w:val="65"/>
              <w:rPr>
                <w:rStyle w:val="214"/>
                <w:rFonts w:cstheme="minorBidi"/>
              </w:rPr>
            </w:pPr>
            <w:r>
              <w:rPr>
                <w:rStyle w:val="214"/>
                <w:rFonts w:hint="eastAsia" w:cstheme="minorBidi"/>
              </w:rPr>
              <w:t>Ⅰ</w:t>
            </w:r>
          </w:p>
        </w:tc>
      </w:tr>
      <w:tr>
        <w:tblPrEx>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38</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起重设备吊钩安全销损坏、吊钩限位器损坏、钢丝绳磨损或连接销轴松动</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0.5</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45</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39</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lang w:eastAsia="zh-CN"/>
              </w:rPr>
              <w:t>汽车吊</w:t>
            </w:r>
            <w:r>
              <w:rPr>
                <w:rStyle w:val="214"/>
                <w:rFonts w:hint="eastAsia" w:cstheme="minorBidi"/>
              </w:rPr>
              <w:t>支腿下方未进行支垫</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0.5</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45</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40</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lang w:eastAsia="zh-CN"/>
              </w:rPr>
              <w:t>汽车吊</w:t>
            </w:r>
            <w:r>
              <w:rPr>
                <w:rStyle w:val="214"/>
                <w:rFonts w:hint="eastAsia" w:cstheme="minorBidi"/>
              </w:rPr>
              <w:t>站位不合理</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90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41</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起重设备未检验或检验证书过期</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0.5</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7</w:t>
            </w:r>
          </w:p>
        </w:tc>
        <w:tc>
          <w:tcPr>
            <w:tcW w:w="279" w:type="pct"/>
            <w:vAlign w:val="center"/>
          </w:tcPr>
          <w:p>
            <w:pPr>
              <w:pStyle w:val="65"/>
              <w:rPr>
                <w:rStyle w:val="214"/>
                <w:rFonts w:cstheme="minorBidi"/>
              </w:rPr>
            </w:pPr>
            <w:r>
              <w:rPr>
                <w:rStyle w:val="214"/>
                <w:rFonts w:hint="eastAsia" w:cstheme="minorBidi"/>
              </w:rPr>
              <w:t>21</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42</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起重作业无专人指挥</w:t>
            </w:r>
          </w:p>
        </w:tc>
        <w:tc>
          <w:tcPr>
            <w:tcW w:w="556" w:type="pct"/>
            <w:vAlign w:val="center"/>
          </w:tcPr>
          <w:p>
            <w:pPr>
              <w:pStyle w:val="65"/>
              <w:rPr>
                <w:rStyle w:val="214"/>
                <w:rFonts w:cstheme="minorBidi"/>
              </w:rPr>
            </w:pPr>
            <w:r>
              <w:rPr>
                <w:rStyle w:val="214"/>
                <w:rFonts w:hint="eastAsia" w:cstheme="minorBidi"/>
              </w:rPr>
              <w:t>起重伤害、物体打击</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0.5</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45</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42</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起重指挥员违章指挥</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90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43</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起重吊装时未设置溜绳控制构件摆动</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90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44</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起重操作人员作业失误</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90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45</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 xml:space="preserve">吊物重量不明或未进行试吊就直接吊装 </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0.5</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45</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46</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起重设备超负荷起吊</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0.5</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45</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47</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起重吊装未设置警戒区，人员在起吊物、臂杆下方停留、作业</w:t>
            </w:r>
          </w:p>
        </w:tc>
        <w:tc>
          <w:tcPr>
            <w:tcW w:w="556" w:type="pct"/>
            <w:vAlign w:val="center"/>
          </w:tcPr>
          <w:p>
            <w:pPr>
              <w:pStyle w:val="65"/>
              <w:rPr>
                <w:rStyle w:val="214"/>
                <w:rFonts w:cstheme="minorBidi"/>
              </w:rPr>
            </w:pPr>
            <w:r>
              <w:rPr>
                <w:rStyle w:val="214"/>
                <w:rFonts w:hint="eastAsia" w:cstheme="minorBidi"/>
              </w:rPr>
              <w:t>起重伤害、物体打击</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0.5</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45</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48</w:t>
            </w:r>
          </w:p>
        </w:tc>
        <w:tc>
          <w:tcPr>
            <w:tcW w:w="348" w:type="pct"/>
            <w:vMerge w:val="continue"/>
            <w:vAlign w:val="center"/>
          </w:tcPr>
          <w:p>
            <w:pPr>
              <w:pStyle w:val="65"/>
              <w:rPr>
                <w:rStyle w:val="214"/>
                <w:rFonts w:cstheme="minorBidi"/>
              </w:rPr>
            </w:pPr>
          </w:p>
        </w:tc>
        <w:tc>
          <w:tcPr>
            <w:tcW w:w="348" w:type="pct"/>
            <w:vMerge w:val="continue"/>
            <w:noWrap/>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大雨及六级以上大风等恶劣天气进行吊装作业</w:t>
            </w:r>
          </w:p>
        </w:tc>
        <w:tc>
          <w:tcPr>
            <w:tcW w:w="556" w:type="pct"/>
            <w:vAlign w:val="center"/>
          </w:tcPr>
          <w:p>
            <w:pPr>
              <w:pStyle w:val="65"/>
              <w:rPr>
                <w:rStyle w:val="214"/>
                <w:rFonts w:cstheme="minorBidi"/>
              </w:rPr>
            </w:pPr>
            <w:r>
              <w:rPr>
                <w:rStyle w:val="214"/>
                <w:rFonts w:hint="eastAsia" w:cstheme="minorBidi"/>
              </w:rPr>
              <w:t>起重伤害</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3</w:t>
            </w: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45</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49</w:t>
            </w:r>
          </w:p>
        </w:tc>
        <w:tc>
          <w:tcPr>
            <w:tcW w:w="348" w:type="pct"/>
            <w:vMerge w:val="continue"/>
            <w:vAlign w:val="center"/>
          </w:tcPr>
          <w:p>
            <w:pPr>
              <w:pStyle w:val="65"/>
              <w:rPr>
                <w:rStyle w:val="214"/>
                <w:rFonts w:cstheme="minorBidi"/>
              </w:rPr>
            </w:pPr>
          </w:p>
        </w:tc>
        <w:tc>
          <w:tcPr>
            <w:tcW w:w="348" w:type="pct"/>
            <w:vMerge w:val="restart"/>
            <w:noWrap/>
            <w:vAlign w:val="center"/>
          </w:tcPr>
          <w:p>
            <w:pPr>
              <w:pStyle w:val="65"/>
              <w:rPr>
                <w:rStyle w:val="214"/>
                <w:rFonts w:cstheme="minorBidi"/>
              </w:rPr>
            </w:pPr>
            <w:r>
              <w:rPr>
                <w:rStyle w:val="214"/>
                <w:rFonts w:hint="eastAsia" w:cstheme="minorBidi"/>
              </w:rPr>
              <w:t>临时用电</w:t>
            </w:r>
          </w:p>
        </w:tc>
        <w:tc>
          <w:tcPr>
            <w:tcW w:w="1667" w:type="pct"/>
            <w:vAlign w:val="center"/>
          </w:tcPr>
          <w:p>
            <w:pPr>
              <w:pStyle w:val="65"/>
              <w:rPr>
                <w:rStyle w:val="214"/>
                <w:rFonts w:cstheme="minorBidi"/>
              </w:rPr>
            </w:pPr>
            <w:r>
              <w:rPr>
                <w:rStyle w:val="214"/>
                <w:rFonts w:hint="eastAsia" w:cstheme="minorBidi"/>
              </w:rPr>
              <w:t>配电箱配置不符合要求</w:t>
            </w:r>
          </w:p>
        </w:tc>
        <w:tc>
          <w:tcPr>
            <w:tcW w:w="556" w:type="pct"/>
            <w:vMerge w:val="restart"/>
            <w:vAlign w:val="center"/>
          </w:tcPr>
          <w:p>
            <w:pPr>
              <w:pStyle w:val="65"/>
              <w:rPr>
                <w:rStyle w:val="214"/>
                <w:rFonts w:cstheme="minorBidi"/>
              </w:rPr>
            </w:pPr>
            <w:r>
              <w:rPr>
                <w:rStyle w:val="214"/>
                <w:rFonts w:hint="eastAsia" w:cstheme="minorBidi"/>
              </w:rPr>
              <w:t>触电</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7</w:t>
            </w:r>
          </w:p>
        </w:tc>
        <w:tc>
          <w:tcPr>
            <w:tcW w:w="279" w:type="pct"/>
            <w:vAlign w:val="center"/>
          </w:tcPr>
          <w:p>
            <w:pPr>
              <w:pStyle w:val="65"/>
              <w:rPr>
                <w:rStyle w:val="214"/>
                <w:rFonts w:cstheme="minorBidi"/>
              </w:rPr>
            </w:pPr>
            <w:r>
              <w:rPr>
                <w:rStyle w:val="214"/>
                <w:rFonts w:hint="eastAsia" w:cstheme="minorBidi"/>
              </w:rPr>
              <w:t>42</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50</w:t>
            </w:r>
          </w:p>
        </w:tc>
        <w:tc>
          <w:tcPr>
            <w:tcW w:w="348" w:type="pct"/>
            <w:vMerge w:val="continue"/>
            <w:vAlign w:val="center"/>
          </w:tcPr>
          <w:p>
            <w:pPr>
              <w:pStyle w:val="65"/>
              <w:rPr>
                <w:rStyle w:val="214"/>
                <w:rFonts w:cstheme="minorBidi"/>
              </w:rPr>
            </w:pPr>
          </w:p>
        </w:tc>
        <w:tc>
          <w:tcPr>
            <w:tcW w:w="348" w:type="pct"/>
            <w:vMerge w:val="continue"/>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配电箱固定不牢</w:t>
            </w:r>
          </w:p>
        </w:tc>
        <w:tc>
          <w:tcPr>
            <w:tcW w:w="556" w:type="pct"/>
            <w:vMerge w:val="continue"/>
            <w:vAlign w:val="center"/>
          </w:tcPr>
          <w:p>
            <w:pPr>
              <w:pStyle w:val="65"/>
              <w:rPr>
                <w:rStyle w:val="214"/>
                <w:rFonts w:cstheme="minorBidi"/>
              </w:rPr>
            </w:pP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7</w:t>
            </w:r>
          </w:p>
        </w:tc>
        <w:tc>
          <w:tcPr>
            <w:tcW w:w="279" w:type="pct"/>
            <w:vAlign w:val="center"/>
          </w:tcPr>
          <w:p>
            <w:pPr>
              <w:pStyle w:val="65"/>
              <w:rPr>
                <w:rStyle w:val="214"/>
                <w:rFonts w:cstheme="minorBidi"/>
              </w:rPr>
            </w:pPr>
            <w:r>
              <w:rPr>
                <w:rStyle w:val="214"/>
                <w:rFonts w:hint="eastAsia" w:cstheme="minorBidi"/>
              </w:rPr>
              <w:t>42</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51</w:t>
            </w:r>
          </w:p>
        </w:tc>
        <w:tc>
          <w:tcPr>
            <w:tcW w:w="348" w:type="pct"/>
            <w:vMerge w:val="continue"/>
            <w:vAlign w:val="center"/>
          </w:tcPr>
          <w:p>
            <w:pPr>
              <w:pStyle w:val="65"/>
              <w:rPr>
                <w:rStyle w:val="214"/>
                <w:rFonts w:cstheme="minorBidi"/>
              </w:rPr>
            </w:pPr>
          </w:p>
        </w:tc>
        <w:tc>
          <w:tcPr>
            <w:tcW w:w="348" w:type="pct"/>
            <w:vMerge w:val="continue"/>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配电系统未按“三级配电、二级防护”进行设置</w:t>
            </w:r>
          </w:p>
        </w:tc>
        <w:tc>
          <w:tcPr>
            <w:tcW w:w="556" w:type="pct"/>
            <w:vMerge w:val="continue"/>
            <w:vAlign w:val="center"/>
          </w:tcPr>
          <w:p>
            <w:pPr>
              <w:pStyle w:val="65"/>
              <w:rPr>
                <w:rStyle w:val="214"/>
                <w:rFonts w:cstheme="minorBidi"/>
              </w:rPr>
            </w:pP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90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52</w:t>
            </w:r>
          </w:p>
        </w:tc>
        <w:tc>
          <w:tcPr>
            <w:tcW w:w="348" w:type="pct"/>
            <w:vMerge w:val="continue"/>
            <w:vAlign w:val="center"/>
          </w:tcPr>
          <w:p>
            <w:pPr>
              <w:pStyle w:val="65"/>
              <w:rPr>
                <w:rStyle w:val="214"/>
                <w:rFonts w:cstheme="minorBidi"/>
              </w:rPr>
            </w:pPr>
          </w:p>
        </w:tc>
        <w:tc>
          <w:tcPr>
            <w:tcW w:w="348" w:type="pct"/>
            <w:vMerge w:val="continue"/>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用电设备未做到“一机一闸一漏一箱”</w:t>
            </w:r>
          </w:p>
        </w:tc>
        <w:tc>
          <w:tcPr>
            <w:tcW w:w="556" w:type="pct"/>
            <w:vMerge w:val="continue"/>
            <w:vAlign w:val="center"/>
          </w:tcPr>
          <w:p>
            <w:pPr>
              <w:pStyle w:val="65"/>
              <w:rPr>
                <w:rStyle w:val="214"/>
                <w:rFonts w:cstheme="minorBidi"/>
              </w:rPr>
            </w:pP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90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53</w:t>
            </w:r>
          </w:p>
        </w:tc>
        <w:tc>
          <w:tcPr>
            <w:tcW w:w="348" w:type="pct"/>
            <w:vMerge w:val="continue"/>
            <w:vAlign w:val="center"/>
          </w:tcPr>
          <w:p>
            <w:pPr>
              <w:pStyle w:val="65"/>
              <w:rPr>
                <w:rStyle w:val="214"/>
                <w:rFonts w:cstheme="minorBidi"/>
              </w:rPr>
            </w:pPr>
          </w:p>
        </w:tc>
        <w:tc>
          <w:tcPr>
            <w:tcW w:w="348" w:type="pct"/>
            <w:vMerge w:val="continue"/>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非专业电工进行操作</w:t>
            </w:r>
          </w:p>
        </w:tc>
        <w:tc>
          <w:tcPr>
            <w:tcW w:w="556" w:type="pct"/>
            <w:vMerge w:val="continue"/>
            <w:vAlign w:val="center"/>
          </w:tcPr>
          <w:p>
            <w:pPr>
              <w:pStyle w:val="65"/>
              <w:rPr>
                <w:rStyle w:val="214"/>
                <w:rFonts w:cstheme="minorBidi"/>
              </w:rPr>
            </w:pP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90</w:t>
            </w:r>
          </w:p>
        </w:tc>
        <w:tc>
          <w:tcPr>
            <w:tcW w:w="279" w:type="pct"/>
            <w:vAlign w:val="center"/>
          </w:tcPr>
          <w:p>
            <w:pPr>
              <w:pStyle w:val="65"/>
              <w:rPr>
                <w:rStyle w:val="214"/>
                <w:rFonts w:cstheme="minorBidi"/>
              </w:rPr>
            </w:pPr>
            <w:r>
              <w:rPr>
                <w:rStyle w:val="214"/>
                <w:rFonts w:hint="eastAsia" w:cstheme="minorBidi"/>
              </w:rPr>
              <w:t>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54</w:t>
            </w:r>
          </w:p>
        </w:tc>
        <w:tc>
          <w:tcPr>
            <w:tcW w:w="348" w:type="pct"/>
            <w:vMerge w:val="continue"/>
            <w:vAlign w:val="center"/>
          </w:tcPr>
          <w:p>
            <w:pPr>
              <w:pStyle w:val="65"/>
              <w:rPr>
                <w:rStyle w:val="214"/>
                <w:rFonts w:cstheme="minorBidi"/>
              </w:rPr>
            </w:pPr>
          </w:p>
        </w:tc>
        <w:tc>
          <w:tcPr>
            <w:tcW w:w="348" w:type="pct"/>
            <w:vMerge w:val="continue"/>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电路配置与用电设备功率不匹配</w:t>
            </w:r>
          </w:p>
        </w:tc>
        <w:tc>
          <w:tcPr>
            <w:tcW w:w="556" w:type="pct"/>
            <w:vMerge w:val="continue"/>
            <w:vAlign w:val="center"/>
          </w:tcPr>
          <w:p>
            <w:pPr>
              <w:pStyle w:val="65"/>
              <w:rPr>
                <w:rStyle w:val="214"/>
                <w:rFonts w:cstheme="minorBidi"/>
              </w:rPr>
            </w:pP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0.5</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15</w:t>
            </w:r>
          </w:p>
        </w:tc>
        <w:tc>
          <w:tcPr>
            <w:tcW w:w="279" w:type="pct"/>
            <w:vAlign w:val="center"/>
          </w:tcPr>
          <w:p>
            <w:pPr>
              <w:pStyle w:val="65"/>
              <w:rPr>
                <w:rStyle w:val="214"/>
                <w:rFonts w:cstheme="minorBidi"/>
              </w:rPr>
            </w:pPr>
            <w:r>
              <w:rPr>
                <w:rStyle w:val="214"/>
                <w:rFonts w:hint="eastAsia" w:cstheme="minorBidi"/>
              </w:rPr>
              <w:t>45</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55</w:t>
            </w:r>
          </w:p>
        </w:tc>
        <w:tc>
          <w:tcPr>
            <w:tcW w:w="348" w:type="pct"/>
            <w:vMerge w:val="continue"/>
            <w:vAlign w:val="center"/>
          </w:tcPr>
          <w:p>
            <w:pPr>
              <w:pStyle w:val="65"/>
              <w:rPr>
                <w:rStyle w:val="214"/>
                <w:rFonts w:cstheme="minorBidi"/>
              </w:rPr>
            </w:pPr>
          </w:p>
        </w:tc>
        <w:tc>
          <w:tcPr>
            <w:tcW w:w="348" w:type="pct"/>
            <w:vMerge w:val="continue"/>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随意拖拽电缆</w:t>
            </w:r>
          </w:p>
        </w:tc>
        <w:tc>
          <w:tcPr>
            <w:tcW w:w="556" w:type="pct"/>
            <w:vMerge w:val="continue"/>
            <w:vAlign w:val="center"/>
          </w:tcPr>
          <w:p>
            <w:pPr>
              <w:pStyle w:val="65"/>
              <w:rPr>
                <w:rStyle w:val="214"/>
                <w:rFonts w:cstheme="minorBidi"/>
              </w:rPr>
            </w:pP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7</w:t>
            </w:r>
          </w:p>
        </w:tc>
        <w:tc>
          <w:tcPr>
            <w:tcW w:w="279" w:type="pct"/>
            <w:vAlign w:val="center"/>
          </w:tcPr>
          <w:p>
            <w:pPr>
              <w:pStyle w:val="65"/>
              <w:rPr>
                <w:rStyle w:val="214"/>
                <w:rFonts w:cstheme="minorBidi"/>
              </w:rPr>
            </w:pPr>
            <w:r>
              <w:rPr>
                <w:rStyle w:val="214"/>
                <w:rFonts w:hint="eastAsia" w:cstheme="minorBidi"/>
              </w:rPr>
              <w:t>42</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56</w:t>
            </w:r>
          </w:p>
        </w:tc>
        <w:tc>
          <w:tcPr>
            <w:tcW w:w="348" w:type="pct"/>
            <w:vMerge w:val="continue"/>
            <w:vAlign w:val="center"/>
          </w:tcPr>
          <w:p>
            <w:pPr>
              <w:pStyle w:val="65"/>
              <w:rPr>
                <w:rStyle w:val="214"/>
                <w:rFonts w:cstheme="minorBidi"/>
              </w:rPr>
            </w:pPr>
          </w:p>
        </w:tc>
        <w:tc>
          <w:tcPr>
            <w:tcW w:w="348" w:type="pct"/>
            <w:vMerge w:val="continue"/>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用电设备雨天未防雨遮盖，雨后未检查就使用</w:t>
            </w:r>
          </w:p>
        </w:tc>
        <w:tc>
          <w:tcPr>
            <w:tcW w:w="556" w:type="pct"/>
            <w:vMerge w:val="continue"/>
            <w:vAlign w:val="center"/>
          </w:tcPr>
          <w:p>
            <w:pPr>
              <w:pStyle w:val="65"/>
              <w:rPr>
                <w:rStyle w:val="214"/>
                <w:rFonts w:cstheme="minorBidi"/>
              </w:rPr>
            </w:pP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7</w:t>
            </w:r>
          </w:p>
        </w:tc>
        <w:tc>
          <w:tcPr>
            <w:tcW w:w="279" w:type="pct"/>
            <w:vAlign w:val="center"/>
          </w:tcPr>
          <w:p>
            <w:pPr>
              <w:pStyle w:val="65"/>
              <w:rPr>
                <w:rStyle w:val="214"/>
                <w:rFonts w:cstheme="minorBidi"/>
              </w:rPr>
            </w:pPr>
            <w:r>
              <w:rPr>
                <w:rStyle w:val="214"/>
                <w:rFonts w:hint="eastAsia" w:cstheme="minorBidi"/>
              </w:rPr>
              <w:t>42</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57</w:t>
            </w:r>
          </w:p>
        </w:tc>
        <w:tc>
          <w:tcPr>
            <w:tcW w:w="348" w:type="pct"/>
            <w:vMerge w:val="continue"/>
            <w:vAlign w:val="center"/>
          </w:tcPr>
          <w:p>
            <w:pPr>
              <w:pStyle w:val="65"/>
              <w:rPr>
                <w:rStyle w:val="214"/>
                <w:rFonts w:cstheme="minorBidi"/>
              </w:rPr>
            </w:pPr>
          </w:p>
        </w:tc>
        <w:tc>
          <w:tcPr>
            <w:tcW w:w="348" w:type="pct"/>
            <w:vMerge w:val="restart"/>
            <w:vAlign w:val="center"/>
          </w:tcPr>
          <w:p>
            <w:pPr>
              <w:pStyle w:val="65"/>
              <w:rPr>
                <w:rStyle w:val="214"/>
                <w:rFonts w:cstheme="minorBidi"/>
              </w:rPr>
            </w:pPr>
            <w:r>
              <w:rPr>
                <w:rStyle w:val="214"/>
                <w:rFonts w:hint="eastAsia" w:cstheme="minorBidi"/>
              </w:rPr>
              <w:t>夜间作业</w:t>
            </w:r>
          </w:p>
        </w:tc>
        <w:tc>
          <w:tcPr>
            <w:tcW w:w="1667" w:type="pct"/>
            <w:vAlign w:val="center"/>
          </w:tcPr>
          <w:p>
            <w:pPr>
              <w:pStyle w:val="65"/>
              <w:rPr>
                <w:rStyle w:val="214"/>
                <w:rFonts w:cstheme="minorBidi"/>
              </w:rPr>
            </w:pPr>
            <w:r>
              <w:rPr>
                <w:rStyle w:val="214"/>
                <w:rFonts w:hint="eastAsia" w:cstheme="minorBidi"/>
              </w:rPr>
              <w:t>夜间照明不充足</w:t>
            </w:r>
          </w:p>
        </w:tc>
        <w:tc>
          <w:tcPr>
            <w:tcW w:w="556" w:type="pct"/>
            <w:vAlign w:val="center"/>
          </w:tcPr>
          <w:p>
            <w:pPr>
              <w:pStyle w:val="65"/>
              <w:rPr>
                <w:rStyle w:val="214"/>
                <w:rFonts w:cstheme="minorBidi"/>
              </w:rPr>
            </w:pPr>
            <w:r>
              <w:rPr>
                <w:rStyle w:val="214"/>
                <w:rFonts w:hint="eastAsia" w:cstheme="minorBidi"/>
              </w:rPr>
              <w:t>高空坠落</w:t>
            </w:r>
          </w:p>
          <w:p>
            <w:pPr>
              <w:pStyle w:val="65"/>
              <w:rPr>
                <w:rStyle w:val="214"/>
                <w:rFonts w:cstheme="minorBidi"/>
              </w:rPr>
            </w:pPr>
            <w:r>
              <w:rPr>
                <w:rStyle w:val="214"/>
                <w:rFonts w:hint="eastAsia" w:cstheme="minorBidi"/>
              </w:rPr>
              <w:t>物体打击</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r>
              <w:rPr>
                <w:rStyle w:val="214"/>
                <w:rFonts w:hint="eastAsia" w:cstheme="minorBidi"/>
              </w:rPr>
              <w:t>　</w:t>
            </w: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7</w:t>
            </w:r>
          </w:p>
        </w:tc>
        <w:tc>
          <w:tcPr>
            <w:tcW w:w="279" w:type="pct"/>
            <w:vAlign w:val="center"/>
          </w:tcPr>
          <w:p>
            <w:pPr>
              <w:pStyle w:val="65"/>
              <w:rPr>
                <w:rStyle w:val="214"/>
                <w:rFonts w:cstheme="minorBidi"/>
              </w:rPr>
            </w:pPr>
            <w:r>
              <w:rPr>
                <w:rStyle w:val="214"/>
                <w:rFonts w:hint="eastAsia" w:cstheme="minorBidi"/>
              </w:rPr>
              <w:t>42</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58</w:t>
            </w:r>
          </w:p>
        </w:tc>
        <w:tc>
          <w:tcPr>
            <w:tcW w:w="348" w:type="pct"/>
            <w:vMerge w:val="continue"/>
            <w:vAlign w:val="center"/>
          </w:tcPr>
          <w:p>
            <w:pPr>
              <w:pStyle w:val="65"/>
              <w:rPr>
                <w:rStyle w:val="214"/>
                <w:rFonts w:cstheme="minorBidi"/>
              </w:rPr>
            </w:pPr>
          </w:p>
        </w:tc>
        <w:tc>
          <w:tcPr>
            <w:tcW w:w="348" w:type="pct"/>
            <w:vMerge w:val="continue"/>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工作人员未按要求穿着反光衣</w:t>
            </w:r>
          </w:p>
        </w:tc>
        <w:tc>
          <w:tcPr>
            <w:tcW w:w="556" w:type="pct"/>
            <w:vAlign w:val="center"/>
          </w:tcPr>
          <w:p>
            <w:pPr>
              <w:pStyle w:val="65"/>
              <w:rPr>
                <w:rStyle w:val="214"/>
                <w:rFonts w:cstheme="minorBidi"/>
              </w:rPr>
            </w:pPr>
            <w:r>
              <w:rPr>
                <w:rStyle w:val="214"/>
                <w:rFonts w:hint="eastAsia" w:cstheme="minorBidi"/>
              </w:rPr>
              <w:t>物体打击</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7</w:t>
            </w:r>
          </w:p>
        </w:tc>
        <w:tc>
          <w:tcPr>
            <w:tcW w:w="279" w:type="pct"/>
            <w:vAlign w:val="center"/>
          </w:tcPr>
          <w:p>
            <w:pPr>
              <w:pStyle w:val="65"/>
              <w:rPr>
                <w:rStyle w:val="214"/>
                <w:rFonts w:cstheme="minorBidi"/>
              </w:rPr>
            </w:pPr>
            <w:r>
              <w:rPr>
                <w:rStyle w:val="214"/>
                <w:rFonts w:hint="eastAsia" w:cstheme="minorBidi"/>
              </w:rPr>
              <w:t>42</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59</w:t>
            </w:r>
          </w:p>
        </w:tc>
        <w:tc>
          <w:tcPr>
            <w:tcW w:w="348" w:type="pct"/>
            <w:vMerge w:val="continue"/>
            <w:vAlign w:val="center"/>
          </w:tcPr>
          <w:p>
            <w:pPr>
              <w:pStyle w:val="65"/>
              <w:rPr>
                <w:rStyle w:val="214"/>
                <w:rFonts w:cstheme="minorBidi"/>
              </w:rPr>
            </w:pPr>
          </w:p>
        </w:tc>
        <w:tc>
          <w:tcPr>
            <w:tcW w:w="348" w:type="pct"/>
            <w:vMerge w:val="continue"/>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未安排专人指挥</w:t>
            </w:r>
          </w:p>
        </w:tc>
        <w:tc>
          <w:tcPr>
            <w:tcW w:w="556" w:type="pct"/>
            <w:vAlign w:val="center"/>
          </w:tcPr>
          <w:p>
            <w:pPr>
              <w:pStyle w:val="65"/>
              <w:rPr>
                <w:rStyle w:val="214"/>
                <w:rFonts w:cstheme="minorBidi"/>
              </w:rPr>
            </w:pPr>
            <w:r>
              <w:rPr>
                <w:rStyle w:val="214"/>
                <w:rFonts w:hint="eastAsia" w:cstheme="minorBidi"/>
              </w:rPr>
              <w:t>物体打击</w:t>
            </w:r>
          </w:p>
          <w:p>
            <w:pPr>
              <w:pStyle w:val="65"/>
              <w:rPr>
                <w:rStyle w:val="214"/>
                <w:rFonts w:cstheme="minorBidi"/>
              </w:rPr>
            </w:pPr>
            <w:r>
              <w:rPr>
                <w:rStyle w:val="214"/>
                <w:rFonts w:hint="eastAsia" w:cstheme="minorBidi"/>
              </w:rPr>
              <w:t>高空坠落</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7</w:t>
            </w:r>
          </w:p>
        </w:tc>
        <w:tc>
          <w:tcPr>
            <w:tcW w:w="279" w:type="pct"/>
            <w:vAlign w:val="center"/>
          </w:tcPr>
          <w:p>
            <w:pPr>
              <w:pStyle w:val="65"/>
              <w:rPr>
                <w:rStyle w:val="214"/>
                <w:rFonts w:cstheme="minorBidi"/>
              </w:rPr>
            </w:pPr>
            <w:r>
              <w:rPr>
                <w:rStyle w:val="214"/>
                <w:rFonts w:hint="eastAsia" w:cstheme="minorBidi"/>
              </w:rPr>
              <w:t>42</w:t>
            </w:r>
          </w:p>
        </w:tc>
        <w:tc>
          <w:tcPr>
            <w:tcW w:w="279" w:type="pct"/>
            <w:vAlign w:val="center"/>
          </w:tcPr>
          <w:p>
            <w:pPr>
              <w:pStyle w:val="65"/>
              <w:rPr>
                <w:rStyle w:val="214"/>
                <w:rFonts w:cstheme="minorBidi"/>
              </w:rPr>
            </w:pPr>
            <w:r>
              <w:rPr>
                <w:rStyle w:val="214"/>
                <w:rFonts w:hint="eastAsia" w:cstheme="minorBidi"/>
              </w:rPr>
              <w:t>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noWrap/>
            <w:vAlign w:val="center"/>
          </w:tcPr>
          <w:p>
            <w:pPr>
              <w:pStyle w:val="65"/>
              <w:rPr>
                <w:rStyle w:val="214"/>
                <w:rFonts w:cstheme="minorBidi"/>
              </w:rPr>
            </w:pPr>
            <w:r>
              <w:rPr>
                <w:rStyle w:val="214"/>
                <w:rFonts w:hint="eastAsia" w:cstheme="minorBidi"/>
              </w:rPr>
              <w:t>60</w:t>
            </w:r>
          </w:p>
        </w:tc>
        <w:tc>
          <w:tcPr>
            <w:tcW w:w="348" w:type="pct"/>
            <w:vMerge w:val="continue"/>
            <w:vAlign w:val="center"/>
          </w:tcPr>
          <w:p>
            <w:pPr>
              <w:pStyle w:val="65"/>
              <w:rPr>
                <w:rStyle w:val="214"/>
                <w:rFonts w:cstheme="minorBidi"/>
              </w:rPr>
            </w:pPr>
          </w:p>
        </w:tc>
        <w:tc>
          <w:tcPr>
            <w:tcW w:w="348" w:type="pct"/>
            <w:vMerge w:val="continue"/>
            <w:vAlign w:val="center"/>
          </w:tcPr>
          <w:p>
            <w:pPr>
              <w:pStyle w:val="65"/>
              <w:rPr>
                <w:rStyle w:val="214"/>
                <w:rFonts w:cstheme="minorBidi"/>
              </w:rPr>
            </w:pPr>
          </w:p>
        </w:tc>
        <w:tc>
          <w:tcPr>
            <w:tcW w:w="1667" w:type="pct"/>
            <w:vAlign w:val="center"/>
          </w:tcPr>
          <w:p>
            <w:pPr>
              <w:pStyle w:val="65"/>
              <w:rPr>
                <w:rStyle w:val="214"/>
                <w:rFonts w:cstheme="minorBidi"/>
              </w:rPr>
            </w:pPr>
            <w:r>
              <w:rPr>
                <w:rStyle w:val="214"/>
                <w:rFonts w:hint="eastAsia" w:cstheme="minorBidi"/>
              </w:rPr>
              <w:t>夜间作业施工区域设置标志标牌</w:t>
            </w:r>
          </w:p>
        </w:tc>
        <w:tc>
          <w:tcPr>
            <w:tcW w:w="556" w:type="pct"/>
            <w:vAlign w:val="center"/>
          </w:tcPr>
          <w:p>
            <w:pPr>
              <w:pStyle w:val="65"/>
              <w:rPr>
                <w:rStyle w:val="214"/>
                <w:rFonts w:cstheme="minorBidi"/>
              </w:rPr>
            </w:pPr>
            <w:r>
              <w:rPr>
                <w:rStyle w:val="214"/>
                <w:rFonts w:hint="eastAsia" w:cstheme="minorBidi"/>
              </w:rPr>
              <w:t>其他</w:t>
            </w:r>
          </w:p>
        </w:tc>
        <w:tc>
          <w:tcPr>
            <w:tcW w:w="209" w:type="pct"/>
            <w:vAlign w:val="center"/>
          </w:tcPr>
          <w:p>
            <w:pPr>
              <w:pStyle w:val="65"/>
              <w:rPr>
                <w:rStyle w:val="214"/>
                <w:rFonts w:cstheme="minorBidi"/>
              </w:rPr>
            </w:pPr>
            <w:r>
              <w:rPr>
                <w:rStyle w:val="214"/>
                <w:rFonts w:hint="eastAsia" w:cstheme="minorBidi"/>
              </w:rPr>
              <w:t>是</w:t>
            </w:r>
          </w:p>
        </w:tc>
        <w:tc>
          <w:tcPr>
            <w:tcW w:w="209" w:type="pct"/>
            <w:vAlign w:val="center"/>
          </w:tcPr>
          <w:p>
            <w:pPr>
              <w:pStyle w:val="65"/>
              <w:rPr>
                <w:rStyle w:val="214"/>
                <w:rFonts w:cstheme="minorBidi"/>
              </w:rPr>
            </w:pPr>
          </w:p>
        </w:tc>
        <w:tc>
          <w:tcPr>
            <w:tcW w:w="279" w:type="pct"/>
            <w:vAlign w:val="center"/>
          </w:tcPr>
          <w:p>
            <w:pPr>
              <w:pStyle w:val="65"/>
              <w:rPr>
                <w:rStyle w:val="214"/>
                <w:rFonts w:cstheme="minorBidi"/>
              </w:rPr>
            </w:pPr>
            <w:r>
              <w:rPr>
                <w:rStyle w:val="214"/>
                <w:rFonts w:hint="eastAsia" w:cstheme="minorBidi"/>
              </w:rPr>
              <w:t>1</w:t>
            </w:r>
          </w:p>
        </w:tc>
        <w:tc>
          <w:tcPr>
            <w:tcW w:w="279" w:type="pct"/>
            <w:vAlign w:val="center"/>
          </w:tcPr>
          <w:p>
            <w:pPr>
              <w:pStyle w:val="65"/>
              <w:rPr>
                <w:rStyle w:val="214"/>
                <w:rFonts w:cstheme="minorBidi"/>
              </w:rPr>
            </w:pPr>
            <w:r>
              <w:rPr>
                <w:rStyle w:val="214"/>
                <w:rFonts w:hint="eastAsia" w:cstheme="minorBidi"/>
              </w:rPr>
              <w:t>6</w:t>
            </w:r>
          </w:p>
        </w:tc>
        <w:tc>
          <w:tcPr>
            <w:tcW w:w="279" w:type="pct"/>
            <w:vAlign w:val="center"/>
          </w:tcPr>
          <w:p>
            <w:pPr>
              <w:pStyle w:val="65"/>
              <w:rPr>
                <w:rStyle w:val="214"/>
                <w:rFonts w:cstheme="minorBidi"/>
              </w:rPr>
            </w:pPr>
            <w:r>
              <w:rPr>
                <w:rStyle w:val="214"/>
                <w:rFonts w:hint="eastAsia" w:cstheme="minorBidi"/>
              </w:rPr>
              <w:t>7</w:t>
            </w:r>
          </w:p>
        </w:tc>
        <w:tc>
          <w:tcPr>
            <w:tcW w:w="279" w:type="pct"/>
            <w:vAlign w:val="center"/>
          </w:tcPr>
          <w:p>
            <w:pPr>
              <w:pStyle w:val="65"/>
              <w:rPr>
                <w:rStyle w:val="214"/>
                <w:rFonts w:cstheme="minorBidi"/>
              </w:rPr>
            </w:pPr>
            <w:r>
              <w:rPr>
                <w:rStyle w:val="214"/>
                <w:rFonts w:hint="eastAsia" w:cstheme="minorBidi"/>
              </w:rPr>
              <w:t>42</w:t>
            </w:r>
          </w:p>
        </w:tc>
        <w:tc>
          <w:tcPr>
            <w:tcW w:w="279" w:type="pct"/>
            <w:vAlign w:val="center"/>
          </w:tcPr>
          <w:p>
            <w:pPr>
              <w:pStyle w:val="65"/>
              <w:rPr>
                <w:rStyle w:val="214"/>
                <w:rFonts w:cstheme="minorBidi"/>
              </w:rPr>
            </w:pPr>
            <w:r>
              <w:rPr>
                <w:rStyle w:val="214"/>
                <w:rFonts w:hint="eastAsia" w:cstheme="minorBidi"/>
              </w:rPr>
              <w:t>Ⅰ</w:t>
            </w:r>
          </w:p>
        </w:tc>
      </w:tr>
    </w:tbl>
    <w:p>
      <w:pPr>
        <w:pStyle w:val="5"/>
        <w:bidi w:val="0"/>
        <w:ind w:left="0" w:leftChars="0" w:firstLine="0" w:firstLineChars="0"/>
        <w:rPr>
          <w:rFonts w:hint="eastAsia"/>
          <w:sz w:val="24"/>
          <w:szCs w:val="24"/>
          <w:lang w:val="en-US" w:eastAsia="zh-CN"/>
        </w:rPr>
      </w:pPr>
      <w:r>
        <w:rPr>
          <w:rFonts w:hint="eastAsia"/>
          <w:sz w:val="24"/>
          <w:szCs w:val="24"/>
          <w:lang w:val="en-US" w:eastAsia="zh-CN"/>
        </w:rPr>
        <w:t>风险分析结论</w:t>
      </w:r>
    </w:p>
    <w:p>
      <w:pPr>
        <w:tabs>
          <w:tab w:val="left" w:pos="1870"/>
        </w:tabs>
        <w:ind w:firstLine="480"/>
      </w:pPr>
      <w:r>
        <w:rPr>
          <w:rFonts w:hint="eastAsia"/>
        </w:rPr>
        <w:t>根据塔吊安拆施工作业风险LEC法评估结果表，Ⅱ级以上危险有害因素的有</w:t>
      </w:r>
      <w:r>
        <w:t>18</w:t>
      </w:r>
      <w:r>
        <w:rPr>
          <w:rFonts w:hint="eastAsia"/>
        </w:rPr>
        <w:t>项，主要潜在事故类型：触电、起重伤害、机械伤害、物体打击、高处坠落、倒塌及触电，需要制定针对性安全措施，施工期间，严格落实领导带班制度。</w:t>
      </w:r>
    </w:p>
    <w:p>
      <w:pPr>
        <w:tabs>
          <w:tab w:val="left" w:pos="1870"/>
        </w:tabs>
        <w:ind w:firstLine="480"/>
      </w:pPr>
    </w:p>
    <w:p>
      <w:pPr>
        <w:pStyle w:val="13"/>
        <w:ind w:left="0" w:leftChars="0" w:firstLine="0" w:firstLineChars="0"/>
        <w:rPr>
          <w:rFonts w:hint="eastAsia"/>
        </w:rPr>
      </w:pPr>
    </w:p>
    <w:p>
      <w:pPr>
        <w:pStyle w:val="16"/>
      </w:pPr>
      <w:r>
        <w:rPr>
          <w:rFonts w:hint="eastAsia"/>
        </w:rPr>
        <w:t xml:space="preserve">表 </w:t>
      </w:r>
      <w:r>
        <w:rPr>
          <w:rFonts w:hint="eastAsia"/>
          <w:lang w:val="en-US" w:eastAsia="zh-CN"/>
        </w:rPr>
        <w:t>9.1.3</w:t>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t>1</w:t>
      </w:r>
      <w:r>
        <w:fldChar w:fldCharType="end"/>
      </w:r>
      <w:r>
        <w:rPr>
          <w:rFonts w:hint="eastAsia"/>
        </w:rPr>
        <w:t>显著危害因素清单</w:t>
      </w:r>
    </w:p>
    <w:tbl>
      <w:tblPr>
        <w:tblStyle w:val="43"/>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972"/>
        <w:gridCol w:w="1421"/>
        <w:gridCol w:w="6059"/>
        <w:gridCol w:w="1320"/>
        <w:gridCol w:w="972"/>
        <w:gridCol w:w="313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14" w:type="pct"/>
            <w:shd w:val="clear" w:color="auto" w:fill="C6D9F0" w:themeFill="text2" w:themeFillTint="33"/>
            <w:vAlign w:val="center"/>
          </w:tcPr>
          <w:p>
            <w:pPr>
              <w:pStyle w:val="65"/>
            </w:pPr>
            <w:r>
              <w:t>序号</w:t>
            </w:r>
          </w:p>
        </w:tc>
        <w:tc>
          <w:tcPr>
            <w:tcW w:w="335" w:type="pct"/>
            <w:shd w:val="clear" w:color="auto" w:fill="C6D9F0" w:themeFill="text2" w:themeFillTint="33"/>
            <w:vAlign w:val="center"/>
          </w:tcPr>
          <w:p>
            <w:pPr>
              <w:pStyle w:val="65"/>
            </w:pPr>
            <w:r>
              <w:t>作业活动单元</w:t>
            </w:r>
          </w:p>
        </w:tc>
        <w:tc>
          <w:tcPr>
            <w:tcW w:w="490" w:type="pct"/>
            <w:shd w:val="clear" w:color="auto" w:fill="C6D9F0" w:themeFill="text2" w:themeFillTint="33"/>
            <w:vAlign w:val="center"/>
          </w:tcPr>
          <w:p>
            <w:pPr>
              <w:pStyle w:val="65"/>
            </w:pPr>
            <w:r>
              <w:t>活动的内容</w:t>
            </w:r>
          </w:p>
        </w:tc>
        <w:tc>
          <w:tcPr>
            <w:tcW w:w="2089" w:type="pct"/>
            <w:shd w:val="clear" w:color="auto" w:fill="C6D9F0" w:themeFill="text2" w:themeFillTint="33"/>
            <w:vAlign w:val="center"/>
          </w:tcPr>
          <w:p>
            <w:pPr>
              <w:pStyle w:val="65"/>
            </w:pPr>
            <w:r>
              <w:t>危害因素</w:t>
            </w:r>
          </w:p>
        </w:tc>
        <w:tc>
          <w:tcPr>
            <w:tcW w:w="455" w:type="pct"/>
            <w:shd w:val="clear" w:color="auto" w:fill="C6D9F0" w:themeFill="text2" w:themeFillTint="33"/>
            <w:vAlign w:val="center"/>
          </w:tcPr>
          <w:p>
            <w:pPr>
              <w:pStyle w:val="65"/>
            </w:pPr>
            <w:r>
              <w:t>潜在事故类型</w:t>
            </w:r>
          </w:p>
        </w:tc>
        <w:tc>
          <w:tcPr>
            <w:tcW w:w="335" w:type="pct"/>
            <w:shd w:val="clear" w:color="auto" w:fill="C6D9F0" w:themeFill="text2" w:themeFillTint="33"/>
            <w:vAlign w:val="center"/>
          </w:tcPr>
          <w:p>
            <w:pPr>
              <w:pStyle w:val="65"/>
            </w:pPr>
            <w:r>
              <w:t>危害级别</w:t>
            </w:r>
          </w:p>
        </w:tc>
        <w:tc>
          <w:tcPr>
            <w:tcW w:w="1082" w:type="pct"/>
            <w:shd w:val="clear" w:color="auto" w:fill="C6D9F0" w:themeFill="text2" w:themeFillTint="33"/>
            <w:vAlign w:val="center"/>
          </w:tcPr>
          <w:p>
            <w:pPr>
              <w:pStyle w:val="65"/>
            </w:pPr>
            <w:r>
              <w:t>控制措施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1</w:t>
            </w:r>
          </w:p>
        </w:tc>
        <w:tc>
          <w:tcPr>
            <w:tcW w:w="335" w:type="pct"/>
            <w:vAlign w:val="center"/>
          </w:tcPr>
          <w:p>
            <w:pPr>
              <w:pStyle w:val="65"/>
            </w:pPr>
            <w:r>
              <w:rPr>
                <w:rFonts w:hint="eastAsia"/>
              </w:rPr>
              <w:t>塔吊基础及塔吊安拆</w:t>
            </w:r>
          </w:p>
        </w:tc>
        <w:tc>
          <w:tcPr>
            <w:tcW w:w="490" w:type="pct"/>
            <w:vAlign w:val="center"/>
          </w:tcPr>
          <w:p>
            <w:pPr>
              <w:pStyle w:val="65"/>
            </w:pPr>
            <w:r>
              <w:rPr>
                <w:rFonts w:hint="eastAsia"/>
              </w:rPr>
              <w:t>施工准备</w:t>
            </w:r>
          </w:p>
        </w:tc>
        <w:tc>
          <w:tcPr>
            <w:tcW w:w="2089" w:type="pct"/>
            <w:vAlign w:val="center"/>
          </w:tcPr>
          <w:p>
            <w:pPr>
              <w:pStyle w:val="65"/>
            </w:pPr>
            <w:r>
              <w:rPr>
                <w:rFonts w:hint="eastAsia"/>
              </w:rPr>
              <w:t>作业人员进入施工现场未正确使用安全防护用品</w:t>
            </w:r>
          </w:p>
        </w:tc>
        <w:tc>
          <w:tcPr>
            <w:tcW w:w="455" w:type="pct"/>
            <w:vAlign w:val="center"/>
          </w:tcPr>
          <w:p>
            <w:pPr>
              <w:pStyle w:val="65"/>
            </w:pPr>
            <w:r>
              <w:rPr>
                <w:rFonts w:hint="eastAsia"/>
              </w:rPr>
              <w:t>物体打击</w:t>
            </w:r>
          </w:p>
          <w:p>
            <w:pPr>
              <w:pStyle w:val="65"/>
            </w:pPr>
            <w:r>
              <w:rPr>
                <w:rFonts w:hint="eastAsia"/>
              </w:rPr>
              <w:t>起重伤害</w:t>
            </w:r>
          </w:p>
          <w:p>
            <w:pPr>
              <w:pStyle w:val="65"/>
            </w:pPr>
            <w:r>
              <w:rPr>
                <w:rFonts w:hint="eastAsia"/>
              </w:rPr>
              <w:t>高处坠落</w:t>
            </w:r>
          </w:p>
        </w:tc>
        <w:tc>
          <w:tcPr>
            <w:tcW w:w="335" w:type="pct"/>
            <w:vAlign w:val="center"/>
          </w:tcPr>
          <w:p>
            <w:pPr>
              <w:pStyle w:val="65"/>
            </w:pPr>
            <w:r>
              <w:rPr>
                <w:rFonts w:hint="eastAsia"/>
              </w:rPr>
              <w:t>Ⅱ</w:t>
            </w:r>
          </w:p>
        </w:tc>
        <w:tc>
          <w:tcPr>
            <w:tcW w:w="1082" w:type="pct"/>
            <w:vMerge w:val="restart"/>
            <w:vAlign w:val="center"/>
          </w:tcPr>
          <w:p>
            <w:pPr>
              <w:pStyle w:val="65"/>
            </w:pPr>
            <w:r>
              <w:rPr>
                <w:rFonts w:hint="eastAsia"/>
              </w:rPr>
              <w:t>加强施工作业人员安全教育，安全人员现场巡查发现未正确使用安全防护用品的立即要求整改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2</w:t>
            </w:r>
          </w:p>
        </w:tc>
        <w:tc>
          <w:tcPr>
            <w:tcW w:w="335" w:type="pct"/>
            <w:vAlign w:val="center"/>
          </w:tcPr>
          <w:p>
            <w:pPr>
              <w:pStyle w:val="65"/>
            </w:pPr>
          </w:p>
        </w:tc>
        <w:tc>
          <w:tcPr>
            <w:tcW w:w="490" w:type="pct"/>
            <w:vMerge w:val="restart"/>
            <w:vAlign w:val="center"/>
          </w:tcPr>
          <w:p>
            <w:pPr>
              <w:pStyle w:val="65"/>
            </w:pPr>
            <w:r>
              <w:rPr>
                <w:rFonts w:hint="eastAsia"/>
              </w:rPr>
              <w:t>塔吊安装、拆除</w:t>
            </w:r>
          </w:p>
        </w:tc>
        <w:tc>
          <w:tcPr>
            <w:tcW w:w="2089" w:type="pct"/>
            <w:vAlign w:val="center"/>
          </w:tcPr>
          <w:p>
            <w:pPr>
              <w:pStyle w:val="65"/>
            </w:pPr>
            <w:r>
              <w:rPr>
                <w:rFonts w:hint="eastAsia"/>
              </w:rPr>
              <w:t>作业人员高处作业时未系安全带</w:t>
            </w:r>
          </w:p>
        </w:tc>
        <w:tc>
          <w:tcPr>
            <w:tcW w:w="455" w:type="pct"/>
            <w:vAlign w:val="center"/>
          </w:tcPr>
          <w:p>
            <w:pPr>
              <w:pStyle w:val="65"/>
            </w:pPr>
            <w:r>
              <w:rPr>
                <w:rFonts w:hint="eastAsia"/>
              </w:rPr>
              <w:t>高处坠落</w:t>
            </w:r>
          </w:p>
        </w:tc>
        <w:tc>
          <w:tcPr>
            <w:tcW w:w="335" w:type="pct"/>
            <w:vAlign w:val="center"/>
          </w:tcPr>
          <w:p>
            <w:pPr>
              <w:pStyle w:val="65"/>
            </w:pPr>
            <w:r>
              <w:rPr>
                <w:rFonts w:hint="eastAsia"/>
              </w:rPr>
              <w:t>Ⅱ</w:t>
            </w:r>
          </w:p>
        </w:tc>
        <w:tc>
          <w:tcPr>
            <w:tcW w:w="1082" w:type="pct"/>
            <w:vMerge w:val="continue"/>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3</w:t>
            </w:r>
          </w:p>
        </w:tc>
        <w:tc>
          <w:tcPr>
            <w:tcW w:w="335" w:type="pct"/>
            <w:vAlign w:val="center"/>
          </w:tcPr>
          <w:p>
            <w:pPr>
              <w:pStyle w:val="65"/>
            </w:pPr>
          </w:p>
        </w:tc>
        <w:tc>
          <w:tcPr>
            <w:tcW w:w="490" w:type="pct"/>
            <w:vMerge w:val="continue"/>
            <w:vAlign w:val="center"/>
          </w:tcPr>
          <w:p>
            <w:pPr>
              <w:pStyle w:val="65"/>
            </w:pPr>
          </w:p>
        </w:tc>
        <w:tc>
          <w:tcPr>
            <w:tcW w:w="2089" w:type="pct"/>
            <w:vAlign w:val="center"/>
          </w:tcPr>
          <w:p>
            <w:pPr>
              <w:pStyle w:val="65"/>
            </w:pPr>
            <w:r>
              <w:rPr>
                <w:rFonts w:hint="eastAsia"/>
              </w:rPr>
              <w:t>作业人员在起重臂下弦行走时未交替悬挂安全带</w:t>
            </w:r>
          </w:p>
        </w:tc>
        <w:tc>
          <w:tcPr>
            <w:tcW w:w="455" w:type="pct"/>
            <w:vAlign w:val="center"/>
          </w:tcPr>
          <w:p>
            <w:pPr>
              <w:pStyle w:val="65"/>
            </w:pPr>
            <w:r>
              <w:rPr>
                <w:rFonts w:hint="eastAsia"/>
              </w:rPr>
              <w:t>高处坠落</w:t>
            </w:r>
          </w:p>
        </w:tc>
        <w:tc>
          <w:tcPr>
            <w:tcW w:w="335" w:type="pct"/>
            <w:vAlign w:val="center"/>
          </w:tcPr>
          <w:p>
            <w:pPr>
              <w:pStyle w:val="65"/>
            </w:pPr>
            <w:r>
              <w:rPr>
                <w:rFonts w:hint="eastAsia"/>
              </w:rPr>
              <w:t>Ⅱ</w:t>
            </w:r>
          </w:p>
        </w:tc>
        <w:tc>
          <w:tcPr>
            <w:tcW w:w="1082" w:type="pct"/>
            <w:vMerge w:val="continue"/>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4</w:t>
            </w:r>
          </w:p>
        </w:tc>
        <w:tc>
          <w:tcPr>
            <w:tcW w:w="335" w:type="pct"/>
            <w:vAlign w:val="center"/>
          </w:tcPr>
          <w:p>
            <w:pPr>
              <w:pStyle w:val="65"/>
            </w:pPr>
          </w:p>
        </w:tc>
        <w:tc>
          <w:tcPr>
            <w:tcW w:w="490" w:type="pct"/>
            <w:vMerge w:val="continue"/>
            <w:vAlign w:val="center"/>
          </w:tcPr>
          <w:p>
            <w:pPr>
              <w:pStyle w:val="65"/>
            </w:pPr>
          </w:p>
        </w:tc>
        <w:tc>
          <w:tcPr>
            <w:tcW w:w="2089" w:type="pct"/>
            <w:vAlign w:val="center"/>
          </w:tcPr>
          <w:p>
            <w:pPr>
              <w:pStyle w:val="65"/>
            </w:pPr>
            <w:r>
              <w:rPr>
                <w:rFonts w:hint="eastAsia"/>
              </w:rPr>
              <w:t>作业人员未站位于牢固可靠的地方</w:t>
            </w:r>
          </w:p>
        </w:tc>
        <w:tc>
          <w:tcPr>
            <w:tcW w:w="455" w:type="pct"/>
            <w:vAlign w:val="center"/>
          </w:tcPr>
          <w:p>
            <w:pPr>
              <w:pStyle w:val="65"/>
            </w:pPr>
            <w:r>
              <w:rPr>
                <w:rFonts w:hint="eastAsia"/>
              </w:rPr>
              <w:t>高处坠落</w:t>
            </w:r>
          </w:p>
        </w:tc>
        <w:tc>
          <w:tcPr>
            <w:tcW w:w="335" w:type="pct"/>
            <w:vAlign w:val="center"/>
          </w:tcPr>
          <w:p>
            <w:pPr>
              <w:pStyle w:val="65"/>
            </w:pPr>
            <w:r>
              <w:rPr>
                <w:rFonts w:hint="eastAsia"/>
              </w:rPr>
              <w:t>Ⅱ</w:t>
            </w:r>
          </w:p>
        </w:tc>
        <w:tc>
          <w:tcPr>
            <w:tcW w:w="1082" w:type="pct"/>
            <w:vMerge w:val="continue"/>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5</w:t>
            </w:r>
          </w:p>
        </w:tc>
        <w:tc>
          <w:tcPr>
            <w:tcW w:w="335" w:type="pct"/>
            <w:vAlign w:val="center"/>
          </w:tcPr>
          <w:p>
            <w:pPr>
              <w:pStyle w:val="65"/>
            </w:pPr>
          </w:p>
        </w:tc>
        <w:tc>
          <w:tcPr>
            <w:tcW w:w="490" w:type="pct"/>
            <w:vMerge w:val="continue"/>
            <w:vAlign w:val="center"/>
          </w:tcPr>
          <w:p>
            <w:pPr>
              <w:pStyle w:val="65"/>
            </w:pPr>
          </w:p>
        </w:tc>
        <w:tc>
          <w:tcPr>
            <w:tcW w:w="2089" w:type="pct"/>
            <w:vAlign w:val="center"/>
          </w:tcPr>
          <w:p>
            <w:pPr>
              <w:pStyle w:val="65"/>
            </w:pPr>
            <w:r>
              <w:rPr>
                <w:rFonts w:hint="eastAsia"/>
              </w:rPr>
              <w:t>塔吊构件未按方案和说明书顺序进行安装或拆除</w:t>
            </w:r>
          </w:p>
        </w:tc>
        <w:tc>
          <w:tcPr>
            <w:tcW w:w="455" w:type="pct"/>
            <w:vAlign w:val="center"/>
          </w:tcPr>
          <w:p>
            <w:pPr>
              <w:pStyle w:val="65"/>
            </w:pPr>
            <w:r>
              <w:rPr>
                <w:rFonts w:hint="eastAsia"/>
              </w:rPr>
              <w:t>倒塌</w:t>
            </w:r>
          </w:p>
        </w:tc>
        <w:tc>
          <w:tcPr>
            <w:tcW w:w="335" w:type="pct"/>
            <w:vAlign w:val="center"/>
          </w:tcPr>
          <w:p>
            <w:pPr>
              <w:pStyle w:val="65"/>
            </w:pPr>
            <w:r>
              <w:rPr>
                <w:rFonts w:hint="eastAsia"/>
              </w:rPr>
              <w:t>Ⅱ</w:t>
            </w:r>
          </w:p>
        </w:tc>
        <w:tc>
          <w:tcPr>
            <w:tcW w:w="1082" w:type="pct"/>
            <w:vAlign w:val="center"/>
          </w:tcPr>
          <w:p>
            <w:pPr>
              <w:pStyle w:val="65"/>
            </w:pPr>
            <w:r>
              <w:rPr>
                <w:rFonts w:hint="eastAsia"/>
              </w:rPr>
              <w:t>加强施工安全技术交底教育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6</w:t>
            </w:r>
          </w:p>
        </w:tc>
        <w:tc>
          <w:tcPr>
            <w:tcW w:w="335" w:type="pct"/>
            <w:vAlign w:val="center"/>
          </w:tcPr>
          <w:p>
            <w:pPr>
              <w:pStyle w:val="65"/>
            </w:pPr>
          </w:p>
        </w:tc>
        <w:tc>
          <w:tcPr>
            <w:tcW w:w="490" w:type="pct"/>
            <w:vMerge w:val="continue"/>
            <w:vAlign w:val="center"/>
          </w:tcPr>
          <w:p>
            <w:pPr>
              <w:pStyle w:val="65"/>
            </w:pPr>
          </w:p>
        </w:tc>
        <w:tc>
          <w:tcPr>
            <w:tcW w:w="2089" w:type="pct"/>
            <w:vAlign w:val="center"/>
          </w:tcPr>
          <w:p>
            <w:pPr>
              <w:pStyle w:val="65"/>
            </w:pPr>
            <w:r>
              <w:rPr>
                <w:rFonts w:hint="eastAsia"/>
              </w:rPr>
              <w:t>顶升前未检查系统是否完好</w:t>
            </w:r>
          </w:p>
        </w:tc>
        <w:tc>
          <w:tcPr>
            <w:tcW w:w="455" w:type="pct"/>
            <w:vAlign w:val="center"/>
          </w:tcPr>
          <w:p>
            <w:pPr>
              <w:pStyle w:val="65"/>
            </w:pPr>
            <w:r>
              <w:rPr>
                <w:rFonts w:hint="eastAsia"/>
              </w:rPr>
              <w:t>起重伤害</w:t>
            </w:r>
          </w:p>
        </w:tc>
        <w:tc>
          <w:tcPr>
            <w:tcW w:w="335" w:type="pct"/>
            <w:vAlign w:val="center"/>
          </w:tcPr>
          <w:p>
            <w:pPr>
              <w:pStyle w:val="65"/>
            </w:pPr>
            <w:r>
              <w:rPr>
                <w:rFonts w:hint="eastAsia"/>
              </w:rPr>
              <w:t>Ⅱ</w:t>
            </w:r>
          </w:p>
        </w:tc>
        <w:tc>
          <w:tcPr>
            <w:tcW w:w="1082" w:type="pct"/>
            <w:vMerge w:val="restart"/>
            <w:vAlign w:val="center"/>
          </w:tcPr>
          <w:p>
            <w:pPr>
              <w:pStyle w:val="65"/>
            </w:pPr>
            <w:r>
              <w:rPr>
                <w:rFonts w:hint="eastAsia"/>
              </w:rPr>
              <w:t>加强施工安全技术交底教育、现场管理人员加强施工现场巡查，发现问题立即整改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7</w:t>
            </w:r>
          </w:p>
        </w:tc>
        <w:tc>
          <w:tcPr>
            <w:tcW w:w="335" w:type="pct"/>
            <w:vAlign w:val="center"/>
          </w:tcPr>
          <w:p>
            <w:pPr>
              <w:pStyle w:val="65"/>
            </w:pPr>
          </w:p>
        </w:tc>
        <w:tc>
          <w:tcPr>
            <w:tcW w:w="490" w:type="pct"/>
            <w:vMerge w:val="continue"/>
            <w:vAlign w:val="center"/>
          </w:tcPr>
          <w:p>
            <w:pPr>
              <w:pStyle w:val="65"/>
            </w:pPr>
          </w:p>
        </w:tc>
        <w:tc>
          <w:tcPr>
            <w:tcW w:w="2089" w:type="pct"/>
            <w:vAlign w:val="center"/>
          </w:tcPr>
          <w:p>
            <w:pPr>
              <w:pStyle w:val="65"/>
            </w:pPr>
            <w:r>
              <w:rPr>
                <w:rFonts w:hint="eastAsia"/>
              </w:rPr>
              <w:t>顶升前，塔吊下支座未与爬升架进行连接</w:t>
            </w:r>
          </w:p>
        </w:tc>
        <w:tc>
          <w:tcPr>
            <w:tcW w:w="455" w:type="pct"/>
            <w:vAlign w:val="center"/>
          </w:tcPr>
          <w:p>
            <w:pPr>
              <w:pStyle w:val="65"/>
            </w:pPr>
            <w:r>
              <w:rPr>
                <w:rFonts w:hint="eastAsia"/>
              </w:rPr>
              <w:t>起重伤害</w:t>
            </w:r>
          </w:p>
        </w:tc>
        <w:tc>
          <w:tcPr>
            <w:tcW w:w="335" w:type="pct"/>
            <w:vAlign w:val="center"/>
          </w:tcPr>
          <w:p>
            <w:pPr>
              <w:pStyle w:val="65"/>
            </w:pPr>
            <w:r>
              <w:rPr>
                <w:rFonts w:hint="eastAsia"/>
              </w:rPr>
              <w:t>Ⅱ</w:t>
            </w:r>
          </w:p>
        </w:tc>
        <w:tc>
          <w:tcPr>
            <w:tcW w:w="1082" w:type="pct"/>
            <w:vMerge w:val="continue"/>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8</w:t>
            </w:r>
          </w:p>
        </w:tc>
        <w:tc>
          <w:tcPr>
            <w:tcW w:w="335" w:type="pct"/>
            <w:vAlign w:val="center"/>
          </w:tcPr>
          <w:p>
            <w:pPr>
              <w:pStyle w:val="65"/>
            </w:pPr>
          </w:p>
        </w:tc>
        <w:tc>
          <w:tcPr>
            <w:tcW w:w="490" w:type="pct"/>
            <w:vMerge w:val="continue"/>
            <w:vAlign w:val="center"/>
          </w:tcPr>
          <w:p>
            <w:pPr>
              <w:pStyle w:val="65"/>
            </w:pPr>
          </w:p>
        </w:tc>
        <w:tc>
          <w:tcPr>
            <w:tcW w:w="2089" w:type="pct"/>
            <w:vAlign w:val="center"/>
          </w:tcPr>
          <w:p>
            <w:pPr>
              <w:pStyle w:val="65"/>
            </w:pPr>
            <w:r>
              <w:rPr>
                <w:rFonts w:hint="eastAsia"/>
              </w:rPr>
              <w:t>顶升前，未将塔吊进行配平</w:t>
            </w:r>
          </w:p>
        </w:tc>
        <w:tc>
          <w:tcPr>
            <w:tcW w:w="455" w:type="pct"/>
            <w:vAlign w:val="center"/>
          </w:tcPr>
          <w:p>
            <w:pPr>
              <w:pStyle w:val="65"/>
            </w:pPr>
            <w:r>
              <w:rPr>
                <w:rFonts w:hint="eastAsia"/>
              </w:rPr>
              <w:t>起重伤害</w:t>
            </w:r>
          </w:p>
        </w:tc>
        <w:tc>
          <w:tcPr>
            <w:tcW w:w="335" w:type="pct"/>
            <w:vAlign w:val="center"/>
          </w:tcPr>
          <w:p>
            <w:pPr>
              <w:pStyle w:val="65"/>
            </w:pPr>
            <w:r>
              <w:rPr>
                <w:rFonts w:hint="eastAsia"/>
              </w:rPr>
              <w:t>Ⅱ</w:t>
            </w:r>
          </w:p>
        </w:tc>
        <w:tc>
          <w:tcPr>
            <w:tcW w:w="1082" w:type="pct"/>
            <w:vMerge w:val="continue"/>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9</w:t>
            </w:r>
          </w:p>
        </w:tc>
        <w:tc>
          <w:tcPr>
            <w:tcW w:w="335" w:type="pct"/>
            <w:vAlign w:val="center"/>
          </w:tcPr>
          <w:p>
            <w:pPr>
              <w:pStyle w:val="65"/>
            </w:pPr>
          </w:p>
        </w:tc>
        <w:tc>
          <w:tcPr>
            <w:tcW w:w="490" w:type="pct"/>
            <w:vMerge w:val="continue"/>
            <w:vAlign w:val="center"/>
          </w:tcPr>
          <w:p>
            <w:pPr>
              <w:pStyle w:val="65"/>
            </w:pPr>
          </w:p>
        </w:tc>
        <w:tc>
          <w:tcPr>
            <w:tcW w:w="2089" w:type="pct"/>
            <w:vAlign w:val="center"/>
          </w:tcPr>
          <w:p>
            <w:pPr>
              <w:pStyle w:val="65"/>
            </w:pPr>
            <w:r>
              <w:rPr>
                <w:rFonts w:hint="eastAsia"/>
              </w:rPr>
              <w:t>顶升结束后，未将标准节与特殊节进行连接</w:t>
            </w:r>
          </w:p>
        </w:tc>
        <w:tc>
          <w:tcPr>
            <w:tcW w:w="455" w:type="pct"/>
            <w:vAlign w:val="center"/>
          </w:tcPr>
          <w:p>
            <w:pPr>
              <w:pStyle w:val="65"/>
            </w:pPr>
            <w:r>
              <w:rPr>
                <w:rFonts w:hint="eastAsia"/>
              </w:rPr>
              <w:t>起重伤害</w:t>
            </w:r>
          </w:p>
        </w:tc>
        <w:tc>
          <w:tcPr>
            <w:tcW w:w="335" w:type="pct"/>
            <w:vAlign w:val="center"/>
          </w:tcPr>
          <w:p>
            <w:pPr>
              <w:pStyle w:val="65"/>
            </w:pPr>
            <w:r>
              <w:rPr>
                <w:rFonts w:hint="eastAsia"/>
              </w:rPr>
              <w:t>Ⅱ</w:t>
            </w:r>
          </w:p>
        </w:tc>
        <w:tc>
          <w:tcPr>
            <w:tcW w:w="1082" w:type="pct"/>
            <w:vMerge w:val="continue"/>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1</w:t>
            </w:r>
            <w:r>
              <w:t>0</w:t>
            </w:r>
          </w:p>
        </w:tc>
        <w:tc>
          <w:tcPr>
            <w:tcW w:w="335" w:type="pct"/>
            <w:vAlign w:val="center"/>
          </w:tcPr>
          <w:p>
            <w:pPr>
              <w:pStyle w:val="65"/>
            </w:pPr>
          </w:p>
        </w:tc>
        <w:tc>
          <w:tcPr>
            <w:tcW w:w="490" w:type="pct"/>
            <w:vMerge w:val="continue"/>
            <w:vAlign w:val="center"/>
          </w:tcPr>
          <w:p>
            <w:pPr>
              <w:pStyle w:val="65"/>
            </w:pPr>
          </w:p>
        </w:tc>
        <w:tc>
          <w:tcPr>
            <w:tcW w:w="2089" w:type="pct"/>
            <w:vAlign w:val="center"/>
          </w:tcPr>
          <w:p>
            <w:pPr>
              <w:pStyle w:val="65"/>
            </w:pPr>
            <w:r>
              <w:rPr>
                <w:rFonts w:hint="eastAsia"/>
              </w:rPr>
              <w:t>拆除作业时，工索具未连接牢固就拆除连接销轴</w:t>
            </w:r>
          </w:p>
        </w:tc>
        <w:tc>
          <w:tcPr>
            <w:tcW w:w="455" w:type="pct"/>
            <w:vAlign w:val="center"/>
          </w:tcPr>
          <w:p>
            <w:pPr>
              <w:pStyle w:val="65"/>
            </w:pPr>
            <w:r>
              <w:rPr>
                <w:rFonts w:hint="eastAsia"/>
              </w:rPr>
              <w:t>物体打击、高处坠落</w:t>
            </w:r>
          </w:p>
        </w:tc>
        <w:tc>
          <w:tcPr>
            <w:tcW w:w="335" w:type="pct"/>
            <w:vAlign w:val="center"/>
          </w:tcPr>
          <w:p>
            <w:pPr>
              <w:pStyle w:val="65"/>
            </w:pPr>
            <w:r>
              <w:rPr>
                <w:rFonts w:hint="eastAsia"/>
              </w:rPr>
              <w:t>Ⅱ</w:t>
            </w:r>
          </w:p>
        </w:tc>
        <w:tc>
          <w:tcPr>
            <w:tcW w:w="1082" w:type="pct"/>
            <w:vMerge w:val="continue"/>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1</w:t>
            </w:r>
            <w:r>
              <w:t>1</w:t>
            </w:r>
          </w:p>
        </w:tc>
        <w:tc>
          <w:tcPr>
            <w:tcW w:w="335" w:type="pct"/>
            <w:vAlign w:val="center"/>
          </w:tcPr>
          <w:p>
            <w:pPr>
              <w:pStyle w:val="65"/>
            </w:pPr>
          </w:p>
        </w:tc>
        <w:tc>
          <w:tcPr>
            <w:tcW w:w="490" w:type="pct"/>
            <w:vMerge w:val="continue"/>
            <w:vAlign w:val="center"/>
          </w:tcPr>
          <w:p>
            <w:pPr>
              <w:pStyle w:val="65"/>
            </w:pPr>
          </w:p>
        </w:tc>
        <w:tc>
          <w:tcPr>
            <w:tcW w:w="2089" w:type="pct"/>
            <w:vAlign w:val="center"/>
          </w:tcPr>
          <w:p>
            <w:pPr>
              <w:pStyle w:val="65"/>
            </w:pPr>
            <w:r>
              <w:rPr>
                <w:rFonts w:hint="eastAsia"/>
              </w:rPr>
              <w:t>拆除前塔吊未配平</w:t>
            </w:r>
          </w:p>
        </w:tc>
        <w:tc>
          <w:tcPr>
            <w:tcW w:w="455" w:type="pct"/>
            <w:vAlign w:val="center"/>
          </w:tcPr>
          <w:p>
            <w:pPr>
              <w:pStyle w:val="65"/>
            </w:pPr>
            <w:r>
              <w:rPr>
                <w:rFonts w:hint="eastAsia"/>
              </w:rPr>
              <w:t>倒塌</w:t>
            </w:r>
          </w:p>
        </w:tc>
        <w:tc>
          <w:tcPr>
            <w:tcW w:w="335" w:type="pct"/>
            <w:vAlign w:val="center"/>
          </w:tcPr>
          <w:p>
            <w:pPr>
              <w:pStyle w:val="65"/>
            </w:pPr>
            <w:r>
              <w:rPr>
                <w:rFonts w:hint="eastAsia"/>
              </w:rPr>
              <w:t>Ⅱ</w:t>
            </w:r>
          </w:p>
        </w:tc>
        <w:tc>
          <w:tcPr>
            <w:tcW w:w="1082" w:type="pct"/>
            <w:vMerge w:val="continue"/>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1</w:t>
            </w:r>
            <w:r>
              <w:t>2</w:t>
            </w:r>
          </w:p>
        </w:tc>
        <w:tc>
          <w:tcPr>
            <w:tcW w:w="335" w:type="pct"/>
            <w:vAlign w:val="center"/>
          </w:tcPr>
          <w:p>
            <w:pPr>
              <w:pStyle w:val="65"/>
            </w:pPr>
          </w:p>
        </w:tc>
        <w:tc>
          <w:tcPr>
            <w:tcW w:w="490" w:type="pct"/>
            <w:vMerge w:val="restart"/>
            <w:vAlign w:val="center"/>
          </w:tcPr>
          <w:p>
            <w:pPr>
              <w:pStyle w:val="65"/>
            </w:pPr>
            <w:r>
              <w:rPr>
                <w:rFonts w:hint="eastAsia"/>
              </w:rPr>
              <w:t>起重作业</w:t>
            </w:r>
          </w:p>
        </w:tc>
        <w:tc>
          <w:tcPr>
            <w:tcW w:w="2089" w:type="pct"/>
            <w:vAlign w:val="center"/>
          </w:tcPr>
          <w:p>
            <w:pPr>
              <w:pStyle w:val="65"/>
            </w:pPr>
            <w:r>
              <w:rPr>
                <w:rFonts w:hint="eastAsia"/>
                <w:lang w:eastAsia="zh-CN"/>
              </w:rPr>
              <w:t>汽车吊</w:t>
            </w:r>
            <w:r>
              <w:rPr>
                <w:rFonts w:hint="eastAsia"/>
              </w:rPr>
              <w:t>站位不合理</w:t>
            </w:r>
          </w:p>
        </w:tc>
        <w:tc>
          <w:tcPr>
            <w:tcW w:w="455" w:type="pct"/>
            <w:vAlign w:val="center"/>
          </w:tcPr>
          <w:p>
            <w:pPr>
              <w:pStyle w:val="65"/>
            </w:pPr>
            <w:r>
              <w:rPr>
                <w:rFonts w:hint="eastAsia"/>
              </w:rPr>
              <w:t>起重伤害</w:t>
            </w:r>
          </w:p>
        </w:tc>
        <w:tc>
          <w:tcPr>
            <w:tcW w:w="335" w:type="pct"/>
            <w:vAlign w:val="center"/>
          </w:tcPr>
          <w:p>
            <w:pPr>
              <w:pStyle w:val="65"/>
            </w:pPr>
            <w:r>
              <w:rPr>
                <w:rFonts w:hint="eastAsia"/>
              </w:rPr>
              <w:t>Ⅱ</w:t>
            </w:r>
          </w:p>
        </w:tc>
        <w:tc>
          <w:tcPr>
            <w:tcW w:w="1082" w:type="pct"/>
            <w:vMerge w:val="restart"/>
            <w:vAlign w:val="center"/>
          </w:tcPr>
          <w:p>
            <w:pPr>
              <w:pStyle w:val="65"/>
            </w:pPr>
            <w:r>
              <w:rPr>
                <w:rFonts w:hint="eastAsia"/>
              </w:rPr>
              <w:t>加强施工安全技术交底教育、现场管理人员加强施工现场巡查，发现问题立即整改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1</w:t>
            </w:r>
            <w:r>
              <w:t>3</w:t>
            </w:r>
          </w:p>
        </w:tc>
        <w:tc>
          <w:tcPr>
            <w:tcW w:w="335" w:type="pct"/>
            <w:vAlign w:val="center"/>
          </w:tcPr>
          <w:p>
            <w:pPr>
              <w:pStyle w:val="65"/>
            </w:pPr>
          </w:p>
        </w:tc>
        <w:tc>
          <w:tcPr>
            <w:tcW w:w="490" w:type="pct"/>
            <w:vMerge w:val="continue"/>
            <w:vAlign w:val="center"/>
          </w:tcPr>
          <w:p>
            <w:pPr>
              <w:pStyle w:val="65"/>
            </w:pPr>
          </w:p>
        </w:tc>
        <w:tc>
          <w:tcPr>
            <w:tcW w:w="2089" w:type="pct"/>
            <w:vAlign w:val="center"/>
          </w:tcPr>
          <w:p>
            <w:pPr>
              <w:pStyle w:val="65"/>
            </w:pPr>
            <w:r>
              <w:rPr>
                <w:rFonts w:hint="eastAsia"/>
              </w:rPr>
              <w:t>起重指挥员违章指挥</w:t>
            </w:r>
          </w:p>
        </w:tc>
        <w:tc>
          <w:tcPr>
            <w:tcW w:w="455" w:type="pct"/>
            <w:vAlign w:val="center"/>
          </w:tcPr>
          <w:p>
            <w:pPr>
              <w:pStyle w:val="65"/>
            </w:pPr>
            <w:r>
              <w:rPr>
                <w:rFonts w:hint="eastAsia"/>
              </w:rPr>
              <w:t>起重伤害</w:t>
            </w:r>
          </w:p>
        </w:tc>
        <w:tc>
          <w:tcPr>
            <w:tcW w:w="335" w:type="pct"/>
            <w:vAlign w:val="center"/>
          </w:tcPr>
          <w:p>
            <w:pPr>
              <w:pStyle w:val="65"/>
            </w:pPr>
            <w:r>
              <w:rPr>
                <w:rFonts w:hint="eastAsia"/>
              </w:rPr>
              <w:t>Ⅱ</w:t>
            </w:r>
          </w:p>
        </w:tc>
        <w:tc>
          <w:tcPr>
            <w:tcW w:w="1082" w:type="pct"/>
            <w:vMerge w:val="continue"/>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1</w:t>
            </w:r>
            <w:r>
              <w:t>4</w:t>
            </w:r>
          </w:p>
        </w:tc>
        <w:tc>
          <w:tcPr>
            <w:tcW w:w="335" w:type="pct"/>
            <w:vAlign w:val="center"/>
          </w:tcPr>
          <w:p>
            <w:pPr>
              <w:pStyle w:val="65"/>
            </w:pPr>
          </w:p>
        </w:tc>
        <w:tc>
          <w:tcPr>
            <w:tcW w:w="490" w:type="pct"/>
            <w:vMerge w:val="continue"/>
            <w:vAlign w:val="center"/>
          </w:tcPr>
          <w:p>
            <w:pPr>
              <w:pStyle w:val="65"/>
            </w:pPr>
          </w:p>
        </w:tc>
        <w:tc>
          <w:tcPr>
            <w:tcW w:w="2089" w:type="pct"/>
            <w:vAlign w:val="center"/>
          </w:tcPr>
          <w:p>
            <w:pPr>
              <w:pStyle w:val="65"/>
            </w:pPr>
            <w:r>
              <w:rPr>
                <w:rFonts w:hint="eastAsia"/>
              </w:rPr>
              <w:t>起重吊装时未设置溜绳控制构件摆动</w:t>
            </w:r>
          </w:p>
        </w:tc>
        <w:tc>
          <w:tcPr>
            <w:tcW w:w="455" w:type="pct"/>
            <w:vAlign w:val="center"/>
          </w:tcPr>
          <w:p>
            <w:pPr>
              <w:pStyle w:val="65"/>
            </w:pPr>
            <w:r>
              <w:rPr>
                <w:rFonts w:hint="eastAsia"/>
              </w:rPr>
              <w:t>起重伤害</w:t>
            </w:r>
          </w:p>
        </w:tc>
        <w:tc>
          <w:tcPr>
            <w:tcW w:w="335" w:type="pct"/>
            <w:vAlign w:val="center"/>
          </w:tcPr>
          <w:p>
            <w:pPr>
              <w:pStyle w:val="65"/>
            </w:pPr>
            <w:r>
              <w:rPr>
                <w:rFonts w:hint="eastAsia"/>
              </w:rPr>
              <w:t>Ⅱ</w:t>
            </w:r>
          </w:p>
        </w:tc>
        <w:tc>
          <w:tcPr>
            <w:tcW w:w="1082" w:type="pct"/>
            <w:vMerge w:val="continue"/>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1</w:t>
            </w:r>
            <w:r>
              <w:t>5</w:t>
            </w:r>
          </w:p>
        </w:tc>
        <w:tc>
          <w:tcPr>
            <w:tcW w:w="335" w:type="pct"/>
            <w:vAlign w:val="center"/>
          </w:tcPr>
          <w:p>
            <w:pPr>
              <w:pStyle w:val="65"/>
            </w:pPr>
          </w:p>
        </w:tc>
        <w:tc>
          <w:tcPr>
            <w:tcW w:w="490" w:type="pct"/>
            <w:vMerge w:val="continue"/>
            <w:vAlign w:val="center"/>
          </w:tcPr>
          <w:p>
            <w:pPr>
              <w:pStyle w:val="65"/>
            </w:pPr>
          </w:p>
        </w:tc>
        <w:tc>
          <w:tcPr>
            <w:tcW w:w="2089" w:type="pct"/>
            <w:vAlign w:val="center"/>
          </w:tcPr>
          <w:p>
            <w:pPr>
              <w:pStyle w:val="65"/>
            </w:pPr>
            <w:r>
              <w:rPr>
                <w:rFonts w:hint="eastAsia"/>
              </w:rPr>
              <w:t>起重操作人员作业失误</w:t>
            </w:r>
          </w:p>
        </w:tc>
        <w:tc>
          <w:tcPr>
            <w:tcW w:w="455" w:type="pct"/>
            <w:vAlign w:val="center"/>
          </w:tcPr>
          <w:p>
            <w:pPr>
              <w:pStyle w:val="65"/>
            </w:pPr>
            <w:r>
              <w:rPr>
                <w:rFonts w:hint="eastAsia"/>
              </w:rPr>
              <w:t>起重伤害</w:t>
            </w:r>
          </w:p>
        </w:tc>
        <w:tc>
          <w:tcPr>
            <w:tcW w:w="335" w:type="pct"/>
            <w:vAlign w:val="center"/>
          </w:tcPr>
          <w:p>
            <w:pPr>
              <w:pStyle w:val="65"/>
            </w:pPr>
            <w:r>
              <w:rPr>
                <w:rFonts w:hint="eastAsia"/>
              </w:rPr>
              <w:t>Ⅱ</w:t>
            </w:r>
          </w:p>
        </w:tc>
        <w:tc>
          <w:tcPr>
            <w:tcW w:w="1082" w:type="pct"/>
            <w:vMerge w:val="continue"/>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1</w:t>
            </w:r>
            <w:r>
              <w:t>6</w:t>
            </w:r>
          </w:p>
        </w:tc>
        <w:tc>
          <w:tcPr>
            <w:tcW w:w="335" w:type="pct"/>
            <w:vAlign w:val="center"/>
          </w:tcPr>
          <w:p>
            <w:pPr>
              <w:pStyle w:val="65"/>
            </w:pPr>
          </w:p>
        </w:tc>
        <w:tc>
          <w:tcPr>
            <w:tcW w:w="490" w:type="pct"/>
            <w:vMerge w:val="restart"/>
            <w:vAlign w:val="center"/>
          </w:tcPr>
          <w:p>
            <w:pPr>
              <w:pStyle w:val="65"/>
            </w:pPr>
            <w:r>
              <w:rPr>
                <w:rFonts w:hint="eastAsia"/>
              </w:rPr>
              <w:t>临时用电</w:t>
            </w:r>
          </w:p>
        </w:tc>
        <w:tc>
          <w:tcPr>
            <w:tcW w:w="2089" w:type="pct"/>
            <w:vAlign w:val="center"/>
          </w:tcPr>
          <w:p>
            <w:pPr>
              <w:pStyle w:val="65"/>
            </w:pPr>
            <w:r>
              <w:rPr>
                <w:rFonts w:hint="eastAsia"/>
              </w:rPr>
              <w:t>配电系统未按“三级配电、二级防护”进行设置</w:t>
            </w:r>
          </w:p>
        </w:tc>
        <w:tc>
          <w:tcPr>
            <w:tcW w:w="455" w:type="pct"/>
            <w:vAlign w:val="center"/>
          </w:tcPr>
          <w:p>
            <w:pPr>
              <w:pStyle w:val="65"/>
            </w:pPr>
            <w:r>
              <w:rPr>
                <w:rFonts w:hint="eastAsia"/>
              </w:rPr>
              <w:t>触电</w:t>
            </w:r>
          </w:p>
        </w:tc>
        <w:tc>
          <w:tcPr>
            <w:tcW w:w="335" w:type="pct"/>
            <w:vAlign w:val="center"/>
          </w:tcPr>
          <w:p>
            <w:pPr>
              <w:pStyle w:val="65"/>
            </w:pPr>
            <w:r>
              <w:rPr>
                <w:rFonts w:hint="eastAsia"/>
              </w:rPr>
              <w:t>Ⅱ</w:t>
            </w:r>
          </w:p>
        </w:tc>
        <w:tc>
          <w:tcPr>
            <w:tcW w:w="1082" w:type="pct"/>
            <w:vMerge w:val="restart"/>
            <w:vAlign w:val="center"/>
          </w:tcPr>
          <w:p>
            <w:pPr>
              <w:pStyle w:val="65"/>
            </w:pPr>
            <w:r>
              <w:rPr>
                <w:rFonts w:hint="eastAsia"/>
              </w:rPr>
              <w:t>加强施工安全技术交底教育、现场管理人员加强施工现场巡查，发现问题立即整改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1</w:t>
            </w:r>
            <w:r>
              <w:t>7</w:t>
            </w:r>
          </w:p>
        </w:tc>
        <w:tc>
          <w:tcPr>
            <w:tcW w:w="335" w:type="pct"/>
            <w:vAlign w:val="center"/>
          </w:tcPr>
          <w:p>
            <w:pPr>
              <w:pStyle w:val="65"/>
            </w:pPr>
          </w:p>
        </w:tc>
        <w:tc>
          <w:tcPr>
            <w:tcW w:w="490" w:type="pct"/>
            <w:vMerge w:val="continue"/>
            <w:vAlign w:val="center"/>
          </w:tcPr>
          <w:p>
            <w:pPr>
              <w:pStyle w:val="65"/>
            </w:pPr>
          </w:p>
        </w:tc>
        <w:tc>
          <w:tcPr>
            <w:tcW w:w="2089" w:type="pct"/>
            <w:vAlign w:val="center"/>
          </w:tcPr>
          <w:p>
            <w:pPr>
              <w:pStyle w:val="65"/>
            </w:pPr>
            <w:r>
              <w:rPr>
                <w:rFonts w:hint="eastAsia"/>
              </w:rPr>
              <w:t>用电设备未做到“一机一闸一漏一箱”</w:t>
            </w:r>
          </w:p>
        </w:tc>
        <w:tc>
          <w:tcPr>
            <w:tcW w:w="455" w:type="pct"/>
            <w:vAlign w:val="center"/>
          </w:tcPr>
          <w:p>
            <w:pPr>
              <w:pStyle w:val="65"/>
            </w:pPr>
            <w:r>
              <w:rPr>
                <w:rFonts w:hint="eastAsia"/>
              </w:rPr>
              <w:t>触电</w:t>
            </w:r>
          </w:p>
        </w:tc>
        <w:tc>
          <w:tcPr>
            <w:tcW w:w="335" w:type="pct"/>
            <w:vAlign w:val="center"/>
          </w:tcPr>
          <w:p>
            <w:pPr>
              <w:pStyle w:val="65"/>
            </w:pPr>
            <w:r>
              <w:rPr>
                <w:rFonts w:hint="eastAsia"/>
              </w:rPr>
              <w:t>Ⅱ</w:t>
            </w:r>
          </w:p>
        </w:tc>
        <w:tc>
          <w:tcPr>
            <w:tcW w:w="1082" w:type="pct"/>
            <w:vMerge w:val="continue"/>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vAlign w:val="center"/>
          </w:tcPr>
          <w:p>
            <w:pPr>
              <w:pStyle w:val="65"/>
            </w:pPr>
            <w:r>
              <w:rPr>
                <w:rFonts w:hint="eastAsia"/>
              </w:rPr>
              <w:t>1</w:t>
            </w:r>
            <w:r>
              <w:t>8</w:t>
            </w:r>
          </w:p>
        </w:tc>
        <w:tc>
          <w:tcPr>
            <w:tcW w:w="335" w:type="pct"/>
            <w:vAlign w:val="center"/>
          </w:tcPr>
          <w:p>
            <w:pPr>
              <w:pStyle w:val="65"/>
            </w:pPr>
          </w:p>
        </w:tc>
        <w:tc>
          <w:tcPr>
            <w:tcW w:w="490" w:type="pct"/>
            <w:vMerge w:val="continue"/>
            <w:vAlign w:val="center"/>
          </w:tcPr>
          <w:p>
            <w:pPr>
              <w:pStyle w:val="65"/>
            </w:pPr>
          </w:p>
        </w:tc>
        <w:tc>
          <w:tcPr>
            <w:tcW w:w="2089" w:type="pct"/>
            <w:vAlign w:val="center"/>
          </w:tcPr>
          <w:p>
            <w:pPr>
              <w:pStyle w:val="65"/>
            </w:pPr>
            <w:r>
              <w:rPr>
                <w:rFonts w:hint="eastAsia"/>
              </w:rPr>
              <w:t>非专业电工进行操作</w:t>
            </w:r>
          </w:p>
        </w:tc>
        <w:tc>
          <w:tcPr>
            <w:tcW w:w="455" w:type="pct"/>
            <w:vAlign w:val="center"/>
          </w:tcPr>
          <w:p>
            <w:pPr>
              <w:pStyle w:val="65"/>
            </w:pPr>
            <w:r>
              <w:rPr>
                <w:rFonts w:hint="eastAsia"/>
              </w:rPr>
              <w:t>触电</w:t>
            </w:r>
          </w:p>
        </w:tc>
        <w:tc>
          <w:tcPr>
            <w:tcW w:w="335" w:type="pct"/>
            <w:vAlign w:val="center"/>
          </w:tcPr>
          <w:p>
            <w:pPr>
              <w:pStyle w:val="65"/>
            </w:pPr>
            <w:r>
              <w:rPr>
                <w:rFonts w:hint="eastAsia"/>
              </w:rPr>
              <w:t>Ⅱ</w:t>
            </w:r>
          </w:p>
        </w:tc>
        <w:tc>
          <w:tcPr>
            <w:tcW w:w="1082" w:type="pct"/>
            <w:vMerge w:val="continue"/>
            <w:vAlign w:val="center"/>
          </w:tcPr>
          <w:p>
            <w:pPr>
              <w:pStyle w:val="65"/>
            </w:pPr>
          </w:p>
        </w:tc>
      </w:tr>
    </w:tbl>
    <w:p>
      <w:pPr>
        <w:tabs>
          <w:tab w:val="left" w:pos="1870"/>
        </w:tabs>
        <w:ind w:firstLine="480"/>
        <w:sectPr>
          <w:pgSz w:w="16838" w:h="11906" w:orient="landscape"/>
          <w:pgMar w:top="1418" w:right="1418" w:bottom="1418" w:left="1134" w:header="851" w:footer="992" w:gutter="0"/>
          <w:pgNumType w:fmt="decimal"/>
          <w:cols w:space="425" w:num="1"/>
          <w:docGrid w:type="lines" w:linePitch="326" w:charSpace="0"/>
        </w:sectPr>
      </w:pPr>
    </w:p>
    <w:p>
      <w:pPr>
        <w:pStyle w:val="4"/>
      </w:pPr>
      <w:bookmarkStart w:id="117" w:name="_Toc102481224"/>
      <w:bookmarkStart w:id="118" w:name="_Toc23556"/>
      <w:bookmarkStart w:id="119" w:name="_Toc102481275"/>
      <w:bookmarkStart w:id="120" w:name="_Toc40778454"/>
      <w:bookmarkStart w:id="121" w:name="_Toc102825399"/>
      <w:bookmarkStart w:id="122" w:name="_Toc121344359"/>
      <w:bookmarkStart w:id="123" w:name="_Toc28613977"/>
      <w:bookmarkStart w:id="124" w:name="_Toc14196"/>
      <w:r>
        <w:rPr>
          <w:rFonts w:hint="eastAsia"/>
        </w:rPr>
        <w:t>组织机构</w:t>
      </w:r>
      <w:bookmarkEnd w:id="117"/>
      <w:bookmarkEnd w:id="118"/>
      <w:bookmarkEnd w:id="119"/>
      <w:bookmarkEnd w:id="120"/>
      <w:bookmarkEnd w:id="121"/>
      <w:bookmarkEnd w:id="122"/>
      <w:bookmarkEnd w:id="123"/>
      <w:bookmarkEnd w:id="124"/>
    </w:p>
    <w:p>
      <w:pPr>
        <w:ind w:firstLine="480"/>
      </w:pPr>
      <w:r>
        <w:rPr>
          <w:rFonts w:hint="eastAsia"/>
        </w:rPr>
        <w:t>项目部成立以项目经理为组长的应急领导小组，建立健全各级安全生产责任制，负责对施工过程中各类突发事件应急响应和组织协调。</w:t>
      </w:r>
    </w:p>
    <w:p>
      <w:pPr>
        <w:ind w:firstLine="480"/>
      </w:pPr>
      <w:r>
        <w:rPr>
          <w:rFonts w:hint="eastAsia"/>
        </w:rPr>
        <w:t>应急办负责各类应急预案的落实和管理。安监部负责监督、管理项目部现场安全的具体工作。</w:t>
      </w:r>
    </w:p>
    <w:p>
      <w:pPr>
        <w:ind w:firstLine="480"/>
      </w:pPr>
      <w:r>
        <w:rPr>
          <w:rFonts w:hint="eastAsia"/>
        </w:rPr>
        <w:t>各班组成立由班组长负责的应急小组，落实具体防范措施，做到常备不懈，有条不紊。</w:t>
      </w:r>
    </w:p>
    <w:p>
      <w:pPr>
        <w:pStyle w:val="16"/>
      </w:pPr>
      <w:bookmarkStart w:id="125" w:name="_Hlk101683246"/>
      <w:r>
        <w:object>
          <v:shape id="_x0000_i1027" o:spt="75" type="#_x0000_t75" style="height:273.6pt;width:417.6pt;" o:ole="t" filled="f" o:preferrelative="t" stroked="f" coordsize="21600,21600">
            <v:path/>
            <v:fill on="f" focussize="0,0"/>
            <v:stroke on="f"/>
            <v:imagedata r:id="rId77" o:title=""/>
            <o:lock v:ext="edit" aspectratio="t"/>
            <w10:wrap type="none"/>
            <w10:anchorlock/>
          </v:shape>
          <o:OLEObject Type="Embed" ProgID="Visio.Drawing.15" ShapeID="_x0000_i1027" DrawAspect="Content" ObjectID="_1468075727">
            <o:LockedField>false</o:LockedField>
          </o:OLEObject>
        </w:object>
      </w:r>
      <w:bookmarkEnd w:id="125"/>
    </w:p>
    <w:p>
      <w:pPr>
        <w:pStyle w:val="16"/>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9.2</w:t>
      </w:r>
      <w:r>
        <w:fldChar w:fldCharType="end"/>
      </w:r>
      <w:r>
        <w:noBreakHyphen/>
      </w:r>
      <w:r>
        <w:fldChar w:fldCharType="begin"/>
      </w:r>
      <w:r>
        <w:instrText xml:space="preserve"> </w:instrText>
      </w:r>
      <w:r>
        <w:rPr>
          <w:rFonts w:hint="eastAsia"/>
        </w:rPr>
        <w:instrText xml:space="preserve">SEQ 图_ \* ARABIC \s 2</w:instrText>
      </w:r>
      <w:r>
        <w:instrText xml:space="preserve"> </w:instrText>
      </w:r>
      <w:r>
        <w:fldChar w:fldCharType="separate"/>
      </w:r>
      <w:r>
        <w:t>1</w:t>
      </w:r>
      <w:r>
        <w:fldChar w:fldCharType="end"/>
      </w:r>
      <w:r>
        <w:rPr>
          <w:rFonts w:hint="eastAsia"/>
        </w:rPr>
        <w:t>应急组织救援机构</w:t>
      </w:r>
    </w:p>
    <w:p>
      <w:pPr>
        <w:pStyle w:val="5"/>
        <w:bidi w:val="0"/>
        <w:ind w:left="0" w:leftChars="0" w:firstLine="0" w:firstLineChars="0"/>
        <w:rPr>
          <w:rFonts w:hint="eastAsia"/>
          <w:sz w:val="24"/>
          <w:szCs w:val="24"/>
          <w:lang w:val="en-US" w:eastAsia="zh-CN"/>
        </w:rPr>
      </w:pPr>
      <w:r>
        <w:rPr>
          <w:rFonts w:hint="eastAsia"/>
          <w:sz w:val="24"/>
          <w:szCs w:val="24"/>
          <w:lang w:val="en-US" w:eastAsia="zh-CN"/>
        </w:rPr>
        <w:t>应急领导小组</w:t>
      </w:r>
    </w:p>
    <w:p>
      <w:pPr>
        <w:ind w:firstLine="480"/>
      </w:pPr>
      <w:bookmarkStart w:id="126" w:name="_Hlk65068807"/>
      <w:r>
        <w:rPr>
          <w:rFonts w:hint="eastAsia"/>
        </w:rPr>
        <w:t>项目部成立以项目经理、专职党组织负责人为组长，项目其他领导及安全负责人为副组长，各部门负责人为组员的应急领导小组，进行事故应急处理。</w:t>
      </w:r>
    </w:p>
    <w:bookmarkEnd w:id="126"/>
    <w:p>
      <w:pPr>
        <w:ind w:firstLine="480"/>
      </w:pPr>
      <w:r>
        <w:rPr>
          <w:rFonts w:hint="eastAsia"/>
        </w:rPr>
        <w:t>组长：项目经理、项目书记</w:t>
      </w:r>
    </w:p>
    <w:p>
      <w:pPr>
        <w:ind w:firstLine="480"/>
      </w:pPr>
      <w:r>
        <w:rPr>
          <w:rFonts w:hint="eastAsia"/>
        </w:rPr>
        <w:t>副组长：项目总工、副经理、安全总监</w:t>
      </w:r>
    </w:p>
    <w:p>
      <w:pPr>
        <w:ind w:firstLine="480"/>
      </w:pPr>
      <w:r>
        <w:rPr>
          <w:rFonts w:hint="eastAsia"/>
        </w:rPr>
        <w:t>成员：各部门负责人</w:t>
      </w:r>
    </w:p>
    <w:p>
      <w:pPr>
        <w:pStyle w:val="5"/>
        <w:bidi w:val="0"/>
        <w:ind w:left="0" w:leftChars="0" w:firstLine="0" w:firstLineChars="0"/>
        <w:rPr>
          <w:rFonts w:hint="eastAsia"/>
          <w:sz w:val="24"/>
          <w:szCs w:val="24"/>
          <w:lang w:val="en-US" w:eastAsia="zh-CN"/>
        </w:rPr>
      </w:pPr>
      <w:bookmarkStart w:id="127" w:name="_Toc40778455"/>
      <w:bookmarkStart w:id="128" w:name="_Toc9735"/>
      <w:bookmarkStart w:id="129" w:name="_Toc102481225"/>
      <w:bookmarkStart w:id="130" w:name="_Toc28613979"/>
      <w:bookmarkStart w:id="131" w:name="_Toc102481276"/>
      <w:bookmarkStart w:id="132" w:name="_Toc102825400"/>
      <w:r>
        <w:rPr>
          <w:rFonts w:hint="eastAsia"/>
          <w:sz w:val="24"/>
          <w:szCs w:val="24"/>
          <w:lang w:val="en-US" w:eastAsia="zh-CN"/>
        </w:rPr>
        <w:t>应急领导小组办公室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应急救援领导小组下设办公室，办公室设在安监部，由安监部长任办公室主任。应急领导小组办公室办负责各类应急预案的落实和管理。安监部负责监督、管理项目部现场安全的具体工作。</w:t>
      </w:r>
    </w:p>
    <w:p>
      <w:pPr>
        <w:pStyle w:val="5"/>
        <w:bidi w:val="0"/>
        <w:ind w:left="0" w:leftChars="0" w:firstLine="0" w:firstLineChars="0"/>
        <w:rPr>
          <w:rFonts w:hint="eastAsia"/>
          <w:sz w:val="24"/>
          <w:szCs w:val="24"/>
          <w:lang w:val="en-US" w:eastAsia="zh-CN"/>
        </w:rPr>
      </w:pPr>
      <w:bookmarkStart w:id="133" w:name="_Toc7193"/>
      <w:bookmarkStart w:id="134" w:name="_Toc26421"/>
      <w:bookmarkStart w:id="135" w:name="_Toc5984"/>
      <w:bookmarkStart w:id="136" w:name="_Toc11976"/>
      <w:bookmarkStart w:id="137" w:name="_Toc16016"/>
      <w:bookmarkStart w:id="138" w:name="_Toc14014"/>
      <w:r>
        <w:rPr>
          <w:rFonts w:hint="eastAsia"/>
          <w:sz w:val="24"/>
          <w:szCs w:val="24"/>
          <w:lang w:val="en-US" w:eastAsia="zh-CN"/>
        </w:rPr>
        <w:t>应急救援职责</w:t>
      </w:r>
      <w:bookmarkEnd w:id="133"/>
      <w:bookmarkEnd w:id="134"/>
      <w:bookmarkEnd w:id="135"/>
      <w:bookmarkEnd w:id="136"/>
      <w:bookmarkEnd w:id="137"/>
      <w:bookmarkEnd w:id="138"/>
    </w:p>
    <w:p>
      <w:pPr>
        <w:ind w:firstLine="480"/>
      </w:pPr>
      <w:r>
        <w:rPr>
          <w:rFonts w:hint="eastAsia"/>
        </w:rPr>
        <w:t>（1）组长为事故应急处理小组总指挥，负责应急预案的启动实施，小组人员分工必要时向上级单位请示启动上级部门应急预案等。</w:t>
      </w:r>
    </w:p>
    <w:p>
      <w:pPr>
        <w:ind w:firstLine="480"/>
      </w:pPr>
      <w:r>
        <w:rPr>
          <w:rFonts w:hint="eastAsia"/>
        </w:rPr>
        <w:t>（2）副组长协助组长工作，在组长不在场的情况下行使组长职责，具体负责应急抢险抢救过程的组织和协调以及事后恢复生产。</w:t>
      </w:r>
    </w:p>
    <w:p>
      <w:pPr>
        <w:ind w:firstLine="480"/>
      </w:pPr>
      <w:r>
        <w:rPr>
          <w:rFonts w:hint="eastAsia"/>
        </w:rPr>
        <w:t>（3）在事故处理过程中，各成员必须无条件服从组长或副组长的安排，积极协助事故应急的处理。应急处理领导小组成员的手机要24小时开通，并向全体员工公布，具体如下表所示：</w:t>
      </w:r>
    </w:p>
    <w:p>
      <w:pPr>
        <w:pStyle w:val="16"/>
      </w:pPr>
      <w:bookmarkStart w:id="139" w:name="_Ref67579035"/>
      <w:bookmarkStart w:id="140" w:name="_Hlk101683358"/>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9.2.3</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t>1</w:t>
      </w:r>
      <w:r>
        <w:fldChar w:fldCharType="end"/>
      </w:r>
      <w:bookmarkEnd w:id="139"/>
      <w:r>
        <w:rPr>
          <w:rFonts w:hint="eastAsia"/>
        </w:rPr>
        <w:t>应急救援领导小组职责表</w:t>
      </w:r>
    </w:p>
    <w:bookmarkEnd w:id="140"/>
    <w:tbl>
      <w:tblPr>
        <w:tblStyle w:val="69"/>
        <w:tblpPr w:leftFromText="180" w:rightFromText="180" w:vertAnchor="text" w:horzAnchor="margin" w:tblpXSpec="center" w:tblpY="163"/>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89"/>
        <w:gridCol w:w="2084"/>
        <w:gridCol w:w="4998"/>
        <w:gridCol w:w="131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tblHeader/>
        </w:trPr>
        <w:tc>
          <w:tcPr>
            <w:tcW w:w="479" w:type="pct"/>
            <w:shd w:val="clear" w:color="auto" w:fill="C6D9F0" w:themeFill="text2" w:themeFillTint="33"/>
            <w:vAlign w:val="center"/>
          </w:tcPr>
          <w:p>
            <w:pPr>
              <w:pStyle w:val="65"/>
              <w:rPr>
                <w:rFonts w:ascii="Times New Roman" w:hAnsi="Times New Roman" w:eastAsia="宋体"/>
                <w:b/>
                <w:i w:val="0"/>
              </w:rPr>
            </w:pPr>
            <w:r>
              <w:rPr>
                <w:rFonts w:ascii="Times New Roman" w:hAnsi="Times New Roman" w:eastAsia="宋体"/>
                <w:b/>
                <w:i w:val="0"/>
              </w:rPr>
              <w:t>序号</w:t>
            </w:r>
          </w:p>
        </w:tc>
        <w:tc>
          <w:tcPr>
            <w:tcW w:w="1122" w:type="pct"/>
            <w:shd w:val="clear" w:color="auto" w:fill="C6D9F0" w:themeFill="text2" w:themeFillTint="33"/>
            <w:vAlign w:val="center"/>
          </w:tcPr>
          <w:p>
            <w:pPr>
              <w:pStyle w:val="65"/>
              <w:rPr>
                <w:rFonts w:ascii="Times New Roman" w:hAnsi="Times New Roman" w:eastAsia="宋体"/>
                <w:b/>
                <w:i w:val="0"/>
              </w:rPr>
            </w:pPr>
            <w:r>
              <w:rPr>
                <w:rFonts w:ascii="Times New Roman" w:hAnsi="Times New Roman" w:eastAsia="宋体"/>
                <w:b/>
                <w:i w:val="0"/>
              </w:rPr>
              <w:t>姓名</w:t>
            </w:r>
          </w:p>
        </w:tc>
        <w:tc>
          <w:tcPr>
            <w:tcW w:w="2691" w:type="pct"/>
            <w:shd w:val="clear" w:color="auto" w:fill="C6D9F0" w:themeFill="text2" w:themeFillTint="33"/>
            <w:vAlign w:val="center"/>
          </w:tcPr>
          <w:p>
            <w:pPr>
              <w:pStyle w:val="65"/>
              <w:rPr>
                <w:rFonts w:ascii="Times New Roman" w:hAnsi="Times New Roman" w:eastAsia="宋体"/>
                <w:b/>
                <w:i w:val="0"/>
              </w:rPr>
            </w:pPr>
            <w:r>
              <w:rPr>
                <w:rFonts w:ascii="Times New Roman" w:hAnsi="Times New Roman" w:eastAsia="宋体"/>
                <w:b/>
                <w:i w:val="0"/>
              </w:rPr>
              <w:t>部门/职务</w:t>
            </w:r>
          </w:p>
        </w:tc>
        <w:tc>
          <w:tcPr>
            <w:tcW w:w="708" w:type="pct"/>
            <w:shd w:val="clear" w:color="auto" w:fill="C6D9F0" w:themeFill="text2" w:themeFillTint="33"/>
            <w:vAlign w:val="center"/>
          </w:tcPr>
          <w:p>
            <w:pPr>
              <w:pStyle w:val="65"/>
              <w:rPr>
                <w:rFonts w:ascii="Times New Roman" w:hAnsi="Times New Roman" w:eastAsia="宋体"/>
                <w:b/>
                <w:i w:val="0"/>
              </w:rPr>
            </w:pPr>
            <w:r>
              <w:rPr>
                <w:rFonts w:ascii="Times New Roman" w:hAnsi="Times New Roman" w:eastAsia="宋体"/>
                <w:b/>
                <w:i w:val="0"/>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479"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1</w:t>
            </w:r>
          </w:p>
        </w:tc>
        <w:tc>
          <w:tcPr>
            <w:tcW w:w="1122" w:type="pct"/>
            <w:shd w:val="clear" w:color="auto" w:fill="FFFFFF" w:themeFill="background1"/>
            <w:vAlign w:val="center"/>
          </w:tcPr>
          <w:p>
            <w:pPr>
              <w:pStyle w:val="65"/>
            </w:pPr>
            <w:r>
              <w:t>项目经理</w:t>
            </w:r>
          </w:p>
        </w:tc>
        <w:tc>
          <w:tcPr>
            <w:tcW w:w="2691" w:type="pct"/>
            <w:shd w:val="clear" w:color="auto" w:fill="FFFFFF" w:themeFill="background1"/>
            <w:vAlign w:val="center"/>
          </w:tcPr>
          <w:p>
            <w:pPr>
              <w:pStyle w:val="65"/>
            </w:pPr>
            <w:r>
              <w:t>负责全面工作、制定应急方案</w:t>
            </w:r>
          </w:p>
        </w:tc>
        <w:tc>
          <w:tcPr>
            <w:tcW w:w="708" w:type="pct"/>
            <w:shd w:val="clear" w:color="auto" w:fill="FFFFFF" w:themeFill="background1"/>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479"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2</w:t>
            </w:r>
          </w:p>
        </w:tc>
        <w:tc>
          <w:tcPr>
            <w:tcW w:w="1122" w:type="pct"/>
            <w:shd w:val="clear" w:color="auto" w:fill="FFFFFF" w:themeFill="background1"/>
            <w:vAlign w:val="center"/>
          </w:tcPr>
          <w:p>
            <w:pPr>
              <w:pStyle w:val="65"/>
            </w:pPr>
            <w:r>
              <w:t>项目书记</w:t>
            </w:r>
          </w:p>
        </w:tc>
        <w:tc>
          <w:tcPr>
            <w:tcW w:w="2691" w:type="pct"/>
            <w:vMerge w:val="restart"/>
            <w:shd w:val="clear" w:color="auto" w:fill="FFFFFF" w:themeFill="background1"/>
            <w:vAlign w:val="center"/>
          </w:tcPr>
          <w:p>
            <w:pPr>
              <w:pStyle w:val="65"/>
            </w:pPr>
            <w:r>
              <w:t>在各自职责范围内负责项目部应急管理</w:t>
            </w:r>
          </w:p>
        </w:tc>
        <w:tc>
          <w:tcPr>
            <w:tcW w:w="708" w:type="pct"/>
            <w:shd w:val="clear" w:color="auto" w:fill="FFFFFF" w:themeFill="background1"/>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479"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3</w:t>
            </w:r>
          </w:p>
        </w:tc>
        <w:tc>
          <w:tcPr>
            <w:tcW w:w="1122" w:type="pct"/>
            <w:shd w:val="clear" w:color="auto" w:fill="FFFFFF" w:themeFill="background1"/>
            <w:vAlign w:val="center"/>
          </w:tcPr>
          <w:p>
            <w:pPr>
              <w:pStyle w:val="65"/>
            </w:pPr>
            <w:r>
              <w:t>项目副经理</w:t>
            </w:r>
          </w:p>
        </w:tc>
        <w:tc>
          <w:tcPr>
            <w:tcW w:w="2691" w:type="pct"/>
            <w:vMerge w:val="continue"/>
            <w:shd w:val="clear" w:color="auto" w:fill="FFFFFF" w:themeFill="background1"/>
            <w:vAlign w:val="center"/>
          </w:tcPr>
          <w:p>
            <w:pPr>
              <w:pStyle w:val="65"/>
            </w:pPr>
          </w:p>
        </w:tc>
        <w:tc>
          <w:tcPr>
            <w:tcW w:w="708" w:type="pct"/>
            <w:shd w:val="clear" w:color="auto" w:fill="FFFFFF" w:themeFill="background1"/>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370" w:hRule="atLeast"/>
        </w:trPr>
        <w:tc>
          <w:tcPr>
            <w:tcW w:w="479"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4</w:t>
            </w:r>
          </w:p>
        </w:tc>
        <w:tc>
          <w:tcPr>
            <w:tcW w:w="1122" w:type="pct"/>
            <w:shd w:val="clear" w:color="auto" w:fill="FFFFFF" w:themeFill="background1"/>
            <w:vAlign w:val="center"/>
          </w:tcPr>
          <w:p>
            <w:pPr>
              <w:pStyle w:val="65"/>
            </w:pPr>
            <w:r>
              <w:t>安全总监</w:t>
            </w:r>
          </w:p>
        </w:tc>
        <w:tc>
          <w:tcPr>
            <w:tcW w:w="2691" w:type="pct"/>
            <w:vMerge w:val="continue"/>
            <w:shd w:val="clear" w:color="auto" w:fill="FFFFFF" w:themeFill="background1"/>
            <w:vAlign w:val="center"/>
          </w:tcPr>
          <w:p>
            <w:pPr>
              <w:pStyle w:val="65"/>
            </w:pPr>
          </w:p>
        </w:tc>
        <w:tc>
          <w:tcPr>
            <w:tcW w:w="708" w:type="pct"/>
            <w:shd w:val="clear" w:color="auto" w:fill="FFFFFF" w:themeFill="background1"/>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479"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5</w:t>
            </w:r>
          </w:p>
        </w:tc>
        <w:tc>
          <w:tcPr>
            <w:tcW w:w="1122" w:type="pct"/>
            <w:shd w:val="clear" w:color="auto" w:fill="FFFFFF" w:themeFill="background1"/>
            <w:vAlign w:val="center"/>
          </w:tcPr>
          <w:p>
            <w:pPr>
              <w:pStyle w:val="65"/>
            </w:pPr>
            <w:r>
              <w:rPr>
                <w:rFonts w:hint="eastAsia"/>
              </w:rPr>
              <w:t>项目</w:t>
            </w:r>
            <w:r>
              <w:t>总工</w:t>
            </w:r>
          </w:p>
        </w:tc>
        <w:tc>
          <w:tcPr>
            <w:tcW w:w="2691" w:type="pct"/>
            <w:vMerge w:val="continue"/>
            <w:shd w:val="clear" w:color="auto" w:fill="FFFFFF" w:themeFill="background1"/>
            <w:vAlign w:val="center"/>
          </w:tcPr>
          <w:p>
            <w:pPr>
              <w:pStyle w:val="65"/>
            </w:pPr>
          </w:p>
        </w:tc>
        <w:tc>
          <w:tcPr>
            <w:tcW w:w="708" w:type="pct"/>
            <w:shd w:val="clear" w:color="auto" w:fill="FFFFFF" w:themeFill="background1"/>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479"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6</w:t>
            </w:r>
          </w:p>
        </w:tc>
        <w:tc>
          <w:tcPr>
            <w:tcW w:w="1122" w:type="pct"/>
            <w:shd w:val="clear" w:color="auto" w:fill="FFFFFF" w:themeFill="background1"/>
            <w:vAlign w:val="center"/>
          </w:tcPr>
          <w:p>
            <w:pPr>
              <w:pStyle w:val="65"/>
            </w:pPr>
            <w:r>
              <w:t>物资部</w:t>
            </w:r>
          </w:p>
        </w:tc>
        <w:tc>
          <w:tcPr>
            <w:tcW w:w="2691" w:type="pct"/>
            <w:vMerge w:val="restart"/>
            <w:shd w:val="clear" w:color="auto" w:fill="FFFFFF" w:themeFill="background1"/>
            <w:vAlign w:val="center"/>
          </w:tcPr>
          <w:p>
            <w:pPr>
              <w:pStyle w:val="65"/>
            </w:pPr>
            <w:r>
              <w:t>召集人员，联络有关部门提供应急资金、物资支持</w:t>
            </w:r>
          </w:p>
        </w:tc>
        <w:tc>
          <w:tcPr>
            <w:tcW w:w="708" w:type="pct"/>
            <w:shd w:val="clear" w:color="auto" w:fill="FFFFFF" w:themeFill="background1"/>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370" w:hRule="atLeast"/>
        </w:trPr>
        <w:tc>
          <w:tcPr>
            <w:tcW w:w="479"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7</w:t>
            </w:r>
          </w:p>
        </w:tc>
        <w:tc>
          <w:tcPr>
            <w:tcW w:w="1122" w:type="pct"/>
            <w:shd w:val="clear" w:color="auto" w:fill="FFFFFF" w:themeFill="background1"/>
            <w:vAlign w:val="center"/>
          </w:tcPr>
          <w:p>
            <w:pPr>
              <w:pStyle w:val="65"/>
            </w:pPr>
            <w:r>
              <w:t>综合办公室</w:t>
            </w:r>
          </w:p>
        </w:tc>
        <w:tc>
          <w:tcPr>
            <w:tcW w:w="2691" w:type="pct"/>
            <w:vMerge w:val="continue"/>
            <w:shd w:val="clear" w:color="auto" w:fill="FFFFFF" w:themeFill="background1"/>
            <w:vAlign w:val="center"/>
          </w:tcPr>
          <w:p>
            <w:pPr>
              <w:pStyle w:val="65"/>
            </w:pPr>
          </w:p>
        </w:tc>
        <w:tc>
          <w:tcPr>
            <w:tcW w:w="708" w:type="pct"/>
            <w:shd w:val="clear" w:color="auto" w:fill="FFFFFF" w:themeFill="background1"/>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479"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8</w:t>
            </w:r>
          </w:p>
        </w:tc>
        <w:tc>
          <w:tcPr>
            <w:tcW w:w="1122" w:type="pct"/>
            <w:shd w:val="clear" w:color="auto" w:fill="FFFFFF" w:themeFill="background1"/>
            <w:vAlign w:val="center"/>
          </w:tcPr>
          <w:p>
            <w:pPr>
              <w:pStyle w:val="65"/>
            </w:pPr>
            <w:r>
              <w:t>工程部</w:t>
            </w:r>
          </w:p>
        </w:tc>
        <w:tc>
          <w:tcPr>
            <w:tcW w:w="2691" w:type="pct"/>
            <w:shd w:val="clear" w:color="auto" w:fill="FFFFFF" w:themeFill="background1"/>
            <w:vAlign w:val="center"/>
          </w:tcPr>
          <w:p>
            <w:pPr>
              <w:pStyle w:val="65"/>
            </w:pPr>
            <w:r>
              <w:t>确定临时处置方案，组织伤员送医救治</w:t>
            </w:r>
          </w:p>
        </w:tc>
        <w:tc>
          <w:tcPr>
            <w:tcW w:w="708" w:type="pct"/>
            <w:shd w:val="clear" w:color="auto" w:fill="FFFFFF" w:themeFill="background1"/>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479"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9</w:t>
            </w:r>
          </w:p>
        </w:tc>
        <w:tc>
          <w:tcPr>
            <w:tcW w:w="1122" w:type="pct"/>
            <w:shd w:val="clear" w:color="auto" w:fill="FFFFFF" w:themeFill="background1"/>
            <w:vAlign w:val="center"/>
          </w:tcPr>
          <w:p>
            <w:pPr>
              <w:pStyle w:val="65"/>
            </w:pPr>
            <w:r>
              <w:t>设备部</w:t>
            </w:r>
          </w:p>
        </w:tc>
        <w:tc>
          <w:tcPr>
            <w:tcW w:w="2691" w:type="pct"/>
            <w:shd w:val="clear" w:color="auto" w:fill="FFFFFF" w:themeFill="background1"/>
            <w:vAlign w:val="center"/>
          </w:tcPr>
          <w:p>
            <w:pPr>
              <w:pStyle w:val="65"/>
            </w:pPr>
            <w:r>
              <w:t>组织设备抢险方案的实施，在需要设备辅助救援时，联络相关设备</w:t>
            </w:r>
          </w:p>
        </w:tc>
        <w:tc>
          <w:tcPr>
            <w:tcW w:w="708" w:type="pct"/>
            <w:shd w:val="clear" w:color="auto" w:fill="FFFFFF" w:themeFill="background1"/>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479"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10</w:t>
            </w:r>
          </w:p>
        </w:tc>
        <w:tc>
          <w:tcPr>
            <w:tcW w:w="1122" w:type="pct"/>
            <w:shd w:val="clear" w:color="auto" w:fill="FFFFFF" w:themeFill="background1"/>
            <w:vAlign w:val="center"/>
          </w:tcPr>
          <w:p>
            <w:pPr>
              <w:pStyle w:val="65"/>
            </w:pPr>
            <w:r>
              <w:t>试验室</w:t>
            </w:r>
          </w:p>
        </w:tc>
        <w:tc>
          <w:tcPr>
            <w:tcW w:w="2691" w:type="pct"/>
            <w:vMerge w:val="restart"/>
            <w:shd w:val="clear" w:color="auto" w:fill="FFFFFF" w:themeFill="background1"/>
            <w:vAlign w:val="center"/>
          </w:tcPr>
          <w:p>
            <w:pPr>
              <w:pStyle w:val="65"/>
            </w:pPr>
            <w:r>
              <w:t>组织疏散、撤离、危险区域内的人员、物资；严格控制进出人员及车辆，维护现场治安</w:t>
            </w:r>
          </w:p>
        </w:tc>
        <w:tc>
          <w:tcPr>
            <w:tcW w:w="708" w:type="pct"/>
            <w:shd w:val="clear" w:color="auto" w:fill="FFFFFF" w:themeFill="background1"/>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479"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11</w:t>
            </w:r>
          </w:p>
        </w:tc>
        <w:tc>
          <w:tcPr>
            <w:tcW w:w="1122" w:type="pct"/>
            <w:shd w:val="clear" w:color="auto" w:fill="FFFFFF" w:themeFill="background1"/>
            <w:vAlign w:val="center"/>
          </w:tcPr>
          <w:p>
            <w:pPr>
              <w:pStyle w:val="65"/>
            </w:pPr>
            <w:r>
              <w:t>安</w:t>
            </w:r>
            <w:r>
              <w:rPr>
                <w:rFonts w:hint="eastAsia"/>
              </w:rPr>
              <w:t>监</w:t>
            </w:r>
            <w:r>
              <w:t>部</w:t>
            </w:r>
          </w:p>
        </w:tc>
        <w:tc>
          <w:tcPr>
            <w:tcW w:w="2691" w:type="pct"/>
            <w:vMerge w:val="continue"/>
            <w:shd w:val="clear" w:color="auto" w:fill="FFFFFF" w:themeFill="background1"/>
            <w:vAlign w:val="center"/>
          </w:tcPr>
          <w:p>
            <w:pPr>
              <w:pStyle w:val="65"/>
            </w:pPr>
          </w:p>
        </w:tc>
        <w:tc>
          <w:tcPr>
            <w:tcW w:w="708" w:type="pct"/>
            <w:shd w:val="clear" w:color="auto" w:fill="FFFFFF" w:themeFill="background1"/>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479"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12</w:t>
            </w:r>
          </w:p>
        </w:tc>
        <w:tc>
          <w:tcPr>
            <w:tcW w:w="1122" w:type="pct"/>
            <w:shd w:val="clear" w:color="auto" w:fill="FFFFFF" w:themeFill="background1"/>
            <w:vAlign w:val="center"/>
          </w:tcPr>
          <w:p>
            <w:pPr>
              <w:pStyle w:val="65"/>
            </w:pPr>
            <w:r>
              <w:t>合</w:t>
            </w:r>
            <w:r>
              <w:rPr>
                <w:rFonts w:hint="eastAsia"/>
              </w:rPr>
              <w:t>同</w:t>
            </w:r>
            <w:r>
              <w:t>部</w:t>
            </w:r>
          </w:p>
        </w:tc>
        <w:tc>
          <w:tcPr>
            <w:tcW w:w="2691" w:type="pct"/>
            <w:vMerge w:val="restart"/>
            <w:shd w:val="clear" w:color="auto" w:fill="FFFFFF" w:themeFill="background1"/>
            <w:vAlign w:val="center"/>
          </w:tcPr>
          <w:p>
            <w:pPr>
              <w:pStyle w:val="65"/>
            </w:pPr>
            <w:r>
              <w:t>负责伤亡人员身份确认，联络家属，事后处理，将事故处理动态上报项目</w:t>
            </w:r>
          </w:p>
        </w:tc>
        <w:tc>
          <w:tcPr>
            <w:tcW w:w="708" w:type="pct"/>
            <w:shd w:val="clear" w:color="auto" w:fill="FFFFFF" w:themeFill="background1"/>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370" w:hRule="atLeast"/>
        </w:trPr>
        <w:tc>
          <w:tcPr>
            <w:tcW w:w="479"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13</w:t>
            </w:r>
          </w:p>
        </w:tc>
        <w:tc>
          <w:tcPr>
            <w:tcW w:w="1122" w:type="pct"/>
            <w:shd w:val="clear" w:color="auto" w:fill="FFFFFF" w:themeFill="background1"/>
            <w:vAlign w:val="center"/>
          </w:tcPr>
          <w:p>
            <w:pPr>
              <w:pStyle w:val="65"/>
            </w:pPr>
            <w:r>
              <w:t>质检部</w:t>
            </w:r>
          </w:p>
        </w:tc>
        <w:tc>
          <w:tcPr>
            <w:tcW w:w="2691" w:type="pct"/>
            <w:vMerge w:val="continue"/>
            <w:shd w:val="clear" w:color="auto" w:fill="FFFFFF" w:themeFill="background1"/>
            <w:vAlign w:val="center"/>
          </w:tcPr>
          <w:p>
            <w:pPr>
              <w:pStyle w:val="65"/>
            </w:pPr>
          </w:p>
        </w:tc>
        <w:tc>
          <w:tcPr>
            <w:tcW w:w="708" w:type="pct"/>
            <w:shd w:val="clear" w:color="auto" w:fill="FFFFFF" w:themeFill="background1"/>
            <w:vAlign w:val="center"/>
          </w:tcPr>
          <w:p>
            <w:pPr>
              <w:pStyle w:val="65"/>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479" w:type="pct"/>
            <w:shd w:val="clear" w:color="auto" w:fill="FFFFFF" w:themeFill="background1"/>
            <w:vAlign w:val="center"/>
          </w:tcPr>
          <w:p>
            <w:pPr>
              <w:pStyle w:val="65"/>
              <w:rPr>
                <w:rFonts w:ascii="Times New Roman" w:hAnsi="Times New Roman" w:eastAsia="宋体"/>
                <w:b w:val="0"/>
                <w:i w:val="0"/>
              </w:rPr>
            </w:pPr>
            <w:r>
              <w:rPr>
                <w:rFonts w:hint="eastAsia" w:ascii="Times New Roman" w:hAnsi="Times New Roman" w:eastAsia="宋体"/>
                <w:b w:val="0"/>
                <w:i w:val="0"/>
              </w:rPr>
              <w:t>1</w:t>
            </w:r>
            <w:r>
              <w:rPr>
                <w:rFonts w:ascii="Times New Roman" w:hAnsi="Times New Roman" w:eastAsia="宋体"/>
                <w:b w:val="0"/>
                <w:i w:val="0"/>
              </w:rPr>
              <w:t>4</w:t>
            </w:r>
          </w:p>
        </w:tc>
        <w:tc>
          <w:tcPr>
            <w:tcW w:w="1122" w:type="pct"/>
            <w:shd w:val="clear" w:color="auto" w:fill="FFFFFF" w:themeFill="background1"/>
            <w:vAlign w:val="center"/>
          </w:tcPr>
          <w:p>
            <w:pPr>
              <w:pStyle w:val="65"/>
            </w:pPr>
            <w:r>
              <w:rPr>
                <w:rFonts w:hint="eastAsia"/>
              </w:rPr>
              <w:t>财务部</w:t>
            </w:r>
          </w:p>
        </w:tc>
        <w:tc>
          <w:tcPr>
            <w:tcW w:w="2691" w:type="pct"/>
            <w:vMerge w:val="continue"/>
            <w:shd w:val="clear" w:color="auto" w:fill="FFFFFF" w:themeFill="background1"/>
            <w:vAlign w:val="center"/>
          </w:tcPr>
          <w:p>
            <w:pPr>
              <w:pStyle w:val="65"/>
            </w:pPr>
          </w:p>
        </w:tc>
        <w:tc>
          <w:tcPr>
            <w:tcW w:w="708" w:type="pct"/>
            <w:shd w:val="clear" w:color="auto" w:fill="FFFFFF" w:themeFill="background1"/>
            <w:vAlign w:val="center"/>
          </w:tcPr>
          <w:p>
            <w:pPr>
              <w:pStyle w:val="65"/>
            </w:pPr>
          </w:p>
        </w:tc>
      </w:tr>
    </w:tbl>
    <w:p>
      <w:pPr>
        <w:pStyle w:val="4"/>
        <w:spacing w:before="120" w:beforeLines="50"/>
      </w:pPr>
      <w:bookmarkStart w:id="141" w:name="_Toc121344360"/>
      <w:bookmarkStart w:id="142" w:name="_Toc18614"/>
      <w:r>
        <w:rPr>
          <w:rFonts w:hint="eastAsia"/>
        </w:rPr>
        <w:t>处置流程</w:t>
      </w:r>
      <w:bookmarkEnd w:id="127"/>
      <w:bookmarkEnd w:id="128"/>
      <w:bookmarkEnd w:id="129"/>
      <w:bookmarkEnd w:id="130"/>
      <w:bookmarkEnd w:id="131"/>
      <w:bookmarkEnd w:id="132"/>
      <w:bookmarkEnd w:id="141"/>
      <w:bookmarkEnd w:id="142"/>
    </w:p>
    <w:p>
      <w:pPr>
        <w:pStyle w:val="5"/>
        <w:bidi w:val="0"/>
        <w:ind w:left="0" w:leftChars="0" w:firstLine="0" w:firstLineChars="0"/>
        <w:rPr>
          <w:rFonts w:hint="eastAsia"/>
          <w:sz w:val="24"/>
          <w:szCs w:val="24"/>
          <w:lang w:val="en-US" w:eastAsia="zh-CN"/>
        </w:rPr>
      </w:pPr>
      <w:r>
        <w:rPr>
          <w:rFonts w:hint="eastAsia"/>
          <w:sz w:val="24"/>
          <w:szCs w:val="24"/>
          <w:lang w:val="en-US" w:eastAsia="zh-CN"/>
        </w:rPr>
        <w:t>应急响应程序</w:t>
      </w:r>
    </w:p>
    <w:p>
      <w:pPr>
        <w:ind w:firstLine="480"/>
      </w:pPr>
      <w:r>
        <w:rPr>
          <w:rFonts w:hint="eastAsia"/>
        </w:rPr>
        <w:t>事故应急救援系统的应急响应程序按照过程可分为接警、响应级别的确定、应急启动、救援行动、应急恢复和应急结束等几个过程。</w:t>
      </w:r>
    </w:p>
    <w:p>
      <w:pPr>
        <w:ind w:firstLine="480"/>
      </w:pPr>
      <w:r>
        <w:rPr>
          <w:rFonts w:hint="eastAsia"/>
        </w:rPr>
        <w:t>（1）</w:t>
      </w:r>
      <w:r>
        <w:rPr>
          <w:rFonts w:hint="eastAsia"/>
        </w:rPr>
        <w:tab/>
      </w:r>
      <w:r>
        <w:rPr>
          <w:rFonts w:hint="eastAsia"/>
        </w:rPr>
        <w:t>三级响应。事故事件类别为：一般等级以下事故。应急救援及处置由项目部主导和具体实施，所属分公司协助处理。</w:t>
      </w:r>
    </w:p>
    <w:p>
      <w:pPr>
        <w:ind w:firstLine="480"/>
      </w:pPr>
      <w:r>
        <w:rPr>
          <w:rFonts w:hint="eastAsia"/>
        </w:rPr>
        <w:t>（2）</w:t>
      </w:r>
      <w:r>
        <w:rPr>
          <w:rFonts w:hint="eastAsia"/>
        </w:rPr>
        <w:tab/>
      </w:r>
      <w:r>
        <w:rPr>
          <w:rFonts w:hint="eastAsia"/>
        </w:rPr>
        <w:t>二级紧急情况。事故事件类别为：发生重伤事故或者可能造成较大伤害和影响的事故，且事态得以控制，不会造成严重社会影响。应急救援及处置协调由分公司主导，局综合协调，项目部具体实施。</w:t>
      </w:r>
    </w:p>
    <w:p>
      <w:pPr>
        <w:ind w:firstLine="480"/>
      </w:pPr>
      <w:r>
        <w:rPr>
          <w:rFonts w:hint="eastAsia"/>
        </w:rPr>
        <w:t>（3）</w:t>
      </w:r>
      <w:r>
        <w:rPr>
          <w:rFonts w:hint="eastAsia"/>
        </w:rPr>
        <w:tab/>
      </w:r>
      <w:r>
        <w:rPr>
          <w:rFonts w:hint="eastAsia"/>
        </w:rPr>
        <w:t>一级紧急情况。事故事件类别为：发生较大及以上等级生产安全事故；发生一般等级生产安全事故，但可能造成进一步损失或严重社会影响。应急救援及处置协调由</w:t>
      </w:r>
      <w:r>
        <w:rPr>
          <w:rFonts w:hint="eastAsia"/>
          <w:lang w:val="en-US" w:eastAsia="zh-CN"/>
        </w:rPr>
        <w:t>总公司</w:t>
      </w:r>
      <w:r>
        <w:rPr>
          <w:rFonts w:hint="eastAsia"/>
        </w:rPr>
        <w:t>主导，分公司配合，项目部具体实施。</w:t>
      </w:r>
    </w:p>
    <w:p>
      <w:pPr>
        <w:pStyle w:val="5"/>
        <w:bidi w:val="0"/>
        <w:ind w:left="0" w:leftChars="0" w:firstLine="0" w:firstLineChars="0"/>
        <w:rPr>
          <w:rFonts w:hint="eastAsia"/>
          <w:sz w:val="24"/>
          <w:szCs w:val="24"/>
          <w:lang w:val="en-US" w:eastAsia="zh-CN"/>
        </w:rPr>
      </w:pPr>
      <w:r>
        <w:rPr>
          <w:rFonts w:hint="eastAsia"/>
          <w:sz w:val="24"/>
          <w:szCs w:val="24"/>
          <w:lang w:val="en-US" w:eastAsia="zh-CN"/>
        </w:rPr>
        <w:t>应急处置程序</w:t>
      </w:r>
    </w:p>
    <w:p>
      <w:pPr>
        <w:ind w:firstLine="480"/>
      </w:pPr>
      <w:r>
        <w:rPr>
          <w:rFonts w:hint="eastAsia"/>
        </w:rPr>
        <w:t>施工过程中事故发生，应急处置流程见下图：</w:t>
      </w:r>
    </w:p>
    <w:p>
      <w:pPr>
        <w:keepNext/>
        <w:ind w:firstLine="480"/>
      </w:pPr>
      <w:r>
        <w:rPr>
          <w:rFonts w:hint="eastAsia"/>
        </w:rPr>
        <w:object>
          <v:shape id="_x0000_i1028" o:spt="75" type="#_x0000_t75" style="height:317.45pt;width:366.25pt;" o:ole="t" filled="f" o:preferrelative="t" stroked="f" coordsize="21600,21600">
            <v:path/>
            <v:fill on="f" focussize="0,0"/>
            <v:stroke on="f" joinstyle="miter"/>
            <v:imagedata r:id="rId78" o:title=""/>
            <o:lock v:ext="edit" aspectratio="f"/>
            <w10:wrap type="none"/>
            <w10:anchorlock/>
          </v:shape>
          <o:OLEObject Type="Embed" ProgID="Visio.Drawing.15" ShapeID="_x0000_i1028" DrawAspect="Content" ObjectID="_1468075728">
            <o:LockedField>false</o:LockedField>
          </o:OLEObject>
        </w:object>
      </w:r>
    </w:p>
    <w:p>
      <w:pPr>
        <w:pStyle w:val="16"/>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t>9.3.2</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1</w:t>
      </w:r>
      <w:r>
        <w:fldChar w:fldCharType="end"/>
      </w:r>
      <w:r>
        <w:rPr>
          <w:rFonts w:hint="eastAsia"/>
        </w:rPr>
        <w:t>事故应急处置流程</w:t>
      </w:r>
    </w:p>
    <w:p>
      <w:pPr>
        <w:pStyle w:val="5"/>
        <w:bidi w:val="0"/>
        <w:ind w:left="0" w:leftChars="0" w:firstLine="0" w:firstLineChars="0"/>
        <w:rPr>
          <w:rFonts w:hint="eastAsia"/>
          <w:sz w:val="24"/>
          <w:szCs w:val="24"/>
          <w:lang w:val="en-US" w:eastAsia="zh-CN"/>
        </w:rPr>
      </w:pPr>
      <w:r>
        <w:rPr>
          <w:rFonts w:hint="eastAsia"/>
          <w:sz w:val="24"/>
          <w:szCs w:val="24"/>
          <w:lang w:val="en-US" w:eastAsia="zh-CN"/>
        </w:rPr>
        <w:t>事故报告及内容</w:t>
      </w:r>
    </w:p>
    <w:p>
      <w:pPr>
        <w:ind w:firstLine="480"/>
      </w:pPr>
      <w:r>
        <w:rPr>
          <w:rFonts w:hint="eastAsia"/>
        </w:rPr>
        <w:t>安全事故或突发事件发生后，事故发现人应立即报告现场负责人，现场负责人向项目经理报告；现场负责人接报后，应第一时间启动现场处置方案，采取紧急措施抢救伤亡人员，控制事故，防止扩大；项目经理接报后，应当及时根据事故或突发事件情况，决定是否启动专项应急预案，并根据情况，决定是否请求外部协助。内部报告程序可越级报告，第一时间接报人要同时告知以上相关人员。</w:t>
      </w:r>
    </w:p>
    <w:p>
      <w:pPr>
        <w:ind w:firstLine="480"/>
      </w:pPr>
      <w:r>
        <w:rPr>
          <w:rFonts w:hint="eastAsia"/>
        </w:rPr>
        <w:t>项目应急救援领导小组仔细了解事故情况，迅速确定事故书面简报材料。自接到事故报告半小时内同时向监理单位、建设单位及分公司安监部门负责人及当地安全生产监管部门报告。外部报告程序由项目部统一报告，不得越级。</w:t>
      </w:r>
    </w:p>
    <w:p>
      <w:pPr>
        <w:pStyle w:val="67"/>
        <w:widowControl/>
        <w:numPr>
          <w:ilvl w:val="0"/>
          <w:numId w:val="0"/>
        </w:numPr>
        <w:adjustRightInd w:val="0"/>
        <w:snapToGrid w:val="0"/>
        <w:ind w:leftChars="200"/>
        <w:jc w:val="both"/>
      </w:pPr>
      <w:r>
        <w:rPr>
          <w:rFonts w:hint="eastAsia"/>
        </w:rPr>
        <w:t>生产安全事故报告内容包括：</w:t>
      </w:r>
    </w:p>
    <w:p>
      <w:pPr>
        <w:pStyle w:val="67"/>
        <w:widowControl/>
        <w:numPr>
          <w:ilvl w:val="0"/>
          <w:numId w:val="18"/>
        </w:numPr>
        <w:adjustRightInd w:val="0"/>
        <w:snapToGrid w:val="0"/>
        <w:ind w:left="0" w:firstLine="480" w:firstLineChars="200"/>
        <w:jc w:val="both"/>
      </w:pPr>
      <w:r>
        <w:rPr>
          <w:rFonts w:hint="eastAsia"/>
        </w:rPr>
        <w:t>事故发生单位概况；</w:t>
      </w:r>
    </w:p>
    <w:p>
      <w:pPr>
        <w:pStyle w:val="67"/>
        <w:widowControl/>
        <w:numPr>
          <w:ilvl w:val="0"/>
          <w:numId w:val="18"/>
        </w:numPr>
        <w:adjustRightInd w:val="0"/>
        <w:snapToGrid w:val="0"/>
        <w:ind w:left="0" w:firstLine="480" w:firstLineChars="200"/>
        <w:jc w:val="both"/>
      </w:pPr>
      <w:r>
        <w:rPr>
          <w:rFonts w:hint="eastAsia"/>
        </w:rPr>
        <w:t>事故发生的时间、地点以及事故现场情况；</w:t>
      </w:r>
    </w:p>
    <w:p>
      <w:pPr>
        <w:pStyle w:val="67"/>
        <w:widowControl/>
        <w:numPr>
          <w:ilvl w:val="0"/>
          <w:numId w:val="18"/>
        </w:numPr>
        <w:adjustRightInd w:val="0"/>
        <w:snapToGrid w:val="0"/>
        <w:ind w:left="0" w:firstLine="480" w:firstLineChars="200"/>
        <w:jc w:val="both"/>
      </w:pPr>
      <w:r>
        <w:rPr>
          <w:rFonts w:hint="eastAsia"/>
        </w:rPr>
        <w:t>事故的简要经过；</w:t>
      </w:r>
    </w:p>
    <w:p>
      <w:pPr>
        <w:pStyle w:val="67"/>
        <w:widowControl/>
        <w:numPr>
          <w:ilvl w:val="0"/>
          <w:numId w:val="18"/>
        </w:numPr>
        <w:adjustRightInd w:val="0"/>
        <w:snapToGrid w:val="0"/>
        <w:ind w:left="0" w:firstLine="480" w:firstLineChars="200"/>
        <w:jc w:val="both"/>
      </w:pPr>
      <w:r>
        <w:rPr>
          <w:rFonts w:hint="eastAsia"/>
        </w:rPr>
        <w:t>事故已经造成或者可能造成的伤亡人数和初步估计的直接经济损失；</w:t>
      </w:r>
    </w:p>
    <w:p>
      <w:pPr>
        <w:pStyle w:val="67"/>
        <w:widowControl/>
        <w:numPr>
          <w:ilvl w:val="0"/>
          <w:numId w:val="18"/>
        </w:numPr>
        <w:adjustRightInd w:val="0"/>
        <w:snapToGrid w:val="0"/>
        <w:ind w:left="0" w:firstLine="480" w:firstLineChars="200"/>
        <w:jc w:val="both"/>
      </w:pPr>
      <w:r>
        <w:rPr>
          <w:rFonts w:hint="eastAsia"/>
        </w:rPr>
        <w:t>已经采取的措施；</w:t>
      </w:r>
    </w:p>
    <w:p>
      <w:pPr>
        <w:pStyle w:val="67"/>
        <w:widowControl/>
        <w:numPr>
          <w:ilvl w:val="0"/>
          <w:numId w:val="18"/>
        </w:numPr>
        <w:adjustRightInd w:val="0"/>
        <w:snapToGrid w:val="0"/>
        <w:ind w:left="0" w:firstLine="480" w:firstLineChars="200"/>
        <w:jc w:val="both"/>
      </w:pPr>
      <w:r>
        <w:rPr>
          <w:rFonts w:hint="eastAsia"/>
        </w:rPr>
        <w:t>其他应当报告的情况。</w:t>
      </w:r>
    </w:p>
    <w:p>
      <w:pPr>
        <w:pStyle w:val="4"/>
      </w:pPr>
      <w:bookmarkStart w:id="143" w:name="_Toc102825401"/>
      <w:bookmarkStart w:id="144" w:name="_Toc121344361"/>
      <w:bookmarkStart w:id="145" w:name="_Toc102481277"/>
      <w:bookmarkStart w:id="146" w:name="_Toc22714"/>
      <w:bookmarkStart w:id="147" w:name="_Toc102481226"/>
      <w:bookmarkStart w:id="148" w:name="_Toc40778456"/>
      <w:bookmarkStart w:id="149" w:name="_Toc24226"/>
      <w:r>
        <w:rPr>
          <w:rFonts w:hint="eastAsia"/>
        </w:rPr>
        <w:t>应急处置措施</w:t>
      </w:r>
      <w:bookmarkEnd w:id="143"/>
      <w:bookmarkEnd w:id="144"/>
      <w:bookmarkEnd w:id="145"/>
      <w:bookmarkEnd w:id="146"/>
      <w:bookmarkEnd w:id="147"/>
      <w:bookmarkEnd w:id="148"/>
      <w:bookmarkEnd w:id="149"/>
    </w:p>
    <w:p>
      <w:pPr>
        <w:pStyle w:val="5"/>
        <w:bidi w:val="0"/>
        <w:ind w:left="0" w:leftChars="0" w:firstLine="0" w:firstLineChars="0"/>
        <w:rPr>
          <w:rFonts w:hint="eastAsia"/>
          <w:sz w:val="24"/>
          <w:szCs w:val="24"/>
          <w:lang w:val="en-US" w:eastAsia="zh-CN"/>
        </w:rPr>
      </w:pPr>
      <w:bookmarkStart w:id="150" w:name="_Toc113272900"/>
      <w:bookmarkStart w:id="151" w:name="_Toc113274132"/>
      <w:r>
        <w:rPr>
          <w:rFonts w:hint="eastAsia"/>
          <w:sz w:val="24"/>
          <w:szCs w:val="24"/>
          <w:lang w:val="en-US" w:eastAsia="zh-CN"/>
        </w:rPr>
        <w:t>高处坠落应急处置措施</w:t>
      </w:r>
      <w:bookmarkEnd w:id="150"/>
      <w:bookmarkEnd w:id="151"/>
    </w:p>
    <w:p>
      <w:pPr>
        <w:pStyle w:val="67"/>
        <w:numPr>
          <w:ilvl w:val="5"/>
          <w:numId w:val="19"/>
        </w:numPr>
        <w:ind w:firstLine="480"/>
        <w:jc w:val="both"/>
      </w:pPr>
      <w:r>
        <w:rPr>
          <w:rFonts w:hint="eastAsia"/>
        </w:rPr>
        <w:t>发生高处坠落事故，应马上组织抢救伤者，首先观察伤者的受伤情况、部位、伤害性质，如伤员发生休克，应先去除伤员身上的用具和口袋中的硬物。遇呼吸、心跳停止者，应立即进行人工呼吸，胸外心脏挤压。处于休克状态的伤员要让其安静、保暖、平卧、少动，并将下肢抬高约20度，尽快送医院进行抢救治疗。应采用担架或硬质木板搬运和转送伤员，避免颈部和躯干前屈或扭转，使脊柱伸直，绝对禁止一个抬肩一个抬腿的搬法，以免造成截瘫。</w:t>
      </w:r>
    </w:p>
    <w:p>
      <w:pPr>
        <w:pStyle w:val="67"/>
        <w:numPr>
          <w:ilvl w:val="5"/>
          <w:numId w:val="20"/>
        </w:numPr>
        <w:ind w:firstLine="480"/>
        <w:jc w:val="both"/>
        <w:rPr>
          <w:color w:val="000000" w:themeColor="text1"/>
          <w14:textFill>
            <w14:solidFill>
              <w14:schemeClr w14:val="tx1"/>
            </w14:solidFill>
          </w14:textFill>
        </w:rPr>
      </w:pPr>
      <w:r>
        <w:rPr>
          <w:rFonts w:hint="eastAsia"/>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w:t>
      </w:r>
      <w:r>
        <w:rPr>
          <w:rFonts w:hint="eastAsia"/>
          <w:color w:val="000000" w:themeColor="text1"/>
          <w14:textFill>
            <w14:solidFill>
              <w14:schemeClr w14:val="tx1"/>
            </w14:solidFill>
          </w14:textFill>
        </w:rPr>
        <w:t>等覆盖伤口，用绷带或布条包扎后，及时送就近医院治疗。</w:t>
      </w:r>
    </w:p>
    <w:p>
      <w:pPr>
        <w:pStyle w:val="67"/>
        <w:numPr>
          <w:ilvl w:val="5"/>
          <w:numId w:val="20"/>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颌面部伤员首先应保持呼吸道畅通，清除移位的组织碎片、血凝块、口腔分泌物等，同时松解伤员的颈、胸部纽扣。</w:t>
      </w:r>
    </w:p>
    <w:p>
      <w:pPr>
        <w:pStyle w:val="67"/>
        <w:numPr>
          <w:ilvl w:val="5"/>
          <w:numId w:val="20"/>
        </w:numPr>
        <w:ind w:firstLine="480"/>
        <w:jc w:val="both"/>
      </w:pPr>
      <w:r>
        <w:rPr>
          <w:rFonts w:hint="eastAsia"/>
          <w:color w:val="000000" w:themeColor="text1"/>
          <w14:textFill>
            <w14:solidFill>
              <w14:schemeClr w14:val="tx1"/>
            </w14:solidFill>
          </w14:textFill>
        </w:rPr>
        <w:t>发现脊椎受伤者，创伤处用消毒的纱布或清洁布等覆盖伤口，用绷带或布条包扎。搬运时，将伤者平卧放在担架或硬板上，以免受伤的脊椎移位、断裂造成截瘫，甚至死亡。抢救脊椎受伤者，搬运过程严禁只</w:t>
      </w:r>
      <w:r>
        <w:rPr>
          <w:rFonts w:hint="eastAsia"/>
        </w:rPr>
        <w:t>抬伤者的两肩与两腿或单肩背运。</w:t>
      </w:r>
    </w:p>
    <w:p>
      <w:pPr>
        <w:pStyle w:val="67"/>
        <w:numPr>
          <w:ilvl w:val="5"/>
          <w:numId w:val="20"/>
        </w:numPr>
        <w:ind w:firstLine="480"/>
        <w:jc w:val="both"/>
      </w:pPr>
      <w:r>
        <w:rPr>
          <w:rFonts w:hint="eastAsia"/>
        </w:rPr>
        <w:t>发现伤者手足骨折，不要盲目搬动伤者。应在骨折部位用夹板把受伤位置临时固定，使断端不再移位或刺伤肌肉、神经或血管。固定方法：以固定骨折处上下关节为原则，可就地取材，用木板、竹片等。</w:t>
      </w:r>
    </w:p>
    <w:p>
      <w:pPr>
        <w:pStyle w:val="67"/>
        <w:numPr>
          <w:ilvl w:val="5"/>
          <w:numId w:val="20"/>
        </w:numPr>
        <w:ind w:firstLine="480"/>
        <w:jc w:val="both"/>
      </w:pPr>
      <w:r>
        <w:rPr>
          <w:rFonts w:hint="eastAsia"/>
        </w:rPr>
        <w:t>复合伤要求平仰卧位，保持呼吸道畅通，解开衣领扣。</w:t>
      </w:r>
    </w:p>
    <w:p>
      <w:pPr>
        <w:pStyle w:val="67"/>
        <w:numPr>
          <w:ilvl w:val="5"/>
          <w:numId w:val="20"/>
        </w:numPr>
        <w:ind w:firstLine="480"/>
        <w:jc w:val="both"/>
      </w:pPr>
      <w:r>
        <w:rPr>
          <w:rFonts w:hint="eastAsia"/>
        </w:rPr>
        <w:t>遇有创伤性出血的伤员，应迅速包扎止血，使伤员保持在头低脚高的卧位，并注意保暖。及时把伤者送往邻近医院抢救，运送途中应尽量减少颠簸。同时，密切注意伤者的呼吸、脉搏、血压及伤口的情况。</w:t>
      </w:r>
    </w:p>
    <w:p>
      <w:pPr>
        <w:pStyle w:val="67"/>
        <w:numPr>
          <w:ilvl w:val="5"/>
          <w:numId w:val="20"/>
        </w:numPr>
        <w:ind w:firstLine="480"/>
        <w:jc w:val="both"/>
      </w:pPr>
      <w:r>
        <w:rPr>
          <w:rFonts w:hint="eastAsia"/>
        </w:rPr>
        <w:t>配合上级主管部门和调查组开展调查处理，并做好伤员及家属善后工作。</w:t>
      </w:r>
    </w:p>
    <w:p>
      <w:pPr>
        <w:pStyle w:val="5"/>
        <w:bidi w:val="0"/>
        <w:ind w:left="0" w:leftChars="0" w:firstLine="0" w:firstLineChars="0"/>
        <w:rPr>
          <w:rFonts w:hint="eastAsia"/>
          <w:sz w:val="24"/>
          <w:szCs w:val="24"/>
          <w:lang w:val="en-US" w:eastAsia="zh-CN"/>
        </w:rPr>
      </w:pPr>
      <w:bookmarkStart w:id="152" w:name="_Toc113272901"/>
      <w:bookmarkStart w:id="153" w:name="_Toc113274133"/>
      <w:r>
        <w:rPr>
          <w:rFonts w:hint="eastAsia"/>
          <w:sz w:val="24"/>
          <w:szCs w:val="24"/>
          <w:lang w:val="en-US" w:eastAsia="zh-CN"/>
        </w:rPr>
        <w:t>物体打击应急处置措施</w:t>
      </w:r>
      <w:bookmarkEnd w:id="152"/>
      <w:bookmarkEnd w:id="153"/>
    </w:p>
    <w:p>
      <w:pPr>
        <w:pStyle w:val="67"/>
        <w:numPr>
          <w:ilvl w:val="5"/>
          <w:numId w:val="21"/>
        </w:numPr>
        <w:ind w:firstLine="480"/>
        <w:jc w:val="both"/>
      </w:pPr>
      <w:r>
        <w:rPr>
          <w:rFonts w:hint="eastAsia"/>
        </w:rPr>
        <w:t>当发生物体打击事故时，根据现场和受伤者的伤情的具体情况，立即打“120”急救电话，详细报告事故发生地址、人员受伤的情况和可能需要配合救援的设备。</w:t>
      </w:r>
    </w:p>
    <w:p>
      <w:pPr>
        <w:pStyle w:val="67"/>
        <w:numPr>
          <w:ilvl w:val="5"/>
          <w:numId w:val="20"/>
        </w:numPr>
        <w:ind w:firstLine="480"/>
        <w:jc w:val="both"/>
      </w:pPr>
      <w:r>
        <w:rPr>
          <w:rFonts w:hint="eastAsia"/>
        </w:rPr>
        <w:t>在急救中心专业人员未到达之前，应根据事故现场的整体情况、位置和伤者的伤情、部位，在排除人为加重伤者伤情的情况下，立即组织人员进行抢救。</w:t>
      </w:r>
    </w:p>
    <w:p>
      <w:pPr>
        <w:pStyle w:val="67"/>
        <w:numPr>
          <w:ilvl w:val="5"/>
          <w:numId w:val="20"/>
        </w:numPr>
        <w:ind w:firstLine="480"/>
        <w:jc w:val="both"/>
      </w:pPr>
      <w:r>
        <w:rPr>
          <w:rFonts w:hint="eastAsia"/>
        </w:rPr>
        <w:t>抢救前首先观察伤者的受伤情况、部位、伤害性质，如伤者发生休克，应先处理休克。遇呼吸、心跳停止者，应当进行人工呼吸，胸外心脏挤压（但必须注意骨折的部位）。处于休克状态的伤员要让其安静、保暖、平卧、少动，并将下肢抬高约20度左右，尽快送医院进行抢救治疗。</w:t>
      </w:r>
    </w:p>
    <w:p>
      <w:pPr>
        <w:pStyle w:val="67"/>
        <w:numPr>
          <w:ilvl w:val="5"/>
          <w:numId w:val="20"/>
        </w:numPr>
        <w:ind w:firstLine="480"/>
        <w:jc w:val="both"/>
      </w:pPr>
      <w:r>
        <w:rPr>
          <w:rFonts w:hint="eastAsia"/>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pPr>
        <w:pStyle w:val="67"/>
        <w:numPr>
          <w:ilvl w:val="5"/>
          <w:numId w:val="20"/>
        </w:numPr>
        <w:ind w:firstLine="480"/>
        <w:jc w:val="both"/>
      </w:pPr>
      <w:r>
        <w:rPr>
          <w:rFonts w:hint="eastAsia"/>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pPr>
        <w:pStyle w:val="67"/>
        <w:numPr>
          <w:ilvl w:val="5"/>
          <w:numId w:val="20"/>
        </w:numPr>
        <w:ind w:firstLine="480"/>
        <w:jc w:val="both"/>
      </w:pPr>
      <w:r>
        <w:rPr>
          <w:rFonts w:hint="eastAsia"/>
        </w:rPr>
        <w:t>发现伤者手足骨折或其他部位骨折的，不要盲目搬动伤者，应在骨折部位用夹板临时固定，使断端不再移位或刺伤肌肉、神经或血管。</w:t>
      </w:r>
    </w:p>
    <w:p>
      <w:pPr>
        <w:pStyle w:val="67"/>
        <w:numPr>
          <w:ilvl w:val="5"/>
          <w:numId w:val="20"/>
        </w:numPr>
        <w:ind w:firstLine="480"/>
        <w:jc w:val="both"/>
      </w:pPr>
      <w:r>
        <w:rPr>
          <w:rFonts w:hint="eastAsia"/>
        </w:rPr>
        <w:t>遇有创伤性出血的伤员，应迅速包扎止血，使伤员保持头低脚高的卧位，并注意保暖；若伤员有断肢情况发生应尽早用干净的干布（灭菌敷料）包裹装入塑料袋内，随伤员一起转送。</w:t>
      </w:r>
    </w:p>
    <w:p>
      <w:pPr>
        <w:pStyle w:val="67"/>
        <w:numPr>
          <w:ilvl w:val="5"/>
          <w:numId w:val="20"/>
        </w:numPr>
        <w:ind w:firstLine="480"/>
        <w:jc w:val="both"/>
      </w:pPr>
      <w:r>
        <w:rPr>
          <w:rFonts w:hint="eastAsia"/>
        </w:rPr>
        <w:t>在施救的同时应尽快送往就近医院；伤者送往医院抢救时，途中尽量减少颠簸，同时，密切注意伤者的呼吸、脉搏、血压及伤口的情况。</w:t>
      </w:r>
    </w:p>
    <w:p>
      <w:pPr>
        <w:pStyle w:val="67"/>
        <w:numPr>
          <w:ilvl w:val="5"/>
          <w:numId w:val="20"/>
        </w:numPr>
        <w:ind w:firstLine="480"/>
        <w:jc w:val="both"/>
      </w:pPr>
      <w:r>
        <w:rPr>
          <w:rFonts w:hint="eastAsia"/>
        </w:rPr>
        <w:t>如因长方形构件（钢管）打击（压倒）致伤，要根据现场的实际情况迅速调动起重机、手提点工具等机械设备配合施救。</w:t>
      </w:r>
    </w:p>
    <w:p>
      <w:pPr>
        <w:pStyle w:val="67"/>
        <w:numPr>
          <w:ilvl w:val="5"/>
          <w:numId w:val="20"/>
        </w:numPr>
        <w:ind w:firstLine="480"/>
        <w:jc w:val="both"/>
      </w:pPr>
      <w:r>
        <w:rPr>
          <w:rFonts w:hint="eastAsia"/>
        </w:rPr>
        <w:t>现场应急指挥小组在抢救伤员的同时，应安排人员维护现场秩序，保护事故现场，并根据事态，迅速调动人员、设备进行现场救援，并做好现场警戒工作，以防事态扩大，同时向上级汇报。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pPr>
        <w:pStyle w:val="5"/>
        <w:bidi w:val="0"/>
        <w:ind w:left="0" w:leftChars="0" w:firstLine="0" w:firstLineChars="0"/>
        <w:rPr>
          <w:rFonts w:hint="eastAsia"/>
          <w:sz w:val="24"/>
          <w:szCs w:val="24"/>
          <w:lang w:val="en-US" w:eastAsia="zh-CN"/>
        </w:rPr>
      </w:pPr>
      <w:bookmarkStart w:id="154" w:name="_Toc113274134"/>
      <w:bookmarkStart w:id="155" w:name="_Toc113272902"/>
      <w:r>
        <w:rPr>
          <w:rFonts w:hint="eastAsia"/>
          <w:sz w:val="24"/>
          <w:szCs w:val="24"/>
          <w:lang w:val="en-US" w:eastAsia="zh-CN"/>
        </w:rPr>
        <w:t>起重伤害应急处置措施</w:t>
      </w:r>
      <w:bookmarkEnd w:id="154"/>
      <w:bookmarkEnd w:id="155"/>
    </w:p>
    <w:p>
      <w:pPr>
        <w:pStyle w:val="67"/>
        <w:numPr>
          <w:ilvl w:val="5"/>
          <w:numId w:val="22"/>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起重伤害事故目击者应高声呼救，并立即向安全人员报告，各单位其他管理人员也都有认真接收报告和向上级反映事故情况的责任。</w:t>
      </w:r>
    </w:p>
    <w:p>
      <w:pPr>
        <w:pStyle w:val="67"/>
        <w:numPr>
          <w:ilvl w:val="5"/>
          <w:numId w:val="20"/>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事故发生后，应立即向当地救援机构、公安部门求援。</w:t>
      </w:r>
    </w:p>
    <w:p>
      <w:pPr>
        <w:pStyle w:val="67"/>
        <w:numPr>
          <w:ilvl w:val="5"/>
          <w:numId w:val="20"/>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安全人员应准确判断事故影响范围，协调各组之间的工作，派专人进行检查，确定抢救方案，保证事故现场相对安全和稳定时，抢救队员才可进入现场抢救受伤人员。</w:t>
      </w:r>
    </w:p>
    <w:p>
      <w:pPr>
        <w:pStyle w:val="67"/>
        <w:numPr>
          <w:ilvl w:val="5"/>
          <w:numId w:val="20"/>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安全人员与当地医院立即取得联系，利用现场车辆火速把伤者送往附近医院救治，但对伤势严重者应注意搬运方法，不得由此加重伤者伤情；在急救医疗机构人员赶到前抢险救护组应对受伤者进行必要的救助，根据伤情对伤者进行分类处理，处理的原则是先重后轻、先急后缓、先近后远。</w:t>
      </w:r>
    </w:p>
    <w:p>
      <w:pPr>
        <w:pStyle w:val="67"/>
        <w:numPr>
          <w:ilvl w:val="5"/>
          <w:numId w:val="20"/>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安全人员做好应急状态下现场所有设施和物资的安全，支援和保障现场抢救组的工作，负责事故现场的保护，并检查事故现场有无其它安全隐患。</w:t>
      </w:r>
    </w:p>
    <w:p>
      <w:pPr>
        <w:pStyle w:val="5"/>
        <w:bidi w:val="0"/>
        <w:ind w:left="0" w:leftChars="0" w:firstLine="0" w:firstLineChars="0"/>
        <w:rPr>
          <w:rFonts w:hint="eastAsia"/>
          <w:sz w:val="24"/>
          <w:szCs w:val="24"/>
          <w:lang w:val="en-US" w:eastAsia="zh-CN"/>
        </w:rPr>
      </w:pPr>
      <w:r>
        <w:rPr>
          <w:rFonts w:hint="eastAsia"/>
          <w:sz w:val="24"/>
          <w:szCs w:val="24"/>
          <w:lang w:val="en-US" w:eastAsia="zh-CN"/>
        </w:rPr>
        <w:t>触电事故应急处置措施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（1）首先要根据现场情况，使触电者迅速脱离电源，越快越好。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（2）触电者未脱离电源前，救护人员不准直接用手触及伤员，防止再次触电。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触电为低压时，救护人员应设法迅速切断电源，拉开电源开关或刀闸，拔除电源插头等；或使用绝缘工具、干燥的木棒、木板、绳索等不导电的东西解脱触电者；或抓住触电者干燥而不贴身的衣服，将其拖开，不得碰到金属物体和触电者的裸露身躯；也可戴绝缘手套或将手用干燥衣物等包起绝缘后解脱触电者；救护人员也可站在绝缘垫上或干木板上，绝缘自己进行救护。为使触电者与导电体解脱，最好用一只手进行。如果电流通过触电者入地，并且触电者紧握电线，可设法用干木板塞到身下，与地隔离，也可用干木把斧子或有绝缘柄的钳子等将电线剪断。剪断电线要分相，一根一根地剪断，并尽可能站在绝缘物体或干木板上。</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如触电为高压时，救护人员应迅速切断电源，或用适合该电压等级的绝缘工具（戴绝缘手套、穿绝缘靴并用绝缘棒）解脱触电者。只有在确证线路已经无电，才可在触电者离开触电导线后，立即就地进行急救。救护人员在抢救过程中应注意保持自身与周围带电部分的安全距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（5）救护触电伤员切除电源时，有时会同时使照明失电，应事故照明、应急灯等临时照明，新照明要符合使用场所防火、防爆要求，但不能因此延误切除电源和进行急救。</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（6）伤员脱离电源后，如神志清醒，应使其就地躺平，严密观察，暂时不要站立或走动；如神志不清，应就地仰面躺平，且确保气道通畅，并用 5s 时间用看、听、试的方法检查受伤情况，看受伤部位，听心跳，试脉搏，呼叫伤员或轻拍其肩部，以判定伤员是否意识丧失，禁止摇动伤员头部呼叫伤员。</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（7）需要抢救的伤员，应立即就地坚持正确抢救。</w:t>
      </w:r>
    </w:p>
    <w:p>
      <w:pPr>
        <w:pStyle w:val="5"/>
        <w:bidi w:val="0"/>
        <w:ind w:left="0" w:leftChars="0" w:firstLine="0" w:firstLineChars="0"/>
        <w:rPr>
          <w:rFonts w:hint="eastAsia"/>
          <w:sz w:val="24"/>
          <w:szCs w:val="24"/>
          <w:lang w:val="en-US" w:eastAsia="zh-CN"/>
        </w:rPr>
      </w:pPr>
      <w:r>
        <w:rPr>
          <w:rFonts w:hint="eastAsia"/>
          <w:sz w:val="24"/>
          <w:szCs w:val="24"/>
          <w:lang w:val="en-US" w:eastAsia="zh-CN"/>
        </w:rPr>
        <w:t>机械伤害应急处置措施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当施工人员发生机械伤害事故时，迅速确定事故发生的准确位置、可能波及的范围、设备损坏的程度、人员伤亡等情况，观察伤者的受伤情况、部位、伤害性质，急救人员应尽快赶往出事地点。</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（1）休克、昏迷急救</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让休克者平卧、不用枕头，腿部抬高30度。若属于心源性休克同时伴有心力衰竭、气急，不能平卧时，可采用半卧，注意保暖和安静，尽量不要搬动，如必须搬动时，动作要轻。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（2）骨折急救</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a.固定断骨的材料可就地取材，如棍、木板、拐杖、硬纸板等都可作为固定材料，长短要以能固定住骨折处上下两个关节或不使断骨错动为准。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b.脊柱骨折或颈部骨折时，除非是特殊情况如室内失火，否则应让伤者留在原地，等待携有医疗器材的医护人员来搬动。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抬运伤者，从地上抬起时，要多人同时缓缓用力平托；运送时，必须用木板或硬材料，不能用布担架或绳床。木板上可垫棉被，但不能用枕头，颈椎骨骨折伤者的头须放正，两旁用沙袋将头夹住，不能让头随便晃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（3）严重出血的急救</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止血的方法：</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a.一般止血法：一般伤口小的出血，先用生理盐水涂上红汞药水，然后盖上消毒纱布，用绷带较紧地包扎。</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严重出血时，应使用压迫带止血法。这是一种最基本、最常用，也是最有效的止血方法。适用于头、颈、四肢动脉大血管出血的临时止血。即用手指或手掌用力压住比伤口靠近心脏更近部位的动脉跳动处（止血点）。只要位置找得准，这种方法能马上起到止血作用。</w:t>
      </w:r>
    </w:p>
    <w:p>
      <w:pPr>
        <w:ind w:firstLine="480"/>
      </w:pPr>
      <w:r>
        <w:rPr>
          <w:rFonts w:hint="eastAsia"/>
          <w:color w:val="000000" w:themeColor="text1"/>
          <w14:textFill>
            <w14:solidFill>
              <w14:schemeClr w14:val="tx1"/>
            </w14:solidFill>
          </w14:textFill>
        </w:rPr>
        <w:t>（4）肢体切断断肢(指)后，有时即刻造成伤者因流血或疼</w:t>
      </w:r>
      <w:r>
        <w:rPr>
          <w:rFonts w:hint="eastAsia"/>
        </w:rPr>
        <w:t>痛而发生休克，所以应设法首先止血，防止伤员休克。其急救要点为：</w:t>
      </w:r>
    </w:p>
    <w:p>
      <w:pPr>
        <w:ind w:firstLine="480"/>
      </w:pPr>
      <w:r>
        <w:rPr>
          <w:rFonts w:hint="eastAsia"/>
        </w:rPr>
        <w:t>a.让伤者躺下，用一块纱布或清洁布块(如翻出干净手帕的内面)，放在断肢伤口上，再用绷带固定位置。如果找不到绷带，也可用围巾包扎。</w:t>
      </w:r>
    </w:p>
    <w:p>
      <w:pPr>
        <w:ind w:firstLine="480"/>
      </w:pPr>
      <w:r>
        <w:rPr>
          <w:rFonts w:hint="eastAsia"/>
        </w:rPr>
        <w:t>b.如是手臂切断，用绷带把断臂挂在胸前，固定位置；若是一条腿断了，则与另一条腿扎在一起。</w:t>
      </w:r>
    </w:p>
    <w:p>
      <w:pPr>
        <w:ind w:firstLine="480"/>
        <w:rPr>
          <w:color w:val="000000" w:themeColor="text1"/>
          <w14:textFill>
            <w14:solidFill>
              <w14:schemeClr w14:val="tx1"/>
            </w14:solidFill>
          </w14:textFill>
        </w:rPr>
      </w:pPr>
      <w:r>
        <w:rPr>
          <w:rFonts w:hint="eastAsia"/>
        </w:rPr>
        <w:t>c.料理好伤者后，设法找回断肢。倘若离断的伤肢(指)仍在机器中，千万不能将肢体强行拉出，或将机器倒开(转)，以免</w:t>
      </w:r>
      <w:r>
        <w:rPr>
          <w:rFonts w:hint="eastAsia"/>
          <w:color w:val="000000" w:themeColor="text1"/>
          <w14:textFill>
            <w14:solidFill>
              <w14:schemeClr w14:val="tx1"/>
            </w14:solidFill>
          </w14:textFill>
        </w:rPr>
        <w:t>增加损伤的机会。正确的方法应是拆开机器后取出。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d.取下断落的肢(指)体后，立即用无菌纱布或干净布片包扎，然后放入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pPr>
        <w:ind w:firstLine="480"/>
      </w:pPr>
      <w:r>
        <w:rPr>
          <w:rFonts w:hint="eastAsia"/>
        </w:rPr>
        <w:t>e.离断后的伤肢，如有少许皮肤或其他肌腱相连，不能将其离断，应放在夹板或阔竹片上，然后包扎，立即送到医院作紧急处理。</w:t>
      </w:r>
    </w:p>
    <w:p>
      <w:pPr>
        <w:ind w:firstLine="480"/>
      </w:pPr>
      <w:r>
        <w:rPr>
          <w:rFonts w:hint="eastAsia"/>
        </w:rPr>
        <w:t>f.严禁在离断伤肢(指)的断端涂抹各种药物及药水(包括消毒剂)，更不能涂抹牙膏、灶灰之类试图止血。</w:t>
      </w:r>
    </w:p>
    <w:p>
      <w:pPr>
        <w:ind w:firstLine="480"/>
      </w:pPr>
      <w:r>
        <w:rPr>
          <w:rFonts w:hint="eastAsia"/>
        </w:rPr>
        <w:t>（5）一般性外伤</w:t>
      </w:r>
    </w:p>
    <w:p>
      <w:pPr>
        <w:ind w:firstLine="480"/>
      </w:pPr>
      <w:r>
        <w:rPr>
          <w:rFonts w:hint="eastAsia"/>
        </w:rPr>
        <w:t>a.视伤情送往医院，防止破伤风。</w:t>
      </w:r>
    </w:p>
    <w:p>
      <w:pPr>
        <w:ind w:firstLine="480"/>
      </w:pPr>
      <w:r>
        <w:rPr>
          <w:rFonts w:hint="eastAsia"/>
        </w:rPr>
        <w:t>b.轻微内伤，送医院检查。</w:t>
      </w:r>
    </w:p>
    <w:p>
      <w:pPr>
        <w:pStyle w:val="5"/>
        <w:bidi w:val="0"/>
        <w:ind w:left="0" w:leftChars="0" w:firstLine="0" w:firstLineChars="0"/>
        <w:rPr>
          <w:rFonts w:hint="eastAsia"/>
          <w:sz w:val="24"/>
          <w:szCs w:val="24"/>
          <w:lang w:val="en-US" w:eastAsia="zh-CN"/>
        </w:rPr>
      </w:pPr>
      <w:r>
        <w:rPr>
          <w:rFonts w:hint="eastAsia"/>
          <w:sz w:val="24"/>
          <w:szCs w:val="24"/>
          <w:lang w:val="en-US" w:eastAsia="zh-CN"/>
        </w:rPr>
        <w:t>落水人员应急处置措施</w:t>
      </w:r>
    </w:p>
    <w:p>
      <w:pPr>
        <w:ind w:firstLine="480"/>
      </w:pPr>
      <w:r>
        <w:rPr>
          <w:rFonts w:hint="eastAsia"/>
        </w:rPr>
        <w:t>（1）交通船舶必须符合水上航行安全要求，备妥救生工具如救生衣、救生圈、救生竹篙等救生器材。</w:t>
      </w:r>
    </w:p>
    <w:p>
      <w:pPr>
        <w:ind w:firstLine="480"/>
      </w:pPr>
      <w:r>
        <w:rPr>
          <w:rFonts w:hint="eastAsia"/>
        </w:rPr>
        <w:t>（2）水上施工作业及船上流动作业人员应按规定穿着救生衣。符合高处作业条件的，还应按高处作业的规定系好安全带。</w:t>
      </w:r>
    </w:p>
    <w:p>
      <w:pPr>
        <w:ind w:firstLine="480"/>
      </w:pPr>
      <w:r>
        <w:rPr>
          <w:rFonts w:hint="eastAsia"/>
        </w:rPr>
        <w:t>（3）交通船必须按定员，不准超载。乘坐人员应听从船员的指挥，船到位后，应待靠稳拴牢方可上、下。不得抢上抢下或船未靠稳就跳船。</w:t>
      </w:r>
    </w:p>
    <w:p>
      <w:pPr>
        <w:ind w:firstLine="480"/>
      </w:pPr>
      <w:r>
        <w:rPr>
          <w:rFonts w:hint="eastAsia"/>
        </w:rPr>
        <w:t>（4）乘坐人员应听从船员的指挥，自觉入舱，不得站立和坐骑在船头、船尾和船帮上，遇有风浪时，船上乘坐人员不得来回走动。非本船驾驶人员严禁擅自操作。</w:t>
      </w:r>
    </w:p>
    <w:p>
      <w:pPr>
        <w:ind w:firstLine="480"/>
      </w:pPr>
      <w:r>
        <w:rPr>
          <w:rFonts w:hint="eastAsia"/>
        </w:rPr>
        <w:t>（5）施工人员应开展游泳培训，加强自救和互救的能力。</w:t>
      </w:r>
    </w:p>
    <w:p>
      <w:pPr>
        <w:ind w:firstLine="480"/>
      </w:pPr>
      <w:r>
        <w:rPr>
          <w:rFonts w:hint="eastAsia"/>
        </w:rPr>
        <w:t>（6）人员上下通道必须设安全网，跳板要固定。作业平台应满铺脚手板，周边必须有栏杆和安全网等可靠的临边维护。</w:t>
      </w:r>
    </w:p>
    <w:p>
      <w:pPr>
        <w:ind w:firstLine="480"/>
      </w:pPr>
      <w:r>
        <w:rPr>
          <w:rFonts w:hint="eastAsia"/>
        </w:rPr>
        <w:t>（7）作业平台上应配置足够数量的救生圈等救生设备，并配备一定数量的固定式防水灯，保证夜间足够的照明。</w:t>
      </w:r>
    </w:p>
    <w:p>
      <w:pPr>
        <w:ind w:firstLine="480"/>
      </w:pPr>
      <w:r>
        <w:rPr>
          <w:rFonts w:hint="eastAsia"/>
        </w:rPr>
        <w:t>（8）作业平台上设置多条安全通道，以防不测时人员迅速疏散。</w:t>
      </w:r>
    </w:p>
    <w:p>
      <w:pPr>
        <w:pStyle w:val="5"/>
        <w:bidi w:val="0"/>
        <w:ind w:left="0" w:leftChars="0" w:firstLine="0" w:firstLineChars="0"/>
        <w:rPr>
          <w:rFonts w:hint="eastAsia"/>
          <w:sz w:val="24"/>
          <w:szCs w:val="24"/>
          <w:lang w:val="en-US" w:eastAsia="zh-CN"/>
        </w:rPr>
      </w:pPr>
      <w:r>
        <w:rPr>
          <w:rFonts w:hint="eastAsia"/>
          <w:sz w:val="24"/>
          <w:szCs w:val="24"/>
          <w:lang w:val="en-US" w:eastAsia="zh-CN"/>
        </w:rPr>
        <w:t>坍塌事故现场处置</w:t>
      </w:r>
    </w:p>
    <w:p>
      <w:pPr>
        <w:ind w:firstLine="480"/>
      </w:pPr>
      <w:r>
        <w:rPr>
          <w:rFonts w:hint="eastAsia"/>
        </w:rPr>
        <w:t>（1）坍塌事故发生后，事故现场有关人员立即向周围人员呼救，同时向现场负责人报告，现场负责人立即向现场处置小组报告，并立即到达事故现场。</w:t>
      </w:r>
    </w:p>
    <w:p>
      <w:pPr>
        <w:ind w:firstLine="480"/>
      </w:pPr>
      <w:r>
        <w:rPr>
          <w:rFonts w:hint="eastAsia"/>
        </w:rPr>
        <w:t>（2）有人员被压埋，事故现场人员主动积极抢救被压埋人员。</w:t>
      </w:r>
    </w:p>
    <w:p>
      <w:pPr>
        <w:ind w:firstLine="480"/>
      </w:pPr>
      <w:r>
        <w:rPr>
          <w:rFonts w:hint="eastAsia"/>
        </w:rPr>
        <w:t>（3）现场处置小组到达事故现场后，立即启动应急预案，发出命令，应急小组履行职责，疏散无关人员。</w:t>
      </w:r>
    </w:p>
    <w:p>
      <w:pPr>
        <w:ind w:firstLine="480"/>
      </w:pPr>
      <w:r>
        <w:rPr>
          <w:rFonts w:hint="eastAsia"/>
        </w:rPr>
        <w:t>（4）现场指挥人员及时拨打急救中心电话，医务人员赶到现场抢救受伤人员。</w:t>
      </w:r>
    </w:p>
    <w:p>
      <w:pPr>
        <w:ind w:firstLine="480"/>
      </w:pPr>
      <w:r>
        <w:rPr>
          <w:rFonts w:hint="eastAsia"/>
        </w:rPr>
        <w:t>（5）抢救中如遇到坍塌物人工搬运有困难时，现场指挥人员调集吊车进行吊运，在接近被压埋人员时停止机械作业，改用人工清理，防止误伤被压埋人员。</w:t>
      </w:r>
    </w:p>
    <w:p>
      <w:pPr>
        <w:ind w:firstLine="480"/>
      </w:pPr>
      <w:r>
        <w:rPr>
          <w:rFonts w:hint="eastAsia"/>
        </w:rPr>
        <w:t>（6）人员被救出后，立即转移到安全地方，转移时注意不得造成二次伤害，按物体打击等伤害处理措施进行现场抢救，并立即安排车辆送往医院，与120急救车在途中交接。</w:t>
      </w:r>
    </w:p>
    <w:p>
      <w:pPr>
        <w:ind w:firstLine="480"/>
      </w:pPr>
      <w:r>
        <w:rPr>
          <w:rFonts w:hint="eastAsia"/>
        </w:rPr>
        <w:t>（7）注意保护事故现场，对相关信息和证据进行收集整理，做好事故调查工作。</w:t>
      </w:r>
    </w:p>
    <w:p>
      <w:pPr>
        <w:ind w:firstLine="480"/>
      </w:pPr>
      <w:r>
        <w:rPr>
          <w:rFonts w:hint="eastAsia"/>
        </w:rPr>
        <w:t>（8）救援人员要严格遵守安全操作规程，加强自我保护，确保应急救援人身和财产安全。</w:t>
      </w:r>
    </w:p>
    <w:p>
      <w:pPr>
        <w:pStyle w:val="5"/>
        <w:bidi w:val="0"/>
        <w:ind w:left="0" w:leftChars="0" w:firstLine="0" w:firstLineChars="0"/>
        <w:rPr>
          <w:rFonts w:hint="eastAsia"/>
          <w:sz w:val="24"/>
          <w:szCs w:val="24"/>
          <w:lang w:val="en-US" w:eastAsia="zh-CN"/>
        </w:rPr>
      </w:pPr>
      <w:r>
        <w:rPr>
          <w:rFonts w:hint="eastAsia"/>
          <w:sz w:val="24"/>
          <w:szCs w:val="24"/>
          <w:lang w:val="en-US" w:eastAsia="zh-CN"/>
        </w:rPr>
        <w:t>交通事故应急处置措施</w:t>
      </w:r>
    </w:p>
    <w:p>
      <w:pPr>
        <w:ind w:firstLine="480"/>
      </w:pPr>
      <w:r>
        <w:rPr>
          <w:rFonts w:hint="eastAsia"/>
        </w:rPr>
        <w:t>（1）发生车辆伤害事故，驾驶员立即停车，拉紧手制动，关闭钥匙，开启双闪警示灯；</w:t>
      </w:r>
    </w:p>
    <w:p>
      <w:pPr>
        <w:ind w:firstLine="480"/>
      </w:pPr>
      <w:r>
        <w:rPr>
          <w:rFonts w:hint="eastAsia"/>
        </w:rPr>
        <w:t>（2）进入现场处置人员必须经过应急救援培训和安全知识培训；事故造成人身伤亡的，驾驶员和乘车人员应当立即抢救受伤人员，伤势严重立即送往医院，并通知医院做好抢救准备；</w:t>
      </w:r>
    </w:p>
    <w:p>
      <w:pPr>
        <w:ind w:firstLine="480"/>
      </w:pPr>
      <w:r>
        <w:rPr>
          <w:rFonts w:hint="eastAsia"/>
        </w:rPr>
        <w:t>（3）事故造成车辆燃烧时，应迅速确认火源，火灾初期立即灭火，并做好预防爆炸的安全措施；</w:t>
      </w:r>
    </w:p>
    <w:p>
      <w:pPr>
        <w:ind w:firstLine="480"/>
      </w:pPr>
      <w:r>
        <w:rPr>
          <w:rFonts w:hint="eastAsia"/>
        </w:rPr>
        <w:t>（4）使用各类灭火器材灭火。</w:t>
      </w:r>
    </w:p>
    <w:p>
      <w:pPr>
        <w:pStyle w:val="4"/>
      </w:pPr>
      <w:bookmarkStart w:id="156" w:name="_Toc4255"/>
      <w:bookmarkStart w:id="157" w:name="_Toc102481227"/>
      <w:bookmarkStart w:id="158" w:name="_Toc40778457"/>
      <w:bookmarkStart w:id="159" w:name="_Toc102825402"/>
      <w:bookmarkStart w:id="160" w:name="_Toc121344362"/>
      <w:bookmarkStart w:id="161" w:name="_Toc102481278"/>
      <w:bookmarkStart w:id="162" w:name="_Toc20027"/>
      <w:r>
        <w:rPr>
          <w:rFonts w:hint="eastAsia"/>
        </w:rPr>
        <w:t>应急车辆、物资及设备</w:t>
      </w:r>
      <w:bookmarkEnd w:id="156"/>
      <w:bookmarkEnd w:id="157"/>
      <w:bookmarkEnd w:id="158"/>
      <w:bookmarkEnd w:id="159"/>
      <w:bookmarkEnd w:id="160"/>
      <w:bookmarkEnd w:id="161"/>
      <w:bookmarkEnd w:id="162"/>
    </w:p>
    <w:p>
      <w:pPr>
        <w:ind w:firstLine="480"/>
      </w:pPr>
      <w:r>
        <w:rPr>
          <w:rFonts w:hint="eastAsia"/>
        </w:rPr>
        <w:t>应急资源的准备是应急救援工作的重要保障，项目部根据潜在事故性质和后果分析，配备足量应急救援中所需的救援机械和设备、交通工具、医疗设备和药品、生活保障物资。详见</w:t>
      </w:r>
      <w:r>
        <w:fldChar w:fldCharType="begin"/>
      </w:r>
      <w:r>
        <w:instrText xml:space="preserve"> </w:instrText>
      </w:r>
      <w:r>
        <w:rPr>
          <w:rFonts w:hint="eastAsia"/>
        </w:rPr>
        <w:instrText xml:space="preserve">REF _Ref114664593 \h</w:instrText>
      </w:r>
      <w:r>
        <w:instrText xml:space="preserve"> </w:instrText>
      </w:r>
      <w:r>
        <w:fldChar w:fldCharType="separate"/>
      </w:r>
      <w:r>
        <w:rPr>
          <w:rFonts w:hint="eastAsia"/>
        </w:rPr>
        <w:t xml:space="preserve">表  </w:t>
      </w:r>
      <w:r>
        <w:t>9.5</w:t>
      </w:r>
      <w:r>
        <w:noBreakHyphen/>
      </w:r>
      <w:r>
        <w:t>1</w:t>
      </w:r>
      <w:r>
        <w:fldChar w:fldCharType="end"/>
      </w:r>
      <w:r>
        <w:rPr>
          <w:rFonts w:hint="eastAsia"/>
        </w:rPr>
        <w:t>、</w:t>
      </w:r>
      <w:r>
        <w:fldChar w:fldCharType="begin"/>
      </w:r>
      <w:r>
        <w:instrText xml:space="preserve"> REF _Ref114664595 \h </w:instrText>
      </w:r>
      <w:r>
        <w:fldChar w:fldCharType="separate"/>
      </w:r>
      <w:r>
        <w:rPr>
          <w:rFonts w:hint="eastAsia"/>
        </w:rPr>
        <w:t xml:space="preserve">表  </w:t>
      </w:r>
      <w:r>
        <w:t>9.5</w:t>
      </w:r>
      <w:r>
        <w:noBreakHyphen/>
      </w:r>
      <w:r>
        <w:t>2</w:t>
      </w:r>
      <w:r>
        <w:fldChar w:fldCharType="end"/>
      </w:r>
      <w:r>
        <w:rPr>
          <w:rFonts w:hint="eastAsia"/>
        </w:rPr>
        <w:t>。</w:t>
      </w:r>
    </w:p>
    <w:p>
      <w:pPr>
        <w:pStyle w:val="16"/>
        <w:keepNext/>
      </w:pPr>
      <w:bookmarkStart w:id="163" w:name="_Ref114664593"/>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9.5</w:t>
      </w:r>
      <w:r>
        <w:fldChar w:fldCharType="end"/>
      </w:r>
      <w:r>
        <w:noBreakHyphen/>
      </w:r>
      <w:r>
        <w:fldChar w:fldCharType="begin"/>
      </w:r>
      <w:r>
        <w:instrText xml:space="preserve"> </w:instrText>
      </w:r>
      <w:r>
        <w:rPr>
          <w:rFonts w:hint="eastAsia"/>
        </w:rPr>
        <w:instrText xml:space="preserve">SEQ 表_ \* ARABIC \s 2</w:instrText>
      </w:r>
      <w:r>
        <w:instrText xml:space="preserve"> </w:instrText>
      </w:r>
      <w:r>
        <w:fldChar w:fldCharType="separate"/>
      </w:r>
      <w:r>
        <w:t>1</w:t>
      </w:r>
      <w:r>
        <w:fldChar w:fldCharType="end"/>
      </w:r>
      <w:bookmarkEnd w:id="163"/>
      <w:r>
        <w:rPr>
          <w:rFonts w:hint="eastAsia"/>
        </w:rPr>
        <w:t>项目部应急车辆</w:t>
      </w:r>
    </w:p>
    <w:tbl>
      <w:tblPr>
        <w:tblStyle w:val="69"/>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47"/>
        <w:gridCol w:w="1547"/>
        <w:gridCol w:w="1547"/>
        <w:gridCol w:w="1547"/>
        <w:gridCol w:w="1549"/>
        <w:gridCol w:w="154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3" w:type="pct"/>
            <w:shd w:val="clear" w:color="auto" w:fill="C6D9F0" w:themeFill="text2" w:themeFillTint="33"/>
            <w:vAlign w:val="center"/>
          </w:tcPr>
          <w:p>
            <w:pPr>
              <w:pStyle w:val="65"/>
              <w:rPr>
                <w:rFonts w:ascii="Times New Roman" w:hAnsi="Times New Roman" w:eastAsia="宋体"/>
                <w:b w:val="0"/>
                <w:i w:val="0"/>
              </w:rPr>
            </w:pPr>
            <w:r>
              <w:rPr>
                <w:rFonts w:ascii="Times New Roman" w:hAnsi="Times New Roman" w:eastAsia="宋体"/>
                <w:b/>
                <w:i w:val="0"/>
              </w:rPr>
              <w:t>编号</w:t>
            </w:r>
          </w:p>
        </w:tc>
        <w:tc>
          <w:tcPr>
            <w:tcW w:w="833" w:type="pct"/>
            <w:shd w:val="clear" w:color="auto" w:fill="C6D9F0" w:themeFill="text2" w:themeFillTint="33"/>
            <w:vAlign w:val="center"/>
          </w:tcPr>
          <w:p>
            <w:pPr>
              <w:pStyle w:val="65"/>
              <w:rPr>
                <w:rFonts w:ascii="Times New Roman" w:hAnsi="Times New Roman" w:eastAsia="宋体"/>
                <w:b w:val="0"/>
                <w:i w:val="0"/>
              </w:rPr>
            </w:pPr>
            <w:r>
              <w:rPr>
                <w:rFonts w:ascii="Times New Roman" w:hAnsi="Times New Roman" w:eastAsia="宋体"/>
                <w:b/>
                <w:i w:val="0"/>
              </w:rPr>
              <w:t>设备名称</w:t>
            </w:r>
          </w:p>
        </w:tc>
        <w:tc>
          <w:tcPr>
            <w:tcW w:w="833" w:type="pct"/>
            <w:shd w:val="clear" w:color="auto" w:fill="C6D9F0" w:themeFill="text2" w:themeFillTint="33"/>
            <w:vAlign w:val="center"/>
          </w:tcPr>
          <w:p>
            <w:pPr>
              <w:pStyle w:val="65"/>
              <w:rPr>
                <w:rFonts w:ascii="Times New Roman" w:hAnsi="Times New Roman" w:eastAsia="宋体"/>
                <w:b w:val="0"/>
                <w:i w:val="0"/>
              </w:rPr>
            </w:pPr>
            <w:r>
              <w:rPr>
                <w:rFonts w:ascii="Times New Roman" w:hAnsi="Times New Roman" w:eastAsia="宋体"/>
                <w:b/>
                <w:i w:val="0"/>
              </w:rPr>
              <w:t>单位</w:t>
            </w:r>
          </w:p>
        </w:tc>
        <w:tc>
          <w:tcPr>
            <w:tcW w:w="833" w:type="pct"/>
            <w:shd w:val="clear" w:color="auto" w:fill="C6D9F0" w:themeFill="text2" w:themeFillTint="33"/>
            <w:vAlign w:val="center"/>
          </w:tcPr>
          <w:p>
            <w:pPr>
              <w:pStyle w:val="65"/>
              <w:rPr>
                <w:rFonts w:ascii="Times New Roman" w:hAnsi="Times New Roman" w:eastAsia="宋体"/>
                <w:b w:val="0"/>
                <w:i w:val="0"/>
              </w:rPr>
            </w:pPr>
            <w:r>
              <w:rPr>
                <w:rFonts w:ascii="Times New Roman" w:hAnsi="Times New Roman" w:eastAsia="宋体"/>
                <w:b/>
                <w:i w:val="0"/>
              </w:rPr>
              <w:t>投入数量</w:t>
            </w:r>
          </w:p>
        </w:tc>
        <w:tc>
          <w:tcPr>
            <w:tcW w:w="834" w:type="pct"/>
            <w:shd w:val="clear" w:color="auto" w:fill="C6D9F0" w:themeFill="text2" w:themeFillTint="33"/>
            <w:vAlign w:val="center"/>
          </w:tcPr>
          <w:p>
            <w:pPr>
              <w:pStyle w:val="65"/>
              <w:rPr>
                <w:rFonts w:ascii="Times New Roman" w:hAnsi="Times New Roman" w:eastAsia="宋体"/>
                <w:b w:val="0"/>
                <w:i w:val="0"/>
              </w:rPr>
            </w:pPr>
            <w:r>
              <w:rPr>
                <w:rFonts w:ascii="Times New Roman" w:hAnsi="Times New Roman" w:eastAsia="宋体"/>
                <w:b/>
                <w:i w:val="0"/>
              </w:rPr>
              <w:t>性能</w:t>
            </w:r>
          </w:p>
        </w:tc>
        <w:tc>
          <w:tcPr>
            <w:tcW w:w="834" w:type="pct"/>
            <w:shd w:val="clear" w:color="auto" w:fill="C6D9F0" w:themeFill="text2" w:themeFillTint="33"/>
            <w:vAlign w:val="center"/>
          </w:tcPr>
          <w:p>
            <w:pPr>
              <w:pStyle w:val="65"/>
              <w:rPr>
                <w:rFonts w:ascii="Times New Roman" w:hAnsi="Times New Roman" w:eastAsia="宋体"/>
                <w:b w:val="0"/>
                <w:i w:val="0"/>
              </w:rPr>
            </w:pPr>
            <w:r>
              <w:rPr>
                <w:rFonts w:ascii="Times New Roman" w:hAnsi="Times New Roman" w:eastAsia="宋体"/>
                <w:b/>
                <w:i w:val="0"/>
              </w:rPr>
              <w:t>存放地点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3"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1</w:t>
            </w:r>
          </w:p>
        </w:tc>
        <w:tc>
          <w:tcPr>
            <w:tcW w:w="833" w:type="pct"/>
            <w:shd w:val="clear" w:color="auto" w:fill="FFFFFF" w:themeFill="background1"/>
            <w:vAlign w:val="center"/>
          </w:tcPr>
          <w:p>
            <w:pPr>
              <w:pStyle w:val="65"/>
            </w:pPr>
            <w:r>
              <w:t>轿车</w:t>
            </w:r>
          </w:p>
        </w:tc>
        <w:tc>
          <w:tcPr>
            <w:tcW w:w="833" w:type="pct"/>
            <w:shd w:val="clear" w:color="auto" w:fill="FFFFFF" w:themeFill="background1"/>
            <w:vAlign w:val="center"/>
          </w:tcPr>
          <w:p>
            <w:pPr>
              <w:pStyle w:val="65"/>
            </w:pPr>
            <w:r>
              <w:t>台</w:t>
            </w:r>
          </w:p>
        </w:tc>
        <w:tc>
          <w:tcPr>
            <w:tcW w:w="833" w:type="pct"/>
            <w:shd w:val="clear" w:color="auto" w:fill="FFFFFF" w:themeFill="background1"/>
            <w:vAlign w:val="center"/>
          </w:tcPr>
          <w:p>
            <w:pPr>
              <w:pStyle w:val="65"/>
            </w:pPr>
            <w:r>
              <w:t>2</w:t>
            </w:r>
          </w:p>
        </w:tc>
        <w:tc>
          <w:tcPr>
            <w:tcW w:w="834" w:type="pct"/>
            <w:shd w:val="clear" w:color="auto" w:fill="FFFFFF" w:themeFill="background1"/>
            <w:vAlign w:val="center"/>
          </w:tcPr>
          <w:p>
            <w:pPr>
              <w:pStyle w:val="65"/>
            </w:pPr>
            <w:r>
              <w:t>优良</w:t>
            </w:r>
          </w:p>
        </w:tc>
        <w:tc>
          <w:tcPr>
            <w:tcW w:w="834" w:type="pct"/>
            <w:shd w:val="clear" w:color="auto" w:fill="FFFFFF" w:themeFill="background1"/>
            <w:vAlign w:val="center"/>
          </w:tcPr>
          <w:p>
            <w:pPr>
              <w:pStyle w:val="65"/>
            </w:pPr>
            <w:r>
              <w:t>项目部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3"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2</w:t>
            </w:r>
          </w:p>
        </w:tc>
        <w:tc>
          <w:tcPr>
            <w:tcW w:w="833" w:type="pct"/>
            <w:shd w:val="clear" w:color="auto" w:fill="FFFFFF" w:themeFill="background1"/>
            <w:vAlign w:val="center"/>
          </w:tcPr>
          <w:p>
            <w:pPr>
              <w:pStyle w:val="65"/>
            </w:pPr>
            <w:r>
              <w:t>皮卡车</w:t>
            </w:r>
          </w:p>
        </w:tc>
        <w:tc>
          <w:tcPr>
            <w:tcW w:w="833" w:type="pct"/>
            <w:shd w:val="clear" w:color="auto" w:fill="FFFFFF" w:themeFill="background1"/>
            <w:vAlign w:val="center"/>
          </w:tcPr>
          <w:p>
            <w:pPr>
              <w:pStyle w:val="65"/>
            </w:pPr>
            <w:r>
              <w:t>台</w:t>
            </w:r>
          </w:p>
        </w:tc>
        <w:tc>
          <w:tcPr>
            <w:tcW w:w="833" w:type="pct"/>
            <w:shd w:val="clear" w:color="auto" w:fill="FFFFFF" w:themeFill="background1"/>
            <w:vAlign w:val="center"/>
          </w:tcPr>
          <w:p>
            <w:pPr>
              <w:pStyle w:val="65"/>
            </w:pPr>
            <w:r>
              <w:t>2</w:t>
            </w:r>
          </w:p>
        </w:tc>
        <w:tc>
          <w:tcPr>
            <w:tcW w:w="834" w:type="pct"/>
            <w:shd w:val="clear" w:color="auto" w:fill="FFFFFF" w:themeFill="background1"/>
            <w:vAlign w:val="center"/>
          </w:tcPr>
          <w:p>
            <w:pPr>
              <w:pStyle w:val="65"/>
            </w:pPr>
            <w:r>
              <w:t>优良</w:t>
            </w:r>
          </w:p>
        </w:tc>
        <w:tc>
          <w:tcPr>
            <w:tcW w:w="834" w:type="pct"/>
            <w:shd w:val="clear" w:color="auto" w:fill="FFFFFF" w:themeFill="background1"/>
            <w:vAlign w:val="center"/>
          </w:tcPr>
          <w:p>
            <w:pPr>
              <w:pStyle w:val="65"/>
            </w:pPr>
            <w:r>
              <w:t>项目部</w:t>
            </w:r>
          </w:p>
        </w:tc>
      </w:tr>
    </w:tbl>
    <w:p>
      <w:pPr>
        <w:pStyle w:val="16"/>
        <w:keepNext/>
        <w:spacing w:before="120" w:beforeLines="50"/>
      </w:pPr>
      <w:bookmarkStart w:id="164" w:name="_Ref114664595"/>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9.5</w:t>
      </w:r>
      <w:r>
        <w:fldChar w:fldCharType="end"/>
      </w:r>
      <w:r>
        <w:noBreakHyphen/>
      </w:r>
      <w:r>
        <w:fldChar w:fldCharType="begin"/>
      </w:r>
      <w:r>
        <w:instrText xml:space="preserve"> </w:instrText>
      </w:r>
      <w:r>
        <w:rPr>
          <w:rFonts w:hint="eastAsia"/>
        </w:rPr>
        <w:instrText xml:space="preserve">SEQ 表_ \* ARABIC \s 2</w:instrText>
      </w:r>
      <w:r>
        <w:instrText xml:space="preserve"> </w:instrText>
      </w:r>
      <w:r>
        <w:fldChar w:fldCharType="separate"/>
      </w:r>
      <w:r>
        <w:t>2</w:t>
      </w:r>
      <w:r>
        <w:fldChar w:fldCharType="end"/>
      </w:r>
      <w:bookmarkEnd w:id="164"/>
      <w:r>
        <w:rPr>
          <w:rFonts w:hint="eastAsia"/>
        </w:rPr>
        <w:t>应急设备、物资保障</w:t>
      </w:r>
    </w:p>
    <w:tbl>
      <w:tblPr>
        <w:tblStyle w:val="69"/>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3"/>
        <w:gridCol w:w="4519"/>
        <w:gridCol w:w="683"/>
        <w:gridCol w:w="1135"/>
        <w:gridCol w:w="1133"/>
        <w:gridCol w:w="113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368" w:type="pct"/>
            <w:shd w:val="clear" w:color="auto" w:fill="C6D9F0" w:themeFill="text2" w:themeFillTint="33"/>
            <w:vAlign w:val="center"/>
          </w:tcPr>
          <w:p>
            <w:pPr>
              <w:pStyle w:val="65"/>
              <w:rPr>
                <w:rFonts w:ascii="Times New Roman" w:hAnsi="Times New Roman" w:eastAsia="宋体"/>
                <w:b/>
                <w:i w:val="0"/>
              </w:rPr>
            </w:pPr>
            <w:r>
              <w:rPr>
                <w:rFonts w:ascii="Times New Roman" w:hAnsi="Times New Roman" w:eastAsia="宋体"/>
                <w:b/>
                <w:i w:val="0"/>
              </w:rPr>
              <w:t>编号</w:t>
            </w:r>
          </w:p>
        </w:tc>
        <w:tc>
          <w:tcPr>
            <w:tcW w:w="2433" w:type="pct"/>
            <w:shd w:val="clear" w:color="auto" w:fill="C6D9F0" w:themeFill="text2" w:themeFillTint="33"/>
            <w:vAlign w:val="center"/>
          </w:tcPr>
          <w:p>
            <w:pPr>
              <w:pStyle w:val="65"/>
              <w:rPr>
                <w:rFonts w:ascii="Times New Roman" w:hAnsi="Times New Roman" w:eastAsia="宋体"/>
                <w:b/>
                <w:i w:val="0"/>
              </w:rPr>
            </w:pPr>
            <w:r>
              <w:rPr>
                <w:rFonts w:ascii="Times New Roman" w:hAnsi="Times New Roman" w:eastAsia="宋体"/>
                <w:b/>
                <w:i w:val="0"/>
              </w:rPr>
              <w:t>设备名称</w:t>
            </w:r>
          </w:p>
        </w:tc>
        <w:tc>
          <w:tcPr>
            <w:tcW w:w="368" w:type="pct"/>
            <w:shd w:val="clear" w:color="auto" w:fill="C6D9F0" w:themeFill="text2" w:themeFillTint="33"/>
            <w:vAlign w:val="center"/>
          </w:tcPr>
          <w:p>
            <w:pPr>
              <w:pStyle w:val="65"/>
              <w:rPr>
                <w:rFonts w:ascii="Times New Roman" w:hAnsi="Times New Roman" w:eastAsia="宋体"/>
                <w:b/>
                <w:i w:val="0"/>
              </w:rPr>
            </w:pPr>
            <w:r>
              <w:rPr>
                <w:rFonts w:ascii="Times New Roman" w:hAnsi="Times New Roman" w:eastAsia="宋体"/>
                <w:b/>
                <w:i w:val="0"/>
              </w:rPr>
              <w:t>单位</w:t>
            </w:r>
          </w:p>
        </w:tc>
        <w:tc>
          <w:tcPr>
            <w:tcW w:w="611" w:type="pct"/>
            <w:shd w:val="clear" w:color="auto" w:fill="C6D9F0" w:themeFill="text2" w:themeFillTint="33"/>
            <w:vAlign w:val="center"/>
          </w:tcPr>
          <w:p>
            <w:pPr>
              <w:pStyle w:val="65"/>
              <w:rPr>
                <w:rFonts w:ascii="Times New Roman" w:hAnsi="Times New Roman" w:eastAsia="宋体"/>
                <w:b/>
                <w:i w:val="0"/>
              </w:rPr>
            </w:pPr>
            <w:r>
              <w:rPr>
                <w:rFonts w:ascii="Times New Roman" w:hAnsi="Times New Roman" w:eastAsia="宋体"/>
                <w:b/>
                <w:i w:val="0"/>
              </w:rPr>
              <w:t>投入数量</w:t>
            </w:r>
          </w:p>
        </w:tc>
        <w:tc>
          <w:tcPr>
            <w:tcW w:w="610" w:type="pct"/>
            <w:shd w:val="clear" w:color="auto" w:fill="C6D9F0" w:themeFill="text2" w:themeFillTint="33"/>
            <w:vAlign w:val="center"/>
          </w:tcPr>
          <w:p>
            <w:pPr>
              <w:pStyle w:val="65"/>
              <w:rPr>
                <w:rFonts w:ascii="Times New Roman" w:hAnsi="Times New Roman" w:eastAsia="宋体"/>
                <w:b/>
                <w:i w:val="0"/>
              </w:rPr>
            </w:pPr>
            <w:r>
              <w:rPr>
                <w:rFonts w:ascii="Times New Roman" w:hAnsi="Times New Roman" w:eastAsia="宋体"/>
                <w:b/>
                <w:i w:val="0"/>
              </w:rPr>
              <w:t>性能</w:t>
            </w:r>
          </w:p>
        </w:tc>
        <w:tc>
          <w:tcPr>
            <w:tcW w:w="610" w:type="pct"/>
            <w:shd w:val="clear" w:color="auto" w:fill="C6D9F0" w:themeFill="text2" w:themeFillTint="33"/>
            <w:vAlign w:val="center"/>
          </w:tcPr>
          <w:p>
            <w:pPr>
              <w:pStyle w:val="65"/>
              <w:rPr>
                <w:rFonts w:ascii="Times New Roman" w:hAnsi="Times New Roman" w:eastAsia="宋体"/>
                <w:b/>
                <w:i w:val="0"/>
              </w:rPr>
            </w:pPr>
            <w:r>
              <w:rPr>
                <w:rFonts w:ascii="Times New Roman" w:hAnsi="Times New Roman" w:eastAsia="宋体"/>
                <w:b/>
                <w:i w:val="0"/>
              </w:rPr>
              <w:t>存放地点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1</w:t>
            </w:r>
          </w:p>
        </w:tc>
        <w:tc>
          <w:tcPr>
            <w:tcW w:w="2433" w:type="pct"/>
            <w:shd w:val="clear" w:color="auto" w:fill="FFFFFF" w:themeFill="background1"/>
            <w:vAlign w:val="center"/>
          </w:tcPr>
          <w:p>
            <w:pPr>
              <w:pStyle w:val="65"/>
            </w:pPr>
            <w:r>
              <w:t>挖掘机</w:t>
            </w:r>
          </w:p>
        </w:tc>
        <w:tc>
          <w:tcPr>
            <w:tcW w:w="368" w:type="pct"/>
            <w:shd w:val="clear" w:color="auto" w:fill="FFFFFF" w:themeFill="background1"/>
            <w:vAlign w:val="center"/>
          </w:tcPr>
          <w:p>
            <w:pPr>
              <w:pStyle w:val="65"/>
            </w:pPr>
            <w:r>
              <w:t>台</w:t>
            </w:r>
          </w:p>
        </w:tc>
        <w:tc>
          <w:tcPr>
            <w:tcW w:w="611" w:type="pct"/>
            <w:shd w:val="clear" w:color="auto" w:fill="FFFFFF" w:themeFill="background1"/>
            <w:vAlign w:val="center"/>
          </w:tcPr>
          <w:p>
            <w:pPr>
              <w:pStyle w:val="65"/>
            </w:pPr>
            <w:r>
              <w:t>2</w:t>
            </w:r>
          </w:p>
        </w:tc>
        <w:tc>
          <w:tcPr>
            <w:tcW w:w="610" w:type="pct"/>
            <w:shd w:val="clear" w:color="auto" w:fill="FFFFFF" w:themeFill="background1"/>
            <w:vAlign w:val="center"/>
          </w:tcPr>
          <w:p>
            <w:pPr>
              <w:pStyle w:val="65"/>
            </w:pPr>
            <w:r>
              <w:t>优良</w:t>
            </w:r>
          </w:p>
        </w:tc>
        <w:tc>
          <w:tcPr>
            <w:tcW w:w="610" w:type="pct"/>
            <w:shd w:val="clear" w:color="auto" w:fill="FFFFFF" w:themeFill="background1"/>
            <w:vAlign w:val="center"/>
          </w:tcPr>
          <w:p>
            <w:pPr>
              <w:pStyle w:val="65"/>
            </w:pPr>
            <w:r>
              <w:t>项目部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2</w:t>
            </w:r>
          </w:p>
        </w:tc>
        <w:tc>
          <w:tcPr>
            <w:tcW w:w="2433" w:type="pct"/>
            <w:shd w:val="clear" w:color="auto" w:fill="FFFFFF" w:themeFill="background1"/>
            <w:vAlign w:val="center"/>
          </w:tcPr>
          <w:p>
            <w:pPr>
              <w:pStyle w:val="65"/>
              <w:rPr>
                <w:rFonts w:hint="eastAsia" w:eastAsia="宋体"/>
                <w:lang w:eastAsia="zh-CN"/>
              </w:rPr>
            </w:pPr>
            <w:r>
              <w:t>50t</w:t>
            </w:r>
            <w:r>
              <w:rPr>
                <w:rFonts w:hint="eastAsia"/>
                <w:lang w:val="en-US" w:eastAsia="zh-CN"/>
              </w:rPr>
              <w:t>汽车</w:t>
            </w:r>
            <w:r>
              <w:rPr>
                <w:rFonts w:hint="eastAsia"/>
                <w:lang w:eastAsia="zh-CN"/>
              </w:rPr>
              <w:t>吊</w:t>
            </w:r>
          </w:p>
        </w:tc>
        <w:tc>
          <w:tcPr>
            <w:tcW w:w="368" w:type="pct"/>
            <w:shd w:val="clear" w:color="auto" w:fill="FFFFFF" w:themeFill="background1"/>
            <w:vAlign w:val="center"/>
          </w:tcPr>
          <w:p>
            <w:pPr>
              <w:pStyle w:val="65"/>
            </w:pPr>
            <w:r>
              <w:t>台</w:t>
            </w:r>
          </w:p>
        </w:tc>
        <w:tc>
          <w:tcPr>
            <w:tcW w:w="611" w:type="pct"/>
            <w:shd w:val="clear" w:color="auto" w:fill="FFFFFF" w:themeFill="background1"/>
            <w:vAlign w:val="center"/>
          </w:tcPr>
          <w:p>
            <w:pPr>
              <w:pStyle w:val="65"/>
            </w:pPr>
            <w:r>
              <w:t>2</w:t>
            </w:r>
          </w:p>
        </w:tc>
        <w:tc>
          <w:tcPr>
            <w:tcW w:w="610" w:type="pct"/>
            <w:shd w:val="clear" w:color="auto" w:fill="FFFFFF" w:themeFill="background1"/>
            <w:vAlign w:val="center"/>
          </w:tcPr>
          <w:p>
            <w:pPr>
              <w:pStyle w:val="65"/>
            </w:pPr>
            <w:r>
              <w:t>优良</w:t>
            </w:r>
          </w:p>
        </w:tc>
        <w:tc>
          <w:tcPr>
            <w:tcW w:w="610" w:type="pct"/>
            <w:shd w:val="clear" w:color="auto" w:fill="FFFFFF" w:themeFill="background1"/>
            <w:vAlign w:val="center"/>
          </w:tcPr>
          <w:p>
            <w:pPr>
              <w:pStyle w:val="65"/>
            </w:pPr>
            <w:r>
              <w:t>项目部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3</w:t>
            </w:r>
          </w:p>
        </w:tc>
        <w:tc>
          <w:tcPr>
            <w:tcW w:w="2433" w:type="pct"/>
            <w:shd w:val="clear" w:color="auto" w:fill="FFFFFF" w:themeFill="background1"/>
            <w:vAlign w:val="center"/>
          </w:tcPr>
          <w:p>
            <w:pPr>
              <w:pStyle w:val="65"/>
            </w:pPr>
            <w:r>
              <w:t>400KW发电机</w:t>
            </w:r>
          </w:p>
        </w:tc>
        <w:tc>
          <w:tcPr>
            <w:tcW w:w="368" w:type="pct"/>
            <w:shd w:val="clear" w:color="auto" w:fill="FFFFFF" w:themeFill="background1"/>
            <w:vAlign w:val="center"/>
          </w:tcPr>
          <w:p>
            <w:pPr>
              <w:pStyle w:val="65"/>
            </w:pPr>
            <w:r>
              <w:t>台</w:t>
            </w:r>
          </w:p>
        </w:tc>
        <w:tc>
          <w:tcPr>
            <w:tcW w:w="611" w:type="pct"/>
            <w:shd w:val="clear" w:color="auto" w:fill="FFFFFF" w:themeFill="background1"/>
            <w:vAlign w:val="center"/>
          </w:tcPr>
          <w:p>
            <w:pPr>
              <w:pStyle w:val="65"/>
            </w:pPr>
            <w:r>
              <w:t>2</w:t>
            </w:r>
          </w:p>
        </w:tc>
        <w:tc>
          <w:tcPr>
            <w:tcW w:w="610" w:type="pct"/>
            <w:shd w:val="clear" w:color="auto" w:fill="FFFFFF" w:themeFill="background1"/>
            <w:vAlign w:val="center"/>
          </w:tcPr>
          <w:p>
            <w:pPr>
              <w:pStyle w:val="65"/>
            </w:pPr>
            <w:r>
              <w:t>优良</w:t>
            </w:r>
          </w:p>
        </w:tc>
        <w:tc>
          <w:tcPr>
            <w:tcW w:w="610" w:type="pct"/>
            <w:shd w:val="clear" w:color="auto" w:fill="FFFFFF" w:themeFill="background1"/>
            <w:vAlign w:val="center"/>
          </w:tcPr>
          <w:p>
            <w:pPr>
              <w:pStyle w:val="65"/>
            </w:pPr>
            <w:r>
              <w:t>项目部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4</w:t>
            </w:r>
          </w:p>
        </w:tc>
        <w:tc>
          <w:tcPr>
            <w:tcW w:w="2433" w:type="pct"/>
            <w:shd w:val="clear" w:color="auto" w:fill="FFFFFF" w:themeFill="background1"/>
            <w:vAlign w:val="center"/>
          </w:tcPr>
          <w:p>
            <w:pPr>
              <w:pStyle w:val="65"/>
            </w:pPr>
            <w:r>
              <w:t>铁锹</w:t>
            </w:r>
          </w:p>
        </w:tc>
        <w:tc>
          <w:tcPr>
            <w:tcW w:w="368" w:type="pct"/>
            <w:shd w:val="clear" w:color="auto" w:fill="FFFFFF" w:themeFill="background1"/>
            <w:vAlign w:val="center"/>
          </w:tcPr>
          <w:p>
            <w:pPr>
              <w:pStyle w:val="65"/>
            </w:pPr>
            <w:r>
              <w:t>把</w:t>
            </w:r>
          </w:p>
        </w:tc>
        <w:tc>
          <w:tcPr>
            <w:tcW w:w="611" w:type="pct"/>
            <w:shd w:val="clear" w:color="auto" w:fill="FFFFFF" w:themeFill="background1"/>
            <w:vAlign w:val="center"/>
          </w:tcPr>
          <w:p>
            <w:pPr>
              <w:pStyle w:val="65"/>
            </w:pPr>
            <w:r>
              <w:t>20</w:t>
            </w:r>
          </w:p>
        </w:tc>
        <w:tc>
          <w:tcPr>
            <w:tcW w:w="610" w:type="pct"/>
            <w:shd w:val="clear" w:color="auto" w:fill="FFFFFF" w:themeFill="background1"/>
            <w:vAlign w:val="center"/>
          </w:tcPr>
          <w:p>
            <w:pPr>
              <w:pStyle w:val="65"/>
            </w:pPr>
            <w:r>
              <w:t>优良</w:t>
            </w:r>
          </w:p>
        </w:tc>
        <w:tc>
          <w:tcPr>
            <w:tcW w:w="610" w:type="pct"/>
            <w:shd w:val="clear" w:color="auto" w:fill="FFFFFF" w:themeFill="background1"/>
            <w:vAlign w:val="center"/>
          </w:tcPr>
          <w:p>
            <w:pPr>
              <w:pStyle w:val="65"/>
            </w:pPr>
            <w:r>
              <w:t>项目部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5</w:t>
            </w:r>
          </w:p>
        </w:tc>
        <w:tc>
          <w:tcPr>
            <w:tcW w:w="2433" w:type="pct"/>
            <w:shd w:val="clear" w:color="auto" w:fill="FFFFFF" w:themeFill="background1"/>
            <w:vAlign w:val="center"/>
          </w:tcPr>
          <w:p>
            <w:pPr>
              <w:pStyle w:val="65"/>
            </w:pPr>
            <w:r>
              <w:t>编织袋</w:t>
            </w:r>
          </w:p>
        </w:tc>
        <w:tc>
          <w:tcPr>
            <w:tcW w:w="368" w:type="pct"/>
            <w:shd w:val="clear" w:color="auto" w:fill="FFFFFF" w:themeFill="background1"/>
            <w:vAlign w:val="center"/>
          </w:tcPr>
          <w:p>
            <w:pPr>
              <w:pStyle w:val="65"/>
            </w:pPr>
            <w:r>
              <w:t>个</w:t>
            </w:r>
          </w:p>
        </w:tc>
        <w:tc>
          <w:tcPr>
            <w:tcW w:w="611" w:type="pct"/>
            <w:shd w:val="clear" w:color="auto" w:fill="FFFFFF" w:themeFill="background1"/>
            <w:vAlign w:val="center"/>
          </w:tcPr>
          <w:p>
            <w:pPr>
              <w:pStyle w:val="65"/>
            </w:pPr>
            <w:r>
              <w:t>2000</w:t>
            </w:r>
          </w:p>
        </w:tc>
        <w:tc>
          <w:tcPr>
            <w:tcW w:w="610" w:type="pct"/>
            <w:shd w:val="clear" w:color="auto" w:fill="FFFFFF" w:themeFill="background1"/>
            <w:vAlign w:val="center"/>
          </w:tcPr>
          <w:p>
            <w:pPr>
              <w:pStyle w:val="65"/>
            </w:pPr>
            <w:r>
              <w:t>优良</w:t>
            </w:r>
          </w:p>
        </w:tc>
        <w:tc>
          <w:tcPr>
            <w:tcW w:w="610" w:type="pct"/>
            <w:shd w:val="clear" w:color="auto" w:fill="FFFFFF" w:themeFill="background1"/>
            <w:vAlign w:val="center"/>
          </w:tcPr>
          <w:p>
            <w:pPr>
              <w:pStyle w:val="65"/>
            </w:pPr>
            <w:r>
              <w:t>项目部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6</w:t>
            </w:r>
          </w:p>
        </w:tc>
        <w:tc>
          <w:tcPr>
            <w:tcW w:w="2433" w:type="pct"/>
            <w:shd w:val="clear" w:color="auto" w:fill="FFFFFF" w:themeFill="background1"/>
            <w:vAlign w:val="center"/>
          </w:tcPr>
          <w:p>
            <w:pPr>
              <w:pStyle w:val="65"/>
            </w:pPr>
            <w:r>
              <w:t>灭火器</w:t>
            </w:r>
          </w:p>
        </w:tc>
        <w:tc>
          <w:tcPr>
            <w:tcW w:w="368" w:type="pct"/>
            <w:shd w:val="clear" w:color="auto" w:fill="FFFFFF" w:themeFill="background1"/>
            <w:vAlign w:val="center"/>
          </w:tcPr>
          <w:p>
            <w:pPr>
              <w:pStyle w:val="65"/>
            </w:pPr>
            <w:r>
              <w:t>瓶</w:t>
            </w:r>
          </w:p>
        </w:tc>
        <w:tc>
          <w:tcPr>
            <w:tcW w:w="611" w:type="pct"/>
            <w:shd w:val="clear" w:color="auto" w:fill="FFFFFF" w:themeFill="background1"/>
            <w:vAlign w:val="center"/>
          </w:tcPr>
          <w:p>
            <w:pPr>
              <w:pStyle w:val="65"/>
            </w:pPr>
            <w:r>
              <w:t>10</w:t>
            </w:r>
          </w:p>
        </w:tc>
        <w:tc>
          <w:tcPr>
            <w:tcW w:w="610" w:type="pct"/>
            <w:shd w:val="clear" w:color="auto" w:fill="FFFFFF" w:themeFill="background1"/>
            <w:vAlign w:val="center"/>
          </w:tcPr>
          <w:p>
            <w:pPr>
              <w:pStyle w:val="65"/>
            </w:pPr>
            <w:r>
              <w:t>优良</w:t>
            </w:r>
          </w:p>
        </w:tc>
        <w:tc>
          <w:tcPr>
            <w:tcW w:w="610" w:type="pct"/>
            <w:shd w:val="clear" w:color="auto" w:fill="FFFFFF" w:themeFill="background1"/>
            <w:vAlign w:val="center"/>
          </w:tcPr>
          <w:p>
            <w:pPr>
              <w:pStyle w:val="65"/>
            </w:pPr>
            <w:r>
              <w:t>项目部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7</w:t>
            </w:r>
          </w:p>
        </w:tc>
        <w:tc>
          <w:tcPr>
            <w:tcW w:w="2433" w:type="pct"/>
            <w:shd w:val="clear" w:color="auto" w:fill="FFFFFF" w:themeFill="background1"/>
            <w:vAlign w:val="center"/>
          </w:tcPr>
          <w:p>
            <w:pPr>
              <w:pStyle w:val="65"/>
            </w:pPr>
            <w:r>
              <w:t>手电筒</w:t>
            </w:r>
          </w:p>
        </w:tc>
        <w:tc>
          <w:tcPr>
            <w:tcW w:w="368" w:type="pct"/>
            <w:shd w:val="clear" w:color="auto" w:fill="FFFFFF" w:themeFill="background1"/>
            <w:vAlign w:val="center"/>
          </w:tcPr>
          <w:p>
            <w:pPr>
              <w:pStyle w:val="65"/>
            </w:pPr>
            <w:r>
              <w:t>个</w:t>
            </w:r>
          </w:p>
        </w:tc>
        <w:tc>
          <w:tcPr>
            <w:tcW w:w="611" w:type="pct"/>
            <w:shd w:val="clear" w:color="auto" w:fill="FFFFFF" w:themeFill="background1"/>
            <w:vAlign w:val="center"/>
          </w:tcPr>
          <w:p>
            <w:pPr>
              <w:pStyle w:val="65"/>
            </w:pPr>
            <w:r>
              <w:t>10</w:t>
            </w:r>
          </w:p>
        </w:tc>
        <w:tc>
          <w:tcPr>
            <w:tcW w:w="610" w:type="pct"/>
            <w:shd w:val="clear" w:color="auto" w:fill="FFFFFF" w:themeFill="background1"/>
            <w:vAlign w:val="center"/>
          </w:tcPr>
          <w:p>
            <w:pPr>
              <w:pStyle w:val="65"/>
            </w:pPr>
            <w:r>
              <w:t>优良</w:t>
            </w:r>
          </w:p>
        </w:tc>
        <w:tc>
          <w:tcPr>
            <w:tcW w:w="610" w:type="pct"/>
            <w:shd w:val="clear" w:color="auto" w:fill="FFFFFF" w:themeFill="background1"/>
            <w:vAlign w:val="center"/>
          </w:tcPr>
          <w:p>
            <w:pPr>
              <w:pStyle w:val="65"/>
            </w:pPr>
            <w:r>
              <w:t>项目部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8</w:t>
            </w:r>
          </w:p>
        </w:tc>
        <w:tc>
          <w:tcPr>
            <w:tcW w:w="2433" w:type="pct"/>
            <w:shd w:val="clear" w:color="auto" w:fill="FFFFFF" w:themeFill="background1"/>
            <w:vAlign w:val="center"/>
          </w:tcPr>
          <w:p>
            <w:pPr>
              <w:pStyle w:val="65"/>
            </w:pPr>
            <w:r>
              <w:t>指挥车辆</w:t>
            </w:r>
          </w:p>
        </w:tc>
        <w:tc>
          <w:tcPr>
            <w:tcW w:w="368" w:type="pct"/>
            <w:shd w:val="clear" w:color="auto" w:fill="FFFFFF" w:themeFill="background1"/>
            <w:vAlign w:val="center"/>
          </w:tcPr>
          <w:p>
            <w:pPr>
              <w:pStyle w:val="65"/>
            </w:pPr>
            <w:r>
              <w:t>台</w:t>
            </w:r>
          </w:p>
        </w:tc>
        <w:tc>
          <w:tcPr>
            <w:tcW w:w="611" w:type="pct"/>
            <w:shd w:val="clear" w:color="auto" w:fill="FFFFFF" w:themeFill="background1"/>
            <w:vAlign w:val="center"/>
          </w:tcPr>
          <w:p>
            <w:pPr>
              <w:pStyle w:val="65"/>
            </w:pPr>
            <w:r>
              <w:t>1</w:t>
            </w:r>
          </w:p>
        </w:tc>
        <w:tc>
          <w:tcPr>
            <w:tcW w:w="610" w:type="pct"/>
            <w:shd w:val="clear" w:color="auto" w:fill="FFFFFF" w:themeFill="background1"/>
            <w:vAlign w:val="center"/>
          </w:tcPr>
          <w:p>
            <w:pPr>
              <w:pStyle w:val="65"/>
            </w:pPr>
            <w:r>
              <w:t>优良</w:t>
            </w:r>
          </w:p>
        </w:tc>
        <w:tc>
          <w:tcPr>
            <w:tcW w:w="610" w:type="pct"/>
            <w:shd w:val="clear" w:color="auto" w:fill="FFFFFF" w:themeFill="background1"/>
            <w:vAlign w:val="center"/>
          </w:tcPr>
          <w:p>
            <w:pPr>
              <w:pStyle w:val="65"/>
            </w:pPr>
            <w:r>
              <w:t>项目部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9</w:t>
            </w:r>
          </w:p>
        </w:tc>
        <w:tc>
          <w:tcPr>
            <w:tcW w:w="2433" w:type="pct"/>
            <w:shd w:val="clear" w:color="auto" w:fill="FFFFFF" w:themeFill="background1"/>
            <w:vAlign w:val="center"/>
          </w:tcPr>
          <w:p>
            <w:pPr>
              <w:pStyle w:val="65"/>
            </w:pPr>
            <w:r>
              <w:t>对讲机</w:t>
            </w:r>
          </w:p>
        </w:tc>
        <w:tc>
          <w:tcPr>
            <w:tcW w:w="368" w:type="pct"/>
            <w:shd w:val="clear" w:color="auto" w:fill="FFFFFF" w:themeFill="background1"/>
            <w:vAlign w:val="center"/>
          </w:tcPr>
          <w:p>
            <w:pPr>
              <w:pStyle w:val="65"/>
            </w:pPr>
            <w:r>
              <w:t>台</w:t>
            </w:r>
          </w:p>
        </w:tc>
        <w:tc>
          <w:tcPr>
            <w:tcW w:w="611" w:type="pct"/>
            <w:shd w:val="clear" w:color="auto" w:fill="FFFFFF" w:themeFill="background1"/>
            <w:vAlign w:val="center"/>
          </w:tcPr>
          <w:p>
            <w:pPr>
              <w:pStyle w:val="65"/>
            </w:pPr>
            <w:r>
              <w:t>20</w:t>
            </w:r>
          </w:p>
        </w:tc>
        <w:tc>
          <w:tcPr>
            <w:tcW w:w="610" w:type="pct"/>
            <w:shd w:val="clear" w:color="auto" w:fill="FFFFFF" w:themeFill="background1"/>
            <w:vAlign w:val="center"/>
          </w:tcPr>
          <w:p>
            <w:pPr>
              <w:pStyle w:val="65"/>
            </w:pPr>
            <w:r>
              <w:t>优良</w:t>
            </w:r>
          </w:p>
        </w:tc>
        <w:tc>
          <w:tcPr>
            <w:tcW w:w="610" w:type="pct"/>
            <w:shd w:val="clear" w:color="auto" w:fill="FFFFFF" w:themeFill="background1"/>
            <w:vAlign w:val="center"/>
          </w:tcPr>
          <w:p>
            <w:pPr>
              <w:pStyle w:val="65"/>
            </w:pPr>
            <w:r>
              <w:t>项目部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10</w:t>
            </w:r>
          </w:p>
        </w:tc>
        <w:tc>
          <w:tcPr>
            <w:tcW w:w="2433" w:type="pct"/>
            <w:shd w:val="clear" w:color="auto" w:fill="FFFFFF" w:themeFill="background1"/>
            <w:vAlign w:val="center"/>
          </w:tcPr>
          <w:p>
            <w:pPr>
              <w:pStyle w:val="65"/>
            </w:pPr>
            <w:r>
              <w:t>装备器材（仓库内备有安全帽、安全带、切</w:t>
            </w:r>
          </w:p>
          <w:p>
            <w:pPr>
              <w:pStyle w:val="65"/>
            </w:pPr>
            <w:r>
              <w:t>割机、气焊设备、小型电动工具、一般五金</w:t>
            </w:r>
          </w:p>
          <w:p>
            <w:pPr>
              <w:pStyle w:val="65"/>
            </w:pPr>
            <w:r>
              <w:t>工具、雨衣、雨靴、手电筒、撬棍等）</w:t>
            </w:r>
          </w:p>
        </w:tc>
        <w:tc>
          <w:tcPr>
            <w:tcW w:w="368" w:type="pct"/>
            <w:shd w:val="clear" w:color="auto" w:fill="FFFFFF" w:themeFill="background1"/>
            <w:vAlign w:val="center"/>
          </w:tcPr>
          <w:p>
            <w:pPr>
              <w:pStyle w:val="65"/>
            </w:pPr>
          </w:p>
        </w:tc>
        <w:tc>
          <w:tcPr>
            <w:tcW w:w="611" w:type="pct"/>
            <w:shd w:val="clear" w:color="auto" w:fill="FFFFFF" w:themeFill="background1"/>
            <w:vAlign w:val="center"/>
          </w:tcPr>
          <w:p>
            <w:pPr>
              <w:pStyle w:val="65"/>
            </w:pPr>
            <w:r>
              <w:t>数量满足</w:t>
            </w:r>
          </w:p>
        </w:tc>
        <w:tc>
          <w:tcPr>
            <w:tcW w:w="610" w:type="pct"/>
            <w:shd w:val="clear" w:color="auto" w:fill="FFFFFF" w:themeFill="background1"/>
            <w:vAlign w:val="center"/>
          </w:tcPr>
          <w:p>
            <w:pPr>
              <w:pStyle w:val="65"/>
            </w:pPr>
            <w:r>
              <w:t>优良</w:t>
            </w:r>
          </w:p>
        </w:tc>
        <w:tc>
          <w:tcPr>
            <w:tcW w:w="610" w:type="pct"/>
            <w:shd w:val="clear" w:color="auto" w:fill="FFFFFF" w:themeFill="background1"/>
            <w:vAlign w:val="center"/>
          </w:tcPr>
          <w:p>
            <w:pPr>
              <w:pStyle w:val="65"/>
            </w:pPr>
            <w:r>
              <w:t>项目部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shd w:val="clear" w:color="auto" w:fill="FFFFFF" w:themeFill="background1"/>
            <w:vAlign w:val="center"/>
          </w:tcPr>
          <w:p>
            <w:pPr>
              <w:pStyle w:val="65"/>
              <w:rPr>
                <w:rFonts w:ascii="Times New Roman" w:hAnsi="Times New Roman" w:eastAsia="宋体"/>
                <w:b w:val="0"/>
                <w:i w:val="0"/>
              </w:rPr>
            </w:pPr>
            <w:r>
              <w:rPr>
                <w:rFonts w:ascii="Times New Roman" w:hAnsi="Times New Roman" w:eastAsia="宋体"/>
                <w:b w:val="0"/>
                <w:i w:val="0"/>
              </w:rPr>
              <w:t>11</w:t>
            </w:r>
          </w:p>
        </w:tc>
        <w:tc>
          <w:tcPr>
            <w:tcW w:w="2433" w:type="pct"/>
            <w:shd w:val="clear" w:color="auto" w:fill="FFFFFF" w:themeFill="background1"/>
            <w:vAlign w:val="center"/>
          </w:tcPr>
          <w:p>
            <w:pPr>
              <w:pStyle w:val="65"/>
            </w:pPr>
            <w:r>
              <w:t>医疗器材（应急药品、氧气袋、担架等）</w:t>
            </w:r>
          </w:p>
        </w:tc>
        <w:tc>
          <w:tcPr>
            <w:tcW w:w="368" w:type="pct"/>
            <w:shd w:val="clear" w:color="auto" w:fill="FFFFFF" w:themeFill="background1"/>
            <w:vAlign w:val="center"/>
          </w:tcPr>
          <w:p>
            <w:pPr>
              <w:pStyle w:val="65"/>
            </w:pPr>
            <w:r>
              <w:t>套</w:t>
            </w:r>
          </w:p>
        </w:tc>
        <w:tc>
          <w:tcPr>
            <w:tcW w:w="611" w:type="pct"/>
            <w:shd w:val="clear" w:color="auto" w:fill="FFFFFF" w:themeFill="background1"/>
            <w:vAlign w:val="center"/>
          </w:tcPr>
          <w:p>
            <w:pPr>
              <w:pStyle w:val="65"/>
            </w:pPr>
            <w:r>
              <w:t>4</w:t>
            </w:r>
          </w:p>
        </w:tc>
        <w:tc>
          <w:tcPr>
            <w:tcW w:w="610" w:type="pct"/>
            <w:shd w:val="clear" w:color="auto" w:fill="FFFFFF" w:themeFill="background1"/>
            <w:vAlign w:val="center"/>
          </w:tcPr>
          <w:p>
            <w:pPr>
              <w:pStyle w:val="65"/>
            </w:pPr>
            <w:r>
              <w:t>优良</w:t>
            </w:r>
          </w:p>
        </w:tc>
        <w:tc>
          <w:tcPr>
            <w:tcW w:w="610" w:type="pct"/>
            <w:shd w:val="clear" w:color="auto" w:fill="FFFFFF" w:themeFill="background1"/>
            <w:vAlign w:val="center"/>
          </w:tcPr>
          <w:p>
            <w:pPr>
              <w:pStyle w:val="65"/>
            </w:pPr>
            <w:r>
              <w:t>项目部</w:t>
            </w:r>
          </w:p>
        </w:tc>
      </w:tr>
    </w:tbl>
    <w:p>
      <w:pPr>
        <w:pStyle w:val="4"/>
        <w:spacing w:before="120" w:beforeLines="50"/>
      </w:pPr>
      <w:bookmarkStart w:id="165" w:name="_Toc77771648"/>
      <w:bookmarkStart w:id="166" w:name="_Toc12896"/>
      <w:bookmarkStart w:id="167" w:name="_Toc40778458"/>
      <w:bookmarkStart w:id="168" w:name="_Toc121344363"/>
      <w:bookmarkStart w:id="169" w:name="_Toc102481228"/>
      <w:bookmarkStart w:id="170" w:name="_Toc102825403"/>
      <w:bookmarkStart w:id="171" w:name="_Toc102481279"/>
      <w:bookmarkStart w:id="172" w:name="_Toc7"/>
      <w:bookmarkStart w:id="173" w:name="_Toc40778459"/>
      <w:bookmarkStart w:id="174" w:name="_Toc1146"/>
      <w:r>
        <w:rPr>
          <w:rFonts w:hint="eastAsia"/>
        </w:rPr>
        <w:t>应急医院及线路图</w:t>
      </w:r>
      <w:bookmarkEnd w:id="165"/>
      <w:bookmarkEnd w:id="166"/>
      <w:bookmarkEnd w:id="167"/>
      <w:bookmarkEnd w:id="168"/>
      <w:bookmarkEnd w:id="169"/>
      <w:bookmarkEnd w:id="170"/>
      <w:bookmarkEnd w:id="171"/>
      <w:bookmarkEnd w:id="172"/>
    </w:p>
    <w:p>
      <w:pPr>
        <w:bidi w:val="0"/>
      </w:pPr>
      <w:bookmarkStart w:id="175" w:name="_Toc121344364"/>
      <w:bookmarkStart w:id="176" w:name="_Toc102481229"/>
      <w:bookmarkStart w:id="177" w:name="_Toc102481280"/>
      <w:bookmarkStart w:id="178" w:name="_Toc102825404"/>
      <w:r>
        <w:rPr>
          <w:rFonts w:hint="eastAsia"/>
        </w:rPr>
        <w:t>由香女特大桥桥头前进村至兰溪人民医院全程19公里，路程约36分钟，约5个红绿灯，途径女后线、排芝线、宝龙路、环城西路</w:t>
      </w:r>
      <w:r>
        <w:rPr>
          <w:rFonts w:hint="eastAsia"/>
          <w:lang w:val="en-US" w:eastAsia="zh-CN"/>
        </w:rPr>
        <w:t>后到达</w:t>
      </w:r>
      <w:r>
        <w:rPr>
          <w:rFonts w:hint="eastAsia"/>
        </w:rPr>
        <w:t>。</w:t>
      </w:r>
    </w:p>
    <w:p>
      <w:pPr>
        <w:widowControl w:val="0"/>
        <w:snapToGrid w:val="0"/>
        <w:spacing w:line="360" w:lineRule="auto"/>
        <w:ind w:left="0" w:leftChars="0" w:firstLine="0" w:firstLineChars="0"/>
        <w:jc w:val="both"/>
        <w:rPr>
          <w:rFonts w:ascii="Times New Roman" w:hAnsi="Times New Roman" w:eastAsia="宋体" w:cs="Times New Roman"/>
          <w:kern w:val="2"/>
          <w:sz w:val="28"/>
          <w:szCs w:val="20"/>
          <w:lang w:val="en-US" w:eastAsia="zh-CN" w:bidi="he-IL"/>
        </w:rPr>
      </w:pPr>
      <w:r>
        <w:rPr>
          <w:rFonts w:ascii="Times New Roman" w:hAnsi="Times New Roman" w:eastAsia="宋体" w:cs="Times New Roman"/>
          <w:kern w:val="2"/>
          <w:sz w:val="28"/>
          <w:szCs w:val="20"/>
          <w:lang w:val="en-US" w:eastAsia="zh-CN" w:bidi="ar-SA"/>
        </w:rPr>
        <w:drawing>
          <wp:inline distT="0" distB="0" distL="114300" distR="114300">
            <wp:extent cx="5234305" cy="3141980"/>
            <wp:effectExtent l="0" t="0" r="8255" b="12700"/>
            <wp:docPr id="45"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8"/>
                    <pic:cNvPicPr>
                      <a:picLocks noChangeAspect="1"/>
                    </pic:cNvPicPr>
                  </pic:nvPicPr>
                  <pic:blipFill>
                    <a:blip r:embed="rId79"/>
                    <a:stretch>
                      <a:fillRect/>
                    </a:stretch>
                  </pic:blipFill>
                  <pic:spPr>
                    <a:xfrm>
                      <a:off x="0" y="0"/>
                      <a:ext cx="5234305" cy="3141980"/>
                    </a:xfrm>
                    <a:prstGeom prst="rect">
                      <a:avLst/>
                    </a:prstGeom>
                    <a:noFill/>
                    <a:ln>
                      <a:noFill/>
                    </a:ln>
                  </pic:spPr>
                </pic:pic>
              </a:graphicData>
            </a:graphic>
          </wp:inline>
        </w:drawing>
      </w:r>
    </w:p>
    <w:p>
      <w:pPr>
        <w:pStyle w:val="16"/>
        <w:bidi w:val="0"/>
        <w:rPr>
          <w:rFonts w:hint="eastAsia"/>
          <w:lang w:val="en-US" w:eastAsia="zh-CN"/>
        </w:rPr>
      </w:pPr>
      <w:r>
        <w:rPr>
          <w:rFonts w:hint="eastAsia"/>
          <w:lang w:val="en-US" w:eastAsia="zh-CN"/>
        </w:rPr>
        <w:t>图9.6-1 送医路线图</w:t>
      </w:r>
    </w:p>
    <w:p>
      <w:pPr>
        <w:bidi w:val="0"/>
        <w:rPr>
          <w:rFonts w:hint="eastAsia"/>
          <w:lang w:val="en-US" w:eastAsia="zh-CN"/>
        </w:rPr>
      </w:pPr>
      <w:r>
        <w:rPr>
          <w:rFonts w:hint="eastAsia"/>
          <w:lang w:val="en-US" w:eastAsia="zh-CN"/>
        </w:rPr>
        <w:t>由香女特大桥桥头洲上村至兰溪人民医院全程19公里，路程约34分钟，约8个红绿灯，途径董将线、浦兰线、环城北路、横山路、华丰路、丰登路、上园路、西山路后到达。</w:t>
      </w:r>
    </w:p>
    <w:p>
      <w:pPr>
        <w:widowControl w:val="0"/>
        <w:numPr>
          <w:ilvl w:val="0"/>
          <w:numId w:val="0"/>
        </w:numPr>
        <w:spacing w:line="360" w:lineRule="auto"/>
        <w:jc w:val="both"/>
        <w:rPr>
          <w:rFonts w:ascii="宋体" w:hAnsi="宋体" w:eastAsia="仿宋_GB2312" w:cs="Times New Roman"/>
          <w:kern w:val="2"/>
          <w:sz w:val="28"/>
          <w:szCs w:val="22"/>
          <w:lang w:val="en-US" w:eastAsia="zh-CN" w:bidi="ar-SA"/>
        </w:rPr>
      </w:pPr>
      <w:r>
        <w:rPr>
          <w:rFonts w:ascii="宋体" w:hAnsi="宋体" w:eastAsia="仿宋_GB2312" w:cs="Times New Roman"/>
          <w:kern w:val="2"/>
          <w:sz w:val="28"/>
          <w:szCs w:val="22"/>
          <w:lang w:val="en-US" w:eastAsia="zh-CN" w:bidi="ar-SA"/>
        </w:rPr>
        <w:drawing>
          <wp:inline distT="0" distB="0" distL="114300" distR="114300">
            <wp:extent cx="5210175" cy="3514725"/>
            <wp:effectExtent l="0" t="0" r="1905" b="5715"/>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pic:cNvPicPr>
                      <a:picLocks noChangeAspect="1"/>
                    </pic:cNvPicPr>
                  </pic:nvPicPr>
                  <pic:blipFill>
                    <a:blip r:embed="rId80"/>
                    <a:stretch>
                      <a:fillRect/>
                    </a:stretch>
                  </pic:blipFill>
                  <pic:spPr>
                    <a:xfrm>
                      <a:off x="0" y="0"/>
                      <a:ext cx="5210175" cy="3514725"/>
                    </a:xfrm>
                    <a:prstGeom prst="rect">
                      <a:avLst/>
                    </a:prstGeom>
                    <a:noFill/>
                    <a:ln>
                      <a:noFill/>
                    </a:ln>
                  </pic:spPr>
                </pic:pic>
              </a:graphicData>
            </a:graphic>
          </wp:inline>
        </w:drawing>
      </w:r>
    </w:p>
    <w:p>
      <w:pPr>
        <w:pStyle w:val="16"/>
        <w:bidi w:val="0"/>
        <w:rPr>
          <w:rFonts w:hint="eastAsia"/>
          <w:lang w:val="en-US" w:eastAsia="zh-CN"/>
        </w:rPr>
      </w:pPr>
      <w:r>
        <w:rPr>
          <w:rFonts w:hint="eastAsia"/>
          <w:lang w:val="en-US" w:eastAsia="zh-CN"/>
        </w:rPr>
        <w:t>图9.6-2 送医路线图</w:t>
      </w:r>
    </w:p>
    <w:p>
      <w:pPr>
        <w:pStyle w:val="4"/>
      </w:pPr>
      <w:bookmarkStart w:id="179" w:name="_Toc27341"/>
      <w:r>
        <w:rPr>
          <w:rFonts w:hint="eastAsia"/>
        </w:rPr>
        <w:t>事故善后及恢复生产</w:t>
      </w:r>
      <w:bookmarkEnd w:id="173"/>
      <w:bookmarkEnd w:id="174"/>
      <w:bookmarkEnd w:id="175"/>
      <w:bookmarkEnd w:id="176"/>
      <w:bookmarkEnd w:id="177"/>
      <w:bookmarkEnd w:id="178"/>
      <w:bookmarkEnd w:id="179"/>
    </w:p>
    <w:p>
      <w:pPr>
        <w:ind w:firstLine="480"/>
      </w:pPr>
      <w:r>
        <w:rPr>
          <w:rFonts w:hint="eastAsia"/>
        </w:rPr>
        <w:t>应急小组在抢援工作结束后，对发生人员伤亡、机损事故和财产损失等事故的，遵循下列原则进行处理。</w:t>
      </w:r>
    </w:p>
    <w:p>
      <w:pPr>
        <w:ind w:firstLine="480"/>
      </w:pPr>
      <w:r>
        <w:rPr>
          <w:rFonts w:hint="eastAsia"/>
        </w:rPr>
        <w:t>（1）伤员处理</w:t>
      </w:r>
    </w:p>
    <w:p>
      <w:pPr>
        <w:ind w:firstLine="480"/>
      </w:pPr>
      <w:r>
        <w:rPr>
          <w:rFonts w:hint="eastAsia"/>
        </w:rPr>
        <w:t>按国家有关规定，做好事后伤亡家属的接待、安抚和善后处理以及保险赔偿工作。</w:t>
      </w:r>
    </w:p>
    <w:p>
      <w:pPr>
        <w:ind w:firstLine="480"/>
      </w:pPr>
      <w:r>
        <w:rPr>
          <w:rFonts w:hint="eastAsia"/>
        </w:rPr>
        <w:t>（2）调查分析</w:t>
      </w:r>
    </w:p>
    <w:p>
      <w:pPr>
        <w:ind w:firstLine="480"/>
      </w:pPr>
      <w:r>
        <w:rPr>
          <w:rFonts w:hint="eastAsia"/>
        </w:rPr>
        <w:t>对事故原因调查分析，确定责任和应该吸取的教训。</w:t>
      </w:r>
    </w:p>
    <w:p>
      <w:pPr>
        <w:ind w:firstLine="480"/>
      </w:pPr>
      <w:r>
        <w:rPr>
          <w:rFonts w:hint="eastAsia"/>
        </w:rPr>
        <w:t>（3）事故处理</w:t>
      </w:r>
    </w:p>
    <w:p>
      <w:pPr>
        <w:ind w:firstLine="480"/>
      </w:pPr>
      <w:r>
        <w:rPr>
          <w:rFonts w:hint="eastAsia"/>
        </w:rPr>
        <w:t>根据事故调查结果，按“四不放过”原则，认真总结事故经验教训，对发生事故的责任人或责任部门依照相关法律法规，提出事故处理意见。</w:t>
      </w:r>
    </w:p>
    <w:p>
      <w:pPr>
        <w:ind w:firstLine="480"/>
      </w:pPr>
      <w:r>
        <w:rPr>
          <w:rFonts w:hint="eastAsia"/>
        </w:rPr>
        <w:t>（4）事故总结</w:t>
      </w:r>
    </w:p>
    <w:p>
      <w:pPr>
        <w:ind w:firstLine="480"/>
      </w:pPr>
      <w:r>
        <w:rPr>
          <w:rFonts w:hint="eastAsia"/>
        </w:rPr>
        <w:t>事故处理完毕后，认真总结经验教训，完善管理，对事故后的处理过程认真分析总结、防范措施及应急预案进行补充和修改。</w:t>
      </w:r>
    </w:p>
    <w:p>
      <w:pPr>
        <w:ind w:firstLine="480"/>
      </w:pPr>
      <w:r>
        <w:rPr>
          <w:rFonts w:hint="eastAsia"/>
        </w:rPr>
        <w:t>（5）恢复生产</w:t>
      </w:r>
    </w:p>
    <w:p>
      <w:pPr>
        <w:ind w:firstLine="480"/>
      </w:pPr>
      <w:r>
        <w:rPr>
          <w:rFonts w:hint="eastAsia"/>
        </w:rPr>
        <w:t>对现场隐患进行全面排查，整改完毕后报请业主、监理单位审批，同意后方可组织恢复生产工作。</w:t>
      </w:r>
    </w:p>
    <w:p>
      <w:pPr>
        <w:ind w:firstLine="480"/>
      </w:pPr>
    </w:p>
    <w:p>
      <w:pPr>
        <w:pStyle w:val="3"/>
        <w:rPr>
          <w:rFonts w:hint="eastAsia"/>
          <w:sz w:val="32"/>
          <w:szCs w:val="32"/>
        </w:rPr>
      </w:pPr>
      <w:bookmarkStart w:id="180" w:name="_Toc25647"/>
      <w:r>
        <w:rPr>
          <w:rFonts w:hint="eastAsia"/>
          <w:sz w:val="32"/>
          <w:szCs w:val="32"/>
        </w:rPr>
        <w:t>绿色及文明施工</w:t>
      </w:r>
      <w:bookmarkEnd w:id="180"/>
    </w:p>
    <w:p>
      <w:pPr>
        <w:pStyle w:val="4"/>
      </w:pPr>
      <w:bookmarkStart w:id="181" w:name="_Toc119247042"/>
      <w:bookmarkStart w:id="182" w:name="_Toc23639"/>
      <w:bookmarkStart w:id="183" w:name="_Toc27911"/>
      <w:bookmarkStart w:id="184" w:name="_Toc40778460"/>
      <w:r>
        <w:t>组织机构</w:t>
      </w:r>
      <w:bookmarkEnd w:id="181"/>
      <w:bookmarkEnd w:id="182"/>
    </w:p>
    <w:p>
      <w:pPr>
        <w:ind w:firstLine="480"/>
      </w:pPr>
      <w:r>
        <w:t>项目部成立以项目经理负责人为组长，项目其他领导为副组长，各部门负责人为组员的绿色及文明施工领导小组，制定详细的环保、水保、文明施工措施，从思想、组织、过程、检查、效果、目标、经济七个方面控制绿色及文明施工工作，实现总体环保及文明施工目标。</w:t>
      </w:r>
    </w:p>
    <w:p>
      <w:pPr>
        <w:ind w:firstLine="480"/>
      </w:pPr>
      <w:r>
        <w:t>组长：项目经理</w:t>
      </w:r>
    </w:p>
    <w:p>
      <w:pPr>
        <w:ind w:firstLine="480"/>
      </w:pPr>
      <w:r>
        <w:t>副组长：项目总工、副经理、安全总监</w:t>
      </w:r>
    </w:p>
    <w:p>
      <w:pPr>
        <w:ind w:firstLine="480"/>
      </w:pPr>
      <w:r>
        <w:t>成员：各部门负责人</w:t>
      </w:r>
    </w:p>
    <w:p>
      <w:pPr>
        <w:pStyle w:val="4"/>
      </w:pPr>
      <w:bookmarkStart w:id="185" w:name="_Toc119247043"/>
      <w:bookmarkStart w:id="186" w:name="_Toc21155"/>
      <w:r>
        <w:t>保证体系</w:t>
      </w:r>
      <w:bookmarkEnd w:id="185"/>
      <w:bookmarkEnd w:id="186"/>
    </w:p>
    <w:p>
      <w:pPr>
        <w:ind w:firstLine="480"/>
      </w:pPr>
      <w:r>
        <w:t>环境保护保证体系框图见</w:t>
      </w:r>
      <w:r>
        <w:fldChar w:fldCharType="begin"/>
      </w:r>
      <w:r>
        <w:instrText xml:space="preserve"> REF _Ref99654193 \h  \* MERGEFORMAT </w:instrText>
      </w:r>
      <w:r>
        <w:fldChar w:fldCharType="separate"/>
      </w:r>
      <w:r>
        <w:t>图 10.2</w:t>
      </w:r>
      <w:r>
        <w:noBreakHyphen/>
      </w:r>
      <w:r>
        <w:t>1</w:t>
      </w:r>
      <w:r>
        <w:fldChar w:fldCharType="end"/>
      </w:r>
      <w:r>
        <w:t>。</w:t>
      </w:r>
    </w:p>
    <w:p>
      <w:pPr>
        <w:pStyle w:val="16"/>
        <w:rPr>
          <w:rFonts w:cs="Times New Roman"/>
        </w:rPr>
      </w:pPr>
      <w:r>
        <w:rPr>
          <w:rFonts w:cs="Times New Roman"/>
        </w:rPr>
        <w:object>
          <v:shape id="_x0000_i1029" o:spt="75" type="#_x0000_t75" style="height:367.5pt;width:439.5pt;" o:ole="t" filled="f" o:preferrelative="t" stroked="f" coordsize="21600,21600">
            <v:path/>
            <v:fill on="f" focussize="0,0"/>
            <v:stroke on="f"/>
            <v:imagedata r:id="rId81" o:title=""/>
            <o:lock v:ext="edit" aspectratio="t"/>
            <w10:wrap type="none"/>
            <w10:anchorlock/>
          </v:shape>
          <o:OLEObject Type="Embed" ProgID="Visio.Drawing.15" ShapeID="_x0000_i1029" DrawAspect="Content" ObjectID="_1468075729">
            <o:LockedField>false</o:LockedField>
          </o:OLEObject>
        </w:object>
      </w:r>
    </w:p>
    <w:p>
      <w:pPr>
        <w:pStyle w:val="16"/>
        <w:rPr>
          <w:rFonts w:cs="Times New Roman"/>
        </w:rPr>
      </w:pPr>
      <w:bookmarkStart w:id="187" w:name="_Ref99654193"/>
      <w:r>
        <w:rPr>
          <w:rFonts w:cs="Times New Roman"/>
        </w:rPr>
        <w:t xml:space="preserve">图 </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10.2</w:t>
      </w:r>
      <w:r>
        <w:rPr>
          <w:rFonts w:cs="Times New Roman"/>
        </w:rPr>
        <w:fldChar w:fldCharType="end"/>
      </w:r>
      <w:r>
        <w:rPr>
          <w:rFonts w:cs="Times New Roman"/>
        </w:rPr>
        <w:noBreakHyphen/>
      </w:r>
      <w:r>
        <w:rPr>
          <w:rFonts w:cs="Times New Roman"/>
        </w:rPr>
        <w:fldChar w:fldCharType="begin"/>
      </w:r>
      <w:r>
        <w:rPr>
          <w:rFonts w:cs="Times New Roman"/>
        </w:rPr>
        <w:instrText xml:space="preserve"> SEQ 图_ \* ARABIC \s 2 </w:instrText>
      </w:r>
      <w:r>
        <w:rPr>
          <w:rFonts w:cs="Times New Roman"/>
        </w:rPr>
        <w:fldChar w:fldCharType="separate"/>
      </w:r>
      <w:r>
        <w:rPr>
          <w:rFonts w:cs="Times New Roman"/>
        </w:rPr>
        <w:t>1</w:t>
      </w:r>
      <w:r>
        <w:rPr>
          <w:rFonts w:cs="Times New Roman"/>
        </w:rPr>
        <w:fldChar w:fldCharType="end"/>
      </w:r>
      <w:bookmarkEnd w:id="187"/>
      <w:r>
        <w:rPr>
          <w:rFonts w:cs="Times New Roman"/>
        </w:rPr>
        <w:t>环保、水保保证体系框图</w:t>
      </w:r>
    </w:p>
    <w:p>
      <w:pPr>
        <w:pStyle w:val="4"/>
      </w:pPr>
      <w:bookmarkStart w:id="188" w:name="_Toc119247044"/>
      <w:bookmarkStart w:id="189" w:name="_Toc28775"/>
      <w:r>
        <w:t>保证措施</w:t>
      </w:r>
      <w:bookmarkEnd w:id="188"/>
      <w:bookmarkEnd w:id="189"/>
    </w:p>
    <w:p>
      <w:pPr>
        <w:pStyle w:val="5"/>
        <w:bidi w:val="0"/>
        <w:ind w:left="0" w:leftChars="0" w:firstLine="0" w:firstLineChars="0"/>
        <w:rPr>
          <w:rFonts w:hint="eastAsia"/>
          <w:sz w:val="24"/>
          <w:szCs w:val="24"/>
          <w:lang w:val="en-US" w:eastAsia="zh-CN"/>
        </w:rPr>
      </w:pPr>
      <w:r>
        <w:rPr>
          <w:rFonts w:hint="eastAsia"/>
          <w:sz w:val="24"/>
          <w:szCs w:val="24"/>
          <w:lang w:val="en-US" w:eastAsia="zh-CN"/>
        </w:rPr>
        <w:t>环保、水保施工保证措施</w:t>
      </w:r>
    </w:p>
    <w:p>
      <w:pPr>
        <w:ind w:firstLine="480"/>
      </w:pPr>
      <w:r>
        <w:t>环境保护是生态平衡的保证，是我国重要国策，我们本着干一项实事工程，造福一方的宗旨，把环境保护作为工程施工的一项重要组成部分，为了减少或避免施工对环境的破坏，通过对本工程周围地理环境，加上我们同类工程施工的环保经验，对于环境保护主要从以下几方面，加强管理和采取具体环境保护措施。</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水上施工需使用较多的施工机械设备，且作业点较多，会产生一定程度的油污和生活垃圾污染。对于油污问题，主要是定期对设备检修，尽量避免油料</w:t>
      </w: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和渗漏等；日常生活垃圾则用垃圾袋集中存放，定期运到岸上处理。</w:t>
      </w:r>
    </w:p>
    <w:p>
      <w:pPr>
        <w:ind w:firstLine="480"/>
      </w:pPr>
      <w:r>
        <w:t>施工期大气及噪声污染对居民基本不产生影响，主要影响施工人员；环境保护的重点是防止对海水的污染和生态环境的保护。施工期的环境影响是短暂的、可逆的，随着施工期的结束而终止。</w:t>
      </w:r>
    </w:p>
    <w:p>
      <w:pPr>
        <w:ind w:firstLine="480"/>
      </w:pPr>
      <w:r>
        <w:t>1、水污染控制</w:t>
      </w:r>
    </w:p>
    <w:p>
      <w:pPr>
        <w:ind w:firstLine="480"/>
      </w:pPr>
      <w:r>
        <w:t>施工期间的水污染来源主要是机械设备油污水、车辆冲洗水、生活区污水、雨季地表径流等。</w:t>
      </w:r>
    </w:p>
    <w:p>
      <w:pPr>
        <w:ind w:firstLine="480"/>
      </w:pPr>
      <w:r>
        <w:t>1）废水不得直接排入自然水体，其悬浮物严格执行《污水综合排放标准》(GB8978)中标准。食堂含油污水应进入隔油池经生化处理达到合格标准后排放。厕所污水入化粪池经生化处理达到标准后排放。</w:t>
      </w:r>
    </w:p>
    <w:p>
      <w:pPr>
        <w:ind w:firstLine="480"/>
      </w:pPr>
      <w:r>
        <w:t>2）所有机械设备（</w:t>
      </w:r>
      <w:r>
        <w:rPr>
          <w:rFonts w:hint="eastAsia"/>
          <w:lang w:eastAsia="zh-CN"/>
        </w:rPr>
        <w:t>汽车吊</w:t>
      </w:r>
      <w:r>
        <w:t>、发电机组等）的各类废油料及润滑油，均回收并在指定的位置进行统一存放和处理进入隔油池和沉淀达到合格标准后排放。</w:t>
      </w:r>
    </w:p>
    <w:p>
      <w:pPr>
        <w:ind w:firstLine="480"/>
      </w:pPr>
      <w:r>
        <w:t>3）施工现场设置专用油漆料库，库房地面做防渗漏处理，储存、使用、保管专人负责，防止油料跑、冒、滴、漏污染土壤、水体。施工材料如油料、化学品不得堆放在地表水体附近，并备有临时遮挡的帆布；</w:t>
      </w:r>
    </w:p>
    <w:p>
      <w:pPr>
        <w:ind w:firstLine="480"/>
      </w:pPr>
      <w:r>
        <w:t>4）施工作业期间机械设备产生的残油、废油来，一般按残油、废油所混有杂质情况，分别用不同盛油容器收集存放，对油质好、杂质少的存放在一起，这些油可以卖给小炼油厂炼油，对于杂质较多的残油、废油，仍有燃烧价值，可供砖厂烧砖用，也可作为焚烧垃圾的助燃料；对油抹布单独回收贮存焚烧处理。</w:t>
      </w:r>
    </w:p>
    <w:p>
      <w:pPr>
        <w:ind w:firstLine="480"/>
      </w:pPr>
      <w:r>
        <w:t>5）施工机械的修理、维护及作业过程产生的含油污水，采用施工过程控制清洁生产的方案进行污水控制，尽量选用先进的设备、机械，以有效地减少跑、冒、滴、漏油的数量及维修次数，从而减少含油污水的产生量。在不可避免的跑、冒、滴、漏油过程中采用固态吸油材料，如棉纱、木屑等将废油收集转化到固态物质中，对渗漏到土壤的油污应及时利用刮削装置收集封存，运至垃圾场集中处理。</w:t>
      </w:r>
    </w:p>
    <w:p>
      <w:pPr>
        <w:ind w:firstLine="480"/>
      </w:pPr>
      <w:r>
        <w:t xml:space="preserve">   6) 机械、设备及运输车辆统一集中在维修点保养，以便收集含油污水。在不能集中进行的情况下，可用固态吸油材料吸收混合后封存外运。</w:t>
      </w:r>
    </w:p>
    <w:p>
      <w:pPr>
        <w:ind w:firstLine="480"/>
      </w:pPr>
      <w:r>
        <w:t>2、大气污染控制</w:t>
      </w:r>
    </w:p>
    <w:p>
      <w:pPr>
        <w:ind w:firstLine="480"/>
      </w:pPr>
      <w:r>
        <w:t>1）选用符合国家卫生防护标准的施工机械设备和运输工具，确保其废气排放符合国家有关标准。对易产生粉尘、扬尘的作业面和装卸、运输过程，制定操作规程和洒水降尘制度。</w:t>
      </w:r>
    </w:p>
    <w:p>
      <w:pPr>
        <w:ind w:firstLine="480"/>
      </w:pPr>
      <w:r>
        <w:t>2）严禁在施工现场焚烧任何废弃物和会产生有毒有害气体、烟尘，臭气的物质。</w:t>
      </w:r>
    </w:p>
    <w:p>
      <w:pPr>
        <w:ind w:firstLine="480"/>
      </w:pPr>
      <w:r>
        <w:t>3）对施工人员采取防护和劳动保护，如缩短工作时间和发放防尘口罩等。</w:t>
      </w:r>
    </w:p>
    <w:p>
      <w:pPr>
        <w:ind w:firstLine="480"/>
      </w:pPr>
      <w:r>
        <w:t>4）柴油机废气的排放按国家排放标准。</w:t>
      </w:r>
    </w:p>
    <w:p>
      <w:pPr>
        <w:ind w:firstLine="480"/>
      </w:pPr>
      <w:r>
        <w:t>3、固体废弃物排放控制</w:t>
      </w:r>
    </w:p>
    <w:p>
      <w:pPr>
        <w:ind w:firstLine="480"/>
      </w:pPr>
      <w:r>
        <w:t>固体废弃物的主要来源是施工边角料、生活区垃圾等。固体废弃物的处理不当会对水域及环境卫生造成影响。</w:t>
      </w:r>
    </w:p>
    <w:p>
      <w:pPr>
        <w:ind w:firstLine="480"/>
      </w:pPr>
      <w:r>
        <w:t>具体措施：</w:t>
      </w:r>
    </w:p>
    <w:p>
      <w:pPr>
        <w:ind w:firstLine="480"/>
      </w:pPr>
      <w:r>
        <w:t>1）制定废渣的处理、处置方案，按照法规要求选择有资质的运输单位，及时清运施工垃圾，建立登记制度，防止中途倾倒事件发生并做到运输途中不撒落。</w:t>
      </w:r>
    </w:p>
    <w:p>
      <w:pPr>
        <w:ind w:firstLine="480"/>
      </w:pPr>
      <w:r>
        <w:t>2）选择对外环境影响小的出土口、运输路线和运输时间。弃土不得随意堆放，须运至指定弃土场。</w:t>
      </w:r>
    </w:p>
    <w:p>
      <w:pPr>
        <w:ind w:firstLine="480"/>
      </w:pPr>
      <w:r>
        <w:t>3）施工现场设垃圾站，各类垃圾及时清扫、清运，不得随意倾倒，尽量做到每班清扫、每日清运。施工和生活中的废弃物经当地环保部门同意后，运至指定地点。将工地生活区的生活垃圾、工程废料及废油分类堆放处理。</w:t>
      </w:r>
    </w:p>
    <w:p>
      <w:pPr>
        <w:ind w:firstLine="480"/>
      </w:pPr>
      <w:r>
        <w:t>4）教育施工人员养成良好的卫生习惯，不随地乱丢垃圾、杂物，保持工作和生活环境的整洁。工地设置厕所，派专人清理打扫，并定期对周围喷药消毒，以防蛀蝇滋生，病毒增生。</w:t>
      </w:r>
    </w:p>
    <w:p>
      <w:pPr>
        <w:pStyle w:val="5"/>
        <w:bidi w:val="0"/>
        <w:ind w:left="0" w:leftChars="0" w:firstLine="0" w:firstLineChars="0"/>
        <w:rPr>
          <w:rFonts w:hint="eastAsia"/>
          <w:sz w:val="24"/>
          <w:szCs w:val="24"/>
          <w:lang w:val="en-US" w:eastAsia="zh-CN"/>
        </w:rPr>
      </w:pPr>
      <w:r>
        <w:rPr>
          <w:rFonts w:hint="eastAsia"/>
          <w:sz w:val="24"/>
          <w:szCs w:val="24"/>
          <w:lang w:val="en-US" w:eastAsia="zh-CN"/>
        </w:rPr>
        <w:t>文明施工保证措施</w:t>
      </w:r>
    </w:p>
    <w:p>
      <w:pPr>
        <w:ind w:firstLine="480"/>
      </w:pPr>
      <w:bookmarkStart w:id="190" w:name="_Hlk101684250"/>
      <w:r>
        <w:t>（1）施工现场用电线路、用电设施的安装和使用，必须符合国家规范和用电安全操作规程。</w:t>
      </w:r>
    </w:p>
    <w:p>
      <w:pPr>
        <w:ind w:firstLine="480"/>
      </w:pPr>
      <w:r>
        <w:t>（2）施工机械的摆放应按照施工总平面布置图规定的位置，不得任意停放。机械操作人员必须建立人机合一责任制，持证上岗，严禁无证操作。</w:t>
      </w:r>
    </w:p>
    <w:p>
      <w:pPr>
        <w:ind w:firstLine="480"/>
      </w:pPr>
      <w:r>
        <w:t>（3）施工现场道路畅通，排水设施处于良好的使用状态，防止粉尘和噪音。</w:t>
      </w:r>
    </w:p>
    <w:p>
      <w:pPr>
        <w:ind w:firstLine="480"/>
      </w:pPr>
      <w:r>
        <w:t>（4）所有外露金属结构均需进行防锈处理。</w:t>
      </w:r>
    </w:p>
    <w:p>
      <w:pPr>
        <w:ind w:firstLine="480"/>
      </w:pPr>
      <w:r>
        <w:t>（5）施工临时设施按业主指定的地点建设，必须要与周围环境协调，做到经济、美观、实用，施工区域有醒目的安全警示标志，做到明显、清晰、规范。</w:t>
      </w:r>
    </w:p>
    <w:p>
      <w:pPr>
        <w:ind w:firstLine="480"/>
      </w:pPr>
      <w:r>
        <w:t>（6）各种施工材料定点分区分类堆码整齐，各种标识牌清楚明了，特别是摆放到现场的半成品材料、构件决不可乱堆乱放，影响美观。</w:t>
      </w:r>
    </w:p>
    <w:p>
      <w:pPr>
        <w:ind w:firstLine="480"/>
        <w:rPr>
          <w:color w:val="000000" w:themeColor="text1"/>
          <w14:textFill>
            <w14:solidFill>
              <w14:schemeClr w14:val="tx1"/>
            </w14:solidFill>
          </w14:textFill>
        </w:rPr>
      </w:pPr>
      <w:r>
        <w:t>（7）施工现场各工种（岗位）安全职责及操作规程张挂于作业地点；各机械设备的安全操作规程张挂于设备上或设备作业地点。</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（8）危险作业的场所应悬挂或张贴危险警示标志，并悬挂</w:t>
      </w:r>
      <w:r>
        <w:rPr>
          <w:rFonts w:hint="eastAsia"/>
          <w:color w:val="000000" w:themeColor="text1"/>
          <w14:textFill>
            <w14:solidFill>
              <w14:schemeClr w14:val="tx1"/>
            </w14:solidFill>
          </w14:textFill>
        </w:rPr>
        <w:t>灭火器</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（9）施工现场的所有人员须佩证上岗，安全员的佩证为红色以示醒目。</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（10）所有特种人员（如电工、起重、电气焊、场内机械驾驶等）须持国家主管部门颁发的操作证上岗操作，有关证件报备齐全并经查验合格后方可进行相关作业。</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（11）施工作业范围内设置应明显警示标志，夜间悬挂</w:t>
      </w:r>
      <w:r>
        <w:rPr>
          <w:rFonts w:hint="eastAsia"/>
          <w:color w:val="000000" w:themeColor="text1"/>
          <w14:textFill>
            <w14:solidFill>
              <w14:schemeClr w14:val="tx1"/>
            </w14:solidFill>
          </w14:textFill>
        </w:rPr>
        <w:t>警示</w:t>
      </w:r>
      <w:r>
        <w:rPr>
          <w:color w:val="000000" w:themeColor="text1"/>
          <w14:textFill>
            <w14:solidFill>
              <w14:schemeClr w14:val="tx1"/>
            </w14:solidFill>
          </w14:textFill>
        </w:rPr>
        <w:t>红灯。</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（12）钢筋笼吊装过程中作业人员不得在吊物下方作业。</w:t>
      </w:r>
    </w:p>
    <w:p>
      <w:pPr>
        <w:ind w:firstLine="480"/>
      </w:pPr>
      <w:r>
        <w:t>（13）钢筋堆放要整齐，割下的内撑要及时转回后场。</w:t>
      </w:r>
    </w:p>
    <w:p>
      <w:pPr>
        <w:ind w:firstLine="480"/>
      </w:pPr>
      <w:r>
        <w:t>（14）混凝土浇注过程中，对浇注作业范围内场地及时清理，浇注完后对浇注工具清洗。</w:t>
      </w:r>
    </w:p>
    <w:p>
      <w:pPr>
        <w:ind w:firstLine="480"/>
      </w:pPr>
      <w:r>
        <w:t>（15）电缆线接头应绑扎牢固，不得透水、漏电；电缆线不得浸泡于水、泥浆中，不得挤压电缆线及风水管路。</w:t>
      </w:r>
    </w:p>
    <w:p>
      <w:pPr>
        <w:ind w:firstLine="480"/>
      </w:pPr>
      <w:r>
        <w:t>（16）钢筋笼在运输过程中须有专人监护，在运输平板车上的固定措施须可靠、有效，钢筋尾端挂设警示标识牌。</w:t>
      </w:r>
    </w:p>
    <w:p>
      <w:pPr>
        <w:ind w:firstLine="480"/>
      </w:pPr>
      <w:r>
        <w:t>（17）施工作业前及时对施工作业人员进行有针对性的安全教育及安全技术交底，并留存教育及交底签字记录等资料。</w:t>
      </w:r>
      <w:bookmarkEnd w:id="183"/>
      <w:bookmarkEnd w:id="184"/>
      <w:bookmarkEnd w:id="190"/>
    </w:p>
    <w:p>
      <w:pPr>
        <w:ind w:firstLine="199" w:firstLineChars="83"/>
      </w:pPr>
    </w:p>
    <w:p>
      <w:pPr>
        <w:ind w:firstLine="480"/>
        <w:sectPr>
          <w:headerReference r:id="rId9" w:type="default"/>
          <w:footerReference r:id="rId10" w:type="default"/>
          <w:pgSz w:w="11906" w:h="16838"/>
          <w:pgMar w:top="1418" w:right="1418" w:bottom="1418" w:left="1418" w:header="851" w:footer="992" w:gutter="0"/>
          <w:pgNumType w:fmt="decimal"/>
          <w:cols w:space="425" w:num="1"/>
          <w:docGrid w:linePitch="498" w:charSpace="17788"/>
        </w:sectPr>
      </w:pPr>
    </w:p>
    <w:p>
      <w:pPr>
        <w:pStyle w:val="3"/>
        <w:rPr>
          <w:rFonts w:hint="eastAsia"/>
          <w:sz w:val="32"/>
          <w:szCs w:val="32"/>
        </w:rPr>
      </w:pPr>
      <w:bookmarkStart w:id="191" w:name="_Toc12062"/>
      <w:bookmarkStart w:id="192" w:name="_Toc32337"/>
      <w:r>
        <w:rPr>
          <w:rFonts w:hint="eastAsia"/>
          <w:sz w:val="32"/>
          <w:szCs w:val="32"/>
        </w:rPr>
        <w:t>计算书</w:t>
      </w:r>
      <w:bookmarkEnd w:id="191"/>
      <w:bookmarkEnd w:id="192"/>
    </w:p>
    <w:p>
      <w:pPr>
        <w:pStyle w:val="4"/>
        <w:bidi w:val="0"/>
      </w:pPr>
      <w:bookmarkStart w:id="193" w:name="_Toc9057"/>
      <w:bookmarkStart w:id="194" w:name="_Toc8152"/>
      <w:r>
        <w:rPr>
          <w:rFonts w:hint="eastAsia"/>
          <w:lang w:val="en-US" w:eastAsia="zh-CN"/>
        </w:rPr>
        <w:t>汽车吊支反力计算</w:t>
      </w:r>
      <w:bookmarkEnd w:id="193"/>
    </w:p>
    <w:p>
      <w:pPr>
        <w:spacing w:after="50" w:afterLines="50" w:line="300" w:lineRule="auto"/>
        <w:ind w:firstLine="420"/>
        <w:jc w:val="left"/>
        <w:rPr>
          <w:rFonts w:hint="eastAsia" w:ascii="仿宋" w:hAnsi="仿宋" w:eastAsia="仿宋"/>
          <w:szCs w:val="24"/>
        </w:rPr>
      </w:pPr>
      <w:r>
        <w:rPr>
          <w:rFonts w:hint="eastAsia" w:ascii="仿宋_GB2312" w:hAnsi="仿宋" w:eastAsia="仿宋_GB2312" w:cs="宋体"/>
          <w:color w:val="auto"/>
          <w:kern w:val="0"/>
          <w:szCs w:val="24"/>
          <w:lang w:bidi="ar"/>
        </w:rPr>
        <w:drawing>
          <wp:inline distT="0" distB="0" distL="114300" distR="114300">
            <wp:extent cx="3922395" cy="3792220"/>
            <wp:effectExtent l="0" t="0" r="1905" b="17780"/>
            <wp:docPr id="10"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descr="IMG_256"/>
                    <pic:cNvPicPr>
                      <a:picLocks noChangeAspect="1"/>
                    </pic:cNvPicPr>
                  </pic:nvPicPr>
                  <pic:blipFill>
                    <a:blip r:embed="rId41"/>
                    <a:srcRect l="2533" t="3661" r="571" b="24079"/>
                    <a:stretch>
                      <a:fillRect/>
                    </a:stretch>
                  </pic:blipFill>
                  <pic:spPr>
                    <a:xfrm>
                      <a:off x="0" y="0"/>
                      <a:ext cx="3922395" cy="3792220"/>
                    </a:xfrm>
                    <a:prstGeom prst="rect">
                      <a:avLst/>
                    </a:prstGeom>
                    <a:noFill/>
                    <a:ln w="9525">
                      <a:noFill/>
                    </a:ln>
                  </pic:spPr>
                </pic:pic>
              </a:graphicData>
            </a:graphic>
          </wp:inline>
        </w:drawing>
      </w:r>
    </w:p>
    <w:p>
      <w:pPr>
        <w:widowControl w:val="0"/>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最的重件为剩余平衡臂总成，为</w:t>
      </w:r>
      <w:r>
        <w:rPr>
          <w:rFonts w:hint="eastAsia" w:ascii="宋体" w:hAnsi="宋体" w:cs="宋体"/>
          <w:kern w:val="2"/>
          <w:sz w:val="24"/>
          <w:szCs w:val="24"/>
          <w:lang w:val="en-US" w:eastAsia="zh-CN" w:bidi="ar-SA"/>
        </w:rPr>
        <w:t>8.97</w:t>
      </w:r>
      <w:r>
        <w:rPr>
          <w:rFonts w:hint="eastAsia" w:ascii="宋体" w:hAnsi="宋体" w:eastAsia="宋体" w:cs="宋体"/>
          <w:kern w:val="2"/>
          <w:sz w:val="24"/>
          <w:szCs w:val="24"/>
          <w:lang w:val="en-US" w:eastAsia="zh-CN" w:bidi="ar-SA"/>
        </w:rPr>
        <w:t>t，此时汽车吊的幅度为10m,计算如下:</w:t>
      </w:r>
    </w:p>
    <w:p>
      <w:pPr>
        <w:numPr>
          <w:ilvl w:val="0"/>
          <w:numId w:val="0"/>
        </w:numPr>
        <w:spacing w:line="240" w:lineRule="auto"/>
        <w:ind w:firstLine="0" w:firstLineChars="0"/>
        <w:rPr>
          <w:rFonts w:hint="eastAsia"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汽车吊选型： 50.0 t</w:t>
      </w:r>
    </w:p>
    <w:p>
      <w:pPr>
        <w:numPr>
          <w:ilvl w:val="0"/>
          <w:numId w:val="0"/>
        </w:numPr>
        <w:spacing w:line="240" w:lineRule="auto"/>
        <w:ind w:firstLine="0" w:firstLineChars="0"/>
        <w:rPr>
          <w:rFonts w:hint="default"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汽车吊整机重量（带配重）G：  43.6   t</w:t>
      </w:r>
    </w:p>
    <w:p>
      <w:pPr>
        <w:numPr>
          <w:ilvl w:val="0"/>
          <w:numId w:val="0"/>
        </w:numPr>
        <w:spacing w:line="240" w:lineRule="auto"/>
        <w:ind w:firstLine="0" w:firstLineChars="0"/>
        <w:rPr>
          <w:rFonts w:hint="default"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汽车吊臂长L： 30.7   m</w:t>
      </w:r>
    </w:p>
    <w:p>
      <w:pPr>
        <w:numPr>
          <w:ilvl w:val="0"/>
          <w:numId w:val="0"/>
        </w:numPr>
        <w:spacing w:line="240" w:lineRule="auto"/>
        <w:ind w:firstLine="0" w:firstLineChars="0"/>
        <w:rPr>
          <w:rFonts w:hint="default"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汽车吊支腿间距（l×b，其中b≤l）  7.5   m×  6.1    m</w:t>
      </w:r>
    </w:p>
    <w:p>
      <w:pPr>
        <w:numPr>
          <w:ilvl w:val="0"/>
          <w:numId w:val="0"/>
        </w:numPr>
        <w:spacing w:line="240" w:lineRule="auto"/>
        <w:ind w:firstLine="0" w:firstLineChars="0"/>
        <w:rPr>
          <w:rFonts w:hint="eastAsia"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吊物幅度（R）：  10.0  m</w:t>
      </w:r>
    </w:p>
    <w:p>
      <w:pPr>
        <w:numPr>
          <w:ilvl w:val="0"/>
          <w:numId w:val="0"/>
        </w:numPr>
        <w:spacing w:line="240" w:lineRule="auto"/>
        <w:ind w:firstLine="0" w:firstLineChars="0"/>
        <w:rPr>
          <w:rFonts w:hint="default"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在R幅度下的额定载荷（PQ）：  13.5   t</w:t>
      </w:r>
    </w:p>
    <w:p>
      <w:pPr>
        <w:numPr>
          <w:ilvl w:val="0"/>
          <w:numId w:val="0"/>
        </w:numPr>
        <w:spacing w:line="240" w:lineRule="auto"/>
        <w:ind w:firstLine="0" w:firstLineChars="0"/>
        <w:rPr>
          <w:rFonts w:hint="eastAsia"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 xml:space="preserve">吊物重量GP：  </w:t>
      </w:r>
      <w:r>
        <w:rPr>
          <w:rFonts w:hint="eastAsia" w:ascii="Calibri" w:hAnsi="Calibri" w:cs="Times New Roman"/>
          <w:color w:val="auto"/>
          <w:sz w:val="24"/>
          <w:szCs w:val="24"/>
          <w:lang w:val="en-US" w:eastAsia="zh-CN"/>
        </w:rPr>
        <w:t>8.97</w:t>
      </w:r>
      <w:r>
        <w:rPr>
          <w:rFonts w:hint="eastAsia" w:ascii="Calibri" w:hAnsi="Calibri" w:eastAsia="宋体" w:cs="Times New Roman"/>
          <w:color w:val="auto"/>
          <w:sz w:val="24"/>
          <w:szCs w:val="24"/>
          <w:lang w:val="en-US" w:eastAsia="zh-CN"/>
        </w:rPr>
        <w:t xml:space="preserve">   t</w:t>
      </w:r>
    </w:p>
    <w:p>
      <w:pPr>
        <w:numPr>
          <w:ilvl w:val="0"/>
          <w:numId w:val="0"/>
        </w:numPr>
        <w:spacing w:line="240" w:lineRule="auto"/>
        <w:ind w:firstLine="0" w:firstLineChars="0"/>
        <w:rPr>
          <w:rFonts w:hint="eastAsia" w:ascii="Calibri" w:hAnsi="Calibri" w:eastAsia="宋体" w:cs="Times New Roman"/>
          <w:color w:val="auto"/>
          <w:sz w:val="24"/>
          <w:szCs w:val="24"/>
          <w:u w:val="none"/>
          <w:lang w:val="en-US" w:eastAsia="zh-CN"/>
        </w:rPr>
      </w:pPr>
      <w:r>
        <w:rPr>
          <w:rFonts w:hint="eastAsia" w:ascii="Calibri" w:hAnsi="Calibri" w:eastAsia="宋体" w:cs="Times New Roman"/>
          <w:color w:val="auto"/>
          <w:sz w:val="24"/>
          <w:szCs w:val="24"/>
          <w:lang w:val="en-US" w:eastAsia="zh-CN"/>
        </w:rPr>
        <w:t>作用于起重机上的风力（F）：  3000.0   N（若不确定，则可取0，表示无风）</w:t>
      </w:r>
    </w:p>
    <w:p>
      <w:pPr>
        <w:numPr>
          <w:ilvl w:val="0"/>
          <w:numId w:val="0"/>
        </w:numPr>
        <w:spacing w:line="240" w:lineRule="auto"/>
        <w:ind w:firstLine="0" w:firstLineChars="0"/>
        <w:rPr>
          <w:rFonts w:hint="default" w:ascii="Calibri" w:hAnsi="Calibri" w:eastAsia="宋体" w:cs="Times New Roman"/>
          <w:color w:val="auto"/>
          <w:sz w:val="24"/>
          <w:szCs w:val="24"/>
          <w:u w:val="none"/>
          <w:lang w:val="en-US" w:eastAsia="zh-CN"/>
        </w:rPr>
      </w:pPr>
      <w:r>
        <w:rPr>
          <w:rFonts w:hint="eastAsia" w:ascii="Calibri" w:hAnsi="Calibri" w:eastAsia="宋体" w:cs="Times New Roman"/>
          <w:color w:val="auto"/>
          <w:sz w:val="24"/>
          <w:szCs w:val="24"/>
          <w:u w:val="none"/>
          <w:lang w:val="en-US" w:eastAsia="zh-CN"/>
        </w:rPr>
        <w:t>若风力F不为0，则需要填写以下信息：</w:t>
      </w:r>
    </w:p>
    <w:p>
      <w:pPr>
        <w:numPr>
          <w:ilvl w:val="0"/>
          <w:numId w:val="0"/>
        </w:numPr>
        <w:spacing w:line="360" w:lineRule="auto"/>
        <w:ind w:firstLine="0" w:firstLineChars="0"/>
        <w:rPr>
          <w:rFonts w:hint="eastAsia" w:ascii="Calibri" w:hAnsi="Calibri" w:eastAsia="宋体" w:cs="Times New Roman"/>
          <w:color w:val="auto"/>
          <w:sz w:val="24"/>
          <w:szCs w:val="24"/>
          <w:u w:val="none"/>
          <w:lang w:val="en-US" w:eastAsia="zh-CN"/>
        </w:rPr>
      </w:pPr>
      <w:r>
        <w:rPr>
          <w:rFonts w:hint="eastAsia" w:ascii="Calibri" w:hAnsi="Calibri" w:eastAsia="宋体" w:cs="Times New Roman"/>
          <w:color w:val="auto"/>
          <w:sz w:val="24"/>
          <w:szCs w:val="24"/>
          <w:lang w:val="en-US" w:eastAsia="zh-CN"/>
        </w:rPr>
        <w:t>起重机挡风面积的形心高度（h2）， 3.0   m</w:t>
      </w:r>
    </w:p>
    <w:p>
      <w:pPr>
        <w:spacing w:line="240" w:lineRule="auto"/>
        <w:ind w:firstLine="0" w:firstLineChars="0"/>
        <w:rPr>
          <w:rFonts w:hint="eastAsia" w:ascii="Calibri" w:hAnsi="Calibri" w:eastAsia="宋体" w:cs="Times New Roman"/>
          <w:color w:val="auto"/>
          <w:sz w:val="24"/>
          <w:szCs w:val="24"/>
          <w:u w:val="single"/>
          <w:lang w:val="en-US" w:eastAsia="zh-CN"/>
        </w:rPr>
      </w:pPr>
      <w:r>
        <w:rPr>
          <w:rFonts w:hint="eastAsia" w:ascii="Calibri" w:hAnsi="Calibri" w:eastAsia="宋体" w:cs="Times New Roman"/>
          <w:color w:val="auto"/>
          <w:sz w:val="24"/>
          <w:szCs w:val="24"/>
          <w:lang w:val="en-US" w:eastAsia="zh-CN"/>
        </w:rPr>
        <w:t xml:space="preserve">重物摆动角度（0≤αⅡ≤6），默认为6：   6.0   </w:t>
      </w:r>
    </w:p>
    <w:p>
      <w:pPr>
        <w:numPr>
          <w:ilvl w:val="0"/>
          <w:numId w:val="0"/>
        </w:numPr>
        <w:spacing w:line="360" w:lineRule="auto"/>
        <w:ind w:firstLine="0" w:firstLineChars="0"/>
        <w:rPr>
          <w:rFonts w:hint="eastAsia" w:ascii="Calibri" w:hAnsi="Calibri" w:eastAsia="宋体" w:cs="Times New Roman"/>
          <w:color w:val="auto"/>
          <w:sz w:val="24"/>
          <w:szCs w:val="24"/>
          <w:u w:val="single"/>
          <w:lang w:val="en-US" w:eastAsia="zh-CN"/>
        </w:rPr>
      </w:pPr>
      <w:r>
        <w:rPr>
          <w:rFonts w:hint="eastAsia" w:ascii="Calibri" w:hAnsi="Calibri" w:eastAsia="宋体" w:cs="Times New Roman"/>
          <w:color w:val="auto"/>
          <w:sz w:val="24"/>
          <w:szCs w:val="24"/>
          <w:lang w:val="en-US" w:eastAsia="zh-CN"/>
        </w:rPr>
        <w:t>起重机的起重臂的端部距地面的距离（h3）: 29.03    m</w:t>
      </w:r>
    </w:p>
    <w:p>
      <w:pPr>
        <w:numPr>
          <w:ilvl w:val="0"/>
          <w:numId w:val="0"/>
        </w:numPr>
        <w:spacing w:line="240" w:lineRule="auto"/>
        <w:ind w:firstLine="0" w:firstLineChars="0"/>
        <w:rPr>
          <w:rFonts w:hint="eastAsia" w:ascii="Calibri" w:hAnsi="Calibri" w:eastAsia="宋体" w:cs="Times New Roman"/>
          <w:sz w:val="21"/>
          <w:szCs w:val="21"/>
          <w:lang w:val="en-US" w:eastAsia="zh-CN"/>
        </w:rPr>
      </w:pPr>
      <w:r>
        <w:rPr>
          <w:rFonts w:hint="eastAsia" w:ascii="Calibri" w:hAnsi="Calibri" w:eastAsia="宋体" w:cs="Times New Roman"/>
          <w:sz w:val="24"/>
          <w:szCs w:val="24"/>
          <w:lang w:val="en-US" w:eastAsia="zh-CN"/>
        </w:rPr>
        <w:t xml:space="preserve">    </w:t>
      </w:r>
    </w:p>
    <w:p>
      <w:pPr>
        <w:numPr>
          <w:ilvl w:val="0"/>
          <w:numId w:val="23"/>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根据起重机性能表，按抗倾覆稳定性反算出起重机的重心</w: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验算工况</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7"/>
        <w:gridCol w:w="5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验算工况</w:t>
            </w:r>
          </w:p>
        </w:tc>
        <w:tc>
          <w:tcPr>
            <w:tcW w:w="5835"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工况特征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c>
          <w:tcPr>
            <w:tcW w:w="5835"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无风静载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2</w:t>
            </w:r>
          </w:p>
        </w:tc>
        <w:tc>
          <w:tcPr>
            <w:tcW w:w="5835"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有风动载</w:t>
            </w:r>
          </w:p>
        </w:tc>
      </w:tr>
    </w:tbl>
    <w:p>
      <w:pPr>
        <w:numPr>
          <w:ilvl w:val="0"/>
          <w:numId w:val="0"/>
        </w:numPr>
        <w:spacing w:line="240" w:lineRule="auto"/>
        <w:ind w:firstLine="420" w:firstLineChars="0"/>
        <w:rPr>
          <w:rFonts w:hint="default" w:ascii="Calibri" w:hAnsi="Calibri" w:eastAsia="宋体" w:cs="Times New Roman"/>
          <w:sz w:val="24"/>
          <w:szCs w:val="24"/>
          <w:lang w:val="en-US" w:eastAsia="zh-CN"/>
        </w:rPr>
      </w:pP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以上两种工况下载荷系数和载荷组合分别为</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15"/>
        <w:gridCol w:w="2026"/>
        <w:gridCol w:w="1348"/>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Pr>
          <w:p>
            <w:pPr>
              <w:numPr>
                <w:ilvl w:val="0"/>
                <w:numId w:val="0"/>
              </w:numPr>
              <w:spacing w:line="240" w:lineRule="auto"/>
              <w:ind w:firstLine="0" w:firstLineChars="0"/>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验算工况</w:t>
            </w:r>
          </w:p>
        </w:tc>
        <w:tc>
          <w:tcPr>
            <w:tcW w:w="915" w:type="dxa"/>
          </w:tcPr>
          <w:p>
            <w:pPr>
              <w:numPr>
                <w:ilvl w:val="0"/>
                <w:numId w:val="0"/>
              </w:numPr>
              <w:spacing w:line="240" w:lineRule="auto"/>
              <w:ind w:firstLine="0" w:firstLineChars="0"/>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自重系数K</w:t>
            </w:r>
            <w:r>
              <w:rPr>
                <w:rFonts w:hint="eastAsia" w:ascii="Calibri" w:hAnsi="Calibri" w:eastAsia="宋体" w:cs="Times New Roman"/>
                <w:sz w:val="24"/>
                <w:szCs w:val="24"/>
                <w:vertAlign w:val="subscript"/>
                <w:lang w:val="en-US" w:eastAsia="zh-CN"/>
              </w:rPr>
              <w:t>G</w:t>
            </w:r>
          </w:p>
        </w:tc>
        <w:tc>
          <w:tcPr>
            <w:tcW w:w="2026" w:type="dxa"/>
          </w:tcPr>
          <w:p>
            <w:pPr>
              <w:numPr>
                <w:ilvl w:val="0"/>
                <w:numId w:val="0"/>
              </w:numPr>
              <w:spacing w:line="240" w:lineRule="auto"/>
              <w:ind w:firstLine="0" w:firstLineChars="0"/>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起升载荷系数K</w:t>
            </w:r>
            <w:r>
              <w:rPr>
                <w:rFonts w:hint="eastAsia" w:ascii="Calibri" w:hAnsi="Calibri" w:eastAsia="宋体" w:cs="Times New Roman"/>
                <w:sz w:val="24"/>
                <w:szCs w:val="24"/>
                <w:vertAlign w:val="subscript"/>
                <w:lang w:val="en-US" w:eastAsia="zh-CN"/>
              </w:rPr>
              <w:t>P</w:t>
            </w:r>
          </w:p>
        </w:tc>
        <w:tc>
          <w:tcPr>
            <w:tcW w:w="1348" w:type="dxa"/>
          </w:tcPr>
          <w:p>
            <w:pPr>
              <w:numPr>
                <w:ilvl w:val="0"/>
                <w:numId w:val="0"/>
              </w:numPr>
              <w:spacing w:line="240" w:lineRule="auto"/>
              <w:ind w:firstLine="0" w:firstLineChars="0"/>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水平惯性力系数（包括物品K</w:t>
            </w:r>
            <w:r>
              <w:rPr>
                <w:rFonts w:hint="eastAsia" w:ascii="Calibri" w:hAnsi="Calibri" w:eastAsia="宋体" w:cs="Times New Roman"/>
                <w:sz w:val="24"/>
                <w:szCs w:val="24"/>
                <w:vertAlign w:val="subscript"/>
                <w:lang w:val="en-US" w:eastAsia="zh-CN"/>
              </w:rPr>
              <w:t>i</w:t>
            </w:r>
          </w:p>
        </w:tc>
        <w:tc>
          <w:tcPr>
            <w:tcW w:w="879" w:type="dxa"/>
          </w:tcPr>
          <w:p>
            <w:pPr>
              <w:numPr>
                <w:ilvl w:val="0"/>
                <w:numId w:val="0"/>
              </w:numPr>
              <w:spacing w:line="240" w:lineRule="auto"/>
              <w:ind w:firstLine="0" w:firstLineChars="0"/>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风力系数K</w:t>
            </w:r>
            <w:r>
              <w:rPr>
                <w:rFonts w:hint="eastAsia" w:ascii="Calibri" w:hAnsi="Calibri" w:eastAsia="宋体" w:cs="Times New Roman"/>
                <w:sz w:val="24"/>
                <w:szCs w:val="24"/>
                <w:vertAlign w:val="subscript"/>
                <w:lang w:val="en-US" w:eastAsia="zh-CN"/>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c>
          <w:tcPr>
            <w:tcW w:w="915" w:type="dxa"/>
            <w:vMerge w:val="restart"/>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c>
          <w:tcPr>
            <w:tcW w:w="2026"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K</w:t>
            </w:r>
            <w:r>
              <w:rPr>
                <w:rFonts w:hint="eastAsia" w:ascii="Calibri" w:hAnsi="Calibri" w:eastAsia="宋体" w:cs="Times New Roman"/>
                <w:sz w:val="24"/>
                <w:szCs w:val="24"/>
                <w:vertAlign w:val="subscript"/>
                <w:lang w:val="en-US" w:eastAsia="zh-CN"/>
              </w:rPr>
              <w:t>P1</w:t>
            </w:r>
            <w:r>
              <w:rPr>
                <w:rFonts w:hint="eastAsia" w:ascii="Calibri" w:hAnsi="Calibri" w:eastAsia="宋体" w:cs="Times New Roman"/>
                <w:sz w:val="24"/>
                <w:szCs w:val="24"/>
                <w:vertAlign w:val="baseline"/>
                <w:lang w:val="en-US" w:eastAsia="zh-CN"/>
              </w:rPr>
              <w:t>=1.35</w:t>
            </w:r>
          </w:p>
        </w:tc>
        <w:tc>
          <w:tcPr>
            <w:tcW w:w="1348"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0</w:t>
            </w:r>
          </w:p>
        </w:tc>
        <w:tc>
          <w:tcPr>
            <w:tcW w:w="879"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2</w:t>
            </w:r>
          </w:p>
        </w:tc>
        <w:tc>
          <w:tcPr>
            <w:tcW w:w="915" w:type="dxa"/>
            <w:vMerge w:val="continue"/>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p>
        </w:tc>
        <w:tc>
          <w:tcPr>
            <w:tcW w:w="2026"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K</w:t>
            </w:r>
            <w:r>
              <w:rPr>
                <w:rFonts w:hint="eastAsia" w:ascii="Calibri" w:hAnsi="Calibri" w:eastAsia="宋体" w:cs="Times New Roman"/>
                <w:sz w:val="24"/>
                <w:szCs w:val="24"/>
                <w:vertAlign w:val="subscript"/>
                <w:lang w:val="en-US" w:eastAsia="zh-CN"/>
              </w:rPr>
              <w:t>P2</w:t>
            </w:r>
            <w:r>
              <w:rPr>
                <w:rFonts w:hint="eastAsia" w:ascii="Calibri" w:hAnsi="Calibri" w:eastAsia="宋体" w:cs="Times New Roman"/>
                <w:sz w:val="24"/>
                <w:szCs w:val="24"/>
                <w:vertAlign w:val="baseline"/>
                <w:lang w:val="en-US" w:eastAsia="zh-CN"/>
              </w:rPr>
              <w:t>=1.15</w:t>
            </w:r>
          </w:p>
        </w:tc>
        <w:tc>
          <w:tcPr>
            <w:tcW w:w="1348"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c>
          <w:tcPr>
            <w:tcW w:w="879" w:type="dxa"/>
            <w:vAlign w:val="center"/>
          </w:tcPr>
          <w:p>
            <w:pPr>
              <w:numPr>
                <w:ilvl w:val="0"/>
                <w:numId w:val="0"/>
              </w:numPr>
              <w:spacing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r>
    </w:tbl>
    <w:p>
      <w:pPr>
        <w:numPr>
          <w:ilvl w:val="0"/>
          <w:numId w:val="0"/>
        </w:numPr>
        <w:spacing w:line="240" w:lineRule="auto"/>
        <w:ind w:firstLine="0" w:firstLineChars="0"/>
        <w:rPr>
          <w:rFonts w:hint="default" w:ascii="Calibri" w:hAnsi="Calibri" w:eastAsia="宋体" w:cs="Times New Roman"/>
          <w:sz w:val="24"/>
          <w:szCs w:val="24"/>
          <w:lang w:val="en-US" w:eastAsia="zh-CN"/>
        </w:rPr>
      </w:pP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工况一：根据无风静载下抗倾覆稳定性校验计算式反推起重机的重心</w:t>
      </w:r>
    </w:p>
    <w:p>
      <w:pPr>
        <w:keepNext w:val="0"/>
        <w:keepLines w:val="0"/>
        <w:widowControl/>
        <w:suppressLineNumbers w:val="0"/>
        <w:spacing w:line="240" w:lineRule="auto"/>
        <w:ind w:firstLine="0" w:firstLineChars="0"/>
        <w:jc w:val="center"/>
        <w:rPr>
          <w:rFonts w:hint="eastAsia" w:ascii="Calibri" w:hAnsi="Calibri" w:eastAsia="宋体" w:cs="Times New Roman"/>
          <w:sz w:val="24"/>
          <w:szCs w:val="24"/>
          <w:lang w:eastAsia="zh-CN"/>
        </w:rPr>
      </w:pPr>
      <w:r>
        <w:rPr>
          <w:rFonts w:hint="eastAsia" w:ascii="Calibri" w:hAnsi="Calibri" w:eastAsia="宋体" w:cs="Times New Roman"/>
          <w:sz w:val="24"/>
          <w:szCs w:val="24"/>
          <w:lang w:eastAsia="zh-CN"/>
        </w:rPr>
        <w:drawing>
          <wp:inline distT="0" distB="0" distL="114300" distR="114300">
            <wp:extent cx="3565525" cy="2341880"/>
            <wp:effectExtent l="12700" t="12700" r="18415" b="22860"/>
            <wp:docPr id="3" name="图片 3" descr="1616468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6468986(1)"/>
                    <pic:cNvPicPr>
                      <a:picLocks noChangeAspect="1"/>
                    </pic:cNvPicPr>
                  </pic:nvPicPr>
                  <pic:blipFill>
                    <a:blip r:embed="rId82"/>
                    <a:stretch>
                      <a:fillRect/>
                    </a:stretch>
                  </pic:blipFill>
                  <pic:spPr>
                    <a:xfrm>
                      <a:off x="0" y="0"/>
                      <a:ext cx="3565525" cy="2341880"/>
                    </a:xfrm>
                    <a:prstGeom prst="rect">
                      <a:avLst/>
                    </a:prstGeom>
                    <a:ln w="12700" cmpd="sng">
                      <a:solidFill>
                        <a:srgbClr val="5B9BD5">
                          <a:shade val="50000"/>
                        </a:srgbClr>
                      </a:solidFill>
                      <a:prstDash val="solid"/>
                    </a:ln>
                  </pic:spPr>
                </pic:pic>
              </a:graphicData>
            </a:graphic>
          </wp:inline>
        </w:drawing>
      </w:r>
    </w:p>
    <w:p>
      <w:pPr>
        <w:numPr>
          <w:ilvl w:val="0"/>
          <w:numId w:val="0"/>
        </w:numPr>
        <w:spacing w:line="240" w:lineRule="auto"/>
        <w:ind w:firstLine="0" w:firstLineChars="0"/>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无风静载工况的抗倾覆稳定性</w:t>
      </w:r>
    </w:p>
    <w:p>
      <w:pPr>
        <w:numPr>
          <w:ilvl w:val="0"/>
          <w:numId w:val="0"/>
        </w:numPr>
        <w:spacing w:line="240" w:lineRule="auto"/>
        <w:ind w:firstLine="0" w:firstLineChars="0"/>
        <w:rPr>
          <w:rFonts w:hint="eastAsia" w:ascii="Calibri" w:hAnsi="Calibri" w:eastAsia="宋体" w:cs="Times New Roman"/>
          <w:sz w:val="24"/>
          <w:szCs w:val="24"/>
          <w:lang w:val="en-US" w:eastAsia="zh-CN"/>
        </w:rPr>
      </w:pPr>
    </w:p>
    <w:p>
      <w:pPr>
        <w:numPr>
          <w:ilvl w:val="0"/>
          <w:numId w:val="0"/>
        </w:numPr>
        <w:spacing w:line="240" w:lineRule="auto"/>
        <w:ind w:firstLine="0" w:firstLineChars="0"/>
        <w:rPr>
          <w:rFonts w:hint="default" w:ascii="Calibri" w:hAnsi="Calibri" w:eastAsia="宋体" w:cs="Times New Roman"/>
          <w:color w:val="0000FF"/>
          <w:sz w:val="24"/>
          <w:szCs w:val="24"/>
          <w:lang w:val="en-US" w:eastAsia="zh-CN"/>
        </w:rPr>
      </w:pPr>
      <w:r>
        <w:rPr>
          <w:rFonts w:hint="eastAsia" w:ascii="Calibri" w:hAnsi="Calibri" w:eastAsia="宋体" w:cs="Times New Roman"/>
          <w:sz w:val="24"/>
          <w:szCs w:val="24"/>
          <w:lang w:val="en-US" w:eastAsia="zh-CN"/>
        </w:rPr>
        <w:t>其计算式为：</w:t>
      </w:r>
      <w:r>
        <w:rPr>
          <w:rFonts w:hint="eastAsia" w:ascii="Calibri" w:hAnsi="Calibri" w:eastAsia="宋体" w:cs="Times New Roman"/>
          <w:position w:val="-14"/>
          <w:sz w:val="24"/>
          <w:szCs w:val="24"/>
          <w:lang w:val="en-US" w:eastAsia="zh-CN"/>
        </w:rPr>
        <w:drawing>
          <wp:inline distT="0" distB="0" distL="114300" distR="114300">
            <wp:extent cx="2536190" cy="414655"/>
            <wp:effectExtent l="0" t="0" r="8890" b="12065"/>
            <wp:docPr id="6" name="图片 6" descr="公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公式1"/>
                    <pic:cNvPicPr>
                      <a:picLocks noChangeAspect="1"/>
                    </pic:cNvPicPr>
                  </pic:nvPicPr>
                  <pic:blipFill>
                    <a:blip r:embed="rId83"/>
                    <a:stretch>
                      <a:fillRect/>
                    </a:stretch>
                  </pic:blipFill>
                  <pic:spPr>
                    <a:xfrm>
                      <a:off x="0" y="0"/>
                      <a:ext cx="2536190" cy="414655"/>
                    </a:xfrm>
                    <a:prstGeom prst="rect">
                      <a:avLst/>
                    </a:prstGeom>
                  </pic:spPr>
                </pic:pic>
              </a:graphicData>
            </a:graphic>
          </wp:inline>
        </w:drawing>
      </w: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令</w:t>
      </w:r>
      <w:r>
        <w:rPr>
          <w:rFonts w:hint="default" w:ascii="Calibri" w:hAnsi="Calibri" w:eastAsia="宋体" w:cs="Times New Roman"/>
          <w:sz w:val="24"/>
          <w:szCs w:val="24"/>
          <w:lang w:val="en-US" w:eastAsia="zh-CN"/>
        </w:rPr>
        <w:drawing>
          <wp:inline distT="0" distB="0" distL="114300" distR="114300">
            <wp:extent cx="670560" cy="369570"/>
            <wp:effectExtent l="0" t="0" r="0" b="11430"/>
            <wp:docPr id="8" name="图片 8"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公式2"/>
                    <pic:cNvPicPr>
                      <a:picLocks noChangeAspect="1"/>
                    </pic:cNvPicPr>
                  </pic:nvPicPr>
                  <pic:blipFill>
                    <a:blip r:embed="rId84"/>
                    <a:stretch>
                      <a:fillRect/>
                    </a:stretch>
                  </pic:blipFill>
                  <pic:spPr>
                    <a:xfrm>
                      <a:off x="0" y="0"/>
                      <a:ext cx="670560" cy="369570"/>
                    </a:xfrm>
                    <a:prstGeom prst="rect">
                      <a:avLst/>
                    </a:prstGeom>
                  </pic:spPr>
                </pic:pic>
              </a:graphicData>
            </a:graphic>
          </wp:inline>
        </w:drawing>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则起重机的重心最小需满足</w: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drawing>
          <wp:inline distT="0" distB="0" distL="114300" distR="114300">
            <wp:extent cx="4692015" cy="1020445"/>
            <wp:effectExtent l="0" t="0" r="1905" b="635"/>
            <wp:docPr id="106" name="图片 106" descr="公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公式3"/>
                    <pic:cNvPicPr>
                      <a:picLocks noChangeAspect="1"/>
                    </pic:cNvPicPr>
                  </pic:nvPicPr>
                  <pic:blipFill>
                    <a:blip r:embed="rId85"/>
                    <a:stretch>
                      <a:fillRect/>
                    </a:stretch>
                  </pic:blipFill>
                  <pic:spPr>
                    <a:xfrm>
                      <a:off x="0" y="0"/>
                      <a:ext cx="4692015" cy="1020445"/>
                    </a:xfrm>
                    <a:prstGeom prst="rect">
                      <a:avLst/>
                    </a:prstGeom>
                  </pic:spPr>
                </pic:pic>
              </a:graphicData>
            </a:graphic>
          </wp:inline>
        </w:drawing>
      </w:r>
      <w:r>
        <w:rPr>
          <w:rFonts w:hint="eastAsia" w:ascii="Calibri" w:hAnsi="Calibri" w:eastAsia="宋体" w:cs="Times New Roman"/>
          <w:sz w:val="24"/>
          <w:szCs w:val="24"/>
          <w:lang w:val="en-US" w:eastAsia="zh-CN"/>
        </w:rPr>
        <w:t xml:space="preserve">         </w:t>
      </w: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=-0.14  （１）</w: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式中    K</w:t>
      </w:r>
      <w:r>
        <w:rPr>
          <w:rFonts w:hint="eastAsia" w:ascii="Calibri" w:hAnsi="Calibri" w:eastAsia="宋体" w:cs="Times New Roman"/>
          <w:sz w:val="24"/>
          <w:szCs w:val="24"/>
          <w:vertAlign w:val="subscript"/>
          <w:lang w:val="en-US" w:eastAsia="zh-CN"/>
        </w:rPr>
        <w:t>G</w:t>
      </w:r>
      <w:r>
        <w:rPr>
          <w:rFonts w:hint="eastAsia" w:ascii="Calibri" w:hAnsi="Calibri" w:eastAsia="宋体" w:cs="Times New Roman"/>
          <w:sz w:val="24"/>
          <w:szCs w:val="24"/>
          <w:lang w:val="en-US" w:eastAsia="zh-CN"/>
        </w:rPr>
        <w:t>和K</w:t>
      </w:r>
      <w:r>
        <w:rPr>
          <w:rFonts w:hint="eastAsia" w:ascii="Calibri" w:hAnsi="Calibri" w:eastAsia="宋体" w:cs="Times New Roman"/>
          <w:sz w:val="24"/>
          <w:szCs w:val="24"/>
          <w:vertAlign w:val="subscript"/>
          <w:lang w:val="en-US" w:eastAsia="zh-CN"/>
        </w:rPr>
        <w:t>P1</w:t>
      </w:r>
      <w:r>
        <w:rPr>
          <w:rFonts w:hint="eastAsia" w:ascii="Calibri" w:hAnsi="Calibri" w:eastAsia="宋体" w:cs="Times New Roman"/>
          <w:sz w:val="24"/>
          <w:szCs w:val="24"/>
          <w:lang w:val="en-US" w:eastAsia="zh-CN"/>
        </w:rPr>
        <w:t>——分别为起重机自重和起升载荷系数；</w:t>
      </w: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G——起重机重力（N）</w: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b——起重机轨距（对汽车式和轮胎式起重机为两侧车轮间的横向间距），打支腿作业时为支腿的横向间距（m）；</w: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c1——起重机重心到回转中心的水平距离（ｍ）；</w: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R——起升载荷的幅度（m）</w:t>
      </w:r>
    </w:p>
    <w:p>
      <w:pPr>
        <w:numPr>
          <w:ilvl w:val="0"/>
          <w:numId w:val="0"/>
        </w:numPr>
        <w:spacing w:line="240" w:lineRule="auto"/>
        <w:ind w:firstLine="1440" w:firstLineChars="60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P</w:t>
      </w:r>
      <w:r>
        <w:rPr>
          <w:rFonts w:hint="eastAsia" w:ascii="Calibri" w:hAnsi="Calibri" w:eastAsia="宋体" w:cs="Times New Roman"/>
          <w:sz w:val="24"/>
          <w:szCs w:val="24"/>
          <w:vertAlign w:val="subscript"/>
          <w:lang w:val="en-US" w:eastAsia="zh-CN"/>
        </w:rPr>
        <w:t>Q</w:t>
      </w:r>
      <w:r>
        <w:rPr>
          <w:rFonts w:hint="eastAsia" w:ascii="Calibri" w:hAnsi="Calibri" w:eastAsia="宋体" w:cs="Times New Roman"/>
          <w:sz w:val="24"/>
          <w:szCs w:val="24"/>
          <w:lang w:val="en-US" w:eastAsia="zh-CN"/>
        </w:rPr>
        <w:t>——幅度R时的额定起升重量（按起重机性能表中取值，即幅度为R时，其吊重为P</w:t>
      </w:r>
      <w:r>
        <w:rPr>
          <w:rFonts w:hint="eastAsia" w:ascii="Calibri" w:hAnsi="Calibri" w:eastAsia="宋体" w:cs="Times New Roman"/>
          <w:sz w:val="24"/>
          <w:szCs w:val="24"/>
          <w:vertAlign w:val="subscript"/>
          <w:lang w:val="en-US" w:eastAsia="zh-CN"/>
        </w:rPr>
        <w:t>Q</w:t>
      </w:r>
      <w:r>
        <w:rPr>
          <w:rFonts w:hint="eastAsia" w:ascii="Calibri" w:hAnsi="Calibri" w:eastAsia="宋体" w:cs="Times New Roman"/>
          <w:sz w:val="24"/>
          <w:szCs w:val="24"/>
          <w:lang w:val="en-US" w:eastAsia="zh-CN"/>
        </w:rPr>
        <w:t>）。</w:t>
      </w:r>
    </w:p>
    <w:p>
      <w:pPr>
        <w:numPr>
          <w:ilvl w:val="0"/>
          <w:numId w:val="0"/>
        </w:numPr>
        <w:spacing w:line="240" w:lineRule="auto"/>
        <w:ind w:firstLine="0" w:firstLineChars="0"/>
        <w:rPr>
          <w:rFonts w:hint="default" w:ascii="Calibri" w:hAnsi="Calibri" w:eastAsia="宋体" w:cs="Times New Roman"/>
          <w:sz w:val="24"/>
          <w:szCs w:val="24"/>
          <w:lang w:val="en-US" w:eastAsia="zh-CN"/>
        </w:rPr>
      </w:pP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工况二：有风动载</w:t>
      </w:r>
    </w:p>
    <w:p>
      <w:pPr>
        <w:numPr>
          <w:ilvl w:val="0"/>
          <w:numId w:val="0"/>
        </w:numPr>
        <w:spacing w:line="240" w:lineRule="auto"/>
        <w:ind w:firstLine="0" w:firstLineChars="0"/>
        <w:rPr>
          <w:rFonts w:hint="eastAsia" w:ascii="Calibri" w:hAnsi="Calibri" w:eastAsia="宋体" w:cs="Times New Roman"/>
          <w:sz w:val="24"/>
          <w:szCs w:val="24"/>
          <w:lang w:val="en-US" w:eastAsia="zh-CN"/>
        </w:rPr>
      </w:pPr>
    </w:p>
    <w:p>
      <w:pPr>
        <w:keepNext w:val="0"/>
        <w:keepLines w:val="0"/>
        <w:widowControl/>
        <w:suppressLineNumbers w:val="0"/>
        <w:spacing w:line="240" w:lineRule="auto"/>
        <w:ind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71770" cy="3723640"/>
            <wp:effectExtent l="12700" t="12700" r="19050" b="12700"/>
            <wp:docPr id="108" name="图片 108" descr="1616736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616736004(1)"/>
                    <pic:cNvPicPr>
                      <a:picLocks noChangeAspect="1"/>
                    </pic:cNvPicPr>
                  </pic:nvPicPr>
                  <pic:blipFill>
                    <a:blip r:embed="rId86"/>
                    <a:stretch>
                      <a:fillRect/>
                    </a:stretch>
                  </pic:blipFill>
                  <pic:spPr>
                    <a:xfrm>
                      <a:off x="0" y="0"/>
                      <a:ext cx="5271770" cy="3723640"/>
                    </a:xfrm>
                    <a:prstGeom prst="rect">
                      <a:avLst/>
                    </a:prstGeom>
                    <a:ln w="12700" cmpd="sng">
                      <a:solidFill>
                        <a:srgbClr val="5B9BD5">
                          <a:shade val="50000"/>
                        </a:srgbClr>
                      </a:solidFill>
                      <a:prstDash val="solid"/>
                    </a:ln>
                  </pic:spPr>
                </pic:pic>
              </a:graphicData>
            </a:graphic>
          </wp:inline>
        </w:drawing>
      </w:r>
    </w:p>
    <w:p>
      <w:pPr>
        <w:numPr>
          <w:ilvl w:val="0"/>
          <w:numId w:val="0"/>
        </w:numPr>
        <w:spacing w:line="240" w:lineRule="auto"/>
        <w:ind w:firstLine="0" w:firstLineChars="0"/>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起重机定置作业时的抗倾覆稳定性（臂架垂直于倾覆线）</w:t>
      </w:r>
    </w:p>
    <w:p>
      <w:pPr>
        <w:numPr>
          <w:ilvl w:val="0"/>
          <w:numId w:val="24"/>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臂架垂直于危险倾覆线（假定起重机轨距或两侧车轮间的横向间距小于轴距）其稳定性校核计算式为</w:t>
      </w: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color w:val="0000FF"/>
          <w:position w:val="-14"/>
          <w:sz w:val="24"/>
          <w:szCs w:val="24"/>
          <w:lang w:val="en-US" w:eastAsia="zh-CN"/>
        </w:rPr>
        <w:drawing>
          <wp:inline distT="0" distB="0" distL="114300" distR="114300">
            <wp:extent cx="5273040" cy="634365"/>
            <wp:effectExtent l="0" t="0" r="0" b="5715"/>
            <wp:docPr id="109" name="图片 109" descr="公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公式4"/>
                    <pic:cNvPicPr>
                      <a:picLocks noChangeAspect="1"/>
                    </pic:cNvPicPr>
                  </pic:nvPicPr>
                  <pic:blipFill>
                    <a:blip r:embed="rId87"/>
                    <a:stretch>
                      <a:fillRect/>
                    </a:stretch>
                  </pic:blipFill>
                  <pic:spPr>
                    <a:xfrm>
                      <a:off x="0" y="0"/>
                      <a:ext cx="5273040" cy="634365"/>
                    </a:xfrm>
                    <a:prstGeom prst="rect">
                      <a:avLst/>
                    </a:prstGeom>
                  </pic:spPr>
                </pic:pic>
              </a:graphicData>
            </a:graphic>
          </wp:inline>
        </w:drawing>
      </w: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令</w:t>
      </w:r>
      <w:r>
        <w:rPr>
          <w:rFonts w:hint="default" w:ascii="Calibri" w:hAnsi="Calibri" w:eastAsia="宋体" w:cs="Times New Roman"/>
          <w:sz w:val="24"/>
          <w:szCs w:val="24"/>
          <w:lang w:val="en-US" w:eastAsia="zh-CN"/>
        </w:rPr>
        <w:drawing>
          <wp:inline distT="0" distB="0" distL="114300" distR="114300">
            <wp:extent cx="706755" cy="389255"/>
            <wp:effectExtent l="0" t="0" r="9525" b="6985"/>
            <wp:docPr id="110" name="图片 110"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公式2"/>
                    <pic:cNvPicPr>
                      <a:picLocks noChangeAspect="1"/>
                    </pic:cNvPicPr>
                  </pic:nvPicPr>
                  <pic:blipFill>
                    <a:blip r:embed="rId84"/>
                    <a:stretch>
                      <a:fillRect/>
                    </a:stretch>
                  </pic:blipFill>
                  <pic:spPr>
                    <a:xfrm>
                      <a:off x="0" y="0"/>
                      <a:ext cx="706755" cy="389255"/>
                    </a:xfrm>
                    <a:prstGeom prst="rect">
                      <a:avLst/>
                    </a:prstGeom>
                  </pic:spPr>
                </pic:pic>
              </a:graphicData>
            </a:graphic>
          </wp:inline>
        </w:drawing>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则起重机的重心最小需满足</w: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ascii="Calibri" w:hAnsi="Calibri" w:eastAsia="宋体" w:cs="Times New Roman"/>
          <w:sz w:val="21"/>
          <w:szCs w:val="24"/>
        </w:rPr>
        <w:drawing>
          <wp:inline distT="0" distB="0" distL="114300" distR="114300">
            <wp:extent cx="4473575" cy="1563370"/>
            <wp:effectExtent l="0" t="0" r="6985" b="6350"/>
            <wp:docPr id="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4"/>
                    <pic:cNvPicPr>
                      <a:picLocks noChangeAspect="1"/>
                    </pic:cNvPicPr>
                  </pic:nvPicPr>
                  <pic:blipFill>
                    <a:blip r:embed="rId88"/>
                    <a:stretch>
                      <a:fillRect/>
                    </a:stretch>
                  </pic:blipFill>
                  <pic:spPr>
                    <a:xfrm>
                      <a:off x="0" y="0"/>
                      <a:ext cx="4473575" cy="1563370"/>
                    </a:xfrm>
                    <a:prstGeom prst="rect">
                      <a:avLst/>
                    </a:prstGeom>
                    <a:noFill/>
                    <a:ln>
                      <a:noFill/>
                    </a:ln>
                  </pic:spPr>
                </pic:pic>
              </a:graphicData>
            </a:graphic>
          </wp:inline>
        </w:drawing>
      </w:r>
      <w:r>
        <w:rPr>
          <w:rFonts w:hint="eastAsia" w:ascii="Calibri" w:hAnsi="Calibri" w:eastAsia="宋体" w:cs="Times New Roman"/>
          <w:sz w:val="24"/>
          <w:szCs w:val="24"/>
          <w:lang w:val="en-US" w:eastAsia="zh-CN"/>
        </w:rPr>
        <w:t xml:space="preserve">     </w:t>
      </w:r>
    </w:p>
    <w:p>
      <w:pPr>
        <w:numPr>
          <w:ilvl w:val="0"/>
          <w:numId w:val="0"/>
        </w:numPr>
        <w:spacing w:line="240" w:lineRule="auto"/>
        <w:ind w:firstLine="240" w:firstLineChars="10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=0.53 （２）其中——工作状态下吊重绳相对铅垂线的最大偏摆角（°），取0°或3°~6°。</w:t>
      </w:r>
      <w:r>
        <w:rPr>
          <w:rFonts w:hint="eastAsia" w:ascii="Calibri" w:hAnsi="Calibri" w:eastAsia="宋体" w:cs="Times New Roman"/>
          <w:sz w:val="24"/>
          <w:szCs w:val="24"/>
          <w:lang w:val="en-US" w:eastAsia="zh-CN"/>
        </w:rPr>
        <w:object>
          <v:shape id="_x0000_i1030" o:spt="75" type="#_x0000_t75" style="height:17pt;width:17pt;" o:ole="t" filled="f" o:preferrelative="t" stroked="f" coordsize="21600,21600">
            <v:path/>
            <v:fill on="f" focussize="0,0"/>
            <v:stroke on="f"/>
            <v:imagedata r:id="rId90" o:title=""/>
            <o:lock v:ext="edit" aspectratio="t"/>
            <w10:wrap type="none"/>
            <w10:anchorlock/>
          </v:shape>
          <o:OLEObject Type="Embed" ProgID="Equation.KSEE3" ShapeID="_x0000_i1030" DrawAspect="Content" ObjectID="_1468075730" r:id="rId89">
            <o:LockedField>false</o:LockedField>
          </o:OLEObject>
        </w:objec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w:t>
      </w:r>
      <w:r>
        <w:rPr>
          <w:rFonts w:hint="eastAsia" w:ascii="Calibri" w:hAnsi="Calibri" w:eastAsia="宋体" w:cs="Times New Roman"/>
          <w:sz w:val="24"/>
          <w:szCs w:val="24"/>
          <w:vertAlign w:val="baseline"/>
          <w:lang w:val="en-US" w:eastAsia="zh-CN"/>
        </w:rPr>
        <w:t>K</w:t>
      </w:r>
      <w:r>
        <w:rPr>
          <w:rFonts w:hint="eastAsia" w:ascii="Calibri" w:hAnsi="Calibri" w:eastAsia="宋体" w:cs="Times New Roman"/>
          <w:sz w:val="24"/>
          <w:szCs w:val="24"/>
          <w:vertAlign w:val="subscript"/>
          <w:lang w:val="en-US" w:eastAsia="zh-CN"/>
        </w:rPr>
        <w:t>f</w:t>
      </w:r>
      <w:r>
        <w:rPr>
          <w:rFonts w:hint="eastAsia" w:ascii="Calibri" w:hAnsi="Calibri" w:eastAsia="宋体" w:cs="Times New Roman"/>
          <w:sz w:val="24"/>
          <w:szCs w:val="24"/>
          <w:lang w:val="en-US" w:eastAsia="zh-CN"/>
        </w:rPr>
        <w:t>——风力系数</w:t>
      </w: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w:t>
      </w:r>
      <w:r>
        <w:rPr>
          <w:rFonts w:hint="eastAsia" w:ascii="Calibri" w:hAnsi="Calibri" w:eastAsia="宋体" w:cs="Times New Roman"/>
          <w:sz w:val="24"/>
          <w:szCs w:val="24"/>
          <w:vertAlign w:val="baseline"/>
          <w:lang w:val="en-US" w:eastAsia="zh-CN"/>
        </w:rPr>
        <w:t>h</w:t>
      </w:r>
      <w:r>
        <w:rPr>
          <w:rFonts w:hint="eastAsia" w:ascii="Calibri" w:hAnsi="Calibri" w:eastAsia="宋体" w:cs="Times New Roman"/>
          <w:sz w:val="24"/>
          <w:szCs w:val="24"/>
          <w:vertAlign w:val="subscript"/>
          <w:lang w:val="en-US" w:eastAsia="zh-CN"/>
        </w:rPr>
        <w:t>２</w:t>
      </w:r>
      <w:r>
        <w:rPr>
          <w:rFonts w:hint="eastAsia" w:ascii="Calibri" w:hAnsi="Calibri" w:eastAsia="宋体" w:cs="Times New Roman"/>
          <w:sz w:val="24"/>
          <w:szCs w:val="24"/>
          <w:lang w:val="en-US" w:eastAsia="zh-CN"/>
        </w:rPr>
        <w:t>——起重机挡风面积的形心高度（ｍ）</w:t>
      </w: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w:t>
      </w:r>
      <w:r>
        <w:rPr>
          <w:rFonts w:hint="eastAsia" w:ascii="Calibri" w:hAnsi="Calibri" w:eastAsia="宋体" w:cs="Times New Roman"/>
          <w:sz w:val="24"/>
          <w:szCs w:val="24"/>
          <w:vertAlign w:val="baseline"/>
          <w:lang w:val="en-US" w:eastAsia="zh-CN"/>
        </w:rPr>
        <w:t>h</w:t>
      </w:r>
      <w:r>
        <w:rPr>
          <w:rFonts w:hint="eastAsia" w:ascii="Calibri" w:hAnsi="Calibri" w:eastAsia="宋体" w:cs="Times New Roman"/>
          <w:sz w:val="24"/>
          <w:szCs w:val="24"/>
          <w:vertAlign w:val="subscript"/>
          <w:lang w:val="en-US" w:eastAsia="zh-CN"/>
        </w:rPr>
        <w:t>３</w:t>
      </w:r>
      <w:r>
        <w:rPr>
          <w:rFonts w:hint="eastAsia" w:ascii="Calibri" w:hAnsi="Calibri" w:eastAsia="宋体" w:cs="Times New Roman"/>
          <w:sz w:val="24"/>
          <w:szCs w:val="24"/>
          <w:lang w:val="en-US" w:eastAsia="zh-CN"/>
        </w:rPr>
        <w:t>——起重机臂架端物品悬吊点的高度</w:t>
      </w:r>
    </w:p>
    <w:p>
      <w:pPr>
        <w:numPr>
          <w:ilvl w:val="0"/>
          <w:numId w:val="0"/>
        </w:numPr>
        <w:spacing w:line="240" w:lineRule="auto"/>
        <w:ind w:firstLine="720" w:firstLineChars="30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F——作用于起重机上的风力（Ｎ）</w:t>
      </w:r>
    </w:p>
    <w:p>
      <w:pPr>
        <w:widowControl w:val="0"/>
        <w:numPr>
          <w:ilvl w:val="0"/>
          <w:numId w:val="0"/>
        </w:numPr>
        <w:spacing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其余符号与上式同。</w:t>
      </w:r>
    </w:p>
    <w:p>
      <w:pPr>
        <w:widowControl w:val="0"/>
        <w:numPr>
          <w:ilvl w:val="0"/>
          <w:numId w:val="0"/>
        </w:numPr>
        <w:spacing w:line="240" w:lineRule="auto"/>
        <w:ind w:firstLine="0" w:firstLineChars="0"/>
        <w:jc w:val="both"/>
        <w:rPr>
          <w:rFonts w:hint="default" w:ascii="Calibri" w:hAnsi="Calibri" w:eastAsia="宋体" w:cs="Times New Roman"/>
          <w:sz w:val="24"/>
          <w:szCs w:val="24"/>
          <w:lang w:val="en-US" w:eastAsia="zh-CN"/>
        </w:rPr>
      </w:pPr>
    </w:p>
    <w:p>
      <w:pPr>
        <w:numPr>
          <w:ilvl w:val="0"/>
          <w:numId w:val="24"/>
        </w:numPr>
        <w:spacing w:line="240" w:lineRule="auto"/>
        <w:ind w:left="0" w:leftChars="0"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臂架与倾覆线成４５</w:t>
      </w:r>
      <w:r>
        <w:rPr>
          <w:rFonts w:hint="eastAsia" w:ascii="微软雅黑" w:hAnsi="微软雅黑" w:eastAsia="微软雅黑" w:cs="微软雅黑"/>
          <w:sz w:val="24"/>
          <w:szCs w:val="24"/>
          <w:lang w:val="en-US" w:eastAsia="zh-CN"/>
        </w:rPr>
        <w:t>°</w:t>
      </w:r>
      <w:r>
        <w:rPr>
          <w:rFonts w:hint="eastAsia" w:ascii="Calibri" w:hAnsi="Calibri" w:eastAsia="宋体" w:cs="Times New Roman"/>
          <w:sz w:val="24"/>
          <w:szCs w:val="24"/>
          <w:lang w:val="en-US" w:eastAsia="zh-CN"/>
        </w:rPr>
        <w:t>时</w:t>
      </w:r>
    </w:p>
    <w:p>
      <w:pPr>
        <w:keepNext w:val="0"/>
        <w:keepLines w:val="0"/>
        <w:widowControl/>
        <w:suppressLineNumbers w:val="0"/>
        <w:spacing w:line="240" w:lineRule="auto"/>
        <w:ind w:firstLine="0" w:firstLineChars="0"/>
        <w:jc w:val="center"/>
        <w:rPr>
          <w:rFonts w:hint="eastAsia" w:ascii="Calibri" w:hAnsi="Calibri" w:eastAsia="宋体" w:cs="Times New Roman"/>
          <w:sz w:val="21"/>
          <w:szCs w:val="24"/>
          <w:lang w:eastAsia="zh-CN"/>
        </w:rPr>
      </w:pPr>
      <w:r>
        <w:rPr>
          <w:rFonts w:hint="eastAsia" w:ascii="Calibri" w:hAnsi="Calibri" w:eastAsia="宋体" w:cs="Times New Roman"/>
          <w:sz w:val="21"/>
          <w:szCs w:val="24"/>
          <w:lang w:eastAsia="zh-CN"/>
        </w:rPr>
        <w:drawing>
          <wp:inline distT="0" distB="0" distL="114300" distR="114300">
            <wp:extent cx="5006340" cy="3718560"/>
            <wp:effectExtent l="12700" t="12700" r="25400" b="17780"/>
            <wp:docPr id="4" name="图片 4" descr="1616736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6736993(1)"/>
                    <pic:cNvPicPr>
                      <a:picLocks noChangeAspect="1"/>
                    </pic:cNvPicPr>
                  </pic:nvPicPr>
                  <pic:blipFill>
                    <a:blip r:embed="rId91"/>
                    <a:stretch>
                      <a:fillRect/>
                    </a:stretch>
                  </pic:blipFill>
                  <pic:spPr>
                    <a:xfrm>
                      <a:off x="0" y="0"/>
                      <a:ext cx="5006340" cy="3718560"/>
                    </a:xfrm>
                    <a:prstGeom prst="rect">
                      <a:avLst/>
                    </a:prstGeom>
                    <a:ln w="12700" cmpd="sng">
                      <a:solidFill>
                        <a:srgbClr val="5B9BD5">
                          <a:shade val="50000"/>
                        </a:srgbClr>
                      </a:solidFill>
                      <a:prstDash val="solid"/>
                    </a:ln>
                  </pic:spPr>
                </pic:pic>
              </a:graphicData>
            </a:graphic>
          </wp:inline>
        </w:drawing>
      </w:r>
    </w:p>
    <w:p>
      <w:pPr>
        <w:numPr>
          <w:ilvl w:val="0"/>
          <w:numId w:val="0"/>
        </w:numPr>
        <w:spacing w:line="240" w:lineRule="auto"/>
        <w:ind w:firstLine="0" w:firstLineChars="0"/>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起重机定置作业时的抗倾覆稳定性（臂架与倾覆线成４５</w:t>
      </w:r>
      <w:r>
        <w:rPr>
          <w:rFonts w:hint="eastAsia" w:ascii="微软雅黑" w:hAnsi="微软雅黑" w:eastAsia="微软雅黑" w:cs="微软雅黑"/>
          <w:sz w:val="24"/>
          <w:szCs w:val="24"/>
          <w:lang w:val="en-US" w:eastAsia="zh-CN"/>
        </w:rPr>
        <w:t>°时</w:t>
      </w:r>
      <w:r>
        <w:rPr>
          <w:rFonts w:hint="eastAsia" w:ascii="Calibri" w:hAnsi="Calibri" w:eastAsia="宋体" w:cs="Times New Roman"/>
          <w:sz w:val="24"/>
          <w:szCs w:val="24"/>
          <w:lang w:val="en-US" w:eastAsia="zh-CN"/>
        </w:rPr>
        <w:t>）</w:t>
      </w:r>
    </w:p>
    <w:p>
      <w:pPr>
        <w:numPr>
          <w:ilvl w:val="0"/>
          <w:numId w:val="0"/>
        </w:numPr>
        <w:spacing w:line="240" w:lineRule="auto"/>
        <w:ind w:leftChars="0"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其稳定性校核公式为：</w:t>
      </w:r>
    </w:p>
    <w:p>
      <w:pPr>
        <w:numPr>
          <w:ilvl w:val="0"/>
          <w:numId w:val="0"/>
        </w:numPr>
        <w:spacing w:line="240" w:lineRule="auto"/>
        <w:ind w:leftChars="0" w:firstLine="0" w:firstLineChars="0"/>
        <w:rPr>
          <w:rFonts w:hint="default" w:ascii="Calibri" w:hAnsi="Calibri" w:eastAsia="宋体" w:cs="Times New Roman"/>
          <w:position w:val="-30"/>
          <w:sz w:val="24"/>
          <w:szCs w:val="24"/>
          <w:lang w:val="en-US" w:eastAsia="zh-CN"/>
        </w:rPr>
      </w:pPr>
      <w:r>
        <w:rPr>
          <w:rFonts w:hint="eastAsia" w:ascii="Calibri" w:hAnsi="Calibri" w:eastAsia="宋体" w:cs="Times New Roman"/>
          <w:sz w:val="24"/>
          <w:szCs w:val="24"/>
          <w:lang w:val="en-US" w:eastAsia="zh-CN"/>
        </w:rPr>
        <w:t xml:space="preserve"> </w:t>
      </w:r>
      <w:r>
        <w:rPr>
          <w:rFonts w:hint="default" w:ascii="Calibri" w:hAnsi="Calibri" w:eastAsia="宋体" w:cs="Times New Roman"/>
          <w:position w:val="-30"/>
          <w:sz w:val="24"/>
          <w:szCs w:val="24"/>
          <w:lang w:val="en-US" w:eastAsia="zh-CN"/>
        </w:rPr>
        <w:drawing>
          <wp:inline distT="0" distB="0" distL="114300" distR="114300">
            <wp:extent cx="5268595" cy="579120"/>
            <wp:effectExtent l="0" t="0" r="4445" b="0"/>
            <wp:docPr id="111" name="图片 111" descr="公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公式6"/>
                    <pic:cNvPicPr>
                      <a:picLocks noChangeAspect="1"/>
                    </pic:cNvPicPr>
                  </pic:nvPicPr>
                  <pic:blipFill>
                    <a:blip r:embed="rId92"/>
                    <a:stretch>
                      <a:fillRect/>
                    </a:stretch>
                  </pic:blipFill>
                  <pic:spPr>
                    <a:xfrm>
                      <a:off x="0" y="0"/>
                      <a:ext cx="5268595" cy="579120"/>
                    </a:xfrm>
                    <a:prstGeom prst="rect">
                      <a:avLst/>
                    </a:prstGeom>
                  </pic:spPr>
                </pic:pic>
              </a:graphicData>
            </a:graphic>
          </wp:inline>
        </w:drawing>
      </w:r>
    </w:p>
    <w:p>
      <w:pPr>
        <w:numPr>
          <w:ilvl w:val="0"/>
          <w:numId w:val="0"/>
        </w:numPr>
        <w:spacing w:line="240" w:lineRule="auto"/>
        <w:ind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令</w:t>
      </w:r>
      <w:r>
        <w:rPr>
          <w:rFonts w:hint="default" w:ascii="Calibri" w:hAnsi="Calibri" w:eastAsia="宋体" w:cs="Times New Roman"/>
          <w:sz w:val="24"/>
          <w:szCs w:val="24"/>
          <w:lang w:val="en-US" w:eastAsia="zh-CN"/>
        </w:rPr>
        <w:drawing>
          <wp:inline distT="0" distB="0" distL="114300" distR="114300">
            <wp:extent cx="689610" cy="379730"/>
            <wp:effectExtent l="0" t="0" r="11430" b="1270"/>
            <wp:docPr id="112" name="图片 112"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公式2"/>
                    <pic:cNvPicPr>
                      <a:picLocks noChangeAspect="1"/>
                    </pic:cNvPicPr>
                  </pic:nvPicPr>
                  <pic:blipFill>
                    <a:blip r:embed="rId84"/>
                    <a:stretch>
                      <a:fillRect/>
                    </a:stretch>
                  </pic:blipFill>
                  <pic:spPr>
                    <a:xfrm>
                      <a:off x="0" y="0"/>
                      <a:ext cx="689610" cy="379730"/>
                    </a:xfrm>
                    <a:prstGeom prst="rect">
                      <a:avLst/>
                    </a:prstGeom>
                  </pic:spPr>
                </pic:pic>
              </a:graphicData>
            </a:graphic>
          </wp:inline>
        </w:drawing>
      </w:r>
    </w:p>
    <w:p>
      <w:pPr>
        <w:numPr>
          <w:ilvl w:val="0"/>
          <w:numId w:val="0"/>
        </w:numPr>
        <w:spacing w:line="240" w:lineRule="auto"/>
        <w:ind w:firstLine="0" w:firstLineChars="0"/>
        <w:rPr>
          <w:rFonts w:hint="default" w:ascii="Calibri" w:hAnsi="Calibri" w:eastAsia="宋体" w:cs="Times New Roman"/>
          <w:sz w:val="24"/>
          <w:szCs w:val="24"/>
          <w:lang w:val="en-US" w:eastAsia="zh-CN"/>
        </w:rPr>
      </w:pPr>
    </w:p>
    <w:p>
      <w:pPr>
        <w:numPr>
          <w:ilvl w:val="0"/>
          <w:numId w:val="0"/>
        </w:numPr>
        <w:spacing w:line="240" w:lineRule="auto"/>
        <w:ind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则起重机的重心最小需满足</w:t>
      </w:r>
    </w:p>
    <w:p>
      <w:pPr>
        <w:numPr>
          <w:ilvl w:val="0"/>
          <w:numId w:val="0"/>
        </w:numPr>
        <w:spacing w:line="240" w:lineRule="auto"/>
        <w:ind w:leftChars="0"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drawing>
          <wp:inline distT="0" distB="0" distL="114300" distR="114300">
            <wp:extent cx="4561205" cy="1590040"/>
            <wp:effectExtent l="0" t="0" r="10795" b="10160"/>
            <wp:docPr id="113" name="图片 113" descr="公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公式7"/>
                    <pic:cNvPicPr>
                      <a:picLocks noChangeAspect="1"/>
                    </pic:cNvPicPr>
                  </pic:nvPicPr>
                  <pic:blipFill>
                    <a:blip r:embed="rId93"/>
                    <a:stretch>
                      <a:fillRect/>
                    </a:stretch>
                  </pic:blipFill>
                  <pic:spPr>
                    <a:xfrm>
                      <a:off x="0" y="0"/>
                      <a:ext cx="4561205" cy="1590040"/>
                    </a:xfrm>
                    <a:prstGeom prst="rect">
                      <a:avLst/>
                    </a:prstGeom>
                  </pic:spPr>
                </pic:pic>
              </a:graphicData>
            </a:graphic>
          </wp:inline>
        </w:drawing>
      </w:r>
      <w:r>
        <w:rPr>
          <w:rFonts w:hint="eastAsia" w:ascii="Calibri" w:hAnsi="Calibri" w:eastAsia="宋体" w:cs="Times New Roman"/>
          <w:sz w:val="24"/>
          <w:szCs w:val="24"/>
          <w:lang w:val="en-US" w:eastAsia="zh-CN"/>
        </w:rPr>
        <w:t xml:space="preserve">      </w:t>
      </w:r>
    </w:p>
    <w:p>
      <w:pPr>
        <w:numPr>
          <w:ilvl w:val="0"/>
          <w:numId w:val="0"/>
        </w:numPr>
        <w:spacing w:line="240" w:lineRule="auto"/>
        <w:ind w:leftChars="0"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=-0.77 （３）</w:t>
      </w:r>
    </w:p>
    <w:p>
      <w:pPr>
        <w:numPr>
          <w:ilvl w:val="0"/>
          <w:numId w:val="0"/>
        </w:numPr>
        <w:spacing w:line="240" w:lineRule="auto"/>
        <w:ind w:leftChars="0" w:firstLine="0" w:firstLineChars="0"/>
        <w:rPr>
          <w:rFonts w:hint="default" w:ascii="Calibri" w:hAnsi="Calibri" w:eastAsia="宋体" w:cs="Times New Roman"/>
          <w:sz w:val="24"/>
          <w:szCs w:val="24"/>
          <w:lang w:val="en-US" w:eastAsia="zh-CN"/>
        </w:rPr>
      </w:pPr>
    </w:p>
    <w:p>
      <w:pPr>
        <w:numPr>
          <w:ilvl w:val="0"/>
          <w:numId w:val="0"/>
        </w:numPr>
        <w:spacing w:line="240" w:lineRule="auto"/>
        <w:ind w:leftChars="0"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二计算起重机支承反力</w:t>
      </w:r>
    </w:p>
    <w:p>
      <w:pPr>
        <w:numPr>
          <w:ilvl w:val="0"/>
          <w:numId w:val="0"/>
        </w:numPr>
        <w:spacing w:line="240" w:lineRule="auto"/>
        <w:ind w:leftChars="0"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2.1 四点支承的支腿支反力</w:t>
      </w:r>
    </w:p>
    <w:p>
      <w:pPr>
        <w:numPr>
          <w:ilvl w:val="0"/>
          <w:numId w:val="0"/>
        </w:numPr>
        <w:spacing w:line="240" w:lineRule="auto"/>
        <w:ind w:leftChars="0"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取ｃ＝max[c1、c2、c3]= 0.532，可使以下计算偏安全</w:t>
      </w:r>
    </w:p>
    <w:p>
      <w:pPr>
        <w:numPr>
          <w:ilvl w:val="0"/>
          <w:numId w:val="0"/>
        </w:numPr>
        <w:spacing w:line="240" w:lineRule="auto"/>
        <w:ind w:leftChars="0"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drawing>
          <wp:inline distT="0" distB="0" distL="114300" distR="114300">
            <wp:extent cx="4529455" cy="4036695"/>
            <wp:effectExtent l="12700" t="12700" r="14605" b="19685"/>
            <wp:docPr id="114" name="图片 114" descr="1616737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1616737278(1)"/>
                    <pic:cNvPicPr>
                      <a:picLocks noChangeAspect="1"/>
                    </pic:cNvPicPr>
                  </pic:nvPicPr>
                  <pic:blipFill>
                    <a:blip r:embed="rId94"/>
                    <a:stretch>
                      <a:fillRect/>
                    </a:stretch>
                  </pic:blipFill>
                  <pic:spPr>
                    <a:xfrm>
                      <a:off x="0" y="0"/>
                      <a:ext cx="4529455" cy="4036695"/>
                    </a:xfrm>
                    <a:prstGeom prst="rect">
                      <a:avLst/>
                    </a:prstGeom>
                    <a:ln w="12700" cmpd="sng">
                      <a:solidFill>
                        <a:srgbClr val="5B9BD5">
                          <a:shade val="50000"/>
                        </a:srgbClr>
                      </a:solidFill>
                      <a:prstDash val="solid"/>
                    </a:ln>
                  </pic:spPr>
                </pic:pic>
              </a:graphicData>
            </a:graphic>
          </wp:inline>
        </w:drawing>
      </w:r>
    </w:p>
    <w:p>
      <w:pPr>
        <w:numPr>
          <w:ilvl w:val="0"/>
          <w:numId w:val="0"/>
        </w:numPr>
        <w:spacing w:line="240" w:lineRule="auto"/>
        <w:ind w:leftChars="0"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起重机由ABCD四点支承，其重力为G，等效重心为距回转中心的距离为c，夹角为</w:t>
      </w:r>
      <w:r>
        <w:rPr>
          <w:rFonts w:hint="default" w:ascii="Arial" w:hAnsi="Arial" w:eastAsia="宋体" w:cs="Arial"/>
          <w:sz w:val="24"/>
          <w:szCs w:val="24"/>
          <w:lang w:val="en-US" w:eastAsia="zh-CN"/>
        </w:rPr>
        <w:t>β</w:t>
      </w:r>
      <w:r>
        <w:rPr>
          <w:rFonts w:hint="eastAsia" w:ascii="Calibri" w:hAnsi="Calibri" w:eastAsia="宋体" w:cs="Times New Roman"/>
          <w:sz w:val="24"/>
          <w:szCs w:val="24"/>
          <w:lang w:val="en-US" w:eastAsia="zh-CN"/>
        </w:rPr>
        <w:t>，货物的重量为Gp，在幅度为R，夹角为</w:t>
      </w:r>
      <w:r>
        <w:rPr>
          <w:rFonts w:hint="default" w:ascii="Arial" w:hAnsi="Arial" w:eastAsia="宋体" w:cs="Arial"/>
          <w:sz w:val="24"/>
          <w:szCs w:val="24"/>
          <w:lang w:val="en-US" w:eastAsia="zh-CN"/>
        </w:rPr>
        <w:t>β</w:t>
      </w:r>
      <w:r>
        <w:rPr>
          <w:rFonts w:hint="eastAsia" w:ascii="Calibri" w:hAnsi="Calibri" w:eastAsia="宋体" w:cs="Times New Roman"/>
          <w:sz w:val="24"/>
          <w:szCs w:val="24"/>
          <w:lang w:val="en-US" w:eastAsia="zh-CN"/>
        </w:rPr>
        <w:t xml:space="preserve">时，刚性支腿ABCD的垂直反力分别为   </w:t>
      </w:r>
      <w:r>
        <w:rPr>
          <w:rFonts w:hint="eastAsia" w:ascii="Calibri" w:hAnsi="Calibri" w:eastAsia="宋体" w:cs="Times New Roman"/>
          <w:color w:val="0000FF"/>
          <w:sz w:val="24"/>
          <w:szCs w:val="24"/>
          <w:lang w:val="en-US" w:eastAsia="zh-CN"/>
        </w:rPr>
        <w:t xml:space="preserve"> </w:t>
      </w:r>
    </w:p>
    <w:p>
      <w:pPr>
        <w:numPr>
          <w:ilvl w:val="0"/>
          <w:numId w:val="0"/>
        </w:numPr>
        <w:spacing w:line="240" w:lineRule="auto"/>
        <w:ind w:leftChars="0" w:firstLine="0" w:firstLineChars="0"/>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3152140" cy="713105"/>
            <wp:effectExtent l="0" t="0" r="2540" b="317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5"/>
                    <a:stretch>
                      <a:fillRect/>
                    </a:stretch>
                  </pic:blipFill>
                  <pic:spPr>
                    <a:xfrm>
                      <a:off x="0" y="0"/>
                      <a:ext cx="3152140" cy="713105"/>
                    </a:xfrm>
                    <a:prstGeom prst="rect">
                      <a:avLst/>
                    </a:prstGeom>
                    <a:noFill/>
                    <a:ln>
                      <a:noFill/>
                    </a:ln>
                  </pic:spPr>
                </pic:pic>
              </a:graphicData>
            </a:graphic>
          </wp:inline>
        </w:drawing>
      </w:r>
    </w:p>
    <w:p>
      <w:pPr>
        <w:numPr>
          <w:ilvl w:val="0"/>
          <w:numId w:val="0"/>
        </w:numPr>
        <w:spacing w:line="240" w:lineRule="auto"/>
        <w:ind w:leftChars="0" w:firstLine="0" w:firstLineChars="0"/>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=117.</w:t>
      </w:r>
      <w:r>
        <w:rPr>
          <w:rFonts w:hint="eastAsia" w:ascii="Calibri" w:hAnsi="Calibri" w:cs="Times New Roman"/>
          <w:sz w:val="21"/>
          <w:szCs w:val="24"/>
          <w:lang w:val="en-US" w:eastAsia="zh-CN"/>
        </w:rPr>
        <w:t>11</w:t>
      </w:r>
      <w:r>
        <w:rPr>
          <w:rFonts w:hint="eastAsia" w:ascii="Calibri" w:hAnsi="Calibri" w:eastAsia="宋体" w:cs="Times New Roman"/>
          <w:sz w:val="21"/>
          <w:szCs w:val="24"/>
          <w:lang w:val="en-US" w:eastAsia="zh-CN"/>
        </w:rPr>
        <w:t>KN</w:t>
      </w:r>
    </w:p>
    <w:p>
      <w:pPr>
        <w:numPr>
          <w:ilvl w:val="0"/>
          <w:numId w:val="0"/>
        </w:numPr>
        <w:spacing w:line="240" w:lineRule="auto"/>
        <w:ind w:leftChars="0" w:firstLine="0" w:firstLineChars="0"/>
        <w:rPr>
          <w:rFonts w:hint="eastAsia" w:ascii="Calibri" w:hAnsi="Calibri" w:eastAsia="宋体" w:cs="Times New Roman"/>
          <w:sz w:val="21"/>
          <w:szCs w:val="24"/>
          <w:lang w:val="en-US" w:eastAsia="zh-CN"/>
        </w:rPr>
      </w:pPr>
    </w:p>
    <w:p>
      <w:pPr>
        <w:numPr>
          <w:ilvl w:val="0"/>
          <w:numId w:val="0"/>
        </w:numPr>
        <w:spacing w:line="240" w:lineRule="auto"/>
        <w:ind w:leftChars="0" w:firstLine="0" w:firstLineChars="0"/>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3132455" cy="671830"/>
            <wp:effectExtent l="0" t="0" r="6985" b="13970"/>
            <wp:docPr id="1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
                    <pic:cNvPicPr>
                      <a:picLocks noChangeAspect="1"/>
                    </pic:cNvPicPr>
                  </pic:nvPicPr>
                  <pic:blipFill>
                    <a:blip r:embed="rId96"/>
                    <a:stretch>
                      <a:fillRect/>
                    </a:stretch>
                  </pic:blipFill>
                  <pic:spPr>
                    <a:xfrm>
                      <a:off x="0" y="0"/>
                      <a:ext cx="3132455" cy="671830"/>
                    </a:xfrm>
                    <a:prstGeom prst="rect">
                      <a:avLst/>
                    </a:prstGeom>
                    <a:noFill/>
                    <a:ln>
                      <a:noFill/>
                    </a:ln>
                  </pic:spPr>
                </pic:pic>
              </a:graphicData>
            </a:graphic>
          </wp:inline>
        </w:drawing>
      </w:r>
    </w:p>
    <w:p>
      <w:pPr>
        <w:numPr>
          <w:ilvl w:val="0"/>
          <w:numId w:val="0"/>
        </w:numPr>
        <w:spacing w:line="240" w:lineRule="auto"/>
        <w:ind w:leftChars="0" w:firstLine="0" w:firstLineChars="0"/>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=2</w:t>
      </w:r>
      <w:r>
        <w:rPr>
          <w:rFonts w:hint="eastAsia" w:ascii="Calibri" w:hAnsi="Calibri" w:cs="Times New Roman"/>
          <w:sz w:val="21"/>
          <w:szCs w:val="24"/>
          <w:lang w:val="en-US" w:eastAsia="zh-CN"/>
        </w:rPr>
        <w:t>01.69</w:t>
      </w:r>
      <w:r>
        <w:rPr>
          <w:rFonts w:hint="eastAsia" w:ascii="Calibri" w:hAnsi="Calibri" w:eastAsia="宋体" w:cs="Times New Roman"/>
          <w:sz w:val="21"/>
          <w:szCs w:val="24"/>
          <w:lang w:val="en-US" w:eastAsia="zh-CN"/>
        </w:rPr>
        <w:t>KN</w:t>
      </w:r>
    </w:p>
    <w:p>
      <w:pPr>
        <w:numPr>
          <w:ilvl w:val="0"/>
          <w:numId w:val="0"/>
        </w:numPr>
        <w:spacing w:line="240" w:lineRule="auto"/>
        <w:ind w:leftChars="0" w:firstLine="0" w:firstLineChars="0"/>
        <w:rPr>
          <w:rFonts w:hint="eastAsia" w:ascii="Calibri" w:hAnsi="Calibri" w:eastAsia="宋体" w:cs="Times New Roman"/>
          <w:sz w:val="21"/>
          <w:szCs w:val="24"/>
          <w:lang w:val="en-US" w:eastAsia="zh-CN"/>
        </w:rPr>
      </w:pPr>
    </w:p>
    <w:p>
      <w:pPr>
        <w:numPr>
          <w:ilvl w:val="0"/>
          <w:numId w:val="0"/>
        </w:numPr>
        <w:spacing w:line="240" w:lineRule="auto"/>
        <w:ind w:leftChars="0" w:firstLine="0" w:firstLineChars="0"/>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3100705" cy="621665"/>
            <wp:effectExtent l="0" t="0" r="8255" b="3175"/>
            <wp:docPr id="1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
                    <pic:cNvPicPr>
                      <a:picLocks noChangeAspect="1"/>
                    </pic:cNvPicPr>
                  </pic:nvPicPr>
                  <pic:blipFill>
                    <a:blip r:embed="rId97"/>
                    <a:stretch>
                      <a:fillRect/>
                    </a:stretch>
                  </pic:blipFill>
                  <pic:spPr>
                    <a:xfrm>
                      <a:off x="0" y="0"/>
                      <a:ext cx="3100705" cy="621665"/>
                    </a:xfrm>
                    <a:prstGeom prst="rect">
                      <a:avLst/>
                    </a:prstGeom>
                    <a:noFill/>
                    <a:ln>
                      <a:noFill/>
                    </a:ln>
                  </pic:spPr>
                </pic:pic>
              </a:graphicData>
            </a:graphic>
          </wp:inline>
        </w:drawing>
      </w:r>
    </w:p>
    <w:p>
      <w:pPr>
        <w:numPr>
          <w:ilvl w:val="0"/>
          <w:numId w:val="0"/>
        </w:numPr>
        <w:spacing w:line="240" w:lineRule="auto"/>
        <w:ind w:leftChars="0" w:firstLine="0" w:firstLineChars="0"/>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=14</w:t>
      </w:r>
      <w:r>
        <w:rPr>
          <w:rFonts w:hint="eastAsia" w:ascii="Calibri" w:hAnsi="Calibri" w:cs="Times New Roman"/>
          <w:sz w:val="21"/>
          <w:szCs w:val="24"/>
          <w:lang w:val="en-US" w:eastAsia="zh-CN"/>
        </w:rPr>
        <w:t>5.74</w:t>
      </w:r>
      <w:r>
        <w:rPr>
          <w:rFonts w:hint="eastAsia" w:ascii="Calibri" w:hAnsi="Calibri" w:eastAsia="宋体" w:cs="Times New Roman"/>
          <w:sz w:val="21"/>
          <w:szCs w:val="24"/>
          <w:lang w:val="en-US" w:eastAsia="zh-CN"/>
        </w:rPr>
        <w:t>KN</w:t>
      </w:r>
    </w:p>
    <w:p>
      <w:pPr>
        <w:numPr>
          <w:ilvl w:val="0"/>
          <w:numId w:val="0"/>
        </w:numPr>
        <w:spacing w:line="240" w:lineRule="auto"/>
        <w:ind w:leftChars="0" w:firstLine="0" w:firstLineChars="0"/>
        <w:rPr>
          <w:rFonts w:hint="eastAsia" w:ascii="Calibri" w:hAnsi="Calibri" w:eastAsia="宋体" w:cs="Times New Roman"/>
          <w:sz w:val="21"/>
          <w:szCs w:val="24"/>
          <w:lang w:val="en-US" w:eastAsia="zh-CN"/>
        </w:rPr>
      </w:pPr>
    </w:p>
    <w:p>
      <w:pPr>
        <w:numPr>
          <w:ilvl w:val="0"/>
          <w:numId w:val="0"/>
        </w:numPr>
        <w:spacing w:line="240" w:lineRule="auto"/>
        <w:ind w:leftChars="0" w:firstLine="0" w:firstLineChars="0"/>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3021330" cy="669925"/>
            <wp:effectExtent l="0" t="0" r="11430" b="635"/>
            <wp:docPr id="1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
                    <pic:cNvPicPr>
                      <a:picLocks noChangeAspect="1"/>
                    </pic:cNvPicPr>
                  </pic:nvPicPr>
                  <pic:blipFill>
                    <a:blip r:embed="rId98"/>
                    <a:stretch>
                      <a:fillRect/>
                    </a:stretch>
                  </pic:blipFill>
                  <pic:spPr>
                    <a:xfrm>
                      <a:off x="0" y="0"/>
                      <a:ext cx="3021330" cy="669925"/>
                    </a:xfrm>
                    <a:prstGeom prst="rect">
                      <a:avLst/>
                    </a:prstGeom>
                    <a:noFill/>
                    <a:ln>
                      <a:noFill/>
                    </a:ln>
                  </pic:spPr>
                </pic:pic>
              </a:graphicData>
            </a:graphic>
          </wp:inline>
        </w:drawing>
      </w:r>
    </w:p>
    <w:p>
      <w:pPr>
        <w:numPr>
          <w:ilvl w:val="0"/>
          <w:numId w:val="0"/>
        </w:numPr>
        <w:spacing w:line="240" w:lineRule="auto"/>
        <w:ind w:leftChars="0" w:firstLine="0" w:firstLineChars="0"/>
        <w:rPr>
          <w:rFonts w:hint="default"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w:t>
      </w:r>
      <w:r>
        <w:rPr>
          <w:rFonts w:hint="eastAsia" w:ascii="Calibri" w:hAnsi="Calibri" w:cs="Times New Roman"/>
          <w:sz w:val="21"/>
          <w:szCs w:val="24"/>
          <w:lang w:val="en-US" w:eastAsia="zh-CN"/>
        </w:rPr>
        <w:t>61.16</w:t>
      </w:r>
      <w:r>
        <w:rPr>
          <w:rFonts w:hint="eastAsia" w:ascii="Calibri" w:hAnsi="Calibri" w:eastAsia="宋体" w:cs="Times New Roman"/>
          <w:sz w:val="21"/>
          <w:szCs w:val="24"/>
          <w:lang w:val="en-US" w:eastAsia="zh-CN"/>
        </w:rPr>
        <w:t>KN</w:t>
      </w:r>
    </w:p>
    <w:p>
      <w:pPr>
        <w:numPr>
          <w:ilvl w:val="0"/>
          <w:numId w:val="0"/>
        </w:numPr>
        <w:spacing w:line="240" w:lineRule="auto"/>
        <w:ind w:leftChars="0" w:firstLine="0" w:firstLineChars="0"/>
        <w:rPr>
          <w:rFonts w:hint="default" w:ascii="Calibri" w:hAnsi="Calibri" w:eastAsia="宋体" w:cs="Times New Roman"/>
          <w:sz w:val="24"/>
          <w:szCs w:val="24"/>
          <w:lang w:val="en-US" w:eastAsia="zh-CN"/>
        </w:rPr>
      </w:pPr>
    </w:p>
    <w:p>
      <w:pPr>
        <w:numPr>
          <w:ilvl w:val="0"/>
          <w:numId w:val="0"/>
        </w:numPr>
        <w:spacing w:line="240" w:lineRule="auto"/>
        <w:ind w:leftChars="0" w:firstLine="0" w:firstLineChars="0"/>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其中</w:t>
      </w:r>
      <w:r>
        <w:rPr>
          <w:rFonts w:hint="default" w:ascii="Calibri" w:hAnsi="Calibri" w:eastAsia="宋体" w:cs="Times New Roman"/>
          <w:position w:val="-14"/>
          <w:sz w:val="24"/>
          <w:szCs w:val="24"/>
          <w:lang w:val="en-US" w:eastAsia="zh-CN"/>
        </w:rPr>
        <w:object>
          <v:shape id="_x0000_i1031" o:spt="75" type="#_x0000_t75" style="height:19pt;width:51pt;" o:ole="t" filled="f" o:preferrelative="t" stroked="f" coordsize="21600,21600">
            <v:path/>
            <v:fill on="f" focussize="0,0"/>
            <v:stroke on="f"/>
            <v:imagedata r:id="rId100" o:title=""/>
            <o:lock v:ext="edit" aspectratio="t"/>
            <w10:wrap type="none"/>
            <w10:anchorlock/>
          </v:shape>
          <o:OLEObject Type="Embed" ProgID="Equation.KSEE3" ShapeID="_x0000_i1031" DrawAspect="Content" ObjectID="_1468075731" r:id="rId99">
            <o:LockedField>false</o:LockedField>
          </o:OLEObject>
        </w:object>
      </w:r>
      <w:r>
        <w:rPr>
          <w:rFonts w:hint="eastAsia" w:ascii="Calibri" w:hAnsi="Calibri" w:eastAsia="宋体" w:cs="Times New Roman"/>
          <w:sz w:val="24"/>
          <w:szCs w:val="24"/>
          <w:lang w:val="en-US" w:eastAsia="zh-CN"/>
        </w:rPr>
        <w:t>为货物向旋转中心转化的力矩在x、y方向的分力矩</w:t>
      </w:r>
    </w:p>
    <w:p>
      <w:pPr>
        <w:numPr>
          <w:ilvl w:val="0"/>
          <w:numId w:val="0"/>
        </w:numPr>
        <w:spacing w:line="240" w:lineRule="auto"/>
        <w:ind w:left="840" w:leftChars="0" w:firstLine="420" w:firstLineChars="0"/>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1499870" cy="480060"/>
            <wp:effectExtent l="0" t="0" r="8890" b="7620"/>
            <wp:docPr id="1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
                    <pic:cNvPicPr>
                      <a:picLocks noChangeAspect="1"/>
                    </pic:cNvPicPr>
                  </pic:nvPicPr>
                  <pic:blipFill>
                    <a:blip r:embed="rId101"/>
                    <a:stretch>
                      <a:fillRect/>
                    </a:stretch>
                  </pic:blipFill>
                  <pic:spPr>
                    <a:xfrm>
                      <a:off x="0" y="0"/>
                      <a:ext cx="1499870" cy="480060"/>
                    </a:xfrm>
                    <a:prstGeom prst="rect">
                      <a:avLst/>
                    </a:prstGeom>
                    <a:noFill/>
                    <a:ln>
                      <a:noFill/>
                    </a:ln>
                  </pic:spPr>
                </pic:pic>
              </a:graphicData>
            </a:graphic>
          </wp:inline>
        </w:drawing>
      </w:r>
    </w:p>
    <w:p>
      <w:pPr>
        <w:numPr>
          <w:ilvl w:val="0"/>
          <w:numId w:val="0"/>
        </w:numPr>
        <w:spacing w:line="240" w:lineRule="auto"/>
        <w:ind w:left="840" w:leftChars="0" w:firstLine="420" w:firstLineChars="0"/>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w:t>
      </w:r>
      <w:r>
        <w:rPr>
          <w:rFonts w:hint="eastAsia" w:ascii="Calibri" w:hAnsi="Calibri" w:cs="Times New Roman"/>
          <w:sz w:val="21"/>
          <w:szCs w:val="24"/>
          <w:lang w:val="en-US" w:eastAsia="zh-CN"/>
        </w:rPr>
        <w:t>71.01</w:t>
      </w:r>
      <w:r>
        <w:rPr>
          <w:rFonts w:hint="eastAsia" w:ascii="Calibri" w:hAnsi="Calibri" w:eastAsia="宋体" w:cs="Times New Roman"/>
          <w:sz w:val="21"/>
          <w:szCs w:val="24"/>
          <w:lang w:val="en-US" w:eastAsia="zh-CN"/>
        </w:rPr>
        <w:t>tm</w:t>
      </w:r>
    </w:p>
    <w:p>
      <w:pPr>
        <w:numPr>
          <w:ilvl w:val="0"/>
          <w:numId w:val="0"/>
        </w:numPr>
        <w:spacing w:line="240" w:lineRule="auto"/>
        <w:ind w:left="840" w:leftChars="0" w:firstLine="420" w:firstLineChars="0"/>
        <w:rPr>
          <w:rFonts w:hint="eastAsia" w:ascii="Calibri" w:hAnsi="Calibri" w:eastAsia="宋体" w:cs="Times New Roman"/>
          <w:sz w:val="21"/>
          <w:szCs w:val="24"/>
          <w:lang w:val="en-US" w:eastAsia="zh-CN"/>
        </w:rPr>
      </w:pPr>
    </w:p>
    <w:p>
      <w:pPr>
        <w:numPr>
          <w:ilvl w:val="0"/>
          <w:numId w:val="0"/>
        </w:numPr>
        <w:spacing w:line="240" w:lineRule="auto"/>
        <w:ind w:left="840" w:leftChars="0" w:firstLine="420" w:firstLineChars="0"/>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1506855" cy="512445"/>
            <wp:effectExtent l="0" t="0" r="1905" b="5715"/>
            <wp:docPr id="1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
                    <pic:cNvPicPr>
                      <a:picLocks noChangeAspect="1"/>
                    </pic:cNvPicPr>
                  </pic:nvPicPr>
                  <pic:blipFill>
                    <a:blip r:embed="rId102"/>
                    <a:stretch>
                      <a:fillRect/>
                    </a:stretch>
                  </pic:blipFill>
                  <pic:spPr>
                    <a:xfrm>
                      <a:off x="0" y="0"/>
                      <a:ext cx="1506855" cy="512445"/>
                    </a:xfrm>
                    <a:prstGeom prst="rect">
                      <a:avLst/>
                    </a:prstGeom>
                    <a:noFill/>
                    <a:ln>
                      <a:noFill/>
                    </a:ln>
                  </pic:spPr>
                </pic:pic>
              </a:graphicData>
            </a:graphic>
          </wp:inline>
        </w:drawing>
      </w:r>
    </w:p>
    <w:p>
      <w:pPr>
        <w:numPr>
          <w:ilvl w:val="0"/>
          <w:numId w:val="0"/>
        </w:numPr>
        <w:spacing w:line="240" w:lineRule="auto"/>
        <w:ind w:left="840" w:leftChars="0" w:firstLine="420" w:firstLineChars="0"/>
        <w:rPr>
          <w:rFonts w:hint="eastAsia" w:ascii="Calibri" w:hAnsi="Calibri" w:eastAsia="宋体" w:cs="Times New Roman"/>
          <w:sz w:val="24"/>
          <w:szCs w:val="24"/>
          <w:lang w:val="en-US" w:eastAsia="zh-CN"/>
        </w:rPr>
      </w:pPr>
      <w:r>
        <w:rPr>
          <w:rFonts w:hint="eastAsia" w:ascii="Calibri" w:hAnsi="Calibri" w:eastAsia="宋体" w:cs="Times New Roman"/>
          <w:sz w:val="21"/>
          <w:szCs w:val="24"/>
          <w:lang w:val="en-US" w:eastAsia="zh-CN"/>
        </w:rPr>
        <w:t>=</w:t>
      </w:r>
      <w:r>
        <w:rPr>
          <w:rFonts w:hint="eastAsia" w:ascii="Calibri" w:hAnsi="Calibri" w:cs="Times New Roman"/>
          <w:sz w:val="21"/>
          <w:szCs w:val="24"/>
          <w:lang w:val="en-US" w:eastAsia="zh-CN"/>
        </w:rPr>
        <w:t>57.75</w:t>
      </w:r>
      <w:r>
        <w:rPr>
          <w:rFonts w:hint="eastAsia" w:ascii="Calibri" w:hAnsi="Calibri" w:eastAsia="宋体" w:cs="Times New Roman"/>
          <w:sz w:val="21"/>
          <w:szCs w:val="24"/>
          <w:lang w:val="en-US" w:eastAsia="zh-CN"/>
        </w:rPr>
        <w:t>tm</w:t>
      </w:r>
    </w:p>
    <w:p>
      <w:pPr>
        <w:numPr>
          <w:ilvl w:val="0"/>
          <w:numId w:val="0"/>
        </w:numPr>
        <w:spacing w:line="240" w:lineRule="auto"/>
        <w:ind w:leftChars="0" w:firstLine="0" w:firstLineChars="0"/>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w:t>
      </w:r>
      <w:r>
        <w:rPr>
          <w:rFonts w:hint="default" w:ascii="Calibri" w:hAnsi="Calibri" w:eastAsia="宋体" w:cs="Times New Roman"/>
          <w:position w:val="-14"/>
          <w:sz w:val="24"/>
          <w:szCs w:val="24"/>
          <w:lang w:val="en-US" w:eastAsia="zh-CN"/>
        </w:rPr>
        <w:object>
          <v:shape id="_x0000_i1032" o:spt="75" type="#_x0000_t75" style="height:19pt;width:54pt;" o:ole="t" filled="f" o:preferrelative="t" stroked="f" coordsize="21600,21600">
            <v:path/>
            <v:fill on="f" focussize="0,0"/>
            <v:stroke on="f"/>
            <v:imagedata r:id="rId104" o:title=""/>
            <o:lock v:ext="edit" aspectratio="t"/>
            <w10:wrap type="none"/>
            <w10:anchorlock/>
          </v:shape>
          <o:OLEObject Type="Embed" ProgID="Equation.KSEE3" ShapeID="_x0000_i1032" DrawAspect="Content" ObjectID="_1468075732" r:id="rId103">
            <o:LockedField>false</o:LockedField>
          </o:OLEObject>
        </w:object>
      </w:r>
      <w:r>
        <w:rPr>
          <w:rFonts w:hint="eastAsia" w:ascii="Calibri" w:hAnsi="Calibri" w:eastAsia="宋体" w:cs="Times New Roman"/>
          <w:sz w:val="24"/>
          <w:szCs w:val="24"/>
          <w:lang w:val="en-US" w:eastAsia="zh-CN"/>
        </w:rPr>
        <w:t>为起重机向旋转中心转化的力矩在x、y方向的分力矩</w:t>
      </w:r>
    </w:p>
    <w:p>
      <w:pPr>
        <w:numPr>
          <w:ilvl w:val="0"/>
          <w:numId w:val="0"/>
        </w:numPr>
        <w:spacing w:line="240" w:lineRule="auto"/>
        <w:ind w:leftChars="0" w:firstLine="1205" w:firstLineChars="574"/>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1550035" cy="433705"/>
            <wp:effectExtent l="0" t="0" r="4445" b="8255"/>
            <wp:docPr id="1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
                    <pic:cNvPicPr>
                      <a:picLocks noChangeAspect="1"/>
                    </pic:cNvPicPr>
                  </pic:nvPicPr>
                  <pic:blipFill>
                    <a:blip r:embed="rId105"/>
                    <a:stretch>
                      <a:fillRect/>
                    </a:stretch>
                  </pic:blipFill>
                  <pic:spPr>
                    <a:xfrm>
                      <a:off x="0" y="0"/>
                      <a:ext cx="1550035" cy="433705"/>
                    </a:xfrm>
                    <a:prstGeom prst="rect">
                      <a:avLst/>
                    </a:prstGeom>
                    <a:noFill/>
                    <a:ln>
                      <a:noFill/>
                    </a:ln>
                  </pic:spPr>
                </pic:pic>
              </a:graphicData>
            </a:graphic>
          </wp:inline>
        </w:drawing>
      </w:r>
    </w:p>
    <w:p>
      <w:pPr>
        <w:numPr>
          <w:ilvl w:val="0"/>
          <w:numId w:val="0"/>
        </w:numPr>
        <w:spacing w:line="240" w:lineRule="auto"/>
        <w:ind w:leftChars="0" w:firstLine="1205" w:firstLineChars="574"/>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w:t>
      </w:r>
      <w:r>
        <w:rPr>
          <w:rFonts w:hint="eastAsia" w:ascii="Calibri" w:hAnsi="Calibri" w:cs="Times New Roman"/>
          <w:sz w:val="21"/>
          <w:szCs w:val="24"/>
          <w:lang w:val="en-US" w:eastAsia="zh-CN"/>
        </w:rPr>
        <w:t>18.36</w:t>
      </w:r>
      <w:r>
        <w:rPr>
          <w:rFonts w:hint="eastAsia" w:ascii="Calibri" w:hAnsi="Calibri" w:eastAsia="宋体" w:cs="Times New Roman"/>
          <w:sz w:val="21"/>
          <w:szCs w:val="24"/>
          <w:lang w:val="en-US" w:eastAsia="zh-CN"/>
        </w:rPr>
        <w:t>tm</w:t>
      </w:r>
    </w:p>
    <w:p>
      <w:pPr>
        <w:numPr>
          <w:ilvl w:val="0"/>
          <w:numId w:val="0"/>
        </w:numPr>
        <w:spacing w:line="240" w:lineRule="auto"/>
        <w:ind w:leftChars="0" w:firstLine="1205" w:firstLineChars="574"/>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1531620" cy="429260"/>
            <wp:effectExtent l="0" t="0" r="7620" b="1270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06"/>
                    <a:stretch>
                      <a:fillRect/>
                    </a:stretch>
                  </pic:blipFill>
                  <pic:spPr>
                    <a:xfrm>
                      <a:off x="0" y="0"/>
                      <a:ext cx="1531620" cy="429260"/>
                    </a:xfrm>
                    <a:prstGeom prst="rect">
                      <a:avLst/>
                    </a:prstGeom>
                    <a:noFill/>
                    <a:ln>
                      <a:noFill/>
                    </a:ln>
                  </pic:spPr>
                </pic:pic>
              </a:graphicData>
            </a:graphic>
          </wp:inline>
        </w:drawing>
      </w:r>
    </w:p>
    <w:p>
      <w:pPr>
        <w:numPr>
          <w:ilvl w:val="0"/>
          <w:numId w:val="0"/>
        </w:numPr>
        <w:spacing w:line="240" w:lineRule="auto"/>
        <w:ind w:leftChars="0" w:firstLine="1205" w:firstLineChars="574"/>
        <w:rPr>
          <w:rFonts w:hint="default" w:ascii="Calibri" w:hAnsi="Calibri" w:eastAsia="宋体" w:cs="Times New Roman"/>
          <w:sz w:val="24"/>
          <w:szCs w:val="24"/>
          <w:lang w:val="en-US" w:eastAsia="zh-CN"/>
        </w:rPr>
      </w:pPr>
      <w:r>
        <w:rPr>
          <w:rFonts w:hint="eastAsia" w:ascii="Calibri" w:hAnsi="Calibri" w:eastAsia="宋体" w:cs="Times New Roman"/>
          <w:sz w:val="21"/>
          <w:szCs w:val="24"/>
          <w:lang w:val="en-US" w:eastAsia="zh-CN"/>
        </w:rPr>
        <w:t>=14.</w:t>
      </w:r>
      <w:r>
        <w:rPr>
          <w:rFonts w:hint="eastAsia" w:ascii="Calibri" w:hAnsi="Calibri" w:cs="Times New Roman"/>
          <w:sz w:val="21"/>
          <w:szCs w:val="24"/>
          <w:lang w:val="en-US" w:eastAsia="zh-CN"/>
        </w:rPr>
        <w:t>93</w:t>
      </w:r>
      <w:r>
        <w:rPr>
          <w:rFonts w:hint="eastAsia" w:ascii="Calibri" w:hAnsi="Calibri" w:eastAsia="宋体" w:cs="Times New Roman"/>
          <w:sz w:val="21"/>
          <w:szCs w:val="24"/>
          <w:lang w:val="en-US" w:eastAsia="zh-CN"/>
        </w:rPr>
        <w:t>tm</w:t>
      </w:r>
    </w:p>
    <w:p>
      <w:pPr>
        <w:numPr>
          <w:ilvl w:val="0"/>
          <w:numId w:val="0"/>
        </w:numPr>
        <w:spacing w:line="240" w:lineRule="auto"/>
        <w:ind w:leftChars="0" w:firstLine="960" w:firstLineChars="400"/>
        <w:rPr>
          <w:rFonts w:hint="default" w:ascii="Calibri" w:hAnsi="Calibri" w:eastAsia="宋体" w:cs="Times New Roman"/>
          <w:sz w:val="24"/>
          <w:szCs w:val="24"/>
          <w:lang w:val="en-US" w:eastAsia="zh-CN"/>
        </w:rPr>
      </w:pPr>
    </w:p>
    <w:p>
      <w:pPr>
        <w:pStyle w:val="13"/>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当β=β0=arctan(b/l) =0.68度时，即臂架垂直于支承平面的对角线AC时，NB达到最大值，此时ND为最小值。将β0代入工中，即可求出最大支承反力和最小支承反力。最大支承反力为2</w:t>
      </w:r>
      <w:r>
        <w:rPr>
          <w:rFonts w:hint="eastAsia" w:cs="Times New Roman"/>
          <w:sz w:val="24"/>
          <w:szCs w:val="24"/>
          <w:lang w:val="en-US" w:eastAsia="zh-CN"/>
        </w:rPr>
        <w:t>01.69</w:t>
      </w:r>
      <w:r>
        <w:rPr>
          <w:rFonts w:hint="eastAsia" w:ascii="Calibri" w:hAnsi="Calibri" w:eastAsia="宋体" w:cs="Times New Roman"/>
          <w:sz w:val="24"/>
          <w:szCs w:val="24"/>
          <w:lang w:val="en-US" w:eastAsia="zh-CN"/>
        </w:rPr>
        <w:t>KN，最小支承反力为</w:t>
      </w:r>
      <w:r>
        <w:rPr>
          <w:rFonts w:hint="eastAsia" w:cs="Times New Roman"/>
          <w:sz w:val="24"/>
          <w:szCs w:val="24"/>
          <w:lang w:val="en-US" w:eastAsia="zh-CN"/>
        </w:rPr>
        <w:t>61.16</w:t>
      </w:r>
      <w:r>
        <w:rPr>
          <w:rFonts w:hint="eastAsia" w:ascii="Calibri" w:hAnsi="Calibri" w:eastAsia="宋体" w:cs="Times New Roman"/>
          <w:sz w:val="24"/>
          <w:szCs w:val="24"/>
          <w:lang w:val="en-US" w:eastAsia="zh-CN"/>
        </w:rPr>
        <w:t>KN。</w:t>
      </w:r>
    </w:p>
    <w:p>
      <w:pPr>
        <w:spacing w:after="120" w:afterLines="50" w:line="300" w:lineRule="auto"/>
        <w:ind w:firstLine="600"/>
        <w:jc w:val="left"/>
        <w:rPr>
          <w:rFonts w:hint="eastAsia" w:ascii="宋体" w:hAnsi="宋体" w:eastAsia="宋体" w:cs="宋体"/>
          <w:sz w:val="24"/>
          <w:szCs w:val="24"/>
        </w:rPr>
      </w:pPr>
      <w:r>
        <w:rPr>
          <w:rFonts w:hint="eastAsia" w:ascii="宋体" w:hAnsi="宋体" w:eastAsia="宋体" w:cs="宋体"/>
          <w:sz w:val="24"/>
          <w:szCs w:val="24"/>
        </w:rPr>
        <w:t>根据以上计算数据,支立时,每个支腿下方放好2m×2m钢板及枕木。</w:t>
      </w:r>
    </w:p>
    <w:p>
      <w:pPr>
        <w:spacing w:after="120" w:afterLines="50" w:line="300" w:lineRule="auto"/>
        <w:ind w:firstLine="600"/>
        <w:jc w:val="left"/>
        <w:rPr>
          <w:rFonts w:hint="eastAsia" w:ascii="宋体" w:hAnsi="宋体" w:eastAsia="宋体" w:cs="宋体"/>
          <w:sz w:val="24"/>
          <w:szCs w:val="24"/>
        </w:rPr>
      </w:pPr>
      <w:r>
        <w:rPr>
          <w:rFonts w:hint="eastAsia" w:ascii="宋体" w:hAnsi="宋体" w:eastAsia="宋体" w:cs="宋体"/>
          <w:sz w:val="24"/>
          <w:szCs w:val="24"/>
        </w:rPr>
        <w:t>支反力下方：N=F/4=</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01.69</w:t>
      </w:r>
      <w:r>
        <w:rPr>
          <w:rFonts w:hint="eastAsia" w:ascii="宋体" w:hAnsi="宋体" w:eastAsia="宋体" w:cs="宋体"/>
          <w:sz w:val="24"/>
          <w:szCs w:val="24"/>
        </w:rPr>
        <w:t>/4=</w:t>
      </w:r>
      <w:r>
        <w:rPr>
          <w:rFonts w:hint="eastAsia" w:ascii="宋体" w:hAnsi="宋体" w:eastAsia="宋体" w:cs="宋体"/>
          <w:sz w:val="24"/>
          <w:szCs w:val="24"/>
          <w:lang w:val="en-US" w:eastAsia="zh-CN"/>
        </w:rPr>
        <w:t>5</w:t>
      </w:r>
      <w:r>
        <w:rPr>
          <w:rFonts w:hint="eastAsia" w:ascii="宋体" w:hAnsi="宋体" w:cs="宋体"/>
          <w:sz w:val="24"/>
          <w:szCs w:val="24"/>
          <w:lang w:val="en-US" w:eastAsia="zh-CN"/>
        </w:rPr>
        <w:t>0.42</w:t>
      </w:r>
      <w:r>
        <w:rPr>
          <w:rFonts w:hint="eastAsia" w:ascii="宋体" w:hAnsi="宋体" w:eastAsia="宋体" w:cs="宋体"/>
          <w:sz w:val="24"/>
          <w:szCs w:val="24"/>
        </w:rPr>
        <w:t>Kpa，小于允许的地基承载力，满足要求。</w:t>
      </w:r>
    </w:p>
    <w:p>
      <w:pPr>
        <w:pStyle w:val="4"/>
        <w:bidi w:val="0"/>
      </w:pPr>
      <w:bookmarkStart w:id="195" w:name="_Toc31354"/>
      <w:r>
        <w:rPr>
          <w:rFonts w:hint="eastAsia"/>
        </w:rPr>
        <w:t>选用的吊索受力计算</w:t>
      </w:r>
      <w:bookmarkEnd w:id="194"/>
      <w:bookmarkEnd w:id="195"/>
    </w:p>
    <w:p>
      <w:pPr>
        <w:pStyle w:val="5"/>
        <w:bidi w:val="0"/>
        <w:ind w:left="0" w:leftChars="0" w:firstLine="0" w:firstLineChars="0"/>
        <w:rPr>
          <w:rFonts w:hint="eastAsia"/>
          <w:sz w:val="24"/>
          <w:szCs w:val="24"/>
          <w:lang w:val="en-US" w:eastAsia="zh-CN"/>
        </w:rPr>
      </w:pPr>
      <w:bookmarkStart w:id="196" w:name="_Toc7720"/>
      <w:bookmarkStart w:id="197" w:name="_Toc4403"/>
      <w:bookmarkStart w:id="198" w:name="_Toc21344"/>
      <w:bookmarkStart w:id="199" w:name="_Toc19094"/>
      <w:bookmarkStart w:id="200" w:name="_Toc4685"/>
      <w:bookmarkStart w:id="201" w:name="_Toc10409856"/>
      <w:r>
        <w:rPr>
          <w:rFonts w:hint="eastAsia"/>
          <w:sz w:val="24"/>
          <w:szCs w:val="24"/>
          <w:lang w:val="en-US" w:eastAsia="zh-CN"/>
        </w:rPr>
        <w:t>钢丝绳选型计算</w:t>
      </w:r>
      <w:bookmarkEnd w:id="196"/>
    </w:p>
    <w:p>
      <w:pPr>
        <w:rPr>
          <w:color w:val="auto"/>
        </w:rPr>
      </w:pPr>
      <w:bookmarkStart w:id="202" w:name="_Toc16842"/>
      <w:r>
        <w:rPr>
          <w:rFonts w:hint="eastAsia"/>
          <w:color w:val="auto"/>
          <w:lang w:val="en-US" w:eastAsia="zh-CN"/>
        </w:rPr>
        <w:t>1、</w:t>
      </w:r>
      <w:r>
        <w:rPr>
          <w:color w:val="auto"/>
        </w:rPr>
        <w:t>钢丝绳选型依据</w:t>
      </w:r>
      <w:bookmarkEnd w:id="202"/>
    </w:p>
    <w:p>
      <w:pPr>
        <w:rPr>
          <w:color w:val="auto"/>
        </w:rPr>
      </w:pPr>
      <w:r>
        <w:rPr>
          <w:color w:val="auto"/>
        </w:rPr>
        <w:t>由对称分布的与垂直方向具有相同角度的单肢吊索组成的多肢吊索的工作荷载按《一般用途钢丝绳吊索特性和技术条件》公式计算：</w:t>
      </w:r>
    </w:p>
    <w:p>
      <w:pPr>
        <w:pStyle w:val="236"/>
        <w:ind w:firstLine="420"/>
        <w:rPr>
          <w:color w:val="auto"/>
        </w:rPr>
      </w:pPr>
      <m:oMathPara>
        <m:oMath>
          <m:r>
            <m:rPr>
              <m:sty m:val="bi"/>
            </m:rPr>
            <w:rPr>
              <w:rFonts w:ascii="Cambria Math"/>
              <w:color w:val="auto"/>
            </w:rPr>
            <m:t>WLL=</m:t>
          </m:r>
          <m:f>
            <m:fPr>
              <m:ctrlPr>
                <w:rPr>
                  <w:rFonts w:ascii="Cambria Math"/>
                  <w:i/>
                  <w:color w:val="auto"/>
                </w:rPr>
              </m:ctrlPr>
            </m:fPr>
            <m:num>
              <m:sSub>
                <m:sSubPr>
                  <m:ctrlPr>
                    <w:rPr>
                      <w:rFonts w:ascii="Cambria Math"/>
                      <w:i/>
                      <w:color w:val="auto"/>
                    </w:rPr>
                  </m:ctrlPr>
                </m:sSubPr>
                <m:e>
                  <m:r>
                    <m:rPr>
                      <m:sty m:val="bi"/>
                    </m:rPr>
                    <w:rPr>
                      <w:rFonts w:ascii="Cambria Math"/>
                      <w:color w:val="auto"/>
                    </w:rPr>
                    <m:t>F</m:t>
                  </m:r>
                  <m:ctrlPr>
                    <w:rPr>
                      <w:rFonts w:ascii="Cambria Math"/>
                      <w:i/>
                      <w:color w:val="auto"/>
                    </w:rPr>
                  </m:ctrlPr>
                </m:e>
                <m:sub>
                  <m:r>
                    <m:rPr>
                      <m:sty m:val="bi"/>
                    </m:rPr>
                    <w:rPr>
                      <w:rFonts w:ascii="Cambria Math"/>
                      <w:color w:val="auto"/>
                    </w:rPr>
                    <m:t>0</m:t>
                  </m:r>
                  <m:ctrlPr>
                    <w:rPr>
                      <w:rFonts w:ascii="Cambria Math"/>
                      <w:i/>
                      <w:color w:val="auto"/>
                    </w:rPr>
                  </m:ctrlPr>
                </m:sub>
              </m:sSub>
              <m:r>
                <m:rPr>
                  <m:sty m:val="bi"/>
                </m:rPr>
                <w:rPr>
                  <w:rFonts w:ascii="Cambria Math"/>
                  <w:color w:val="auto"/>
                </w:rPr>
                <m:t>×</m:t>
              </m:r>
              <m:sSub>
                <m:sSubPr>
                  <m:ctrlPr>
                    <w:rPr>
                      <w:rFonts w:ascii="Cambria Math"/>
                      <w:i/>
                      <w:color w:val="auto"/>
                    </w:rPr>
                  </m:ctrlPr>
                </m:sSubPr>
                <m:e>
                  <m:r>
                    <m:rPr>
                      <m:sty m:val="bi"/>
                    </m:rPr>
                    <w:rPr>
                      <w:rFonts w:ascii="Cambria Math"/>
                      <w:color w:val="auto"/>
                    </w:rPr>
                    <m:t>K</m:t>
                  </m:r>
                  <m:ctrlPr>
                    <w:rPr>
                      <w:rFonts w:ascii="Cambria Math"/>
                      <w:i/>
                      <w:color w:val="auto"/>
                    </w:rPr>
                  </m:ctrlPr>
                </m:e>
                <m:sub>
                  <m:r>
                    <m:rPr>
                      <m:sty m:val="bi"/>
                    </m:rPr>
                    <w:rPr>
                      <w:rFonts w:ascii="Cambria Math"/>
                      <w:color w:val="auto"/>
                    </w:rPr>
                    <m:t>e</m:t>
                  </m:r>
                  <m:ctrlPr>
                    <w:rPr>
                      <w:rFonts w:ascii="Cambria Math"/>
                      <w:i/>
                      <w:color w:val="auto"/>
                    </w:rPr>
                  </m:ctrlPr>
                </m:sub>
              </m:sSub>
              <m:r>
                <m:rPr>
                  <m:sty m:val="bi"/>
                </m:rPr>
                <w:rPr>
                  <w:rFonts w:ascii="Cambria Math"/>
                  <w:color w:val="auto"/>
                </w:rPr>
                <m:t>×K</m:t>
              </m:r>
              <m:ctrlPr>
                <w:rPr>
                  <w:rFonts w:ascii="Cambria Math"/>
                  <w:i/>
                  <w:color w:val="auto"/>
                </w:rPr>
              </m:ctrlPr>
            </m:num>
            <m:den>
              <m:sSub>
                <m:sSubPr>
                  <m:ctrlPr>
                    <w:rPr>
                      <w:rFonts w:ascii="Cambria Math"/>
                      <w:i/>
                      <w:color w:val="auto"/>
                    </w:rPr>
                  </m:ctrlPr>
                </m:sSubPr>
                <m:e>
                  <m:r>
                    <m:rPr>
                      <m:sty m:val="bi"/>
                    </m:rPr>
                    <w:rPr>
                      <w:rFonts w:ascii="Cambria Math"/>
                      <w:color w:val="auto"/>
                    </w:rPr>
                    <m:t>K</m:t>
                  </m:r>
                  <m:ctrlPr>
                    <w:rPr>
                      <w:rFonts w:ascii="Cambria Math"/>
                      <w:i/>
                      <w:color w:val="auto"/>
                    </w:rPr>
                  </m:ctrlPr>
                </m:e>
                <m:sub>
                  <m:r>
                    <m:rPr>
                      <m:sty m:val="bi"/>
                    </m:rPr>
                    <w:rPr>
                      <w:rFonts w:ascii="Cambria Math"/>
                      <w:color w:val="auto"/>
                    </w:rPr>
                    <m:t>m</m:t>
                  </m:r>
                  <m:ctrlPr>
                    <w:rPr>
                      <w:rFonts w:ascii="Cambria Math"/>
                      <w:i/>
                      <w:color w:val="auto"/>
                    </w:rPr>
                  </m:ctrlPr>
                </m:sub>
              </m:sSub>
              <m:r>
                <m:rPr>
                  <m:sty m:val="bi"/>
                </m:rPr>
                <w:rPr>
                  <w:rFonts w:ascii="Cambria Math"/>
                  <w:color w:val="auto"/>
                </w:rPr>
                <m:t>×</m:t>
              </m:r>
              <m:sSub>
                <m:sSubPr>
                  <m:ctrlPr>
                    <w:rPr>
                      <w:rFonts w:ascii="Cambria Math"/>
                      <w:i/>
                      <w:color w:val="auto"/>
                    </w:rPr>
                  </m:ctrlPr>
                </m:sSubPr>
                <m:e>
                  <m:r>
                    <m:rPr>
                      <m:sty m:val="bi"/>
                    </m:rPr>
                    <w:rPr>
                      <w:rFonts w:ascii="Cambria Math"/>
                      <w:color w:val="auto"/>
                    </w:rPr>
                    <m:t>K</m:t>
                  </m:r>
                  <m:ctrlPr>
                    <w:rPr>
                      <w:rFonts w:ascii="Cambria Math"/>
                      <w:i/>
                      <w:color w:val="auto"/>
                    </w:rPr>
                  </m:ctrlPr>
                </m:e>
                <m:sub>
                  <m:r>
                    <m:rPr>
                      <m:sty m:val="bi"/>
                    </m:rPr>
                    <w:rPr>
                      <w:rFonts w:ascii="Cambria Math"/>
                      <w:color w:val="auto"/>
                    </w:rPr>
                    <m:t>u</m:t>
                  </m:r>
                  <m:ctrlPr>
                    <w:rPr>
                      <w:rFonts w:ascii="Cambria Math"/>
                      <w:i/>
                      <w:color w:val="auto"/>
                    </w:rPr>
                  </m:ctrlPr>
                </m:sub>
              </m:sSub>
              <m:ctrlPr>
                <w:rPr>
                  <w:rFonts w:ascii="Cambria Math" w:hAnsi="Cambria Math"/>
                  <w:i/>
                  <w:color w:val="auto"/>
                </w:rPr>
              </m:ctrlPr>
            </m:den>
          </m:f>
        </m:oMath>
      </m:oMathPara>
    </w:p>
    <w:p>
      <w:pPr>
        <w:rPr>
          <w:color w:val="auto"/>
        </w:rPr>
      </w:pPr>
      <w:r>
        <w:rPr>
          <w:color w:val="auto"/>
        </w:rPr>
        <w:t>式中：</w:t>
      </w:r>
    </w:p>
    <w:p>
      <w:pPr>
        <w:ind w:firstLine="960" w:firstLineChars="400"/>
        <w:rPr>
          <w:color w:val="auto"/>
        </w:rPr>
      </w:pPr>
      <w:r>
        <w:rPr>
          <w:color w:val="auto"/>
        </w:rPr>
        <w:t>WLL——吊索额定工作荷载，单位为t。</w:t>
      </w:r>
    </w:p>
    <w:p>
      <w:pPr>
        <w:ind w:firstLine="960" w:firstLineChars="400"/>
        <w:rPr>
          <w:color w:val="auto"/>
        </w:rPr>
      </w:pPr>
      <w:r>
        <w:rPr>
          <w:color w:val="auto"/>
        </w:rPr>
        <w:t>F</w:t>
      </w:r>
      <w:r>
        <w:rPr>
          <w:color w:val="auto"/>
          <w:vertAlign w:val="subscript"/>
        </w:rPr>
        <w:t>0</w:t>
      </w:r>
      <w:r>
        <w:rPr>
          <w:color w:val="auto"/>
        </w:rPr>
        <w:t>——钢丝绳最小破断拉力，单位为kN。</w:t>
      </w:r>
    </w:p>
    <w:p>
      <w:pPr>
        <w:ind w:firstLine="960" w:firstLineChars="400"/>
        <w:rPr>
          <w:color w:val="auto"/>
        </w:rPr>
      </w:pPr>
      <w:r>
        <w:rPr>
          <w:color w:val="auto"/>
        </w:rPr>
        <w:t>K</w:t>
      </w:r>
      <w:r>
        <w:rPr>
          <w:color w:val="auto"/>
          <w:vertAlign w:val="subscript"/>
        </w:rPr>
        <w:t>e</w:t>
      </w:r>
      <w:r>
        <w:rPr>
          <w:color w:val="auto"/>
        </w:rPr>
        <w:t>——接头形式效能近似系数，压制接头取0.9，插编接头取0.75。</w:t>
      </w:r>
    </w:p>
    <w:p>
      <w:pPr>
        <w:ind w:firstLine="960" w:firstLineChars="400"/>
        <w:rPr>
          <w:rFonts w:hint="default" w:eastAsia="宋体"/>
          <w:color w:val="auto"/>
          <w:lang w:val="en-US" w:eastAsia="zh-CN"/>
        </w:rPr>
      </w:pPr>
      <w:r>
        <w:rPr>
          <w:color w:val="auto"/>
        </w:rPr>
        <w:t>K——肢的数量与垂直方向角度的相关系数，2肢吊索取1.4，3～4肢吊索取</w:t>
      </w:r>
      <w:r>
        <w:rPr>
          <w:rFonts w:hint="eastAsia"/>
          <w:color w:val="auto"/>
          <w:lang w:val="en-US" w:eastAsia="zh-CN"/>
        </w:rPr>
        <w:t>2.1</w:t>
      </w:r>
    </w:p>
    <w:p>
      <w:pPr>
        <w:ind w:firstLine="960" w:firstLineChars="400"/>
        <w:rPr>
          <w:color w:val="auto"/>
        </w:rPr>
      </w:pPr>
      <w:r>
        <w:rPr>
          <w:color w:val="auto"/>
        </w:rPr>
        <w:t>K</w:t>
      </w:r>
      <w:r>
        <w:rPr>
          <w:color w:val="auto"/>
          <w:vertAlign w:val="subscript"/>
        </w:rPr>
        <w:t>u</w:t>
      </w:r>
      <w:r>
        <w:rPr>
          <w:color w:val="auto"/>
        </w:rPr>
        <w:t>——安全系数取6。</w:t>
      </w:r>
    </w:p>
    <w:p>
      <w:pPr>
        <w:ind w:firstLine="960" w:firstLineChars="400"/>
        <w:rPr>
          <w:color w:val="auto"/>
        </w:rPr>
      </w:pPr>
      <w:r>
        <w:rPr>
          <w:color w:val="auto"/>
        </w:rPr>
        <w:t>K</w:t>
      </w:r>
      <w:r>
        <w:rPr>
          <w:color w:val="auto"/>
          <w:vertAlign w:val="subscript"/>
        </w:rPr>
        <w:t>m</w:t>
      </w:r>
      <w:r>
        <w:rPr>
          <w:color w:val="auto"/>
        </w:rPr>
        <w:t>——质量与力的转换系数，取值为9.80665。</w:t>
      </w:r>
    </w:p>
    <w:p>
      <w:pPr>
        <w:rPr>
          <w:color w:val="auto"/>
        </w:rPr>
      </w:pPr>
      <w:r>
        <w:rPr>
          <w:color w:val="auto"/>
        </w:rPr>
        <w:t>钢丝绳最小破断拉力按《重要用途钢丝绳》公式计算：</w:t>
      </w:r>
    </w:p>
    <w:p>
      <w:pPr>
        <w:rPr>
          <w:color w:val="auto"/>
        </w:rPr>
      </w:pPr>
      <m:oMath>
        <m:sSub>
          <m:sSubPr>
            <m:ctrlPr>
              <w:rPr>
                <w:rFonts w:ascii="Cambria Math"/>
                <w:i/>
                <w:color w:val="auto"/>
              </w:rPr>
            </m:ctrlPr>
          </m:sSubPr>
          <m:e>
            <m:r>
              <m:rPr/>
              <w:rPr>
                <w:rFonts w:ascii="Cambria Math"/>
                <w:color w:val="auto"/>
              </w:rPr>
              <m:t>F</m:t>
            </m:r>
            <m:ctrlPr>
              <w:rPr>
                <w:rFonts w:ascii="Cambria Math"/>
                <w:i/>
                <w:color w:val="auto"/>
              </w:rPr>
            </m:ctrlPr>
          </m:e>
          <m:sub>
            <m:r>
              <m:rPr/>
              <w:rPr>
                <w:rFonts w:ascii="Cambria Math"/>
                <w:color w:val="auto"/>
              </w:rPr>
              <m:t>0</m:t>
            </m:r>
            <m:ctrlPr>
              <w:rPr>
                <w:rFonts w:ascii="Cambria Math"/>
                <w:i/>
                <w:color w:val="auto"/>
              </w:rPr>
            </m:ctrlPr>
          </m:sub>
        </m:sSub>
        <m:r>
          <m:rPr/>
          <w:rPr>
            <w:rFonts w:ascii="Cambria Math"/>
            <w:color w:val="auto"/>
          </w:rPr>
          <m:t>=</m:t>
        </m:r>
        <m:sSup>
          <m:sSupPr>
            <m:ctrlPr>
              <w:rPr>
                <w:rFonts w:ascii="Cambria Math"/>
                <w:i/>
                <w:color w:val="auto"/>
              </w:rPr>
            </m:ctrlPr>
          </m:sSupPr>
          <m:e>
            <m:r>
              <m:rPr/>
              <w:rPr>
                <w:rFonts w:ascii="Cambria Math"/>
                <w:color w:val="auto"/>
              </w:rPr>
              <m:t>K</m:t>
            </m:r>
            <m:ctrlPr>
              <w:rPr>
                <w:rFonts w:ascii="Cambria Math"/>
                <w:i/>
                <w:color w:val="auto"/>
              </w:rPr>
            </m:ctrlPr>
          </m:e>
          <m:sup>
            <m:r>
              <m:rPr/>
              <w:rPr>
                <w:rFonts w:ascii="Cambria Math"/>
                <w:color w:val="auto"/>
              </w:rPr>
              <m:t>'</m:t>
            </m:r>
            <m:ctrlPr>
              <w:rPr>
                <w:rFonts w:ascii="Cambria Math" w:hAnsi="Cambria Math"/>
                <w:i/>
                <w:color w:val="auto"/>
              </w:rPr>
            </m:ctrlPr>
          </m:sup>
        </m:sSup>
        <m:r>
          <m:rPr/>
          <w:rPr>
            <w:rFonts w:ascii="Cambria Math"/>
            <w:color w:val="auto"/>
          </w:rPr>
          <m:t>×</m:t>
        </m:r>
        <m:sSup>
          <m:sSupPr>
            <m:ctrlPr>
              <w:rPr>
                <w:rFonts w:ascii="Cambria Math"/>
                <w:i/>
                <w:color w:val="auto"/>
              </w:rPr>
            </m:ctrlPr>
          </m:sSupPr>
          <m:e>
            <m:r>
              <m:rPr/>
              <w:rPr>
                <w:rFonts w:ascii="Cambria Math"/>
                <w:color w:val="auto"/>
              </w:rPr>
              <m:t>D</m:t>
            </m:r>
            <m:ctrlPr>
              <w:rPr>
                <w:rFonts w:ascii="Cambria Math"/>
                <w:i/>
                <w:color w:val="auto"/>
              </w:rPr>
            </m:ctrlPr>
          </m:e>
          <m:sup>
            <m:r>
              <m:rPr/>
              <w:rPr>
                <w:rFonts w:ascii="Cambria Math"/>
                <w:color w:val="auto"/>
              </w:rPr>
              <m:t>2</m:t>
            </m:r>
            <m:ctrlPr>
              <w:rPr>
                <w:rFonts w:ascii="Cambria Math"/>
                <w:i/>
                <w:color w:val="auto"/>
              </w:rPr>
            </m:ctrlPr>
          </m:sup>
        </m:sSup>
        <m:r>
          <m:rPr/>
          <w:rPr>
            <w:rFonts w:ascii="Cambria Math"/>
            <w:color w:val="auto"/>
          </w:rPr>
          <m:t>×</m:t>
        </m:r>
        <m:sSub>
          <m:sSubPr>
            <m:ctrlPr>
              <w:rPr>
                <w:rFonts w:ascii="Cambria Math"/>
                <w:i/>
                <w:color w:val="auto"/>
              </w:rPr>
            </m:ctrlPr>
          </m:sSubPr>
          <m:e>
            <m:r>
              <m:rPr/>
              <w:rPr>
                <w:rFonts w:ascii="Cambria Math"/>
                <w:color w:val="auto"/>
              </w:rPr>
              <m:t>R</m:t>
            </m:r>
            <m:ctrlPr>
              <w:rPr>
                <w:rFonts w:ascii="Cambria Math"/>
                <w:i/>
                <w:color w:val="auto"/>
              </w:rPr>
            </m:ctrlPr>
          </m:e>
          <m:sub>
            <m:r>
              <m:rPr/>
              <w:rPr>
                <w:rFonts w:ascii="Cambria Math"/>
                <w:color w:val="auto"/>
              </w:rPr>
              <m:t>0</m:t>
            </m:r>
            <m:ctrlPr>
              <w:rPr>
                <w:rFonts w:ascii="Cambria Math"/>
                <w:i/>
                <w:color w:val="auto"/>
              </w:rPr>
            </m:ctrlPr>
          </m:sub>
        </m:sSub>
        <m:r>
          <m:rPr/>
          <w:rPr>
            <w:rFonts w:ascii="Cambria Math"/>
            <w:color w:val="auto"/>
          </w:rPr>
          <m:t>÷1000</m:t>
        </m:r>
      </m:oMath>
      <w:r>
        <w:rPr>
          <w:color w:val="auto"/>
        </w:rPr>
        <w:t>，</w:t>
      </w:r>
    </w:p>
    <w:p>
      <w:pPr>
        <w:rPr>
          <w:color w:val="auto"/>
        </w:rPr>
      </w:pPr>
      <w:r>
        <w:rPr>
          <w:color w:val="auto"/>
        </w:rPr>
        <w:t>式中：</w:t>
      </w:r>
    </w:p>
    <w:p>
      <w:pPr>
        <w:ind w:firstLine="960" w:firstLineChars="400"/>
        <w:rPr>
          <w:color w:val="auto"/>
        </w:rPr>
      </w:pPr>
      <w:r>
        <w:rPr>
          <w:color w:val="auto"/>
        </w:rPr>
        <w:t>D——钢丝绳公称直径，单位为mm。</w:t>
      </w:r>
    </w:p>
    <w:p>
      <w:pPr>
        <w:ind w:firstLine="960" w:firstLineChars="400"/>
        <w:rPr>
          <w:color w:val="auto"/>
        </w:rPr>
      </w:pPr>
      <w:r>
        <w:rPr>
          <w:color w:val="auto"/>
        </w:rPr>
        <w:t>R</w:t>
      </w:r>
      <w:r>
        <w:rPr>
          <w:color w:val="auto"/>
          <w:vertAlign w:val="subscript"/>
        </w:rPr>
        <w:t>0</w:t>
      </w:r>
      <w:r>
        <w:rPr>
          <w:color w:val="auto"/>
        </w:rPr>
        <w:t>——钢丝绳公称抗拉强度，取1</w:t>
      </w:r>
      <w:r>
        <w:rPr>
          <w:rFonts w:hint="eastAsia"/>
          <w:color w:val="auto"/>
          <w:lang w:val="en-US" w:eastAsia="zh-CN"/>
        </w:rPr>
        <w:t>87</w:t>
      </w:r>
      <w:r>
        <w:rPr>
          <w:color w:val="auto"/>
        </w:rPr>
        <w:t>0MPa。</w:t>
      </w:r>
    </w:p>
    <w:p>
      <w:pPr>
        <w:ind w:firstLine="960" w:firstLineChars="400"/>
        <w:jc w:val="left"/>
        <w:rPr>
          <w:color w:val="auto"/>
        </w:rPr>
      </w:pPr>
      <w:r>
        <w:rPr>
          <w:i/>
          <w:iCs/>
          <w:color w:val="auto"/>
        </w:rPr>
        <w:t>K′</w:t>
      </w:r>
      <w:r>
        <w:rPr>
          <w:color w:val="auto"/>
        </w:rPr>
        <w:t>——钢丝绳的最小破断拉力系数，6×</w:t>
      </w:r>
      <w:r>
        <w:rPr>
          <w:rFonts w:hint="eastAsia"/>
          <w:color w:val="auto"/>
          <w:lang w:val="en-US" w:eastAsia="zh-CN"/>
        </w:rPr>
        <w:t>19</w:t>
      </w:r>
      <w:r>
        <w:rPr>
          <w:color w:val="auto"/>
        </w:rPr>
        <w:t>S+FC钢丝绳取0.33。</w:t>
      </w:r>
    </w:p>
    <w:p>
      <w:pPr>
        <w:rPr>
          <w:rFonts w:hint="eastAsia"/>
          <w:color w:val="auto"/>
          <w:lang w:val="en-US" w:eastAsia="zh-CN"/>
        </w:rPr>
      </w:pPr>
      <w:bookmarkStart w:id="203" w:name="_Toc26217"/>
      <w:r>
        <w:rPr>
          <w:rFonts w:hint="eastAsia"/>
          <w:color w:val="auto"/>
          <w:lang w:val="en-US" w:eastAsia="zh-CN"/>
        </w:rPr>
        <w:t>2、钢丝绳选型计算</w:t>
      </w:r>
      <w:bookmarkEnd w:id="203"/>
    </w:p>
    <w:p>
      <w:pPr>
        <w:rPr>
          <w:bCs/>
          <w:kern w:val="0"/>
          <w:lang w:bidi="en-US"/>
        </w:rPr>
      </w:pPr>
      <w:r>
        <w:t>塔吊主要部件除起重臂外最大重量为</w:t>
      </w:r>
      <w:r>
        <w:rPr>
          <w:rFonts w:hint="eastAsia"/>
          <w:lang w:val="en-US" w:eastAsia="zh-CN"/>
        </w:rPr>
        <w:t>平衡臂臂节二</w:t>
      </w:r>
      <w:r>
        <w:t>，</w:t>
      </w:r>
      <w:r>
        <w:rPr>
          <w:rFonts w:hint="eastAsia" w:ascii="Times New Roman" w:eastAsia="宋体"/>
          <w:lang w:val="en-US" w:eastAsia="zh-CN"/>
        </w:rPr>
        <w:t>平衡臂</w:t>
      </w:r>
      <w:r>
        <w:rPr>
          <w:rFonts w:hint="eastAsia"/>
          <w:lang w:val="en-US" w:eastAsia="zh-CN"/>
        </w:rPr>
        <w:t>臂节二</w:t>
      </w:r>
      <w:r>
        <w:t>起重量约</w:t>
      </w:r>
      <w:r>
        <w:rPr>
          <w:rFonts w:hint="eastAsia"/>
          <w:lang w:val="en-US" w:eastAsia="zh-CN"/>
        </w:rPr>
        <w:t>8.97</w:t>
      </w:r>
      <w:r>
        <w:t>t，</w:t>
      </w:r>
      <w:r>
        <w:rPr>
          <w:color w:val="auto"/>
        </w:rPr>
        <w:t>钢丝绳与</w:t>
      </w:r>
      <w:r>
        <w:rPr>
          <w:rFonts w:hint="eastAsia"/>
          <w:color w:val="auto"/>
          <w:lang w:val="en-US" w:eastAsia="zh-CN"/>
        </w:rPr>
        <w:t>平衡臂节二</w:t>
      </w:r>
      <w:r>
        <w:rPr>
          <w:color w:val="auto"/>
        </w:rPr>
        <w:t>成60°夹角</w:t>
      </w:r>
      <w:r>
        <w:t>，以</w:t>
      </w:r>
      <w:r>
        <w:rPr>
          <w:rFonts w:hint="eastAsia"/>
          <w:color w:val="auto"/>
          <w:lang w:val="en-US" w:eastAsia="zh-CN"/>
        </w:rPr>
        <w:t>平衡臂节二</w:t>
      </w:r>
      <w:r>
        <w:t>顶部四个销轴孔作为吊装孔，钢丝绳采用压制接头。</w:t>
      </w:r>
    </w:p>
    <w:p>
      <w:pPr>
        <w:jc w:val="left"/>
        <w:rPr>
          <w:bCs/>
          <w:color w:val="auto"/>
          <w:kern w:val="0"/>
          <w:lang w:bidi="en-US"/>
        </w:rPr>
      </w:pPr>
      <w:r>
        <w:rPr>
          <w:color w:val="auto"/>
        </w:rPr>
        <w:t>每根钢丝绳最小破断拉力</w:t>
      </w:r>
      <m:oMath>
        <m:sSub>
          <m:sSubPr>
            <m:ctrlPr>
              <w:rPr>
                <w:rFonts w:ascii="Cambria Math"/>
                <w:i/>
                <w:color w:val="auto"/>
              </w:rPr>
            </m:ctrlPr>
          </m:sSubPr>
          <m:e>
            <m:r>
              <m:rPr/>
              <w:rPr>
                <w:rFonts w:ascii="Cambria Math"/>
                <w:color w:val="auto"/>
              </w:rPr>
              <m:t>F</m:t>
            </m:r>
            <m:ctrlPr>
              <w:rPr>
                <w:rFonts w:ascii="Cambria Math"/>
                <w:i/>
                <w:color w:val="auto"/>
              </w:rPr>
            </m:ctrlPr>
          </m:e>
          <m:sub>
            <m:r>
              <m:rPr/>
              <w:rPr>
                <w:rFonts w:ascii="Cambria Math"/>
                <w:color w:val="auto"/>
              </w:rPr>
              <m:t>0</m:t>
            </m:r>
            <m:ctrlPr>
              <w:rPr>
                <w:rFonts w:ascii="Cambria Math"/>
                <w:i/>
                <w:color w:val="auto"/>
              </w:rPr>
            </m:ctrlPr>
          </m:sub>
        </m:sSub>
        <m:r>
          <m:rPr/>
          <w:rPr>
            <w:rFonts w:ascii="Cambria Math"/>
            <w:color w:val="auto"/>
          </w:rPr>
          <m:t>=</m:t>
        </m:r>
        <m:f>
          <m:fPr>
            <m:ctrlPr>
              <w:rPr>
                <w:rFonts w:ascii="Cambria Math"/>
                <w:i/>
                <w:color w:val="auto"/>
              </w:rPr>
            </m:ctrlPr>
          </m:fPr>
          <m:num>
            <m:r>
              <m:rPr/>
              <w:rPr>
                <w:rFonts w:ascii="Cambria Math"/>
                <w:color w:val="auto"/>
              </w:rPr>
              <m:t>WLL×</m:t>
            </m:r>
            <m:sSub>
              <m:sSubPr>
                <m:ctrlPr>
                  <w:rPr>
                    <w:rFonts w:ascii="Cambria Math"/>
                    <w:i/>
                    <w:color w:val="auto"/>
                  </w:rPr>
                </m:ctrlPr>
              </m:sSubPr>
              <m:e>
                <m:r>
                  <m:rPr/>
                  <w:rPr>
                    <w:rFonts w:ascii="Cambria Math"/>
                    <w:color w:val="auto"/>
                  </w:rPr>
                  <m:t>K</m:t>
                </m:r>
                <m:ctrlPr>
                  <w:rPr>
                    <w:rFonts w:ascii="Cambria Math"/>
                    <w:i/>
                    <w:color w:val="auto"/>
                  </w:rPr>
                </m:ctrlPr>
              </m:e>
              <m:sub>
                <m:r>
                  <m:rPr/>
                  <w:rPr>
                    <w:rFonts w:ascii="Cambria Math"/>
                    <w:color w:val="auto"/>
                  </w:rPr>
                  <m:t>m</m:t>
                </m:r>
                <m:ctrlPr>
                  <w:rPr>
                    <w:rFonts w:ascii="Cambria Math"/>
                    <w:i/>
                    <w:color w:val="auto"/>
                  </w:rPr>
                </m:ctrlPr>
              </m:sub>
            </m:sSub>
            <m:r>
              <m:rPr/>
              <w:rPr>
                <w:rFonts w:ascii="Cambria Math"/>
                <w:color w:val="auto"/>
              </w:rPr>
              <m:t>×</m:t>
            </m:r>
            <m:sSub>
              <m:sSubPr>
                <m:ctrlPr>
                  <w:rPr>
                    <w:rFonts w:ascii="Cambria Math"/>
                    <w:i/>
                    <w:color w:val="auto"/>
                  </w:rPr>
                </m:ctrlPr>
              </m:sSubPr>
              <m:e>
                <m:r>
                  <m:rPr/>
                  <w:rPr>
                    <w:rFonts w:ascii="Cambria Math"/>
                    <w:color w:val="auto"/>
                  </w:rPr>
                  <m:t>K</m:t>
                </m:r>
                <m:ctrlPr>
                  <w:rPr>
                    <w:rFonts w:ascii="Cambria Math"/>
                    <w:i/>
                    <w:color w:val="auto"/>
                  </w:rPr>
                </m:ctrlPr>
              </m:e>
              <m:sub>
                <m:r>
                  <m:rPr/>
                  <w:rPr>
                    <w:rFonts w:ascii="Cambria Math"/>
                    <w:color w:val="auto"/>
                  </w:rPr>
                  <m:t>u</m:t>
                </m:r>
                <m:ctrlPr>
                  <w:rPr>
                    <w:rFonts w:ascii="Cambria Math"/>
                    <w:i/>
                    <w:color w:val="auto"/>
                  </w:rPr>
                </m:ctrlPr>
              </m:sub>
            </m:sSub>
            <m:ctrlPr>
              <w:rPr>
                <w:rFonts w:ascii="Cambria Math"/>
                <w:i/>
                <w:color w:val="auto"/>
              </w:rPr>
            </m:ctrlPr>
          </m:num>
          <m:den>
            <m:sSub>
              <m:sSubPr>
                <m:ctrlPr>
                  <w:rPr>
                    <w:rFonts w:ascii="Cambria Math"/>
                    <w:i/>
                    <w:color w:val="auto"/>
                  </w:rPr>
                </m:ctrlPr>
              </m:sSubPr>
              <m:e>
                <m:r>
                  <m:rPr/>
                  <w:rPr>
                    <w:rFonts w:ascii="Cambria Math"/>
                    <w:color w:val="auto"/>
                  </w:rPr>
                  <m:t>K</m:t>
                </m:r>
                <m:ctrlPr>
                  <w:rPr>
                    <w:rFonts w:ascii="Cambria Math"/>
                    <w:i/>
                    <w:color w:val="auto"/>
                  </w:rPr>
                </m:ctrlPr>
              </m:e>
              <m:sub>
                <m:r>
                  <m:rPr/>
                  <w:rPr>
                    <w:rFonts w:ascii="Cambria Math"/>
                    <w:color w:val="auto"/>
                  </w:rPr>
                  <m:t>e</m:t>
                </m:r>
                <m:ctrlPr>
                  <w:rPr>
                    <w:rFonts w:ascii="Cambria Math"/>
                    <w:i/>
                    <w:color w:val="auto"/>
                  </w:rPr>
                </m:ctrlPr>
              </m:sub>
            </m:sSub>
            <m:r>
              <m:rPr/>
              <w:rPr>
                <w:rFonts w:ascii="Cambria Math"/>
                <w:color w:val="auto"/>
              </w:rPr>
              <m:t>×K</m:t>
            </m:r>
            <m:ctrlPr>
              <w:rPr>
                <w:rFonts w:ascii="Cambria Math"/>
                <w:i/>
                <w:color w:val="auto"/>
              </w:rPr>
            </m:ctrlPr>
          </m:den>
        </m:f>
        <m:r>
          <m:rPr/>
          <w:rPr>
            <w:rFonts w:ascii="Cambria Math"/>
            <w:color w:val="auto"/>
          </w:rPr>
          <m:t>=</m:t>
        </m:r>
        <m:f>
          <m:fPr>
            <m:ctrlPr>
              <w:rPr>
                <w:rFonts w:ascii="Cambria Math"/>
                <w:i/>
                <w:color w:val="auto"/>
              </w:rPr>
            </m:ctrlPr>
          </m:fPr>
          <m:num>
            <m:r>
              <m:rPr/>
              <w:rPr>
                <w:rFonts w:hint="default" w:ascii="Cambria Math"/>
                <w:color w:val="auto"/>
                <w:lang w:val="en-US" w:eastAsia="zh-CN"/>
              </w:rPr>
              <m:t>8.97</m:t>
            </m:r>
            <m:r>
              <m:rPr/>
              <w:rPr>
                <w:rFonts w:ascii="Cambria Math"/>
                <w:color w:val="auto"/>
              </w:rPr>
              <m:t>×</m:t>
            </m:r>
            <m:r>
              <m:rPr>
                <m:nor/>
                <m:sty m:val="p"/>
              </m:rPr>
              <w:rPr>
                <w:rFonts w:ascii="Cambria Math"/>
                <w:b w:val="0"/>
                <w:i w:val="0"/>
                <w:color w:val="auto"/>
              </w:rPr>
              <m:t>9.80665×</m:t>
            </m:r>
            <m:r>
              <m:rPr/>
              <w:rPr>
                <w:rFonts w:ascii="Cambria Math"/>
                <w:color w:val="auto"/>
              </w:rPr>
              <m:t>6</m:t>
            </m:r>
            <m:ctrlPr>
              <w:rPr>
                <w:rFonts w:ascii="Cambria Math"/>
                <w:i/>
                <w:color w:val="auto"/>
              </w:rPr>
            </m:ctrlPr>
          </m:num>
          <m:den>
            <m:r>
              <m:rPr>
                <m:nor/>
                <m:sty m:val="p"/>
              </m:rPr>
              <w:rPr>
                <w:rFonts w:ascii="Cambria Math"/>
                <w:b w:val="0"/>
                <w:i w:val="0"/>
                <w:color w:val="auto"/>
              </w:rPr>
              <m:t>0.9×2.1</m:t>
            </m:r>
            <m:ctrlPr>
              <w:rPr>
                <w:rFonts w:ascii="Cambria Math"/>
                <w:color w:val="auto"/>
              </w:rPr>
            </m:ctrlPr>
          </m:den>
        </m:f>
        <m:r>
          <m:rPr/>
          <w:rPr>
            <w:rFonts w:ascii="Cambria Math"/>
            <w:color w:val="auto"/>
          </w:rPr>
          <m:t>=</m:t>
        </m:r>
        <m:r>
          <m:rPr/>
          <w:rPr>
            <w:rFonts w:hint="default" w:ascii="Cambria Math"/>
            <w:color w:val="auto"/>
            <w:lang w:val="en-US" w:eastAsia="zh-CN"/>
          </w:rPr>
          <m:t>279.3</m:t>
        </m:r>
        <m:r>
          <m:rPr/>
          <w:rPr>
            <w:rFonts w:ascii="Cambria Math"/>
            <w:color w:val="auto"/>
          </w:rPr>
          <m:t>kN</m:t>
        </m:r>
      </m:oMath>
      <w:r>
        <w:rPr>
          <w:color w:val="auto"/>
        </w:rPr>
        <w:t>，</w:t>
      </w:r>
    </w:p>
    <w:p>
      <w:pPr>
        <w:rPr>
          <w:color w:val="auto"/>
        </w:rPr>
      </w:pPr>
      <w:r>
        <w:rPr>
          <w:color w:val="auto"/>
        </w:rPr>
        <w:t>则钢丝绳最小公称直径</w:t>
      </w:r>
      <m:oMath>
        <m:r>
          <m:rPr/>
          <w:rPr>
            <w:rFonts w:ascii="Cambria Math" w:hAnsi="Cambria Math"/>
            <w:color w:val="auto"/>
          </w:rPr>
          <m:t>D=</m:t>
        </m:r>
        <m:rad>
          <m:radPr>
            <m:degHide m:val="1"/>
            <m:ctrlPr>
              <w:rPr>
                <w:rFonts w:ascii="Cambria Math" w:hAnsi="Cambria Math"/>
                <w:i/>
                <w:color w:val="auto"/>
              </w:rPr>
            </m:ctrlPr>
          </m:radPr>
          <m:deg>
            <m:ctrlPr>
              <w:rPr>
                <w:rFonts w:ascii="Cambria Math" w:hAnsi="Cambria Math"/>
                <w:i/>
                <w:color w:val="auto"/>
              </w:rPr>
            </m:ctrlPr>
          </m:deg>
          <m:e>
            <m:f>
              <m:fPr>
                <m:ctrlPr>
                  <w:rPr>
                    <w:rFonts w:ascii="Cambria Math" w:hAnsi="Cambria Math"/>
                    <w:i/>
                    <w:color w:val="auto"/>
                  </w:rPr>
                </m:ctrlPr>
              </m:fPr>
              <m:num>
                <m:r>
                  <m:rPr/>
                  <w:rPr>
                    <w:rFonts w:ascii="Cambria Math" w:hAnsi="Cambria Math"/>
                    <w:color w:val="auto"/>
                  </w:rPr>
                  <m:t>1000×</m:t>
                </m:r>
                <m:sSub>
                  <m:sSubPr>
                    <m:ctrlPr>
                      <w:rPr>
                        <w:rFonts w:ascii="Cambria Math" w:hAnsi="Cambria Math"/>
                        <w:i/>
                        <w:color w:val="auto"/>
                      </w:rPr>
                    </m:ctrlPr>
                  </m:sSubPr>
                  <m:e>
                    <m:r>
                      <m:rPr/>
                      <w:rPr>
                        <w:rFonts w:ascii="Cambria Math" w:hAnsi="Cambria Math"/>
                        <w:color w:val="auto"/>
                      </w:rPr>
                      <m:t>F</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ctrlPr>
                  <w:rPr>
                    <w:rFonts w:ascii="Cambria Math" w:hAnsi="Cambria Math"/>
                    <w:i/>
                    <w:color w:val="auto"/>
                  </w:rPr>
                </m:ctrlPr>
              </m:num>
              <m:den>
                <m:sSup>
                  <m:sSupPr>
                    <m:ctrlPr>
                      <w:rPr>
                        <w:rFonts w:ascii="Cambria Math" w:hAnsi="Cambria Math"/>
                        <w:i/>
                        <w:color w:val="auto"/>
                      </w:rPr>
                    </m:ctrlPr>
                  </m:sSupPr>
                  <m:e>
                    <m:r>
                      <m:rPr/>
                      <w:rPr>
                        <w:rFonts w:ascii="Cambria Math" w:hAnsi="Cambria Math"/>
                        <w:color w:val="auto"/>
                      </w:rPr>
                      <m:t>K</m:t>
                    </m:r>
                    <m:ctrlPr>
                      <w:rPr>
                        <w:rFonts w:ascii="Cambria Math" w:hAnsi="Cambria Math"/>
                        <w:i/>
                        <w:color w:val="auto"/>
                      </w:rPr>
                    </m:ctrlPr>
                  </m:e>
                  <m:sup>
                    <m:r>
                      <m:rPr/>
                      <w:rPr>
                        <w:rFonts w:ascii="Cambria Math" w:hAnsi="Cambria Math"/>
                        <w:color w:val="auto"/>
                      </w:rPr>
                      <m:t>'</m:t>
                    </m:r>
                    <m:ctrlPr>
                      <w:rPr>
                        <w:rFonts w:ascii="Cambria Math" w:hAnsi="Cambria Math"/>
                        <w:i/>
                        <w:color w:val="auto"/>
                      </w:rPr>
                    </m:ctrlPr>
                  </m:sup>
                </m:sSup>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R</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ctrlPr>
                  <w:rPr>
                    <w:rFonts w:ascii="Cambria Math" w:hAnsi="Cambria Math"/>
                    <w:i/>
                    <w:color w:val="auto"/>
                  </w:rPr>
                </m:ctrlPr>
              </m:den>
            </m:f>
            <m:ctrlPr>
              <w:rPr>
                <w:rFonts w:ascii="Cambria Math" w:hAnsi="Cambria Math"/>
                <w:i/>
                <w:color w:val="auto"/>
              </w:rPr>
            </m:ctrlPr>
          </m:e>
        </m:rad>
        <m:r>
          <m:rPr/>
          <w:rPr>
            <w:rFonts w:ascii="Cambria Math" w:hAnsi="Cambria Math"/>
            <w:color w:val="auto"/>
          </w:rPr>
          <m:t>=</m:t>
        </m:r>
        <m:rad>
          <m:radPr>
            <m:degHide m:val="1"/>
            <m:ctrlPr>
              <w:rPr>
                <w:rFonts w:ascii="Cambria Math" w:hAnsi="Cambria Math"/>
                <w:i/>
                <w:color w:val="auto"/>
              </w:rPr>
            </m:ctrlPr>
          </m:radPr>
          <m:deg>
            <m:ctrlPr>
              <w:rPr>
                <w:rFonts w:ascii="Cambria Math" w:hAnsi="Cambria Math"/>
                <w:i/>
                <w:color w:val="auto"/>
              </w:rPr>
            </m:ctrlPr>
          </m:deg>
          <m:e>
            <m:f>
              <m:fPr>
                <m:ctrlPr>
                  <w:rPr>
                    <w:rFonts w:ascii="Cambria Math" w:hAnsi="Cambria Math"/>
                    <w:i/>
                    <w:color w:val="auto"/>
                  </w:rPr>
                </m:ctrlPr>
              </m:fPr>
              <m:num>
                <m:r>
                  <m:rPr/>
                  <w:rPr>
                    <w:rFonts w:ascii="Cambria Math" w:hAnsi="Cambria Math"/>
                    <w:color w:val="auto"/>
                  </w:rPr>
                  <m:t>1000×</m:t>
                </m:r>
                <m:r>
                  <m:rPr/>
                  <w:rPr>
                    <w:rFonts w:hint="default" w:ascii="Cambria Math" w:hAnsi="Cambria Math"/>
                    <w:color w:val="auto"/>
                    <w:lang w:val="en-US" w:eastAsia="zh-CN"/>
                  </w:rPr>
                  <m:t>279.3</m:t>
                </m:r>
                <m:ctrlPr>
                  <w:rPr>
                    <w:rFonts w:ascii="Cambria Math" w:hAnsi="Cambria Math"/>
                    <w:i/>
                    <w:color w:val="auto"/>
                  </w:rPr>
                </m:ctrlPr>
              </m:num>
              <m:den>
                <m:r>
                  <m:rPr>
                    <m:nor/>
                    <m:sty m:val="p"/>
                  </m:rPr>
                  <w:rPr>
                    <w:b w:val="0"/>
                    <w:i w:val="0"/>
                    <w:color w:val="auto"/>
                  </w:rPr>
                  <m:t>0.33</m:t>
                </m:r>
                <m:r>
                  <m:rPr>
                    <m:sty m:val="p"/>
                  </m:rPr>
                  <w:rPr>
                    <w:rFonts w:ascii="Cambria Math" w:hAnsi="Cambria Math"/>
                    <w:color w:val="auto"/>
                  </w:rPr>
                  <m:t>×1</m:t>
                </m:r>
                <m:r>
                  <m:rPr>
                    <m:sty m:val="p"/>
                  </m:rPr>
                  <w:rPr>
                    <w:rFonts w:hint="default" w:ascii="Cambria Math" w:hAnsi="Cambria Math"/>
                    <w:color w:val="auto"/>
                    <w:lang w:val="en-US" w:eastAsia="zh-CN"/>
                  </w:rPr>
                  <m:t>87</m:t>
                </m:r>
                <m:r>
                  <m:rPr>
                    <m:sty m:val="p"/>
                  </m:rPr>
                  <w:rPr>
                    <w:rFonts w:ascii="Cambria Math" w:hAnsi="Cambria Math"/>
                    <w:color w:val="auto"/>
                  </w:rPr>
                  <m:t>0</m:t>
                </m:r>
                <m:ctrlPr>
                  <w:rPr>
                    <w:rFonts w:ascii="Cambria Math" w:hAnsi="Cambria Math"/>
                    <w:color w:val="auto"/>
                  </w:rPr>
                </m:ctrlPr>
              </m:den>
            </m:f>
            <m:ctrlPr>
              <w:rPr>
                <w:rFonts w:ascii="Cambria Math" w:hAnsi="Cambria Math"/>
                <w:i/>
                <w:color w:val="auto"/>
              </w:rPr>
            </m:ctrlPr>
          </m:e>
        </m:rad>
        <m:r>
          <m:rPr/>
          <w:rPr>
            <w:rFonts w:ascii="Cambria Math" w:hAnsi="Cambria Math"/>
            <w:color w:val="auto"/>
          </w:rPr>
          <m:t>=</m:t>
        </m:r>
        <m:r>
          <m:rPr/>
          <w:rPr>
            <w:rFonts w:hint="default" w:ascii="Cambria Math" w:hAnsi="Cambria Math"/>
            <w:color w:val="auto"/>
            <w:lang w:val="en-US" w:eastAsia="zh-CN"/>
          </w:rPr>
          <m:t>21.27</m:t>
        </m:r>
        <m:r>
          <m:rPr/>
          <w:rPr>
            <w:rFonts w:ascii="Cambria Math" w:hAnsi="Cambria Math"/>
            <w:color w:val="auto"/>
          </w:rPr>
          <m:t>mm</m:t>
        </m:r>
      </m:oMath>
      <w:r>
        <w:rPr>
          <w:color w:val="auto"/>
        </w:rPr>
        <w:t>，采用</w:t>
      </w:r>
      <w:r>
        <w:rPr>
          <w:rFonts w:eastAsia="SJQY"/>
          <w:color w:val="auto"/>
        </w:rPr>
        <w:t>Φ</w:t>
      </w:r>
      <w:r>
        <w:rPr>
          <w:color w:val="auto"/>
        </w:rPr>
        <w:t>2</w:t>
      </w:r>
      <w:r>
        <w:rPr>
          <w:rFonts w:hint="eastAsia"/>
          <w:color w:val="auto"/>
          <w:lang w:val="en-US" w:eastAsia="zh-CN"/>
        </w:rPr>
        <w:t>2</w:t>
      </w:r>
      <w:r>
        <w:rPr>
          <w:color w:val="auto"/>
        </w:rPr>
        <w:t>mm钢丝绳可满足要求。</w:t>
      </w:r>
    </w:p>
    <w:p>
      <w:pPr>
        <w:pStyle w:val="5"/>
        <w:bidi w:val="0"/>
        <w:ind w:left="0" w:leftChars="0" w:firstLine="0" w:firstLineChars="0"/>
        <w:rPr>
          <w:rFonts w:hint="eastAsia"/>
          <w:sz w:val="24"/>
          <w:szCs w:val="24"/>
          <w:lang w:val="en-US" w:eastAsia="zh-CN"/>
        </w:rPr>
      </w:pPr>
      <w:bookmarkStart w:id="204" w:name="_Toc724"/>
      <w:bookmarkStart w:id="205" w:name="_Toc8972"/>
      <w:bookmarkStart w:id="206" w:name="_Toc28116"/>
      <w:r>
        <w:rPr>
          <w:rFonts w:hint="eastAsia"/>
          <w:sz w:val="24"/>
          <w:szCs w:val="24"/>
          <w:lang w:val="en-US" w:eastAsia="zh-CN"/>
        </w:rPr>
        <w:t>卸扣选型</w:t>
      </w:r>
      <w:bookmarkEnd w:id="204"/>
      <w:bookmarkEnd w:id="205"/>
      <w:r>
        <w:rPr>
          <w:rFonts w:hint="eastAsia"/>
          <w:sz w:val="24"/>
          <w:szCs w:val="24"/>
          <w:lang w:val="en-US" w:eastAsia="zh-CN"/>
        </w:rPr>
        <w:t>计算</w:t>
      </w:r>
      <w:bookmarkEnd w:id="206"/>
    </w:p>
    <w:p>
      <w:pPr>
        <w:rPr>
          <w:color w:val="auto"/>
        </w:rPr>
      </w:pPr>
      <w:r>
        <w:rPr>
          <w:rFonts w:hint="eastAsia"/>
          <w:color w:val="auto"/>
        </w:rPr>
        <w:t>四</w:t>
      </w:r>
      <w:r>
        <w:rPr>
          <w:color w:val="auto"/>
        </w:rPr>
        <w:t>点吊的塔吊主要部件钢丝绳连接卸扣工作荷载：</w:t>
      </w:r>
    </w:p>
    <w:p>
      <w:pPr>
        <w:rPr>
          <w:color w:val="000000"/>
          <w:szCs w:val="24"/>
        </w:rPr>
      </w:pPr>
      <m:oMath>
        <m:r>
          <m:rPr/>
          <w:rPr>
            <w:rFonts w:ascii="Cambria Math"/>
            <w:color w:val="auto"/>
          </w:rPr>
          <m:t>WL</m:t>
        </m:r>
        <m:sSub>
          <m:sSubPr>
            <m:ctrlPr>
              <w:rPr>
                <w:rFonts w:ascii="Cambria Math"/>
                <w:i/>
                <w:color w:val="auto"/>
              </w:rPr>
            </m:ctrlPr>
          </m:sSubPr>
          <m:e>
            <m:r>
              <m:rPr/>
              <w:rPr>
                <w:rFonts w:ascii="Cambria Math"/>
                <w:color w:val="auto"/>
              </w:rPr>
              <m:t>L</m:t>
            </m:r>
            <m:ctrlPr>
              <w:rPr>
                <w:rFonts w:ascii="Cambria Math"/>
                <w:i/>
                <w:color w:val="auto"/>
              </w:rPr>
            </m:ctrlPr>
          </m:e>
          <m:sub>
            <m:r>
              <m:rPr/>
              <w:rPr>
                <w:rFonts w:ascii="Cambria Math"/>
                <w:color w:val="auto"/>
              </w:rPr>
              <m:t>0</m:t>
            </m:r>
            <m:ctrlPr>
              <w:rPr>
                <w:rFonts w:ascii="Cambria Math"/>
                <w:i/>
                <w:color w:val="auto"/>
              </w:rPr>
            </m:ctrlPr>
          </m:sub>
        </m:sSub>
        <m:r>
          <m:rPr/>
          <w:rPr>
            <w:rFonts w:ascii="Cambria Math"/>
            <w:color w:val="auto"/>
          </w:rPr>
          <m:t>=</m:t>
        </m:r>
        <m:f>
          <m:fPr>
            <m:ctrlPr>
              <w:rPr>
                <w:rFonts w:ascii="Cambria Math"/>
                <w:i/>
                <w:color w:val="auto"/>
              </w:rPr>
            </m:ctrlPr>
          </m:fPr>
          <m:num>
            <m:r>
              <m:rPr/>
              <w:rPr>
                <w:rFonts w:hint="default" w:ascii="Cambria Math"/>
                <w:color w:val="auto"/>
                <w:lang w:val="en-US" w:eastAsia="zh-CN"/>
              </w:rPr>
              <m:t>279.3</m:t>
            </m:r>
            <m:ctrlPr>
              <w:rPr>
                <w:rFonts w:ascii="Cambria Math"/>
                <w:i/>
                <w:color w:val="auto"/>
              </w:rPr>
            </m:ctrlPr>
          </m:num>
          <m:den>
            <m:r>
              <m:rPr/>
              <w:rPr>
                <w:rFonts w:ascii="Cambria Math"/>
                <w:color w:val="auto"/>
              </w:rPr>
              <m:t>6</m:t>
            </m:r>
            <m:ctrlPr>
              <w:rPr>
                <w:rFonts w:ascii="Cambria Math"/>
                <w:i/>
                <w:color w:val="auto"/>
              </w:rPr>
            </m:ctrlPr>
          </m:den>
        </m:f>
        <m:r>
          <m:rPr/>
          <w:rPr>
            <w:rFonts w:ascii="Cambria Math"/>
            <w:color w:val="auto"/>
          </w:rPr>
          <m:t>=</m:t>
        </m:r>
        <m:r>
          <m:rPr/>
          <w:rPr>
            <w:rFonts w:hint="default" w:ascii="Cambria Math"/>
            <w:color w:val="auto"/>
            <w:lang w:val="en-US" w:eastAsia="zh-CN"/>
          </w:rPr>
          <m:t>46.55</m:t>
        </m:r>
        <m:r>
          <m:rPr/>
          <w:rPr>
            <w:rFonts w:ascii="Cambria Math"/>
            <w:color w:val="auto"/>
          </w:rPr>
          <m:t>KN</m:t>
        </m:r>
      </m:oMath>
      <w:r>
        <w:rPr>
          <w:color w:val="auto"/>
        </w:rPr>
        <w:t>，选用卸扣</w:t>
      </w:r>
      <w:r>
        <w:t>GB/T 25854-6-DW</w:t>
      </w:r>
      <w:r>
        <w:rPr>
          <w:rFonts w:hint="eastAsia"/>
          <w:lang w:val="en-US" w:eastAsia="zh-CN"/>
        </w:rPr>
        <w:t>6</w:t>
      </w:r>
      <w:r>
        <w:rPr>
          <w:color w:val="auto"/>
        </w:rPr>
        <w:t>。</w:t>
      </w:r>
    </w:p>
    <w:p>
      <w:r>
        <w:rPr>
          <w:color w:val="auto"/>
        </w:rPr>
        <w:t>根据塔吊基础设计参数及塔吊主要部件重量及吊</w:t>
      </w:r>
      <w:r>
        <w:rPr>
          <w:rFonts w:hint="eastAsia"/>
          <w:color w:val="auto"/>
        </w:rPr>
        <w:t>装</w:t>
      </w:r>
      <w:r>
        <w:rPr>
          <w:color w:val="auto"/>
        </w:rPr>
        <w:t>高度，确定安装过程中所需的最大吊重、最大钢丝绳夹角，结合施工现场实际情况，确定起重钢丝绳型号。钢丝绳及卸扣选型见下表。</w:t>
      </w:r>
    </w:p>
    <w:p>
      <w:pPr>
        <w:pStyle w:val="16"/>
        <w:rPr>
          <w:color w:val="auto"/>
        </w:rPr>
      </w:pPr>
      <w:r>
        <w:rPr>
          <w:color w:val="auto"/>
        </w:rPr>
        <w:t xml:space="preserve">表 </w:t>
      </w:r>
      <w:r>
        <w:rPr>
          <w:rFonts w:hint="eastAsia"/>
          <w:color w:val="auto"/>
          <w:lang w:val="en-US" w:eastAsia="zh-CN"/>
        </w:rPr>
        <w:t>11.1-1</w:t>
      </w:r>
      <w:r>
        <w:rPr>
          <w:color w:val="auto"/>
        </w:rPr>
        <w:t>钢丝绳选型表</w:t>
      </w:r>
    </w:p>
    <w:tbl>
      <w:tblPr>
        <w:tblStyle w:val="43"/>
        <w:tblW w:w="82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gridCol w:w="23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pPr>
              <w:pStyle w:val="325"/>
              <w:rPr>
                <w:b w:val="0"/>
                <w:color w:val="auto"/>
              </w:rPr>
            </w:pPr>
            <w:r>
              <w:rPr>
                <w:b/>
                <w:color w:val="auto"/>
              </w:rPr>
              <w:t>序号</w:t>
            </w:r>
          </w:p>
        </w:tc>
        <w:tc>
          <w:tcPr>
            <w:tcW w:w="1559" w:type="dxa"/>
            <w:vAlign w:val="center"/>
          </w:tcPr>
          <w:p>
            <w:pPr>
              <w:pStyle w:val="325"/>
              <w:rPr>
                <w:b w:val="0"/>
                <w:color w:val="auto"/>
              </w:rPr>
            </w:pPr>
            <w:r>
              <w:rPr>
                <w:b/>
                <w:color w:val="auto"/>
              </w:rPr>
              <w:t>设备名称</w:t>
            </w:r>
          </w:p>
        </w:tc>
        <w:tc>
          <w:tcPr>
            <w:tcW w:w="2835" w:type="dxa"/>
            <w:vAlign w:val="center"/>
          </w:tcPr>
          <w:p>
            <w:pPr>
              <w:pStyle w:val="325"/>
              <w:rPr>
                <w:b w:val="0"/>
                <w:color w:val="auto"/>
              </w:rPr>
            </w:pPr>
            <w:r>
              <w:rPr>
                <w:b/>
                <w:color w:val="auto"/>
              </w:rPr>
              <w:t>规格型号</w:t>
            </w:r>
          </w:p>
        </w:tc>
        <w:tc>
          <w:tcPr>
            <w:tcW w:w="567" w:type="dxa"/>
            <w:vAlign w:val="center"/>
          </w:tcPr>
          <w:p>
            <w:pPr>
              <w:pStyle w:val="325"/>
              <w:rPr>
                <w:b w:val="0"/>
                <w:color w:val="auto"/>
              </w:rPr>
            </w:pPr>
            <w:r>
              <w:rPr>
                <w:b/>
                <w:color w:val="auto"/>
              </w:rPr>
              <w:t>单位</w:t>
            </w:r>
          </w:p>
        </w:tc>
        <w:tc>
          <w:tcPr>
            <w:tcW w:w="567" w:type="dxa"/>
            <w:vAlign w:val="center"/>
          </w:tcPr>
          <w:p>
            <w:pPr>
              <w:pStyle w:val="325"/>
              <w:rPr>
                <w:b w:val="0"/>
                <w:color w:val="auto"/>
              </w:rPr>
            </w:pPr>
            <w:r>
              <w:rPr>
                <w:b/>
                <w:color w:val="auto"/>
              </w:rPr>
              <w:t>数量</w:t>
            </w:r>
          </w:p>
        </w:tc>
        <w:tc>
          <w:tcPr>
            <w:tcW w:w="2338" w:type="dxa"/>
            <w:vAlign w:val="center"/>
          </w:tcPr>
          <w:p>
            <w:pPr>
              <w:pStyle w:val="325"/>
              <w:rPr>
                <w:b w:val="0"/>
                <w:color w:val="auto"/>
              </w:rPr>
            </w:pPr>
            <w:r>
              <w:rPr>
                <w:b/>
                <w:color w:val="auto"/>
              </w:rPr>
              <w:t>吊装部位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pPr>
              <w:pStyle w:val="325"/>
              <w:rPr>
                <w:rFonts w:hint="default" w:eastAsia="宋体"/>
                <w:color w:val="auto"/>
                <w:lang w:val="en-US" w:eastAsia="zh-CN"/>
              </w:rPr>
            </w:pPr>
            <w:r>
              <w:rPr>
                <w:rFonts w:hint="eastAsia"/>
                <w:color w:val="auto"/>
                <w:lang w:val="en-US" w:eastAsia="zh-CN"/>
              </w:rPr>
              <w:t>1</w:t>
            </w:r>
          </w:p>
        </w:tc>
        <w:tc>
          <w:tcPr>
            <w:tcW w:w="1559" w:type="dxa"/>
            <w:vAlign w:val="center"/>
          </w:tcPr>
          <w:p>
            <w:pPr>
              <w:pStyle w:val="325"/>
              <w:rPr>
                <w:color w:val="auto"/>
              </w:rPr>
            </w:pPr>
            <w:r>
              <w:rPr>
                <w:color w:val="auto"/>
              </w:rPr>
              <w:t>起重用钢丝绳</w:t>
            </w:r>
          </w:p>
        </w:tc>
        <w:tc>
          <w:tcPr>
            <w:tcW w:w="2835" w:type="dxa"/>
            <w:vAlign w:val="center"/>
          </w:tcPr>
          <w:p>
            <w:pPr>
              <w:pStyle w:val="325"/>
              <w:rPr>
                <w:color w:val="auto"/>
              </w:rPr>
            </w:pPr>
            <w:r>
              <w:rPr>
                <w:rFonts w:hint="eastAsia" w:cs="Times New Roman"/>
                <w:b w:val="0"/>
                <w:bCs w:val="0"/>
                <w:lang w:val="en-US" w:eastAsia="zh-CN"/>
              </w:rPr>
              <w:t>22</w:t>
            </w:r>
            <w:r>
              <w:rPr>
                <w:rFonts w:cs="Times New Roman"/>
                <w:b w:val="0"/>
                <w:bCs w:val="0"/>
              </w:rPr>
              <w:t>mm</w:t>
            </w:r>
            <w:r>
              <w:rPr>
                <w:rFonts w:eastAsia="仿宋" w:cs="Times New Roman"/>
                <w:b w:val="0"/>
                <w:bCs w:val="0"/>
              </w:rPr>
              <w:t>6×19S+FC1</w:t>
            </w:r>
            <w:r>
              <w:rPr>
                <w:rFonts w:cs="Times New Roman"/>
                <w:b w:val="0"/>
                <w:bCs w:val="0"/>
              </w:rPr>
              <w:t>8</w:t>
            </w:r>
            <w:r>
              <w:rPr>
                <w:rFonts w:eastAsia="仿宋" w:cs="Times New Roman"/>
                <w:b w:val="0"/>
                <w:bCs w:val="0"/>
              </w:rPr>
              <w:t>70</w:t>
            </w:r>
            <w:r>
              <w:rPr>
                <w:rFonts w:cs="Times New Roman"/>
                <w:b w:val="0"/>
                <w:bCs w:val="0"/>
              </w:rPr>
              <w:t>Mpa</w:t>
            </w:r>
          </w:p>
        </w:tc>
        <w:tc>
          <w:tcPr>
            <w:tcW w:w="567" w:type="dxa"/>
            <w:vAlign w:val="center"/>
          </w:tcPr>
          <w:p>
            <w:pPr>
              <w:pStyle w:val="325"/>
              <w:rPr>
                <w:color w:val="auto"/>
              </w:rPr>
            </w:pPr>
            <w:r>
              <w:rPr>
                <w:color w:val="auto"/>
              </w:rPr>
              <w:t>根</w:t>
            </w:r>
          </w:p>
        </w:tc>
        <w:tc>
          <w:tcPr>
            <w:tcW w:w="567" w:type="dxa"/>
            <w:vAlign w:val="center"/>
          </w:tcPr>
          <w:p>
            <w:pPr>
              <w:pStyle w:val="325"/>
              <w:rPr>
                <w:rFonts w:hint="eastAsia" w:eastAsia="宋体"/>
                <w:color w:val="auto"/>
                <w:lang w:eastAsia="zh-CN"/>
              </w:rPr>
            </w:pPr>
            <w:r>
              <w:rPr>
                <w:rFonts w:hint="eastAsia"/>
                <w:color w:val="auto"/>
                <w:lang w:val="en-US" w:eastAsia="zh-CN"/>
              </w:rPr>
              <w:t>4</w:t>
            </w:r>
          </w:p>
        </w:tc>
        <w:tc>
          <w:tcPr>
            <w:tcW w:w="2338" w:type="dxa"/>
            <w:vAlign w:val="center"/>
          </w:tcPr>
          <w:p>
            <w:pPr>
              <w:pStyle w:val="325"/>
              <w:rPr>
                <w:color w:val="auto"/>
              </w:rPr>
            </w:pPr>
            <w:r>
              <w:rPr>
                <w:color w:val="auto"/>
              </w:rPr>
              <w:t>起重臂、平衡臂吊装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pPr>
              <w:pStyle w:val="325"/>
              <w:rPr>
                <w:rFonts w:hint="eastAsia" w:eastAsia="宋体"/>
                <w:color w:val="auto"/>
                <w:lang w:val="en-US" w:eastAsia="zh-CN"/>
              </w:rPr>
            </w:pPr>
            <w:r>
              <w:rPr>
                <w:rFonts w:hint="eastAsia"/>
                <w:color w:val="auto"/>
                <w:lang w:val="en-US" w:eastAsia="zh-CN"/>
              </w:rPr>
              <w:t>2</w:t>
            </w:r>
          </w:p>
        </w:tc>
        <w:tc>
          <w:tcPr>
            <w:tcW w:w="1559" w:type="dxa"/>
            <w:vAlign w:val="center"/>
          </w:tcPr>
          <w:p>
            <w:pPr>
              <w:pStyle w:val="325"/>
              <w:rPr>
                <w:color w:val="auto"/>
              </w:rPr>
            </w:pPr>
            <w:r>
              <w:rPr>
                <w:color w:val="auto"/>
              </w:rPr>
              <w:t>起重用钢丝绳</w:t>
            </w:r>
          </w:p>
        </w:tc>
        <w:tc>
          <w:tcPr>
            <w:tcW w:w="2835" w:type="dxa"/>
            <w:vAlign w:val="center"/>
          </w:tcPr>
          <w:p>
            <w:pPr>
              <w:pStyle w:val="325"/>
              <w:rPr>
                <w:color w:val="auto"/>
              </w:rPr>
            </w:pPr>
            <w:r>
              <w:rPr>
                <w:rFonts w:cs="Times New Roman"/>
                <w:b w:val="0"/>
                <w:bCs w:val="0"/>
              </w:rPr>
              <w:t>20mm</w:t>
            </w:r>
            <w:r>
              <w:rPr>
                <w:rFonts w:eastAsia="仿宋" w:cs="Times New Roman"/>
                <w:b w:val="0"/>
                <w:bCs w:val="0"/>
              </w:rPr>
              <w:t>6×19S+FC1</w:t>
            </w:r>
            <w:r>
              <w:rPr>
                <w:rFonts w:cs="Times New Roman"/>
                <w:b w:val="0"/>
                <w:bCs w:val="0"/>
              </w:rPr>
              <w:t>8</w:t>
            </w:r>
            <w:r>
              <w:rPr>
                <w:rFonts w:eastAsia="仿宋" w:cs="Times New Roman"/>
                <w:b w:val="0"/>
                <w:bCs w:val="0"/>
              </w:rPr>
              <w:t>70</w:t>
            </w:r>
            <w:r>
              <w:rPr>
                <w:rFonts w:cs="Times New Roman"/>
                <w:b w:val="0"/>
                <w:bCs w:val="0"/>
              </w:rPr>
              <w:t>Mpa</w:t>
            </w:r>
          </w:p>
        </w:tc>
        <w:tc>
          <w:tcPr>
            <w:tcW w:w="567" w:type="dxa"/>
            <w:vAlign w:val="center"/>
          </w:tcPr>
          <w:p>
            <w:pPr>
              <w:pStyle w:val="325"/>
              <w:rPr>
                <w:color w:val="auto"/>
              </w:rPr>
            </w:pPr>
            <w:r>
              <w:rPr>
                <w:color w:val="auto"/>
              </w:rPr>
              <w:t>根</w:t>
            </w:r>
          </w:p>
        </w:tc>
        <w:tc>
          <w:tcPr>
            <w:tcW w:w="567" w:type="dxa"/>
            <w:vAlign w:val="center"/>
          </w:tcPr>
          <w:p>
            <w:pPr>
              <w:pStyle w:val="325"/>
              <w:rPr>
                <w:color w:val="auto"/>
              </w:rPr>
            </w:pPr>
            <w:r>
              <w:rPr>
                <w:color w:val="auto"/>
              </w:rPr>
              <w:t>4</w:t>
            </w:r>
          </w:p>
        </w:tc>
        <w:tc>
          <w:tcPr>
            <w:tcW w:w="2338" w:type="dxa"/>
            <w:vAlign w:val="center"/>
          </w:tcPr>
          <w:p>
            <w:pPr>
              <w:pStyle w:val="325"/>
              <w:rPr>
                <w:color w:val="auto"/>
              </w:rPr>
            </w:pPr>
            <w:r>
              <w:rPr>
                <w:color w:val="auto"/>
              </w:rPr>
              <w:t>塔身部件吊装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pPr>
              <w:pStyle w:val="325"/>
              <w:rPr>
                <w:rFonts w:hint="eastAsia" w:eastAsia="宋体"/>
                <w:color w:val="auto"/>
                <w:lang w:val="en-US" w:eastAsia="zh-CN"/>
              </w:rPr>
            </w:pPr>
            <w:r>
              <w:rPr>
                <w:rFonts w:hint="eastAsia"/>
                <w:color w:val="auto"/>
                <w:lang w:val="en-US" w:eastAsia="zh-CN"/>
              </w:rPr>
              <w:t>3</w:t>
            </w:r>
          </w:p>
        </w:tc>
        <w:tc>
          <w:tcPr>
            <w:tcW w:w="1559" w:type="dxa"/>
            <w:vAlign w:val="center"/>
          </w:tcPr>
          <w:p>
            <w:pPr>
              <w:pStyle w:val="325"/>
              <w:rPr>
                <w:color w:val="auto"/>
              </w:rPr>
            </w:pPr>
            <w:r>
              <w:rPr>
                <w:color w:val="auto"/>
              </w:rPr>
              <w:t>卸扣</w:t>
            </w:r>
          </w:p>
        </w:tc>
        <w:tc>
          <w:tcPr>
            <w:tcW w:w="2835" w:type="dxa"/>
            <w:vAlign w:val="center"/>
          </w:tcPr>
          <w:p>
            <w:pPr>
              <w:pStyle w:val="325"/>
              <w:rPr>
                <w:rFonts w:hint="eastAsia" w:eastAsia="宋体"/>
                <w:color w:val="auto"/>
                <w:lang w:eastAsia="zh-CN"/>
              </w:rPr>
            </w:pPr>
            <w:r>
              <w:t>GB/T 25854-6-DW</w:t>
            </w:r>
            <w:r>
              <w:rPr>
                <w:rFonts w:hint="eastAsia"/>
                <w:lang w:val="en-US" w:eastAsia="zh-CN"/>
              </w:rPr>
              <w:t>6</w:t>
            </w:r>
          </w:p>
        </w:tc>
        <w:tc>
          <w:tcPr>
            <w:tcW w:w="567" w:type="dxa"/>
            <w:vAlign w:val="center"/>
          </w:tcPr>
          <w:p>
            <w:pPr>
              <w:pStyle w:val="325"/>
              <w:rPr>
                <w:color w:val="auto"/>
              </w:rPr>
            </w:pPr>
            <w:r>
              <w:rPr>
                <w:color w:val="auto"/>
              </w:rPr>
              <w:t>个</w:t>
            </w:r>
          </w:p>
        </w:tc>
        <w:tc>
          <w:tcPr>
            <w:tcW w:w="567" w:type="dxa"/>
            <w:vAlign w:val="center"/>
          </w:tcPr>
          <w:p>
            <w:pPr>
              <w:pStyle w:val="325"/>
              <w:rPr>
                <w:color w:val="auto"/>
              </w:rPr>
            </w:pPr>
            <w:r>
              <w:rPr>
                <w:color w:val="auto"/>
              </w:rPr>
              <w:t>4</w:t>
            </w:r>
          </w:p>
        </w:tc>
        <w:tc>
          <w:tcPr>
            <w:tcW w:w="2338" w:type="dxa"/>
            <w:vAlign w:val="center"/>
          </w:tcPr>
          <w:p>
            <w:pPr>
              <w:pStyle w:val="325"/>
              <w:keepNext w:val="0"/>
              <w:keepLines w:val="0"/>
              <w:pageBreakBefore w:val="0"/>
              <w:widowControl w:val="0"/>
              <w:tabs>
                <w:tab w:val="left" w:pos="403"/>
                <w:tab w:val="center" w:pos="1121"/>
              </w:tabs>
              <w:kinsoku/>
              <w:wordWrap/>
              <w:overflowPunct/>
              <w:topLinePunct w:val="0"/>
              <w:autoSpaceDE/>
              <w:autoSpaceDN/>
              <w:bidi w:val="0"/>
              <w:adjustRightInd w:val="0"/>
              <w:snapToGrid w:val="0"/>
              <w:jc w:val="center"/>
              <w:textAlignment w:val="auto"/>
              <w:rPr>
                <w:rFonts w:hint="eastAsia"/>
                <w:color w:val="auto"/>
              </w:rPr>
            </w:pPr>
            <w:r>
              <w:rPr>
                <w:color w:val="auto"/>
              </w:rPr>
              <w:t>塔身部件吊装</w:t>
            </w:r>
          </w:p>
        </w:tc>
      </w:tr>
    </w:tbl>
    <w:p>
      <w:r>
        <w:rPr>
          <w:rFonts w:hint="eastAsia"/>
        </w:rPr>
        <w:br w:type="page"/>
      </w:r>
    </w:p>
    <w:p>
      <w:pPr>
        <w:pStyle w:val="4"/>
        <w:bidi w:val="0"/>
      </w:pPr>
      <w:bookmarkStart w:id="207" w:name="_Toc19012"/>
      <w:r>
        <w:rPr>
          <w:rFonts w:hint="eastAsia"/>
        </w:rPr>
        <w:t>附件</w:t>
      </w:r>
      <w:bookmarkEnd w:id="207"/>
    </w:p>
    <w:p>
      <w:pPr>
        <w:tabs>
          <w:tab w:val="right" w:leader="dot" w:pos="8890"/>
        </w:tabs>
        <w:spacing w:before="120" w:beforeLines="50" w:line="360" w:lineRule="auto"/>
        <w:ind w:firstLine="0" w:firstLineChars="0"/>
        <w:jc w:val="center"/>
        <w:rPr>
          <w:rFonts w:ascii="宋体" w:hAnsi="宋体" w:eastAsia="宋体" w:cs="宋体"/>
          <w:sz w:val="24"/>
          <w:szCs w:val="21"/>
        </w:rPr>
      </w:pPr>
      <w:r>
        <w:rPr>
          <w:rFonts w:hint="eastAsia"/>
        </w:rPr>
        <w:t>附1安装单位资质及人员证件</w:t>
      </w:r>
      <w:bookmarkEnd w:id="197"/>
      <w:bookmarkEnd w:id="198"/>
      <w:bookmarkEnd w:id="199"/>
      <w:bookmarkEnd w:id="200"/>
      <w:bookmarkEnd w:id="201"/>
      <w:r>
        <w:rPr>
          <w:rFonts w:hint="eastAsia" w:ascii="宋体" w:hAnsi="宋体" w:eastAsia="宋体" w:cs="宋体"/>
          <w:sz w:val="24"/>
          <w:szCs w:val="21"/>
        </w:rPr>
        <w:drawing>
          <wp:inline distT="0" distB="0" distL="114300" distR="114300">
            <wp:extent cx="5263515" cy="7444105"/>
            <wp:effectExtent l="0" t="0" r="9525" b="8255"/>
            <wp:docPr id="117"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83"/>
                    <pic:cNvPicPr>
                      <a:picLocks noChangeAspect="1"/>
                    </pic:cNvPicPr>
                  </pic:nvPicPr>
                  <pic:blipFill>
                    <a:blip r:embed="rId107"/>
                    <a:stretch>
                      <a:fillRect/>
                    </a:stretch>
                  </pic:blipFill>
                  <pic:spPr>
                    <a:xfrm>
                      <a:off x="0" y="0"/>
                      <a:ext cx="5265715" cy="7447077"/>
                    </a:xfrm>
                    <a:prstGeom prst="rect">
                      <a:avLst/>
                    </a:prstGeom>
                    <a:noFill/>
                    <a:ln>
                      <a:noFill/>
                    </a:ln>
                  </pic:spPr>
                </pic:pic>
              </a:graphicData>
            </a:graphic>
          </wp:inline>
        </w:drawing>
      </w:r>
    </w:p>
    <w:p>
      <w:pPr>
        <w:tabs>
          <w:tab w:val="right" w:leader="dot" w:pos="8890"/>
        </w:tabs>
        <w:spacing w:before="120" w:beforeLines="50" w:line="360" w:lineRule="auto"/>
        <w:ind w:firstLine="0" w:firstLineChars="0"/>
        <w:jc w:val="center"/>
        <w:rPr>
          <w:rFonts w:ascii="宋体" w:hAnsi="宋体" w:eastAsia="宋体" w:cs="宋体"/>
          <w:b/>
          <w:sz w:val="24"/>
          <w:szCs w:val="21"/>
        </w:rPr>
      </w:pPr>
      <w:r>
        <w:rPr>
          <w:rFonts w:hint="eastAsia" w:ascii="宋体" w:hAnsi="宋体" w:eastAsia="宋体" w:cs="宋体"/>
          <w:sz w:val="24"/>
          <w:szCs w:val="21"/>
        </w:rPr>
        <w:drawing>
          <wp:inline distT="0" distB="0" distL="114300" distR="114300">
            <wp:extent cx="8232140" cy="5824220"/>
            <wp:effectExtent l="0" t="0" r="12700" b="12700"/>
            <wp:docPr id="156" name="图片 184" descr="397f2c1aa1839595027178f79fdd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84" descr="397f2c1aa1839595027178f79fdd3e6"/>
                    <pic:cNvPicPr>
                      <a:picLocks noChangeAspect="1"/>
                    </pic:cNvPicPr>
                  </pic:nvPicPr>
                  <pic:blipFill>
                    <a:blip r:embed="rId108"/>
                    <a:stretch>
                      <a:fillRect/>
                    </a:stretch>
                  </pic:blipFill>
                  <pic:spPr>
                    <a:xfrm rot="5400000">
                      <a:off x="0" y="0"/>
                      <a:ext cx="8232140" cy="5824220"/>
                    </a:xfrm>
                    <a:prstGeom prst="rect">
                      <a:avLst/>
                    </a:prstGeom>
                  </pic:spPr>
                </pic:pic>
              </a:graphicData>
            </a:graphic>
          </wp:inline>
        </w:drawing>
      </w:r>
    </w:p>
    <w:p>
      <w:pPr>
        <w:autoSpaceDE w:val="0"/>
        <w:autoSpaceDN w:val="0"/>
        <w:adjustRightInd w:val="0"/>
        <w:spacing w:after="120" w:line="360" w:lineRule="auto"/>
        <w:ind w:firstLine="482" w:firstLineChars="200"/>
        <w:rPr>
          <w:rFonts w:ascii="宋体" w:hAnsi="宋体" w:eastAsia="宋体" w:cs="宋体"/>
          <w:b/>
          <w:kern w:val="0"/>
          <w:sz w:val="24"/>
          <w:szCs w:val="21"/>
        </w:rPr>
      </w:pPr>
    </w:p>
    <w:p>
      <w:pPr>
        <w:pStyle w:val="5"/>
        <w:bidi w:val="0"/>
        <w:rPr>
          <w:lang w:val="en-US" w:eastAsia="zh-CN"/>
        </w:rPr>
      </w:pPr>
      <w:r>
        <w:rPr>
          <w:rFonts w:hint="eastAsia"/>
          <w:lang w:val="en-US" w:eastAsia="zh-CN"/>
        </w:rPr>
        <w:t>相关施工人员资质证件</w:t>
      </w:r>
    </w:p>
    <w:p>
      <w:pPr>
        <w:spacing w:line="360" w:lineRule="auto"/>
        <w:ind w:firstLine="480" w:firstLineChars="200"/>
        <w:rPr>
          <w:rFonts w:ascii="Times New Roman" w:hAnsi="Times New Roman" w:eastAsia="宋体" w:cs="宋体"/>
          <w:color w:val="000000"/>
          <w:sz w:val="24"/>
          <w:szCs w:val="21"/>
        </w:rPr>
      </w:pPr>
      <w:r>
        <w:rPr>
          <w:rFonts w:hint="eastAsia" w:ascii="Times New Roman" w:hAnsi="Times New Roman" w:eastAsia="宋体" w:cs="宋体"/>
          <w:sz w:val="24"/>
          <w:szCs w:val="21"/>
        </w:rPr>
        <w:t>（1）施工人员资质一览表</w:t>
      </w:r>
    </w:p>
    <w:p>
      <w:pPr>
        <w:spacing w:line="360" w:lineRule="auto"/>
        <w:ind w:firstLine="0" w:firstLineChars="0"/>
        <w:jc w:val="center"/>
        <w:rPr>
          <w:rFonts w:ascii="Times New Roman" w:hAnsi="Times New Roman" w:eastAsia="宋体" w:cs="Times New Roman"/>
          <w:b/>
          <w:color w:val="000000"/>
          <w:sz w:val="20"/>
          <w:szCs w:val="20"/>
        </w:rPr>
      </w:pPr>
      <w:r>
        <w:rPr>
          <w:rFonts w:hint="eastAsia" w:ascii="Times New Roman" w:hAnsi="Times New Roman" w:eastAsia="宋体" w:cs="Times New Roman"/>
          <w:b/>
          <w:sz w:val="20"/>
          <w:szCs w:val="20"/>
        </w:rPr>
        <w:t>表1</w:t>
      </w:r>
      <w:r>
        <w:rPr>
          <w:rFonts w:ascii="Times New Roman" w:hAnsi="Times New Roman" w:eastAsia="宋体" w:cs="Times New Roman"/>
          <w:b/>
          <w:sz w:val="20"/>
          <w:szCs w:val="20"/>
        </w:rPr>
        <w:t xml:space="preserve">  </w:t>
      </w:r>
      <w:r>
        <w:rPr>
          <w:rFonts w:hint="eastAsia" w:ascii="Times New Roman" w:hAnsi="Times New Roman" w:eastAsia="宋体" w:cs="Times New Roman"/>
          <w:b/>
          <w:sz w:val="20"/>
          <w:szCs w:val="20"/>
        </w:rPr>
        <w:t>施工人员资质一览表</w:t>
      </w:r>
    </w:p>
    <w:tbl>
      <w:tblPr>
        <w:tblStyle w:val="42"/>
        <w:tblW w:w="5000" w:type="pct"/>
        <w:jc w:val="center"/>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Layout w:type="autofit"/>
        <w:tblCellMar>
          <w:top w:w="0" w:type="dxa"/>
          <w:left w:w="108" w:type="dxa"/>
          <w:bottom w:w="0" w:type="dxa"/>
          <w:right w:w="108" w:type="dxa"/>
        </w:tblCellMar>
      </w:tblPr>
      <w:tblGrid>
        <w:gridCol w:w="597"/>
        <w:gridCol w:w="846"/>
        <w:gridCol w:w="597"/>
        <w:gridCol w:w="2300"/>
        <w:gridCol w:w="2092"/>
        <w:gridCol w:w="2090"/>
      </w:tblGrid>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tcBorders>
              <w:top w:val="single" w:color="2E5292" w:sz="8" w:space="0"/>
              <w:bottom w:val="single" w:color="2E5292" w:sz="8" w:space="0"/>
            </w:tcBorders>
            <w:shd w:val="clear" w:color="auto" w:fill="8EAADB"/>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序号</w:t>
            </w:r>
          </w:p>
        </w:tc>
        <w:tc>
          <w:tcPr>
            <w:tcW w:w="496" w:type="pct"/>
            <w:tcBorders>
              <w:top w:val="single" w:color="2E5292" w:sz="8" w:space="0"/>
              <w:bottom w:val="single" w:color="2E5292" w:sz="8" w:space="0"/>
            </w:tcBorders>
            <w:shd w:val="clear" w:color="auto" w:fill="8EAADB"/>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姓名</w:t>
            </w:r>
          </w:p>
        </w:tc>
        <w:tc>
          <w:tcPr>
            <w:tcW w:w="350" w:type="pct"/>
            <w:tcBorders>
              <w:top w:val="single" w:color="2E5292" w:sz="8" w:space="0"/>
              <w:bottom w:val="single" w:color="2E5292" w:sz="8" w:space="0"/>
            </w:tcBorders>
            <w:shd w:val="clear" w:color="auto" w:fill="8EAADB"/>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性别</w:t>
            </w:r>
          </w:p>
        </w:tc>
        <w:tc>
          <w:tcPr>
            <w:tcW w:w="1349" w:type="pct"/>
            <w:tcBorders>
              <w:top w:val="single" w:color="2E5292" w:sz="8" w:space="0"/>
              <w:bottom w:val="single" w:color="2E5292" w:sz="8" w:space="0"/>
            </w:tcBorders>
            <w:shd w:val="clear" w:color="auto" w:fill="8EAADB"/>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工种</w:t>
            </w:r>
          </w:p>
        </w:tc>
        <w:tc>
          <w:tcPr>
            <w:tcW w:w="1227" w:type="pct"/>
            <w:tcBorders>
              <w:top w:val="single" w:color="2E5292" w:sz="8" w:space="0"/>
              <w:bottom w:val="single" w:color="2E5292" w:sz="8" w:space="0"/>
            </w:tcBorders>
            <w:shd w:val="clear" w:color="auto" w:fill="8EAADB"/>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证书编号</w:t>
            </w:r>
          </w:p>
        </w:tc>
        <w:tc>
          <w:tcPr>
            <w:tcW w:w="1226" w:type="pct"/>
            <w:tcBorders>
              <w:top w:val="single" w:color="2E5292" w:sz="8" w:space="0"/>
              <w:bottom w:val="single" w:color="2E5292" w:sz="8" w:space="0"/>
            </w:tcBorders>
            <w:shd w:val="clear" w:color="auto" w:fill="8EAADB"/>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身份证号</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tcBorders>
              <w:top w:val="single" w:color="2E5292" w:sz="8" w:space="0"/>
            </w:tcBorders>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ascii="Times New Roman" w:hAnsi="Times New Roman" w:eastAsia="宋体" w:cs="宋体"/>
                <w:w w:val="90"/>
                <w:sz w:val="20"/>
                <w:szCs w:val="21"/>
              </w:rPr>
              <w:t>1</w:t>
            </w:r>
          </w:p>
        </w:tc>
        <w:tc>
          <w:tcPr>
            <w:tcW w:w="496" w:type="pct"/>
            <w:tcBorders>
              <w:top w:val="single" w:color="2E5292" w:sz="8" w:space="0"/>
            </w:tcBorders>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吕</w:t>
            </w:r>
            <w:r>
              <w:rPr>
                <w:rFonts w:hint="eastAsia" w:ascii="Times New Roman" w:hAnsi="Times New Roman" w:eastAsia="宋体" w:cs="宋体"/>
                <w:w w:val="90"/>
                <w:sz w:val="20"/>
                <w:szCs w:val="21"/>
                <w:lang w:val="en-US" w:eastAsia="zh-CN"/>
              </w:rPr>
              <w:t>仕</w:t>
            </w:r>
            <w:r>
              <w:rPr>
                <w:rFonts w:hint="eastAsia" w:ascii="Times New Roman" w:hAnsi="Times New Roman" w:eastAsia="宋体" w:cs="宋体"/>
                <w:w w:val="90"/>
                <w:sz w:val="20"/>
                <w:szCs w:val="21"/>
              </w:rPr>
              <w:t>昌</w:t>
            </w:r>
          </w:p>
        </w:tc>
        <w:tc>
          <w:tcPr>
            <w:tcW w:w="350" w:type="pct"/>
            <w:tcBorders>
              <w:top w:val="single" w:color="2E5292" w:sz="8" w:space="0"/>
            </w:tcBorders>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男</w:t>
            </w:r>
          </w:p>
        </w:tc>
        <w:tc>
          <w:tcPr>
            <w:tcW w:w="1349" w:type="pct"/>
            <w:tcBorders>
              <w:top w:val="single" w:color="2E5292" w:sz="8" w:space="0"/>
            </w:tcBorders>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专职安全员</w:t>
            </w:r>
          </w:p>
        </w:tc>
        <w:tc>
          <w:tcPr>
            <w:tcW w:w="1227" w:type="pct"/>
            <w:tcBorders>
              <w:top w:val="single" w:color="2E5292" w:sz="8" w:space="0"/>
            </w:tcBorders>
            <w:shd w:val="clear" w:color="auto" w:fill="auto"/>
            <w:vAlign w:val="center"/>
          </w:tcPr>
          <w:p>
            <w:pPr>
              <w:spacing w:line="240" w:lineRule="auto"/>
              <w:ind w:firstLine="0" w:firstLineChars="0"/>
              <w:jc w:val="center"/>
              <w:rPr>
                <w:rFonts w:hint="eastAsia" w:ascii="宋体" w:hAnsi="宋体" w:eastAsia="宋体" w:cs="宋体"/>
                <w:w w:val="90"/>
                <w:sz w:val="20"/>
                <w:szCs w:val="24"/>
              </w:rPr>
            </w:pPr>
            <w:r>
              <w:rPr>
                <w:rFonts w:hint="eastAsia" w:ascii="宋体" w:hAnsi="宋体" w:eastAsia="宋体" w:cs="宋体"/>
                <w:w w:val="90"/>
                <w:sz w:val="20"/>
                <w:szCs w:val="24"/>
              </w:rPr>
              <w:t>500381198606081511</w:t>
            </w:r>
          </w:p>
        </w:tc>
        <w:tc>
          <w:tcPr>
            <w:tcW w:w="1226" w:type="pct"/>
            <w:tcBorders>
              <w:top w:val="single" w:color="2E5292" w:sz="8" w:space="0"/>
            </w:tcBorders>
            <w:shd w:val="clear" w:color="auto" w:fill="auto"/>
            <w:vAlign w:val="center"/>
          </w:tcPr>
          <w:p>
            <w:pPr>
              <w:spacing w:line="240" w:lineRule="auto"/>
              <w:ind w:firstLine="0" w:firstLineChars="0"/>
              <w:jc w:val="center"/>
              <w:rPr>
                <w:rFonts w:hint="eastAsia" w:ascii="宋体" w:hAnsi="宋体" w:eastAsia="宋体" w:cs="宋体"/>
                <w:w w:val="90"/>
                <w:sz w:val="20"/>
                <w:szCs w:val="24"/>
              </w:rPr>
            </w:pPr>
            <w:r>
              <w:rPr>
                <w:rFonts w:hint="eastAsia" w:ascii="宋体" w:hAnsi="宋体" w:eastAsia="宋体" w:cs="宋体"/>
                <w:w w:val="90"/>
                <w:sz w:val="20"/>
                <w:szCs w:val="24"/>
              </w:rPr>
              <w:t>500381198606081511</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ascii="Times New Roman" w:hAnsi="Times New Roman" w:eastAsia="宋体" w:cs="宋体"/>
                <w:w w:val="90"/>
                <w:sz w:val="20"/>
                <w:szCs w:val="21"/>
              </w:rPr>
              <w:t>2</w:t>
            </w:r>
          </w:p>
        </w:tc>
        <w:tc>
          <w:tcPr>
            <w:tcW w:w="496"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Times New Roman"/>
                <w:w w:val="90"/>
                <w:sz w:val="20"/>
                <w:szCs w:val="21"/>
              </w:rPr>
              <w:t>熊登</w:t>
            </w:r>
          </w:p>
        </w:tc>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男</w:t>
            </w:r>
          </w:p>
        </w:tc>
        <w:tc>
          <w:tcPr>
            <w:tcW w:w="1349"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塔式起重机安拆工</w:t>
            </w:r>
          </w:p>
        </w:tc>
        <w:tc>
          <w:tcPr>
            <w:tcW w:w="1227" w:type="pct"/>
            <w:shd w:val="clear" w:color="auto" w:fill="auto"/>
            <w:vAlign w:val="center"/>
          </w:tcPr>
          <w:p>
            <w:pPr>
              <w:spacing w:line="240" w:lineRule="auto"/>
              <w:ind w:firstLine="0" w:firstLineChars="0"/>
              <w:jc w:val="center"/>
              <w:rPr>
                <w:rFonts w:hint="eastAsia" w:ascii="宋体" w:hAnsi="宋体" w:eastAsia="宋体" w:cs="宋体"/>
                <w:w w:val="90"/>
                <w:sz w:val="20"/>
                <w:szCs w:val="24"/>
              </w:rPr>
            </w:pPr>
            <w:r>
              <w:rPr>
                <w:rFonts w:hint="eastAsia" w:ascii="宋体" w:hAnsi="宋体" w:eastAsia="宋体" w:cs="宋体"/>
                <w:w w:val="90"/>
                <w:sz w:val="20"/>
                <w:szCs w:val="24"/>
              </w:rPr>
              <w:t>渝A082023000298</w:t>
            </w:r>
          </w:p>
        </w:tc>
        <w:tc>
          <w:tcPr>
            <w:tcW w:w="1226" w:type="pct"/>
            <w:shd w:val="clear" w:color="auto" w:fill="auto"/>
            <w:vAlign w:val="center"/>
          </w:tcPr>
          <w:p>
            <w:pPr>
              <w:spacing w:line="240" w:lineRule="auto"/>
              <w:ind w:firstLine="0" w:firstLineChars="0"/>
              <w:jc w:val="center"/>
              <w:rPr>
                <w:rFonts w:hint="eastAsia" w:ascii="宋体" w:hAnsi="宋体" w:eastAsia="宋体" w:cs="宋体"/>
                <w:w w:val="90"/>
                <w:sz w:val="20"/>
                <w:szCs w:val="24"/>
              </w:rPr>
            </w:pPr>
            <w:r>
              <w:rPr>
                <w:rFonts w:hint="eastAsia" w:ascii="宋体" w:hAnsi="宋体" w:eastAsia="宋体" w:cs="宋体"/>
                <w:w w:val="90"/>
                <w:sz w:val="20"/>
                <w:szCs w:val="24"/>
              </w:rPr>
              <w:t>500381198611031519</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ascii="Times New Roman" w:hAnsi="Times New Roman" w:eastAsia="宋体" w:cs="宋体"/>
                <w:w w:val="90"/>
                <w:sz w:val="20"/>
                <w:szCs w:val="21"/>
              </w:rPr>
              <w:t>3</w:t>
            </w:r>
          </w:p>
        </w:tc>
        <w:tc>
          <w:tcPr>
            <w:tcW w:w="496" w:type="pct"/>
            <w:shd w:val="clear" w:color="auto" w:fill="auto"/>
            <w:vAlign w:val="center"/>
          </w:tcPr>
          <w:p>
            <w:pPr>
              <w:spacing w:line="240" w:lineRule="auto"/>
              <w:ind w:firstLine="0" w:firstLineChars="0"/>
              <w:jc w:val="center"/>
              <w:rPr>
                <w:rFonts w:hint="eastAsia" w:ascii="Times New Roman" w:hAnsi="Times New Roman" w:eastAsia="宋体" w:cs="宋体"/>
                <w:w w:val="90"/>
                <w:sz w:val="20"/>
                <w:szCs w:val="21"/>
                <w:lang w:eastAsia="zh-CN"/>
              </w:rPr>
            </w:pPr>
            <w:r>
              <w:rPr>
                <w:rFonts w:hint="eastAsia" w:ascii="Times New Roman" w:hAnsi="Times New Roman" w:eastAsia="宋体" w:cs="Times New Roman"/>
                <w:w w:val="90"/>
                <w:sz w:val="20"/>
                <w:szCs w:val="21"/>
              </w:rPr>
              <w:t>黄教</w:t>
            </w:r>
            <w:r>
              <w:rPr>
                <w:rFonts w:hint="eastAsia" w:cs="Times New Roman"/>
                <w:w w:val="90"/>
                <w:sz w:val="20"/>
                <w:szCs w:val="21"/>
                <w:lang w:val="en-US" w:eastAsia="zh-CN"/>
              </w:rPr>
              <w:t>亮</w:t>
            </w:r>
          </w:p>
        </w:tc>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男</w:t>
            </w:r>
          </w:p>
        </w:tc>
        <w:tc>
          <w:tcPr>
            <w:tcW w:w="1349"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塔式起重机安拆工</w:t>
            </w:r>
          </w:p>
        </w:tc>
        <w:tc>
          <w:tcPr>
            <w:tcW w:w="1227" w:type="pct"/>
            <w:shd w:val="clear" w:color="auto" w:fill="auto"/>
            <w:vAlign w:val="center"/>
          </w:tcPr>
          <w:p>
            <w:pPr>
              <w:spacing w:line="240" w:lineRule="auto"/>
              <w:ind w:firstLine="0" w:firstLineChars="0"/>
              <w:jc w:val="center"/>
              <w:rPr>
                <w:rFonts w:hint="eastAsia" w:ascii="宋体" w:hAnsi="宋体" w:eastAsia="宋体" w:cs="宋体"/>
                <w:w w:val="90"/>
                <w:sz w:val="20"/>
                <w:szCs w:val="24"/>
              </w:rPr>
            </w:pPr>
            <w:r>
              <w:rPr>
                <w:rFonts w:hint="eastAsia" w:ascii="宋体" w:hAnsi="宋体" w:eastAsia="宋体" w:cs="宋体"/>
                <w:w w:val="90"/>
                <w:sz w:val="20"/>
                <w:szCs w:val="24"/>
              </w:rPr>
              <w:t>渝A082023000288</w:t>
            </w:r>
          </w:p>
        </w:tc>
        <w:tc>
          <w:tcPr>
            <w:tcW w:w="1226" w:type="pct"/>
            <w:shd w:val="clear" w:color="auto" w:fill="auto"/>
            <w:vAlign w:val="center"/>
          </w:tcPr>
          <w:p>
            <w:pPr>
              <w:spacing w:line="240" w:lineRule="auto"/>
              <w:ind w:firstLine="0" w:firstLineChars="0"/>
              <w:jc w:val="center"/>
              <w:rPr>
                <w:rFonts w:hint="eastAsia" w:ascii="宋体" w:hAnsi="宋体" w:eastAsia="宋体" w:cs="宋体"/>
                <w:w w:val="90"/>
                <w:sz w:val="20"/>
                <w:szCs w:val="24"/>
              </w:rPr>
            </w:pPr>
            <w:r>
              <w:rPr>
                <w:rFonts w:hint="eastAsia" w:ascii="宋体" w:hAnsi="宋体" w:eastAsia="宋体" w:cs="宋体"/>
                <w:w w:val="90"/>
                <w:sz w:val="20"/>
                <w:szCs w:val="24"/>
              </w:rPr>
              <w:t>50038119870308591X</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ascii="Times New Roman" w:hAnsi="Times New Roman" w:eastAsia="宋体" w:cs="宋体"/>
                <w:w w:val="90"/>
                <w:sz w:val="20"/>
                <w:szCs w:val="21"/>
              </w:rPr>
              <w:t>4</w:t>
            </w:r>
          </w:p>
        </w:tc>
        <w:tc>
          <w:tcPr>
            <w:tcW w:w="496"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Times New Roman"/>
                <w:w w:val="90"/>
                <w:sz w:val="20"/>
                <w:szCs w:val="21"/>
              </w:rPr>
              <w:t>冯昌苹</w:t>
            </w:r>
          </w:p>
        </w:tc>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男</w:t>
            </w:r>
          </w:p>
        </w:tc>
        <w:tc>
          <w:tcPr>
            <w:tcW w:w="1349"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塔式起重机安拆工</w:t>
            </w:r>
          </w:p>
        </w:tc>
        <w:tc>
          <w:tcPr>
            <w:tcW w:w="1227" w:type="pct"/>
            <w:shd w:val="clear" w:color="auto" w:fill="auto"/>
            <w:vAlign w:val="center"/>
          </w:tcPr>
          <w:p>
            <w:pPr>
              <w:spacing w:line="240" w:lineRule="auto"/>
              <w:ind w:firstLine="0" w:firstLineChars="0"/>
              <w:jc w:val="center"/>
              <w:rPr>
                <w:rFonts w:hint="eastAsia" w:ascii="宋体" w:hAnsi="宋体" w:eastAsia="宋体" w:cs="宋体"/>
                <w:w w:val="90"/>
                <w:sz w:val="20"/>
                <w:szCs w:val="24"/>
              </w:rPr>
            </w:pPr>
            <w:r>
              <w:rPr>
                <w:rFonts w:hint="eastAsia" w:ascii="宋体" w:hAnsi="宋体" w:eastAsia="宋体" w:cs="宋体"/>
                <w:w w:val="90"/>
                <w:sz w:val="20"/>
                <w:szCs w:val="24"/>
              </w:rPr>
              <w:t>渝A082023001929</w:t>
            </w:r>
          </w:p>
        </w:tc>
        <w:tc>
          <w:tcPr>
            <w:tcW w:w="1226" w:type="pct"/>
            <w:shd w:val="clear" w:color="auto" w:fill="auto"/>
            <w:vAlign w:val="center"/>
          </w:tcPr>
          <w:p>
            <w:pPr>
              <w:spacing w:line="240" w:lineRule="auto"/>
              <w:ind w:firstLine="0" w:firstLineChars="0"/>
              <w:jc w:val="center"/>
              <w:rPr>
                <w:rFonts w:hint="eastAsia" w:ascii="宋体" w:hAnsi="宋体" w:eastAsia="宋体" w:cs="宋体"/>
                <w:w w:val="90"/>
                <w:sz w:val="20"/>
                <w:szCs w:val="24"/>
              </w:rPr>
            </w:pPr>
            <w:r>
              <w:rPr>
                <w:rFonts w:hint="eastAsia" w:ascii="宋体" w:hAnsi="宋体" w:eastAsia="宋体" w:cs="宋体"/>
                <w:w w:val="90"/>
                <w:sz w:val="20"/>
                <w:szCs w:val="24"/>
              </w:rPr>
              <w:t>50010219870521175X</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ascii="Times New Roman" w:hAnsi="Times New Roman" w:eastAsia="宋体" w:cs="宋体"/>
                <w:w w:val="90"/>
                <w:sz w:val="20"/>
                <w:szCs w:val="21"/>
              </w:rPr>
              <w:t>5</w:t>
            </w:r>
          </w:p>
        </w:tc>
        <w:tc>
          <w:tcPr>
            <w:tcW w:w="496"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Times New Roman"/>
                <w:w w:val="90"/>
                <w:sz w:val="20"/>
                <w:szCs w:val="21"/>
              </w:rPr>
              <w:t>罗乾龙</w:t>
            </w:r>
          </w:p>
        </w:tc>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男</w:t>
            </w:r>
          </w:p>
        </w:tc>
        <w:tc>
          <w:tcPr>
            <w:tcW w:w="1349"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塔式起重机安拆工</w:t>
            </w:r>
          </w:p>
        </w:tc>
        <w:tc>
          <w:tcPr>
            <w:tcW w:w="1227" w:type="pct"/>
            <w:shd w:val="clear" w:color="auto" w:fill="auto"/>
            <w:vAlign w:val="center"/>
          </w:tcPr>
          <w:p>
            <w:pPr>
              <w:spacing w:line="240" w:lineRule="auto"/>
              <w:ind w:firstLine="0" w:firstLineChars="0"/>
              <w:jc w:val="center"/>
              <w:rPr>
                <w:rFonts w:hint="eastAsia" w:ascii="宋体" w:hAnsi="宋体" w:eastAsia="宋体" w:cs="宋体"/>
                <w:w w:val="90"/>
                <w:sz w:val="20"/>
                <w:szCs w:val="24"/>
              </w:rPr>
            </w:pPr>
            <w:r>
              <w:rPr>
                <w:rFonts w:hint="eastAsia" w:ascii="宋体" w:hAnsi="宋体" w:eastAsia="宋体" w:cs="宋体"/>
                <w:w w:val="90"/>
                <w:sz w:val="20"/>
                <w:szCs w:val="24"/>
              </w:rPr>
              <w:t>渝A082023000265</w:t>
            </w:r>
          </w:p>
        </w:tc>
        <w:tc>
          <w:tcPr>
            <w:tcW w:w="1226" w:type="pct"/>
            <w:shd w:val="clear" w:color="auto" w:fill="auto"/>
            <w:vAlign w:val="center"/>
          </w:tcPr>
          <w:p>
            <w:pPr>
              <w:spacing w:line="240" w:lineRule="auto"/>
              <w:ind w:firstLine="0" w:firstLineChars="0"/>
              <w:jc w:val="center"/>
              <w:rPr>
                <w:rFonts w:hint="eastAsia" w:ascii="宋体" w:hAnsi="宋体" w:eastAsia="宋体" w:cs="宋体"/>
                <w:w w:val="90"/>
                <w:sz w:val="20"/>
                <w:szCs w:val="24"/>
              </w:rPr>
            </w:pPr>
            <w:r>
              <w:rPr>
                <w:rFonts w:hint="eastAsia" w:ascii="宋体" w:hAnsi="宋体" w:eastAsia="宋体" w:cs="宋体"/>
                <w:w w:val="90"/>
                <w:sz w:val="20"/>
                <w:szCs w:val="24"/>
              </w:rPr>
              <w:t>500240198909025231</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ascii="Times New Roman" w:hAnsi="Times New Roman" w:eastAsia="宋体" w:cs="宋体"/>
                <w:w w:val="90"/>
                <w:sz w:val="20"/>
                <w:szCs w:val="21"/>
              </w:rPr>
              <w:t>6</w:t>
            </w:r>
          </w:p>
        </w:tc>
        <w:tc>
          <w:tcPr>
            <w:tcW w:w="496" w:type="pct"/>
            <w:shd w:val="clear" w:color="auto" w:fill="auto"/>
            <w:vAlign w:val="center"/>
          </w:tcPr>
          <w:p>
            <w:pPr>
              <w:spacing w:line="240" w:lineRule="auto"/>
              <w:ind w:firstLine="0" w:firstLineChars="0"/>
              <w:jc w:val="center"/>
              <w:rPr>
                <w:rFonts w:hint="eastAsia" w:ascii="Times New Roman" w:hAnsi="Times New Roman" w:eastAsia="宋体" w:cs="Times New Roman"/>
                <w:w w:val="90"/>
                <w:sz w:val="20"/>
                <w:szCs w:val="21"/>
              </w:rPr>
            </w:pPr>
            <w:r>
              <w:rPr>
                <w:rFonts w:hint="eastAsia" w:ascii="Times New Roman" w:hAnsi="Times New Roman" w:eastAsia="宋体" w:cs="Times New Roman"/>
                <w:w w:val="90"/>
                <w:sz w:val="20"/>
                <w:szCs w:val="21"/>
              </w:rPr>
              <w:t>张腾万</w:t>
            </w:r>
          </w:p>
        </w:tc>
        <w:tc>
          <w:tcPr>
            <w:tcW w:w="350" w:type="pct"/>
            <w:shd w:val="clear" w:color="auto" w:fill="auto"/>
            <w:vAlign w:val="center"/>
          </w:tcPr>
          <w:p>
            <w:pPr>
              <w:spacing w:line="240" w:lineRule="auto"/>
              <w:ind w:firstLine="0" w:firstLineChars="0"/>
              <w:jc w:val="center"/>
              <w:rPr>
                <w:rFonts w:hint="eastAsia" w:ascii="Times New Roman" w:hAnsi="Times New Roman" w:eastAsia="宋体" w:cs="Times New Roman"/>
                <w:w w:val="90"/>
                <w:sz w:val="20"/>
                <w:szCs w:val="21"/>
              </w:rPr>
            </w:pPr>
            <w:r>
              <w:rPr>
                <w:rFonts w:hint="eastAsia" w:ascii="Times New Roman" w:hAnsi="Times New Roman" w:eastAsia="宋体" w:cs="Times New Roman"/>
                <w:w w:val="90"/>
                <w:sz w:val="20"/>
                <w:szCs w:val="21"/>
              </w:rPr>
              <w:t>男</w:t>
            </w:r>
          </w:p>
        </w:tc>
        <w:tc>
          <w:tcPr>
            <w:tcW w:w="1349" w:type="pct"/>
            <w:shd w:val="clear" w:color="auto" w:fill="auto"/>
            <w:vAlign w:val="center"/>
          </w:tcPr>
          <w:p>
            <w:pPr>
              <w:spacing w:line="240" w:lineRule="auto"/>
              <w:ind w:firstLine="0" w:firstLineChars="0"/>
              <w:jc w:val="center"/>
              <w:rPr>
                <w:rFonts w:hint="eastAsia" w:ascii="Times New Roman" w:hAnsi="Times New Roman" w:eastAsia="宋体" w:cs="Times New Roman"/>
                <w:w w:val="90"/>
                <w:sz w:val="20"/>
                <w:szCs w:val="21"/>
              </w:rPr>
            </w:pPr>
            <w:r>
              <w:rPr>
                <w:rFonts w:hint="eastAsia" w:ascii="Times New Roman" w:hAnsi="Times New Roman" w:eastAsia="宋体" w:cs="Times New Roman"/>
                <w:w w:val="90"/>
                <w:sz w:val="20"/>
                <w:szCs w:val="21"/>
              </w:rPr>
              <w:t>建筑电工（维保人员）</w:t>
            </w:r>
          </w:p>
        </w:tc>
        <w:tc>
          <w:tcPr>
            <w:tcW w:w="1227" w:type="pct"/>
            <w:shd w:val="clear" w:color="auto" w:fill="auto"/>
            <w:vAlign w:val="center"/>
          </w:tcPr>
          <w:p>
            <w:pPr>
              <w:spacing w:line="240" w:lineRule="auto"/>
              <w:ind w:firstLine="0" w:firstLineChars="0"/>
              <w:jc w:val="center"/>
              <w:rPr>
                <w:rFonts w:hint="eastAsia" w:ascii="宋体" w:hAnsi="宋体" w:eastAsia="宋体" w:cs="宋体"/>
                <w:w w:val="90"/>
                <w:sz w:val="20"/>
                <w:szCs w:val="24"/>
              </w:rPr>
            </w:pPr>
            <w:r>
              <w:rPr>
                <w:rFonts w:hint="eastAsia" w:ascii="宋体" w:hAnsi="宋体" w:eastAsia="宋体" w:cs="宋体"/>
                <w:w w:val="90"/>
                <w:sz w:val="20"/>
                <w:szCs w:val="24"/>
              </w:rPr>
              <w:t>川R012016700009</w:t>
            </w:r>
          </w:p>
        </w:tc>
        <w:tc>
          <w:tcPr>
            <w:tcW w:w="1226" w:type="pct"/>
            <w:shd w:val="clear" w:color="auto" w:fill="auto"/>
            <w:vAlign w:val="center"/>
          </w:tcPr>
          <w:p>
            <w:pPr>
              <w:spacing w:line="240" w:lineRule="auto"/>
              <w:ind w:firstLine="0" w:firstLineChars="0"/>
              <w:jc w:val="center"/>
              <w:rPr>
                <w:rFonts w:hint="eastAsia" w:ascii="宋体" w:hAnsi="宋体" w:eastAsia="宋体" w:cs="宋体"/>
                <w:w w:val="90"/>
                <w:sz w:val="20"/>
                <w:szCs w:val="24"/>
              </w:rPr>
            </w:pPr>
            <w:r>
              <w:rPr>
                <w:rFonts w:hint="eastAsia" w:ascii="宋体" w:hAnsi="宋体" w:eastAsia="宋体" w:cs="宋体"/>
                <w:w w:val="90"/>
                <w:sz w:val="20"/>
                <w:szCs w:val="24"/>
              </w:rPr>
              <w:t>511324199311134276</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ascii="Times New Roman" w:hAnsi="Times New Roman" w:eastAsia="宋体" w:cs="宋体"/>
                <w:w w:val="90"/>
                <w:sz w:val="20"/>
                <w:szCs w:val="21"/>
              </w:rPr>
              <w:t>7</w:t>
            </w:r>
          </w:p>
        </w:tc>
        <w:tc>
          <w:tcPr>
            <w:tcW w:w="496" w:type="pct"/>
            <w:shd w:val="clear" w:color="auto" w:fill="auto"/>
            <w:vAlign w:val="center"/>
          </w:tcPr>
          <w:p>
            <w:pPr>
              <w:spacing w:line="240" w:lineRule="auto"/>
              <w:ind w:firstLine="0" w:firstLineChars="0"/>
              <w:jc w:val="center"/>
              <w:rPr>
                <w:rFonts w:ascii="Times New Roman" w:hAnsi="Times New Roman" w:eastAsia="宋体" w:cs="Times New Roman"/>
                <w:w w:val="90"/>
                <w:sz w:val="20"/>
                <w:szCs w:val="21"/>
              </w:rPr>
            </w:pPr>
            <w:r>
              <w:rPr>
                <w:rFonts w:hint="eastAsia" w:ascii="Times New Roman" w:hAnsi="Times New Roman" w:eastAsia="宋体" w:cs="Times New Roman"/>
                <w:w w:val="90"/>
                <w:sz w:val="20"/>
                <w:szCs w:val="21"/>
              </w:rPr>
              <w:t>李  陈</w:t>
            </w:r>
          </w:p>
        </w:tc>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男</w:t>
            </w:r>
          </w:p>
        </w:tc>
        <w:tc>
          <w:tcPr>
            <w:tcW w:w="1349"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Times New Roman"/>
                <w:w w:val="90"/>
                <w:sz w:val="20"/>
                <w:szCs w:val="21"/>
              </w:rPr>
              <w:t>汽车吊司机</w:t>
            </w:r>
          </w:p>
        </w:tc>
        <w:tc>
          <w:tcPr>
            <w:tcW w:w="1227" w:type="pct"/>
            <w:shd w:val="clear" w:color="auto" w:fill="auto"/>
            <w:vAlign w:val="center"/>
          </w:tcPr>
          <w:p>
            <w:pPr>
              <w:spacing w:line="240" w:lineRule="auto"/>
              <w:ind w:firstLine="0" w:firstLineChars="0"/>
              <w:jc w:val="center"/>
              <w:rPr>
                <w:rFonts w:ascii="宋体" w:hAnsi="宋体" w:eastAsia="宋体" w:cs="宋体"/>
                <w:w w:val="90"/>
                <w:sz w:val="20"/>
                <w:szCs w:val="24"/>
              </w:rPr>
            </w:pPr>
            <w:r>
              <w:rPr>
                <w:rFonts w:hint="eastAsia" w:ascii="宋体" w:hAnsi="宋体" w:eastAsia="宋体" w:cs="宋体"/>
                <w:w w:val="90"/>
                <w:sz w:val="20"/>
                <w:szCs w:val="24"/>
              </w:rPr>
              <w:t>510183199001052118</w:t>
            </w:r>
          </w:p>
        </w:tc>
        <w:tc>
          <w:tcPr>
            <w:tcW w:w="1226" w:type="pct"/>
            <w:shd w:val="clear" w:color="auto" w:fill="auto"/>
            <w:vAlign w:val="center"/>
          </w:tcPr>
          <w:p>
            <w:pPr>
              <w:spacing w:line="240" w:lineRule="auto"/>
              <w:ind w:firstLine="0" w:firstLineChars="0"/>
              <w:jc w:val="center"/>
              <w:rPr>
                <w:rFonts w:ascii="宋体" w:hAnsi="宋体" w:eastAsia="宋体" w:cs="宋体"/>
                <w:w w:val="90"/>
                <w:sz w:val="20"/>
                <w:szCs w:val="24"/>
              </w:rPr>
            </w:pPr>
            <w:r>
              <w:rPr>
                <w:rFonts w:hint="eastAsia" w:ascii="宋体" w:hAnsi="宋体" w:eastAsia="宋体" w:cs="宋体"/>
                <w:w w:val="90"/>
                <w:sz w:val="20"/>
                <w:szCs w:val="24"/>
              </w:rPr>
              <w:t>510183199001052118</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shd w:val="clear" w:color="auto" w:fill="auto"/>
            <w:vAlign w:val="center"/>
          </w:tcPr>
          <w:p>
            <w:pPr>
              <w:spacing w:line="240" w:lineRule="auto"/>
              <w:ind w:firstLine="0" w:firstLineChars="0"/>
              <w:jc w:val="center"/>
              <w:rPr>
                <w:rFonts w:hint="eastAsia" w:ascii="Times New Roman" w:hAnsi="Times New Roman" w:eastAsia="宋体" w:cs="宋体"/>
                <w:w w:val="90"/>
                <w:sz w:val="20"/>
                <w:szCs w:val="21"/>
                <w:lang w:eastAsia="zh-CN"/>
              </w:rPr>
            </w:pPr>
            <w:r>
              <w:rPr>
                <w:rFonts w:hint="eastAsia" w:eastAsia="宋体" w:cs="宋体"/>
                <w:w w:val="90"/>
                <w:sz w:val="20"/>
                <w:szCs w:val="21"/>
                <w:lang w:val="en-US" w:eastAsia="zh-CN"/>
              </w:rPr>
              <w:t>8</w:t>
            </w:r>
          </w:p>
        </w:tc>
        <w:tc>
          <w:tcPr>
            <w:tcW w:w="496" w:type="pct"/>
            <w:shd w:val="clear" w:color="auto" w:fill="auto"/>
            <w:vAlign w:val="center"/>
          </w:tcPr>
          <w:p>
            <w:pPr>
              <w:spacing w:line="240" w:lineRule="auto"/>
              <w:ind w:firstLine="0" w:firstLineChars="0"/>
              <w:jc w:val="center"/>
              <w:rPr>
                <w:rFonts w:ascii="Times New Roman" w:hAnsi="Times New Roman" w:eastAsia="宋体" w:cs="Times New Roman"/>
                <w:w w:val="90"/>
                <w:sz w:val="20"/>
                <w:szCs w:val="21"/>
              </w:rPr>
            </w:pPr>
            <w:r>
              <w:rPr>
                <w:rFonts w:hint="eastAsia" w:ascii="Times New Roman" w:hAnsi="Times New Roman" w:eastAsia="宋体" w:cs="Times New Roman"/>
                <w:w w:val="90"/>
                <w:sz w:val="20"/>
                <w:szCs w:val="21"/>
              </w:rPr>
              <w:t>易秀美</w:t>
            </w:r>
          </w:p>
        </w:tc>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女</w:t>
            </w:r>
          </w:p>
        </w:tc>
        <w:tc>
          <w:tcPr>
            <w:tcW w:w="1349"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Times New Roman"/>
                <w:w w:val="90"/>
                <w:sz w:val="20"/>
                <w:szCs w:val="21"/>
              </w:rPr>
              <w:t>司索信号工</w:t>
            </w:r>
          </w:p>
        </w:tc>
        <w:tc>
          <w:tcPr>
            <w:tcW w:w="1227" w:type="pct"/>
            <w:shd w:val="clear" w:color="auto" w:fill="auto"/>
            <w:vAlign w:val="center"/>
          </w:tcPr>
          <w:p>
            <w:pPr>
              <w:spacing w:line="240" w:lineRule="auto"/>
              <w:ind w:firstLine="0" w:firstLineChars="0"/>
              <w:jc w:val="center"/>
              <w:rPr>
                <w:rFonts w:ascii="宋体" w:hAnsi="宋体" w:eastAsia="宋体" w:cs="宋体"/>
                <w:w w:val="90"/>
                <w:sz w:val="20"/>
                <w:szCs w:val="24"/>
              </w:rPr>
            </w:pPr>
            <w:r>
              <w:rPr>
                <w:rFonts w:hint="eastAsia" w:ascii="宋体" w:hAnsi="宋体" w:eastAsia="宋体" w:cs="宋体"/>
                <w:w w:val="90"/>
                <w:sz w:val="20"/>
                <w:szCs w:val="24"/>
              </w:rPr>
              <w:t>渝A042012001422</w:t>
            </w:r>
          </w:p>
        </w:tc>
        <w:tc>
          <w:tcPr>
            <w:tcW w:w="1226" w:type="pct"/>
            <w:shd w:val="clear" w:color="auto" w:fill="auto"/>
            <w:vAlign w:val="center"/>
          </w:tcPr>
          <w:p>
            <w:pPr>
              <w:spacing w:line="240" w:lineRule="auto"/>
              <w:ind w:firstLine="0" w:firstLineChars="0"/>
              <w:jc w:val="center"/>
              <w:rPr>
                <w:rFonts w:ascii="宋体" w:hAnsi="宋体" w:eastAsia="宋体" w:cs="宋体"/>
                <w:w w:val="90"/>
                <w:sz w:val="20"/>
                <w:szCs w:val="24"/>
              </w:rPr>
            </w:pPr>
            <w:r>
              <w:rPr>
                <w:rFonts w:hint="eastAsia" w:ascii="宋体" w:hAnsi="宋体" w:eastAsia="宋体" w:cs="宋体"/>
                <w:w w:val="90"/>
                <w:sz w:val="20"/>
                <w:szCs w:val="24"/>
              </w:rPr>
              <w:t>513624198310152687</w:t>
            </w:r>
          </w:p>
        </w:tc>
      </w:tr>
      <w:tr>
        <w:tblPrEx>
          <w:tblBorders>
            <w:top w:val="single" w:color="2E5292" w:sz="8" w:space="0"/>
            <w:left w:val="none" w:color="auto" w:sz="0" w:space="0"/>
            <w:bottom w:val="single" w:color="2E5292" w:sz="8" w:space="0"/>
            <w:right w:val="none" w:color="auto" w:sz="0" w:space="0"/>
            <w:insideH w:val="single" w:color="2E5292" w:sz="2" w:space="0"/>
            <w:insideV w:val="single" w:color="2E5292" w:sz="2" w:space="0"/>
          </w:tblBorders>
          <w:tblCellMar>
            <w:top w:w="0" w:type="dxa"/>
            <w:left w:w="108" w:type="dxa"/>
            <w:bottom w:w="0" w:type="dxa"/>
            <w:right w:w="108" w:type="dxa"/>
          </w:tblCellMar>
        </w:tblPrEx>
        <w:trPr>
          <w:trHeight w:val="397" w:hRule="atLeast"/>
          <w:jc w:val="center"/>
        </w:trPr>
        <w:tc>
          <w:tcPr>
            <w:tcW w:w="350" w:type="pct"/>
            <w:shd w:val="clear" w:color="auto" w:fill="auto"/>
            <w:vAlign w:val="center"/>
          </w:tcPr>
          <w:p>
            <w:pPr>
              <w:spacing w:line="240" w:lineRule="auto"/>
              <w:ind w:firstLine="0" w:firstLineChars="0"/>
              <w:jc w:val="center"/>
              <w:rPr>
                <w:rFonts w:hint="eastAsia" w:ascii="Times New Roman" w:hAnsi="Times New Roman" w:eastAsia="宋体" w:cs="宋体"/>
                <w:w w:val="90"/>
                <w:sz w:val="20"/>
                <w:szCs w:val="21"/>
                <w:lang w:eastAsia="zh-CN"/>
              </w:rPr>
            </w:pPr>
            <w:r>
              <w:rPr>
                <w:rFonts w:hint="eastAsia" w:eastAsia="宋体" w:cs="宋体"/>
                <w:w w:val="90"/>
                <w:sz w:val="20"/>
                <w:szCs w:val="21"/>
                <w:lang w:val="en-US" w:eastAsia="zh-CN"/>
              </w:rPr>
              <w:t>9</w:t>
            </w:r>
          </w:p>
        </w:tc>
        <w:tc>
          <w:tcPr>
            <w:tcW w:w="496"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熊唯先</w:t>
            </w:r>
          </w:p>
        </w:tc>
        <w:tc>
          <w:tcPr>
            <w:tcW w:w="350"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男</w:t>
            </w:r>
          </w:p>
        </w:tc>
        <w:tc>
          <w:tcPr>
            <w:tcW w:w="1349" w:type="pct"/>
            <w:shd w:val="clear" w:color="auto" w:fill="auto"/>
            <w:vAlign w:val="center"/>
          </w:tcPr>
          <w:p>
            <w:pPr>
              <w:spacing w:line="240" w:lineRule="auto"/>
              <w:ind w:firstLine="0" w:firstLineChars="0"/>
              <w:jc w:val="center"/>
              <w:rPr>
                <w:rFonts w:ascii="Times New Roman" w:hAnsi="Times New Roman" w:eastAsia="宋体" w:cs="宋体"/>
                <w:w w:val="90"/>
                <w:sz w:val="20"/>
                <w:szCs w:val="21"/>
              </w:rPr>
            </w:pPr>
            <w:r>
              <w:rPr>
                <w:rFonts w:hint="eastAsia" w:ascii="Times New Roman" w:hAnsi="Times New Roman" w:eastAsia="宋体" w:cs="宋体"/>
                <w:w w:val="90"/>
                <w:sz w:val="20"/>
                <w:szCs w:val="21"/>
              </w:rPr>
              <w:t>焊工</w:t>
            </w:r>
          </w:p>
        </w:tc>
        <w:tc>
          <w:tcPr>
            <w:tcW w:w="1227" w:type="pct"/>
            <w:shd w:val="clear" w:color="auto" w:fill="auto"/>
            <w:vAlign w:val="center"/>
          </w:tcPr>
          <w:p>
            <w:pPr>
              <w:spacing w:line="240" w:lineRule="auto"/>
              <w:ind w:firstLine="0" w:firstLineChars="0"/>
              <w:jc w:val="center"/>
              <w:rPr>
                <w:rFonts w:hint="eastAsia" w:ascii="宋体" w:hAnsi="宋体" w:eastAsia="宋体" w:cs="宋体"/>
                <w:w w:val="90"/>
                <w:sz w:val="20"/>
                <w:szCs w:val="24"/>
              </w:rPr>
            </w:pPr>
            <w:r>
              <w:rPr>
                <w:rFonts w:hint="eastAsia" w:ascii="宋体" w:hAnsi="宋体" w:eastAsia="宋体" w:cs="宋体"/>
                <w:w w:val="90"/>
                <w:sz w:val="20"/>
                <w:szCs w:val="24"/>
              </w:rPr>
              <w:t>500102199005192695</w:t>
            </w:r>
          </w:p>
        </w:tc>
        <w:tc>
          <w:tcPr>
            <w:tcW w:w="1226" w:type="pct"/>
            <w:shd w:val="clear" w:color="auto" w:fill="auto"/>
            <w:vAlign w:val="center"/>
          </w:tcPr>
          <w:p>
            <w:pPr>
              <w:spacing w:line="240" w:lineRule="auto"/>
              <w:ind w:firstLine="0" w:firstLineChars="0"/>
              <w:jc w:val="center"/>
              <w:rPr>
                <w:rFonts w:hint="eastAsia" w:ascii="宋体" w:hAnsi="宋体" w:eastAsia="宋体" w:cs="宋体"/>
                <w:w w:val="90"/>
                <w:sz w:val="20"/>
                <w:szCs w:val="24"/>
              </w:rPr>
            </w:pPr>
            <w:r>
              <w:rPr>
                <w:rFonts w:hint="eastAsia" w:ascii="宋体" w:hAnsi="宋体" w:eastAsia="宋体" w:cs="宋体"/>
                <w:w w:val="90"/>
                <w:sz w:val="20"/>
                <w:szCs w:val="24"/>
              </w:rPr>
              <w:t>T500102199005192695</w:t>
            </w:r>
          </w:p>
        </w:tc>
      </w:tr>
    </w:tbl>
    <w:p>
      <w:pPr>
        <w:spacing w:line="360" w:lineRule="auto"/>
        <w:ind w:firstLine="480" w:firstLineChars="200"/>
        <w:rPr>
          <w:rFonts w:ascii="Times New Roman" w:hAnsi="Times New Roman" w:eastAsia="宋体" w:cs="宋体"/>
          <w:sz w:val="24"/>
          <w:szCs w:val="21"/>
        </w:rPr>
      </w:pPr>
    </w:p>
    <w:p>
      <w:pPr>
        <w:widowControl/>
        <w:spacing w:line="240" w:lineRule="auto"/>
        <w:ind w:firstLine="0" w:firstLineChars="0"/>
        <w:jc w:val="left"/>
        <w:rPr>
          <w:rFonts w:ascii="Times New Roman" w:hAnsi="Times New Roman" w:eastAsia="宋体" w:cs="宋体"/>
          <w:sz w:val="21"/>
          <w:szCs w:val="21"/>
        </w:rPr>
      </w:pPr>
      <w:r>
        <w:rPr>
          <w:rFonts w:ascii="Times New Roman" w:hAnsi="Times New Roman" w:eastAsia="宋体" w:cs="宋体"/>
          <w:sz w:val="24"/>
          <w:szCs w:val="21"/>
        </w:rPr>
        <w:br w:type="page"/>
      </w:r>
    </w:p>
    <w:p>
      <w:pPr>
        <w:spacing w:line="360" w:lineRule="auto"/>
        <w:ind w:firstLine="480" w:firstLineChars="200"/>
        <w:rPr>
          <w:rFonts w:ascii="Times New Roman" w:hAnsi="Times New Roman" w:eastAsia="宋体" w:cs="宋体"/>
          <w:sz w:val="24"/>
          <w:szCs w:val="21"/>
        </w:rPr>
      </w:pPr>
    </w:p>
    <w:p>
      <w:pPr>
        <w:spacing w:line="360" w:lineRule="auto"/>
        <w:ind w:firstLine="480" w:firstLineChars="200"/>
        <w:rPr>
          <w:rFonts w:ascii="Times New Roman" w:hAnsi="Times New Roman" w:eastAsia="宋体" w:cs="宋体"/>
          <w:sz w:val="24"/>
          <w:szCs w:val="21"/>
        </w:rPr>
      </w:pPr>
      <w:r>
        <w:rPr>
          <w:rFonts w:hint="eastAsia" w:ascii="Times New Roman" w:hAnsi="Times New Roman" w:eastAsia="宋体" w:cs="宋体"/>
          <w:sz w:val="24"/>
          <w:szCs w:val="21"/>
        </w:rPr>
        <w:t>（2）专职安全员证件</w:t>
      </w:r>
    </w:p>
    <w:p>
      <w:pPr>
        <w:spacing w:line="360" w:lineRule="auto"/>
        <w:ind w:firstLine="0" w:firstLineChars="0"/>
        <w:jc w:val="center"/>
        <w:rPr>
          <w:rFonts w:ascii="Times New Roman" w:hAnsi="Times New Roman" w:eastAsia="宋体" w:cs="宋体"/>
          <w:sz w:val="24"/>
          <w:szCs w:val="21"/>
        </w:rPr>
      </w:pPr>
      <w:r>
        <w:rPr>
          <w:rFonts w:hint="eastAsia" w:ascii="Times New Roman" w:hAnsi="Times New Roman" w:eastAsia="宋体" w:cs="宋体"/>
          <w:sz w:val="24"/>
          <w:szCs w:val="21"/>
        </w:rPr>
        <w:drawing>
          <wp:inline distT="0" distB="0" distL="114300" distR="114300">
            <wp:extent cx="4982210" cy="6897370"/>
            <wp:effectExtent l="0" t="0" r="1270" b="6350"/>
            <wp:docPr id="97" name="图片 97" descr="质监A证-吕仕昌20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质监A证-吕仕昌2027.05"/>
                    <pic:cNvPicPr>
                      <a:picLocks noChangeAspect="1"/>
                    </pic:cNvPicPr>
                  </pic:nvPicPr>
                  <pic:blipFill>
                    <a:blip r:embed="rId109"/>
                    <a:stretch>
                      <a:fillRect/>
                    </a:stretch>
                  </pic:blipFill>
                  <pic:spPr>
                    <a:xfrm>
                      <a:off x="0" y="0"/>
                      <a:ext cx="4983940" cy="6899655"/>
                    </a:xfrm>
                    <a:prstGeom prst="rect">
                      <a:avLst/>
                    </a:prstGeom>
                  </pic:spPr>
                </pic:pic>
              </a:graphicData>
            </a:graphic>
          </wp:inline>
        </w:drawing>
      </w:r>
    </w:p>
    <w:p>
      <w:pPr>
        <w:spacing w:line="360" w:lineRule="auto"/>
        <w:ind w:firstLine="0" w:firstLineChars="0"/>
        <w:jc w:val="center"/>
        <w:rPr>
          <w:rFonts w:ascii="Times New Roman" w:hAnsi="Times New Roman" w:eastAsia="宋体" w:cs="宋体"/>
          <w:sz w:val="24"/>
          <w:szCs w:val="21"/>
        </w:rPr>
      </w:pPr>
    </w:p>
    <w:p>
      <w:pPr>
        <w:ind w:firstLine="480"/>
        <w:jc w:val="center"/>
        <w:sectPr>
          <w:headerReference r:id="rId12" w:type="first"/>
          <w:footerReference r:id="rId14" w:type="first"/>
          <w:headerReference r:id="rId11" w:type="even"/>
          <w:footerReference r:id="rId13"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ind w:firstLine="480" w:firstLineChars="200"/>
        <w:rPr>
          <w:rFonts w:ascii="Times New Roman" w:hAnsi="Times New Roman" w:eastAsia="宋体" w:cs="宋体"/>
          <w:sz w:val="24"/>
          <w:szCs w:val="21"/>
        </w:rPr>
      </w:pPr>
      <w:r>
        <w:rPr>
          <w:rFonts w:hint="eastAsia" w:ascii="Times New Roman" w:hAnsi="Times New Roman" w:eastAsia="宋体" w:cs="宋体"/>
          <w:sz w:val="24"/>
          <w:szCs w:val="21"/>
        </w:rPr>
        <w:t>（3）塔机安拆人员证书</w:t>
      </w:r>
    </w:p>
    <w:p>
      <w:pPr>
        <w:spacing w:line="240" w:lineRule="auto"/>
        <w:ind w:firstLine="0" w:firstLineChars="0"/>
        <w:jc w:val="center"/>
        <w:rPr>
          <w:rFonts w:ascii="Times New Roman" w:hAnsi="Times New Roman" w:eastAsia="宋体" w:cs="宋体"/>
          <w:sz w:val="24"/>
          <w:szCs w:val="21"/>
        </w:rPr>
      </w:pPr>
      <w:r>
        <w:rPr>
          <w:rFonts w:hint="eastAsia" w:ascii="Times New Roman" w:hAnsi="Times New Roman" w:eastAsia="宋体" w:cs="宋体"/>
          <w:sz w:val="24"/>
          <w:szCs w:val="21"/>
        </w:rPr>
        <w:drawing>
          <wp:inline distT="0" distB="0" distL="114300" distR="114300">
            <wp:extent cx="5039995" cy="7127875"/>
            <wp:effectExtent l="0" t="0" r="4445" b="4445"/>
            <wp:docPr id="98" name="图片 98" descr="塔机安拆-熊登202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塔机安拆-熊登2025.1.16"/>
                    <pic:cNvPicPr>
                      <a:picLocks noChangeAspect="1"/>
                    </pic:cNvPicPr>
                  </pic:nvPicPr>
                  <pic:blipFill>
                    <a:blip r:embed="rId110"/>
                    <a:stretch>
                      <a:fillRect/>
                    </a:stretch>
                  </pic:blipFill>
                  <pic:spPr>
                    <a:xfrm>
                      <a:off x="0" y="0"/>
                      <a:ext cx="5040000" cy="7127953"/>
                    </a:xfrm>
                    <a:prstGeom prst="rect">
                      <a:avLst/>
                    </a:prstGeom>
                  </pic:spPr>
                </pic:pic>
              </a:graphicData>
            </a:graphic>
          </wp:inline>
        </w:drawing>
      </w:r>
      <w:r>
        <w:rPr>
          <w:rFonts w:hint="eastAsia" w:ascii="Times New Roman" w:hAnsi="Times New Roman" w:eastAsia="宋体" w:cs="宋体"/>
          <w:sz w:val="24"/>
          <w:szCs w:val="21"/>
        </w:rPr>
        <w:drawing>
          <wp:inline distT="0" distB="0" distL="114300" distR="114300">
            <wp:extent cx="5039995" cy="7127875"/>
            <wp:effectExtent l="0" t="0" r="4445" b="4445"/>
            <wp:docPr id="99" name="图片 99" descr="塔吊安拆-罗乾龙202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塔吊安拆-罗乾龙2025.1.16"/>
                    <pic:cNvPicPr>
                      <a:picLocks noChangeAspect="1"/>
                    </pic:cNvPicPr>
                  </pic:nvPicPr>
                  <pic:blipFill>
                    <a:blip r:embed="rId111"/>
                    <a:stretch>
                      <a:fillRect/>
                    </a:stretch>
                  </pic:blipFill>
                  <pic:spPr>
                    <a:xfrm>
                      <a:off x="0" y="0"/>
                      <a:ext cx="5040000" cy="7127952"/>
                    </a:xfrm>
                    <a:prstGeom prst="rect">
                      <a:avLst/>
                    </a:prstGeom>
                  </pic:spPr>
                </pic:pic>
              </a:graphicData>
            </a:graphic>
          </wp:inline>
        </w:drawing>
      </w:r>
      <w:r>
        <w:rPr>
          <w:rFonts w:hint="eastAsia" w:ascii="Times New Roman" w:hAnsi="Times New Roman" w:eastAsia="宋体" w:cs="宋体"/>
          <w:sz w:val="24"/>
          <w:szCs w:val="21"/>
        </w:rPr>
        <w:drawing>
          <wp:inline distT="0" distB="0" distL="114300" distR="114300">
            <wp:extent cx="5039995" cy="7127875"/>
            <wp:effectExtent l="0" t="0" r="4445" b="4445"/>
            <wp:docPr id="73" name="图片 73" descr="塔吊安拆-黄教亮202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塔吊安拆-黄教亮2025.1.16"/>
                    <pic:cNvPicPr>
                      <a:picLocks noChangeAspect="1"/>
                    </pic:cNvPicPr>
                  </pic:nvPicPr>
                  <pic:blipFill>
                    <a:blip r:embed="rId112"/>
                    <a:stretch>
                      <a:fillRect/>
                    </a:stretch>
                  </pic:blipFill>
                  <pic:spPr>
                    <a:xfrm>
                      <a:off x="0" y="0"/>
                      <a:ext cx="5040000" cy="7127952"/>
                    </a:xfrm>
                    <a:prstGeom prst="rect">
                      <a:avLst/>
                    </a:prstGeom>
                  </pic:spPr>
                </pic:pic>
              </a:graphicData>
            </a:graphic>
          </wp:inline>
        </w:drawing>
      </w:r>
    </w:p>
    <w:p>
      <w:pPr>
        <w:spacing w:line="240" w:lineRule="auto"/>
        <w:ind w:firstLine="0" w:firstLineChars="0"/>
        <w:jc w:val="center"/>
        <w:rPr>
          <w:rFonts w:ascii="Times New Roman" w:hAnsi="Times New Roman" w:eastAsia="宋体" w:cs="宋体"/>
          <w:sz w:val="24"/>
          <w:szCs w:val="21"/>
        </w:rPr>
      </w:pPr>
      <w:r>
        <w:rPr>
          <w:rFonts w:hint="eastAsia" w:ascii="Times New Roman" w:hAnsi="Times New Roman" w:eastAsia="宋体" w:cs="宋体"/>
          <w:sz w:val="24"/>
          <w:szCs w:val="21"/>
        </w:rPr>
        <w:drawing>
          <wp:inline distT="0" distB="0" distL="114300" distR="114300">
            <wp:extent cx="5039995" cy="7127875"/>
            <wp:effectExtent l="0" t="0" r="4445" b="4445"/>
            <wp:docPr id="70" name="图片 70" descr="塔吊安拆-冯昌苹202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塔吊安拆-冯昌苹2024.6.29"/>
                    <pic:cNvPicPr>
                      <a:picLocks noChangeAspect="1"/>
                    </pic:cNvPicPr>
                  </pic:nvPicPr>
                  <pic:blipFill>
                    <a:blip r:embed="rId113"/>
                    <a:stretch>
                      <a:fillRect/>
                    </a:stretch>
                  </pic:blipFill>
                  <pic:spPr>
                    <a:xfrm>
                      <a:off x="0" y="0"/>
                      <a:ext cx="5040000" cy="7127952"/>
                    </a:xfrm>
                    <a:prstGeom prst="rect">
                      <a:avLst/>
                    </a:prstGeom>
                  </pic:spPr>
                </pic:pic>
              </a:graphicData>
            </a:graphic>
          </wp:inline>
        </w:drawing>
      </w:r>
      <w:r>
        <w:rPr>
          <w:rFonts w:hint="eastAsia" w:ascii="Times New Roman" w:hAnsi="Times New Roman" w:eastAsia="宋体" w:cs="宋体"/>
          <w:sz w:val="24"/>
          <w:szCs w:val="21"/>
        </w:rPr>
        <w:drawing>
          <wp:inline distT="0" distB="0" distL="114300" distR="114300">
            <wp:extent cx="5039995" cy="7035800"/>
            <wp:effectExtent l="0" t="0" r="4445" b="5080"/>
            <wp:docPr id="100" name="图片 100" descr="电工-张腾万2024.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电工-张腾万2024.12.31"/>
                    <pic:cNvPicPr>
                      <a:picLocks noChangeAspect="1"/>
                    </pic:cNvPicPr>
                  </pic:nvPicPr>
                  <pic:blipFill>
                    <a:blip r:embed="rId114"/>
                    <a:stretch>
                      <a:fillRect/>
                    </a:stretch>
                  </pic:blipFill>
                  <pic:spPr>
                    <a:xfrm>
                      <a:off x="0" y="0"/>
                      <a:ext cx="5040000" cy="7036216"/>
                    </a:xfrm>
                    <a:prstGeom prst="rect">
                      <a:avLst/>
                    </a:prstGeom>
                  </pic:spPr>
                </pic:pic>
              </a:graphicData>
            </a:graphic>
          </wp:inline>
        </w:drawing>
      </w:r>
    </w:p>
    <w:p>
      <w:pPr>
        <w:spacing w:line="360" w:lineRule="auto"/>
        <w:ind w:firstLine="480" w:firstLineChars="200"/>
        <w:rPr>
          <w:rFonts w:ascii="Times New Roman" w:hAnsi="Times New Roman" w:eastAsia="宋体" w:cs="宋体"/>
          <w:sz w:val="24"/>
          <w:szCs w:val="21"/>
        </w:rPr>
      </w:pPr>
    </w:p>
    <w:p>
      <w:pPr>
        <w:widowControl/>
        <w:spacing w:line="240" w:lineRule="auto"/>
        <w:ind w:firstLine="0" w:firstLineChars="0"/>
        <w:jc w:val="left"/>
        <w:rPr>
          <w:rFonts w:ascii="Times New Roman" w:hAnsi="Times New Roman" w:eastAsia="宋体" w:cs="宋体"/>
          <w:sz w:val="24"/>
          <w:szCs w:val="21"/>
        </w:rPr>
      </w:pPr>
      <w:r>
        <w:rPr>
          <w:rFonts w:ascii="Times New Roman" w:hAnsi="Times New Roman" w:eastAsia="宋体" w:cs="宋体"/>
          <w:sz w:val="24"/>
          <w:szCs w:val="21"/>
        </w:rPr>
        <w:br w:type="page"/>
      </w:r>
      <w:r>
        <w:rPr>
          <w:rFonts w:hint="eastAsia" w:ascii="Times New Roman" w:hAnsi="Times New Roman" w:eastAsia="宋体" w:cs="宋体"/>
          <w:sz w:val="21"/>
          <w:szCs w:val="21"/>
        </w:rPr>
        <w:drawing>
          <wp:inline distT="0" distB="0" distL="114300" distR="114300">
            <wp:extent cx="5271135" cy="7453630"/>
            <wp:effectExtent l="0" t="0" r="1905" b="13970"/>
            <wp:docPr id="101" name="图片 101" descr="7c10cc5ca9270463d55d4e1dc43c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7c10cc5ca9270463d55d4e1dc43ca9d"/>
                    <pic:cNvPicPr>
                      <a:picLocks noChangeAspect="1"/>
                    </pic:cNvPicPr>
                  </pic:nvPicPr>
                  <pic:blipFill>
                    <a:blip r:embed="rId115"/>
                    <a:stretch>
                      <a:fillRect/>
                    </a:stretch>
                  </pic:blipFill>
                  <pic:spPr>
                    <a:xfrm>
                      <a:off x="0" y="0"/>
                      <a:ext cx="5271135" cy="7453630"/>
                    </a:xfrm>
                    <a:prstGeom prst="rect">
                      <a:avLst/>
                    </a:prstGeom>
                  </pic:spPr>
                </pic:pic>
              </a:graphicData>
            </a:graphic>
          </wp:inline>
        </w:drawing>
      </w:r>
      <w:r>
        <w:rPr>
          <w:rFonts w:ascii="Times New Roman" w:hAnsi="Times New Roman" w:eastAsia="宋体" w:cs="宋体"/>
          <w:sz w:val="24"/>
          <w:szCs w:val="21"/>
        </w:rPr>
        <w:drawing>
          <wp:inline distT="0" distB="0" distL="114300" distR="114300">
            <wp:extent cx="5217160" cy="7656195"/>
            <wp:effectExtent l="0" t="0" r="10160" b="9525"/>
            <wp:docPr id="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pic:cNvPicPr>
                      <a:picLocks noChangeAspect="1"/>
                    </pic:cNvPicPr>
                  </pic:nvPicPr>
                  <pic:blipFill>
                    <a:blip r:embed="rId116"/>
                    <a:stretch>
                      <a:fillRect/>
                    </a:stretch>
                  </pic:blipFill>
                  <pic:spPr>
                    <a:xfrm>
                      <a:off x="0" y="0"/>
                      <a:ext cx="5217160" cy="7656195"/>
                    </a:xfrm>
                    <a:prstGeom prst="rect">
                      <a:avLst/>
                    </a:prstGeom>
                    <a:noFill/>
                    <a:ln>
                      <a:noFill/>
                    </a:ln>
                  </pic:spPr>
                </pic:pic>
              </a:graphicData>
            </a:graphic>
          </wp:inline>
        </w:drawing>
      </w:r>
    </w:p>
    <w:p>
      <w:pPr>
        <w:widowControl/>
        <w:spacing w:line="240" w:lineRule="auto"/>
        <w:ind w:firstLine="0" w:firstLineChars="0"/>
        <w:jc w:val="left"/>
        <w:rPr>
          <w:rFonts w:ascii="Times New Roman" w:hAnsi="Times New Roman" w:eastAsia="宋体" w:cs="宋体"/>
          <w:sz w:val="24"/>
          <w:szCs w:val="21"/>
        </w:rPr>
      </w:pPr>
    </w:p>
    <w:p>
      <w:pPr>
        <w:widowControl/>
        <w:spacing w:line="240" w:lineRule="auto"/>
        <w:ind w:firstLine="0" w:firstLineChars="0"/>
        <w:jc w:val="left"/>
        <w:rPr>
          <w:rFonts w:ascii="Times New Roman" w:hAnsi="Times New Roman" w:eastAsia="宋体" w:cs="宋体"/>
          <w:sz w:val="24"/>
          <w:szCs w:val="21"/>
        </w:rPr>
      </w:pPr>
    </w:p>
    <w:p>
      <w:pPr>
        <w:widowControl/>
        <w:spacing w:line="240" w:lineRule="auto"/>
        <w:ind w:firstLine="0" w:firstLineChars="0"/>
        <w:jc w:val="left"/>
        <w:rPr>
          <w:rFonts w:ascii="Times New Roman" w:hAnsi="Times New Roman" w:eastAsia="宋体" w:cs="宋体"/>
          <w:sz w:val="24"/>
          <w:szCs w:val="21"/>
        </w:rPr>
      </w:pPr>
      <w:r>
        <w:rPr>
          <w:rFonts w:ascii="Times New Roman" w:hAnsi="Times New Roman" w:eastAsia="宋体" w:cs="宋体"/>
          <w:sz w:val="24"/>
          <w:szCs w:val="21"/>
        </w:rPr>
        <w:drawing>
          <wp:inline distT="0" distB="0" distL="114300" distR="114300">
            <wp:extent cx="4665345" cy="2954655"/>
            <wp:effectExtent l="0" t="0" r="13335" b="1905"/>
            <wp:docPr id="10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
                    <pic:cNvPicPr>
                      <a:picLocks noChangeAspect="1"/>
                    </pic:cNvPicPr>
                  </pic:nvPicPr>
                  <pic:blipFill>
                    <a:blip r:embed="rId117"/>
                    <a:stretch>
                      <a:fillRect/>
                    </a:stretch>
                  </pic:blipFill>
                  <pic:spPr>
                    <a:xfrm>
                      <a:off x="0" y="0"/>
                      <a:ext cx="4665345" cy="2954655"/>
                    </a:xfrm>
                    <a:prstGeom prst="rect">
                      <a:avLst/>
                    </a:prstGeom>
                    <a:noFill/>
                    <a:ln>
                      <a:noFill/>
                    </a:ln>
                  </pic:spPr>
                </pic:pic>
              </a:graphicData>
            </a:graphic>
          </wp:inline>
        </w:drawing>
      </w:r>
    </w:p>
    <w:p>
      <w:pPr>
        <w:widowControl/>
        <w:spacing w:line="360" w:lineRule="auto"/>
        <w:ind w:firstLine="0" w:firstLineChars="0"/>
        <w:jc w:val="center"/>
        <w:rPr>
          <w:rFonts w:ascii="宋体" w:hAnsi="宋体" w:eastAsia="宋体" w:cs="宋体"/>
          <w:bCs/>
          <w:sz w:val="24"/>
          <w:szCs w:val="21"/>
        </w:rPr>
      </w:pPr>
    </w:p>
    <w:p>
      <w:pPr>
        <w:widowControl/>
        <w:spacing w:line="360" w:lineRule="auto"/>
        <w:ind w:firstLine="0" w:firstLineChars="0"/>
        <w:jc w:val="center"/>
        <w:rPr>
          <w:rFonts w:ascii="宋体" w:hAnsi="宋体" w:eastAsia="宋体" w:cs="宋体"/>
          <w:bCs/>
          <w:kern w:val="0"/>
          <w:sz w:val="24"/>
          <w:szCs w:val="21"/>
          <w:lang w:bidi="ar"/>
        </w:rPr>
      </w:pPr>
    </w:p>
    <w:p>
      <w:pPr>
        <w:pStyle w:val="5"/>
        <w:bidi w:val="0"/>
        <w:rPr>
          <w:lang w:val="en-US" w:eastAsia="zh-CN"/>
        </w:rPr>
      </w:pPr>
      <w:bookmarkStart w:id="208" w:name="_Toc25359"/>
      <w:bookmarkStart w:id="209" w:name="_Toc29018"/>
      <w:bookmarkStart w:id="210" w:name="_Toc7629"/>
      <w:bookmarkStart w:id="211" w:name="_Toc12411"/>
      <w:r>
        <w:rPr>
          <w:rFonts w:hint="eastAsia"/>
          <w:lang w:val="en-US" w:eastAsia="zh-CN"/>
        </w:rPr>
        <w:t>制造单位资质</w:t>
      </w:r>
      <w:bookmarkEnd w:id="208"/>
      <w:bookmarkEnd w:id="209"/>
      <w:bookmarkEnd w:id="210"/>
      <w:bookmarkEnd w:id="211"/>
    </w:p>
    <w:p>
      <w:pPr>
        <w:tabs>
          <w:tab w:val="right" w:leader="dot" w:pos="8890"/>
        </w:tabs>
        <w:spacing w:before="120" w:beforeLines="50" w:line="360" w:lineRule="auto"/>
        <w:ind w:firstLine="0" w:firstLineChars="0"/>
        <w:jc w:val="center"/>
        <w:rPr>
          <w:rFonts w:ascii="Calibri" w:hAnsi="Calibri" w:eastAsia="宋体"/>
          <w:sz w:val="21"/>
          <w:szCs w:val="24"/>
        </w:rPr>
      </w:pPr>
      <w:r>
        <w:rPr>
          <w:rFonts w:ascii="Calibri" w:hAnsi="Calibri" w:eastAsia="宋体"/>
          <w:sz w:val="21"/>
          <w:szCs w:val="24"/>
        </w:rPr>
        <w:drawing>
          <wp:inline distT="0" distB="0" distL="114300" distR="114300">
            <wp:extent cx="5024755" cy="6911975"/>
            <wp:effectExtent l="0" t="0" r="4445" b="6985"/>
            <wp:docPr id="1" name="图片 1" descr="dd23fc21efd144e04c3e8bcd01d2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23fc21efd144e04c3e8bcd01d22cf"/>
                    <pic:cNvPicPr>
                      <a:picLocks noChangeAspect="1"/>
                    </pic:cNvPicPr>
                  </pic:nvPicPr>
                  <pic:blipFill>
                    <a:blip r:embed="rId118"/>
                    <a:stretch>
                      <a:fillRect/>
                    </a:stretch>
                  </pic:blipFill>
                  <pic:spPr>
                    <a:xfrm>
                      <a:off x="0" y="0"/>
                      <a:ext cx="5024755" cy="6911975"/>
                    </a:xfrm>
                    <a:prstGeom prst="rect">
                      <a:avLst/>
                    </a:prstGeom>
                    <a:noFill/>
                    <a:ln>
                      <a:noFill/>
                    </a:ln>
                  </pic:spPr>
                </pic:pic>
              </a:graphicData>
            </a:graphic>
          </wp:inline>
        </w:drawing>
      </w:r>
    </w:p>
    <w:p>
      <w:pPr>
        <w:tabs>
          <w:tab w:val="right" w:leader="dot" w:pos="8890"/>
        </w:tabs>
        <w:spacing w:before="120" w:beforeLines="50"/>
        <w:ind w:firstLine="0" w:firstLineChars="0"/>
        <w:jc w:val="center"/>
        <w:rPr>
          <w:rFonts w:hint="eastAsia" w:ascii="宋体" w:hAnsi="宋体" w:eastAsia="宋体" w:cs="宋体"/>
          <w:lang w:eastAsia="zh-CN"/>
        </w:rPr>
      </w:pPr>
    </w:p>
    <w:sectPr>
      <w:pgSz w:w="11906" w:h="16838"/>
      <w:pgMar w:top="1417" w:right="1134" w:bottom="1417" w:left="1701" w:header="851" w:footer="850" w:gutter="0"/>
      <w:pgNumType w:fmt="decimal"/>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T Kaiti">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SJQY">
    <w:altName w:val="宋体"/>
    <w:panose1 w:val="02010600030101010101"/>
    <w:charset w:val="86"/>
    <w:family w:val="auto"/>
    <w:pitch w:val="default"/>
    <w:sig w:usb0="00000000"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0" w:firstLineChars="0"/>
      <w:jc w:val="cente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43757132"/>
                          </w:sdtPr>
                          <w:sdtContent>
                            <w:p>
                              <w:pPr>
                                <w:pStyle w:val="28"/>
                                <w:ind w:firstLine="0" w:firstLineChars="0"/>
                                <w:jc w:val="center"/>
                              </w:pPr>
                              <w:r>
                                <w:fldChar w:fldCharType="begin"/>
                              </w:r>
                              <w:r>
                                <w:instrText xml:space="preserve">PAGE   \* MERGEFORMAT</w:instrText>
                              </w:r>
                              <w:r>
                                <w:fldChar w:fldCharType="separate"/>
                              </w:r>
                              <w:r>
                                <w:rPr>
                                  <w:lang w:val="zh-CN"/>
                                </w:rPr>
                                <w:t>2</w:t>
                              </w:r>
                              <w:r>
                                <w:fldChar w:fldCharType="end"/>
                              </w:r>
                            </w:p>
                          </w:sdtContent>
                        </w:sd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sdt>
                    <w:sdtPr>
                      <w:id w:val="1743757132"/>
                    </w:sdtPr>
                    <w:sdtContent>
                      <w:p>
                        <w:pPr>
                          <w:pStyle w:val="28"/>
                          <w:ind w:firstLine="0" w:firstLineChars="0"/>
                          <w:jc w:val="center"/>
                        </w:pPr>
                        <w:r>
                          <w:fldChar w:fldCharType="begin"/>
                        </w:r>
                        <w:r>
                          <w:instrText xml:space="preserve">PAGE   \* MERGEFORMAT</w:instrText>
                        </w:r>
                        <w:r>
                          <w:fldChar w:fldCharType="separate"/>
                        </w:r>
                        <w:r>
                          <w:rPr>
                            <w:lang w:val="zh-CN"/>
                          </w:rPr>
                          <w:t>2</w:t>
                        </w:r>
                        <w:r>
                          <w:fldChar w:fldCharType="end"/>
                        </w:r>
                      </w:p>
                    </w:sdtContent>
                  </w:sdt>
                  <w:p>
                    <w:pPr>
                      <w:pStyle w:val="13"/>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0" w:firstLineChars="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ind w:firstLine="0" w:firstLineChars="0"/>
                            <w:jc w:val="center"/>
                          </w:pPr>
                          <w:r>
                            <w:rPr>
                              <w:rFonts w:hint="eastAsia"/>
                            </w:rPr>
                            <w:t xml:space="preserve">第 </w:t>
                          </w:r>
                          <w:sdt>
                            <w:sdtPr>
                              <w:id w:val="-384096693"/>
                            </w:sdtPr>
                            <w:sdtContent>
                              <w:r>
                                <w:fldChar w:fldCharType="begin"/>
                              </w:r>
                              <w:r>
                                <w:instrText xml:space="preserve">PAGE   \* MERGEFORMAT</w:instrText>
                              </w:r>
                              <w:r>
                                <w:fldChar w:fldCharType="separate"/>
                              </w:r>
                              <w:r>
                                <w:rPr>
                                  <w:lang w:val="zh-CN"/>
                                </w:rPr>
                                <w:t>2</w:t>
                              </w:r>
                              <w:r>
                                <w:fldChar w:fldCharType="end"/>
                              </w:r>
                              <w:r>
                                <w:t xml:space="preserve"> </w:t>
                              </w:r>
                              <w:r>
                                <w:rPr>
                                  <w:rFonts w:hint="eastAsia"/>
                                </w:rPr>
                                <w:t>页</w:t>
                              </w:r>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8"/>
                      <w:ind w:firstLine="0" w:firstLineChars="0"/>
                      <w:jc w:val="center"/>
                    </w:pPr>
                    <w:r>
                      <w:rPr>
                        <w:rFonts w:hint="eastAsia"/>
                      </w:rPr>
                      <w:t xml:space="preserve">第 </w:t>
                    </w:r>
                    <w:sdt>
                      <w:sdtPr>
                        <w:id w:val="-384096693"/>
                      </w:sdtPr>
                      <w:sdtContent>
                        <w:r>
                          <w:fldChar w:fldCharType="begin"/>
                        </w:r>
                        <w:r>
                          <w:instrText xml:space="preserve">PAGE   \* MERGEFORMAT</w:instrText>
                        </w:r>
                        <w:r>
                          <w:fldChar w:fldCharType="separate"/>
                        </w:r>
                        <w:r>
                          <w:rPr>
                            <w:lang w:val="zh-CN"/>
                          </w:rPr>
                          <w:t>2</w:t>
                        </w:r>
                        <w:r>
                          <w:fldChar w:fldCharType="end"/>
                        </w:r>
                        <w:r>
                          <w:t xml:space="preserve"> </w:t>
                        </w:r>
                        <w:r>
                          <w:rPr>
                            <w:rFonts w:hint="eastAsia"/>
                          </w:rPr>
                          <w:t>页</w:t>
                        </w:r>
                      </w:sdtContent>
                    </w:sd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ind w:firstLine="480" w:firstLineChars="200"/>
      <w:rPr>
        <w:rFonts w:ascii="Times New Roman" w:hAnsi="Times New Roman" w:eastAsia="宋体" w:cs="宋体"/>
        <w:sz w:val="24"/>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ind w:firstLine="480" w:firstLineChars="200"/>
      <w:rPr>
        <w:rFonts w:ascii="Times New Roman" w:hAnsi="Times New Roman" w:eastAsia="宋体" w:cs="宋体"/>
        <w:sz w:val="24"/>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jc w:val="distribu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distribute"/>
    </w:pPr>
    <w:r>
      <w:rPr>
        <w:rFonts w:hint="eastAsia" w:ascii="Times New Roman" w:hAnsi="Times New Roman" w:eastAsia="楷体" w:cs="楷体"/>
        <w:sz w:val="18"/>
        <w:szCs w:val="18"/>
        <w:lang w:eastAsia="zh-CN"/>
      </w:rPr>
      <w:t>351国道兰溪马涧至建德大慈岩段工程香女特大桥项目</w:t>
    </w:r>
    <w:r>
      <w:rPr>
        <w:rFonts w:hint="eastAsia" w:ascii="Times New Roman" w:hAnsi="Times New Roman" w:eastAsia="楷体" w:cs="楷体"/>
        <w:sz w:val="18"/>
        <w:szCs w:val="18"/>
        <w:lang w:val="en-US" w:eastAsia="zh-CN"/>
      </w:rPr>
      <w:t xml:space="preserve">                                       </w:t>
    </w:r>
    <w:r>
      <w:rPr>
        <w:rFonts w:hint="eastAsia" w:ascii="Times New Roman" w:hAnsi="Times New Roman" w:eastAsia="楷体" w:cs="楷体"/>
        <w:sz w:val="18"/>
        <w:szCs w:val="18"/>
        <w:lang w:eastAsia="zh-CN"/>
      </w:rPr>
      <w:t>T7020-10塔吊安拆专项施</w:t>
    </w:r>
    <w:r>
      <w:rPr>
        <w:rFonts w:hint="eastAsia" w:ascii="Times New Roman" w:hAnsi="Times New Roman" w:eastAsia="楷体" w:cs="楷体"/>
        <w:sz w:val="18"/>
        <w:szCs w:val="18"/>
      </w:rPr>
      <w:t>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distribute"/>
      <w:rPr>
        <w:rFonts w:hint="eastAsia" w:ascii="Times New Roman" w:hAnsi="Times New Roman" w:eastAsia="楷体" w:cs="楷体"/>
        <w:sz w:val="18"/>
        <w:szCs w:val="18"/>
      </w:rPr>
    </w:pPr>
    <w:r>
      <w:rPr>
        <w:rFonts w:hint="eastAsia" w:ascii="Times New Roman" w:hAnsi="Times New Roman" w:eastAsia="楷体" w:cs="楷体"/>
        <w:sz w:val="18"/>
        <w:szCs w:val="18"/>
        <w:lang w:eastAsia="zh-CN"/>
      </w:rPr>
      <w:t>351国道兰溪马涧至建德大慈岩段工程香女特大桥项目</w:t>
    </w:r>
    <w:r>
      <w:rPr>
        <w:rFonts w:hint="eastAsia" w:ascii="Times New Roman" w:hAnsi="Times New Roman" w:eastAsia="楷体" w:cs="楷体"/>
        <w:sz w:val="18"/>
        <w:szCs w:val="18"/>
        <w:lang w:val="en-US" w:eastAsia="zh-CN"/>
      </w:rPr>
      <w:t xml:space="preserve">                                           </w:t>
    </w:r>
    <w:r>
      <w:rPr>
        <w:rFonts w:hint="eastAsia" w:ascii="Times New Roman" w:hAnsi="Times New Roman" w:eastAsia="楷体" w:cs="楷体"/>
        <w:sz w:val="18"/>
        <w:szCs w:val="18"/>
      </w:rPr>
      <w:t xml:space="preserve">          塔吊安拆专项施工方案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ind w:firstLine="480" w:firstLineChars="200"/>
      <w:rPr>
        <w:rFonts w:ascii="Times New Roman" w:hAnsi="Times New Roman" w:eastAsia="宋体" w:cs="宋体"/>
        <w:sz w:val="24"/>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ind w:firstLine="480" w:firstLineChars="200"/>
      <w:rPr>
        <w:rFonts w:ascii="Times New Roman" w:hAnsi="Times New Roman" w:eastAsia="宋体" w:cs="宋体"/>
        <w:sz w:val="24"/>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04AFD"/>
    <w:multiLevelType w:val="singleLevel"/>
    <w:tmpl w:val="83404AFD"/>
    <w:lvl w:ilvl="0" w:tentative="0">
      <w:start w:val="1"/>
      <w:numFmt w:val="decimal"/>
      <w:suff w:val="nothing"/>
      <w:lvlText w:val="%1、"/>
      <w:lvlJc w:val="left"/>
    </w:lvl>
  </w:abstractNum>
  <w:abstractNum w:abstractNumId="1">
    <w:nsid w:val="AC1455DD"/>
    <w:multiLevelType w:val="multilevel"/>
    <w:tmpl w:val="AC1455DD"/>
    <w:lvl w:ilvl="0" w:tentative="0">
      <w:start w:val="1"/>
      <w:numFmt w:val="decimal"/>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suff w:val="space"/>
      <w:lvlText w:val="%1.%2.%3.%4"/>
      <w:lvlJc w:val="left"/>
      <w:pPr>
        <w:tabs>
          <w:tab w:val="left" w:pos="0"/>
        </w:tabs>
        <w:ind w:left="0" w:firstLine="0"/>
      </w:pPr>
      <w:rPr>
        <w:rFonts w:hint="default" w:ascii="宋体" w:hAnsi="宋体" w:eastAsia="宋体" w:cs="宋体"/>
      </w:rPr>
    </w:lvl>
    <w:lvl w:ilvl="4" w:tentative="0">
      <w:start w:val="1"/>
      <w:numFmt w:val="decimal"/>
      <w:lvlRestart w:val="2"/>
      <w:suff w:val="space"/>
      <w:lvlText w:val="表%1.%2-%5 "/>
      <w:lvlJc w:val="left"/>
      <w:pPr>
        <w:tabs>
          <w:tab w:val="left" w:pos="0"/>
        </w:tabs>
        <w:ind w:left="0" w:firstLine="0"/>
      </w:pPr>
      <w:rPr>
        <w:rFonts w:hint="default" w:ascii="宋体" w:hAnsi="宋体" w:eastAsia="宋体" w:cs="宋体"/>
        <w:b/>
        <w:sz w:val="21"/>
        <w:szCs w:val="21"/>
      </w:rPr>
    </w:lvl>
    <w:lvl w:ilvl="5" w:tentative="0">
      <w:start w:val="1"/>
      <w:numFmt w:val="decimal"/>
      <w:lvlRestart w:val="2"/>
      <w:pStyle w:val="221"/>
      <w:isLgl/>
      <w:suff w:val="space"/>
      <w:lvlText w:val="图%1.%2-%6 "/>
      <w:lvlJc w:val="left"/>
      <w:pPr>
        <w:tabs>
          <w:tab w:val="left" w:pos="3118"/>
        </w:tabs>
        <w:ind w:left="4269" w:hanging="1151"/>
      </w:pPr>
      <w:rPr>
        <w:rFonts w:hint="default" w:ascii="宋体" w:hAnsi="宋体" w:eastAsia="宋体" w:cs="宋体"/>
        <w:sz w:val="21"/>
        <w:szCs w:val="21"/>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EC8C5676"/>
    <w:multiLevelType w:val="singleLevel"/>
    <w:tmpl w:val="EC8C5676"/>
    <w:lvl w:ilvl="0" w:tentative="0">
      <w:start w:val="1"/>
      <w:numFmt w:val="chineseCounting"/>
      <w:suff w:val="nothing"/>
      <w:lvlText w:val="%1、"/>
      <w:lvlJc w:val="left"/>
      <w:rPr>
        <w:rFonts w:hint="eastAsia"/>
      </w:rPr>
    </w:lvl>
  </w:abstractNum>
  <w:abstractNum w:abstractNumId="3">
    <w:nsid w:val="028F4F97"/>
    <w:multiLevelType w:val="multilevel"/>
    <w:tmpl w:val="028F4F97"/>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36A318A"/>
    <w:multiLevelType w:val="multilevel"/>
    <w:tmpl w:val="036A318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580B7F1"/>
    <w:multiLevelType w:val="singleLevel"/>
    <w:tmpl w:val="0580B7F1"/>
    <w:lvl w:ilvl="0" w:tentative="0">
      <w:start w:val="1"/>
      <w:numFmt w:val="decimalFullWidth"/>
      <w:suff w:val="nothing"/>
      <w:lvlText w:val="%1）"/>
      <w:lvlJc w:val="left"/>
      <w:rPr>
        <w:rFonts w:hint="eastAsia"/>
      </w:rPr>
    </w:lvl>
  </w:abstractNum>
  <w:abstractNum w:abstractNumId="6">
    <w:nsid w:val="066123F8"/>
    <w:multiLevelType w:val="singleLevel"/>
    <w:tmpl w:val="066123F8"/>
    <w:lvl w:ilvl="0" w:tentative="0">
      <w:start w:val="3"/>
      <w:numFmt w:val="decimal"/>
      <w:suff w:val="nothing"/>
      <w:lvlText w:val="%1、"/>
      <w:lvlJc w:val="left"/>
    </w:lvl>
  </w:abstractNum>
  <w:abstractNum w:abstractNumId="7">
    <w:nsid w:val="0A406FC0"/>
    <w:multiLevelType w:val="multilevel"/>
    <w:tmpl w:val="0A406FC0"/>
    <w:lvl w:ilvl="0" w:tentative="0">
      <w:start w:val="1"/>
      <w:numFmt w:val="bullet"/>
      <w:pStyle w:val="114"/>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0AB904C0"/>
    <w:multiLevelType w:val="multilevel"/>
    <w:tmpl w:val="0AB904C0"/>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suff w:val="space"/>
      <w:lvlText w:val="（%6）"/>
      <w:lvlJc w:val="left"/>
      <w:pPr>
        <w:ind w:left="0" w:firstLine="0"/>
      </w:pPr>
      <w:rPr>
        <w:rFonts w:hint="eastAsia"/>
        <w:color w:val="auto"/>
        <w:lang w:val="en-US"/>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1CA1D74B"/>
    <w:multiLevelType w:val="multilevel"/>
    <w:tmpl w:val="1CA1D74B"/>
    <w:lvl w:ilvl="0" w:tentative="0">
      <w:start w:val="1"/>
      <w:numFmt w:val="decimal"/>
      <w:pStyle w:val="76"/>
      <w:lvlText w:val="%1、"/>
      <w:lvlJc w:val="left"/>
      <w:pPr>
        <w:tabs>
          <w:tab w:val="left" w:pos="0"/>
        </w:tabs>
        <w:ind w:left="0" w:firstLine="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4A17D82"/>
    <w:multiLevelType w:val="multilevel"/>
    <w:tmpl w:val="24A17D82"/>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3283101D"/>
    <w:multiLevelType w:val="multilevel"/>
    <w:tmpl w:val="3283101D"/>
    <w:lvl w:ilvl="0" w:tentative="0">
      <w:start w:val="1"/>
      <w:numFmt w:val="decimal"/>
      <w:pStyle w:val="67"/>
      <w:lvlText w:val="（%1）"/>
      <w:lvlJc w:val="left"/>
      <w:pPr>
        <w:ind w:left="840" w:hanging="420"/>
      </w:pPr>
      <w:rPr>
        <w:rFonts w:hint="default" w:ascii="Times New Roman" w:hAnsi="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44535BD3"/>
    <w:multiLevelType w:val="multilevel"/>
    <w:tmpl w:val="44535BD3"/>
    <w:lvl w:ilvl="0" w:tentative="0">
      <w:start w:val="1"/>
      <w:numFmt w:val="bullet"/>
      <w:pStyle w:val="152"/>
      <w:lvlText w:val=""/>
      <w:lvlJc w:val="left"/>
      <w:pPr>
        <w:ind w:left="420" w:hanging="420"/>
      </w:pPr>
      <w:rPr>
        <w:rFonts w:hint="default" w:ascii="Wingdings" w:hAnsi="Wingdings"/>
        <w:color w:val="FF00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4EF0192C"/>
    <w:multiLevelType w:val="multilevel"/>
    <w:tmpl w:val="4EF0192C"/>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ascii="Times New Roman" w:hAnsi="Times New Roman" w:eastAsia="宋体" w:cs="Times New Roman"/>
        <w:sz w:val="24"/>
        <w:szCs w:val="24"/>
      </w:rPr>
    </w:lvl>
    <w:lvl w:ilvl="4" w:tentative="0">
      <w:start w:val="1"/>
      <w:numFmt w:val="decimal"/>
      <w:pStyle w:val="7"/>
      <w:lvlText w:val="%1.%2.%3.%4.%5."/>
      <w:lvlJc w:val="left"/>
      <w:pPr>
        <w:ind w:left="-482"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14">
    <w:nsid w:val="500F0A56"/>
    <w:multiLevelType w:val="multilevel"/>
    <w:tmpl w:val="500F0A56"/>
    <w:lvl w:ilvl="0" w:tentative="0">
      <w:start w:val="1"/>
      <w:numFmt w:val="decimal"/>
      <w:pStyle w:val="112"/>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53DCD0AE"/>
    <w:multiLevelType w:val="singleLevel"/>
    <w:tmpl w:val="53DCD0AE"/>
    <w:lvl w:ilvl="0" w:tentative="0">
      <w:start w:val="1"/>
      <w:numFmt w:val="decimal"/>
      <w:suff w:val="nothing"/>
      <w:lvlText w:val="%1、"/>
      <w:lvlJc w:val="left"/>
    </w:lvl>
  </w:abstractNum>
  <w:abstractNum w:abstractNumId="16">
    <w:nsid w:val="563A363C"/>
    <w:multiLevelType w:val="multilevel"/>
    <w:tmpl w:val="563A363C"/>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5E9D7AA8"/>
    <w:multiLevelType w:val="multilevel"/>
    <w:tmpl w:val="5E9D7AA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771C2D68"/>
    <w:multiLevelType w:val="multilevel"/>
    <w:tmpl w:val="771C2D68"/>
    <w:lvl w:ilvl="0" w:tentative="0">
      <w:start w:val="1"/>
      <w:numFmt w:val="bullet"/>
      <w:pStyle w:val="85"/>
      <w:suff w:val="space"/>
      <w:lvlText w:val=""/>
      <w:lvlJc w:val="left"/>
      <w:pPr>
        <w:ind w:left="0" w:firstLine="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774D27EF"/>
    <w:multiLevelType w:val="multilevel"/>
    <w:tmpl w:val="774D27EF"/>
    <w:lvl w:ilvl="0" w:tentative="0">
      <w:start w:val="1"/>
      <w:numFmt w:val="decimal"/>
      <w:pStyle w:val="139"/>
      <w:lvlText w:val="%1) "/>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793F2EE8"/>
    <w:multiLevelType w:val="singleLevel"/>
    <w:tmpl w:val="793F2EE8"/>
    <w:lvl w:ilvl="0" w:tentative="0">
      <w:start w:val="1"/>
      <w:numFmt w:val="decimal"/>
      <w:suff w:val="nothing"/>
      <w:lvlText w:val="%1、"/>
      <w:lvlJc w:val="left"/>
    </w:lvl>
  </w:abstractNum>
  <w:num w:numId="1">
    <w:abstractNumId w:val="13"/>
  </w:num>
  <w:num w:numId="2">
    <w:abstractNumId w:val="11"/>
  </w:num>
  <w:num w:numId="3">
    <w:abstractNumId w:val="9"/>
  </w:num>
  <w:num w:numId="4">
    <w:abstractNumId w:val="18"/>
  </w:num>
  <w:num w:numId="5">
    <w:abstractNumId w:val="14"/>
  </w:num>
  <w:num w:numId="6">
    <w:abstractNumId w:val="7"/>
  </w:num>
  <w:num w:numId="7">
    <w:abstractNumId w:val="19"/>
  </w:num>
  <w:num w:numId="8">
    <w:abstractNumId w:val="12"/>
  </w:num>
  <w:num w:numId="9">
    <w:abstractNumId w:val="1"/>
  </w:num>
  <w:num w:numId="10">
    <w:abstractNumId w:val="16"/>
  </w:num>
  <w:num w:numId="11">
    <w:abstractNumId w:val="10"/>
  </w:num>
  <w:num w:numId="12">
    <w:abstractNumId w:val="17"/>
  </w:num>
  <w:num w:numId="13">
    <w:abstractNumId w:val="6"/>
  </w:num>
  <w:num w:numId="14">
    <w:abstractNumId w:val="20"/>
  </w:num>
  <w:num w:numId="15">
    <w:abstractNumId w:val="0"/>
  </w:num>
  <w:num w:numId="16">
    <w:abstractNumId w:val="15"/>
  </w:num>
  <w:num w:numId="17">
    <w:abstractNumId w:val="4"/>
  </w:num>
  <w:num w:numId="18">
    <w:abstractNumId w:val="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0"/>
  <w:drawingGridHorizontalSpacing w:val="120"/>
  <w:drawingGridVerticalSpacing w:val="163"/>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JjNTQxMzI5N2U2YmJmZjM0ZmIzYTE2OWQ0MTYxNjAifQ=="/>
  </w:docVars>
  <w:rsids>
    <w:rsidRoot w:val="002B2E32"/>
    <w:rsid w:val="00000BF2"/>
    <w:rsid w:val="00000BFB"/>
    <w:rsid w:val="00000FB1"/>
    <w:rsid w:val="00001FBA"/>
    <w:rsid w:val="000022EE"/>
    <w:rsid w:val="00002586"/>
    <w:rsid w:val="000026C2"/>
    <w:rsid w:val="00004D4E"/>
    <w:rsid w:val="000061D7"/>
    <w:rsid w:val="00006B13"/>
    <w:rsid w:val="0000744A"/>
    <w:rsid w:val="00007CAA"/>
    <w:rsid w:val="00010214"/>
    <w:rsid w:val="00011044"/>
    <w:rsid w:val="000112F2"/>
    <w:rsid w:val="00011A50"/>
    <w:rsid w:val="00011F9E"/>
    <w:rsid w:val="00012440"/>
    <w:rsid w:val="000137AD"/>
    <w:rsid w:val="00013DF8"/>
    <w:rsid w:val="00015CD6"/>
    <w:rsid w:val="00017206"/>
    <w:rsid w:val="0001780C"/>
    <w:rsid w:val="00017C1D"/>
    <w:rsid w:val="00017D4C"/>
    <w:rsid w:val="0002005A"/>
    <w:rsid w:val="00020314"/>
    <w:rsid w:val="000219D2"/>
    <w:rsid w:val="0002239E"/>
    <w:rsid w:val="00023252"/>
    <w:rsid w:val="00023825"/>
    <w:rsid w:val="0002421A"/>
    <w:rsid w:val="00024867"/>
    <w:rsid w:val="0002616F"/>
    <w:rsid w:val="00026268"/>
    <w:rsid w:val="00026F73"/>
    <w:rsid w:val="0003026A"/>
    <w:rsid w:val="00031A04"/>
    <w:rsid w:val="00031C95"/>
    <w:rsid w:val="0003233C"/>
    <w:rsid w:val="00035E0E"/>
    <w:rsid w:val="000363BE"/>
    <w:rsid w:val="00037913"/>
    <w:rsid w:val="00037CF1"/>
    <w:rsid w:val="000413C1"/>
    <w:rsid w:val="000415F2"/>
    <w:rsid w:val="00041A6C"/>
    <w:rsid w:val="0004210D"/>
    <w:rsid w:val="00044C71"/>
    <w:rsid w:val="00044E80"/>
    <w:rsid w:val="000452F6"/>
    <w:rsid w:val="00047EC2"/>
    <w:rsid w:val="00047F2C"/>
    <w:rsid w:val="00051B29"/>
    <w:rsid w:val="00052ECB"/>
    <w:rsid w:val="000532F3"/>
    <w:rsid w:val="0005399A"/>
    <w:rsid w:val="000548E9"/>
    <w:rsid w:val="00055247"/>
    <w:rsid w:val="0005660D"/>
    <w:rsid w:val="00056E56"/>
    <w:rsid w:val="0005709E"/>
    <w:rsid w:val="00057326"/>
    <w:rsid w:val="000575B8"/>
    <w:rsid w:val="000600C1"/>
    <w:rsid w:val="000607A9"/>
    <w:rsid w:val="00060ECD"/>
    <w:rsid w:val="00060EF0"/>
    <w:rsid w:val="00061784"/>
    <w:rsid w:val="000621A7"/>
    <w:rsid w:val="00064866"/>
    <w:rsid w:val="000648E9"/>
    <w:rsid w:val="00064912"/>
    <w:rsid w:val="00064C39"/>
    <w:rsid w:val="00064CCB"/>
    <w:rsid w:val="00065675"/>
    <w:rsid w:val="000658C7"/>
    <w:rsid w:val="00067E5E"/>
    <w:rsid w:val="00070767"/>
    <w:rsid w:val="00070A63"/>
    <w:rsid w:val="00071B12"/>
    <w:rsid w:val="00076091"/>
    <w:rsid w:val="000767D9"/>
    <w:rsid w:val="00076A44"/>
    <w:rsid w:val="0007702D"/>
    <w:rsid w:val="00080336"/>
    <w:rsid w:val="00080E39"/>
    <w:rsid w:val="00081400"/>
    <w:rsid w:val="00082C12"/>
    <w:rsid w:val="0008381D"/>
    <w:rsid w:val="00084009"/>
    <w:rsid w:val="000860B6"/>
    <w:rsid w:val="00086627"/>
    <w:rsid w:val="00086771"/>
    <w:rsid w:val="00086BE0"/>
    <w:rsid w:val="00087972"/>
    <w:rsid w:val="0009010D"/>
    <w:rsid w:val="000902AB"/>
    <w:rsid w:val="00091E34"/>
    <w:rsid w:val="0009366F"/>
    <w:rsid w:val="00093AA1"/>
    <w:rsid w:val="00095C9C"/>
    <w:rsid w:val="00096AF3"/>
    <w:rsid w:val="0009720D"/>
    <w:rsid w:val="000A1ED3"/>
    <w:rsid w:val="000A2158"/>
    <w:rsid w:val="000A325D"/>
    <w:rsid w:val="000A4074"/>
    <w:rsid w:val="000A4C76"/>
    <w:rsid w:val="000A4F56"/>
    <w:rsid w:val="000A4FCD"/>
    <w:rsid w:val="000A5C65"/>
    <w:rsid w:val="000A63FA"/>
    <w:rsid w:val="000A6743"/>
    <w:rsid w:val="000A6C8E"/>
    <w:rsid w:val="000B0CD8"/>
    <w:rsid w:val="000B15A8"/>
    <w:rsid w:val="000B16A4"/>
    <w:rsid w:val="000B28DA"/>
    <w:rsid w:val="000B3C56"/>
    <w:rsid w:val="000B442E"/>
    <w:rsid w:val="000B52B7"/>
    <w:rsid w:val="000B5420"/>
    <w:rsid w:val="000B617A"/>
    <w:rsid w:val="000B6DFD"/>
    <w:rsid w:val="000B6FCC"/>
    <w:rsid w:val="000C13BE"/>
    <w:rsid w:val="000C3754"/>
    <w:rsid w:val="000C38B9"/>
    <w:rsid w:val="000C3968"/>
    <w:rsid w:val="000C70E7"/>
    <w:rsid w:val="000D05BE"/>
    <w:rsid w:val="000D155E"/>
    <w:rsid w:val="000D3441"/>
    <w:rsid w:val="000D426A"/>
    <w:rsid w:val="000D5B5F"/>
    <w:rsid w:val="000D6043"/>
    <w:rsid w:val="000D63AE"/>
    <w:rsid w:val="000D6BA1"/>
    <w:rsid w:val="000D79C8"/>
    <w:rsid w:val="000E07C8"/>
    <w:rsid w:val="000E0AE0"/>
    <w:rsid w:val="000E15CA"/>
    <w:rsid w:val="000E2A4A"/>
    <w:rsid w:val="000E2FF9"/>
    <w:rsid w:val="000E37D3"/>
    <w:rsid w:val="000E4E6F"/>
    <w:rsid w:val="000E563D"/>
    <w:rsid w:val="000E5796"/>
    <w:rsid w:val="000E5D0F"/>
    <w:rsid w:val="000E5F55"/>
    <w:rsid w:val="000E644F"/>
    <w:rsid w:val="000E66FC"/>
    <w:rsid w:val="000E6750"/>
    <w:rsid w:val="000E67E0"/>
    <w:rsid w:val="000E7EF8"/>
    <w:rsid w:val="000F0B4F"/>
    <w:rsid w:val="000F2864"/>
    <w:rsid w:val="000F307A"/>
    <w:rsid w:val="000F5616"/>
    <w:rsid w:val="000F630B"/>
    <w:rsid w:val="000F73FC"/>
    <w:rsid w:val="000F77AF"/>
    <w:rsid w:val="000F7ACF"/>
    <w:rsid w:val="0010095A"/>
    <w:rsid w:val="00100FF8"/>
    <w:rsid w:val="00101E1B"/>
    <w:rsid w:val="00101E21"/>
    <w:rsid w:val="00102171"/>
    <w:rsid w:val="00103CC8"/>
    <w:rsid w:val="00104267"/>
    <w:rsid w:val="00104A7E"/>
    <w:rsid w:val="00107F0C"/>
    <w:rsid w:val="001100D2"/>
    <w:rsid w:val="001101E7"/>
    <w:rsid w:val="00110319"/>
    <w:rsid w:val="00110C88"/>
    <w:rsid w:val="00110F16"/>
    <w:rsid w:val="00111684"/>
    <w:rsid w:val="00111D76"/>
    <w:rsid w:val="001122CA"/>
    <w:rsid w:val="00112DB5"/>
    <w:rsid w:val="001138B7"/>
    <w:rsid w:val="0011520D"/>
    <w:rsid w:val="00115533"/>
    <w:rsid w:val="00115643"/>
    <w:rsid w:val="00115819"/>
    <w:rsid w:val="00115C56"/>
    <w:rsid w:val="001166E1"/>
    <w:rsid w:val="00116B59"/>
    <w:rsid w:val="0012016E"/>
    <w:rsid w:val="00121507"/>
    <w:rsid w:val="001218DD"/>
    <w:rsid w:val="0012240E"/>
    <w:rsid w:val="00124985"/>
    <w:rsid w:val="00124A1C"/>
    <w:rsid w:val="00125667"/>
    <w:rsid w:val="0012580D"/>
    <w:rsid w:val="0012608A"/>
    <w:rsid w:val="001260CF"/>
    <w:rsid w:val="00127699"/>
    <w:rsid w:val="00130213"/>
    <w:rsid w:val="001321C3"/>
    <w:rsid w:val="00132967"/>
    <w:rsid w:val="00132E28"/>
    <w:rsid w:val="0013386D"/>
    <w:rsid w:val="00133B42"/>
    <w:rsid w:val="00133B76"/>
    <w:rsid w:val="0013532F"/>
    <w:rsid w:val="00135BD2"/>
    <w:rsid w:val="00135C64"/>
    <w:rsid w:val="00140A9F"/>
    <w:rsid w:val="0014133D"/>
    <w:rsid w:val="00141C01"/>
    <w:rsid w:val="0014225C"/>
    <w:rsid w:val="00142EDC"/>
    <w:rsid w:val="001430E4"/>
    <w:rsid w:val="00143317"/>
    <w:rsid w:val="0014520E"/>
    <w:rsid w:val="001456B2"/>
    <w:rsid w:val="00145C34"/>
    <w:rsid w:val="00147333"/>
    <w:rsid w:val="00150FA6"/>
    <w:rsid w:val="00151C44"/>
    <w:rsid w:val="00151E65"/>
    <w:rsid w:val="001522E2"/>
    <w:rsid w:val="00153893"/>
    <w:rsid w:val="00153F93"/>
    <w:rsid w:val="0015522F"/>
    <w:rsid w:val="00156BBA"/>
    <w:rsid w:val="00161DAA"/>
    <w:rsid w:val="0016512C"/>
    <w:rsid w:val="0016513C"/>
    <w:rsid w:val="00165B86"/>
    <w:rsid w:val="001666A2"/>
    <w:rsid w:val="0016739C"/>
    <w:rsid w:val="001675A0"/>
    <w:rsid w:val="001677B7"/>
    <w:rsid w:val="00167888"/>
    <w:rsid w:val="00167F19"/>
    <w:rsid w:val="00167F1C"/>
    <w:rsid w:val="0017128C"/>
    <w:rsid w:val="001731CF"/>
    <w:rsid w:val="00173484"/>
    <w:rsid w:val="00173C2E"/>
    <w:rsid w:val="00174D7F"/>
    <w:rsid w:val="00175791"/>
    <w:rsid w:val="001758B8"/>
    <w:rsid w:val="00175993"/>
    <w:rsid w:val="00175C11"/>
    <w:rsid w:val="00175DEE"/>
    <w:rsid w:val="00175E5E"/>
    <w:rsid w:val="00177E62"/>
    <w:rsid w:val="00180BD0"/>
    <w:rsid w:val="00182A92"/>
    <w:rsid w:val="00182AA9"/>
    <w:rsid w:val="00183185"/>
    <w:rsid w:val="00183346"/>
    <w:rsid w:val="0018465B"/>
    <w:rsid w:val="001846AC"/>
    <w:rsid w:val="001847F7"/>
    <w:rsid w:val="00184F57"/>
    <w:rsid w:val="001879F5"/>
    <w:rsid w:val="00191796"/>
    <w:rsid w:val="00191CD4"/>
    <w:rsid w:val="001927D7"/>
    <w:rsid w:val="00192E21"/>
    <w:rsid w:val="00192F49"/>
    <w:rsid w:val="00193798"/>
    <w:rsid w:val="00195371"/>
    <w:rsid w:val="001955AF"/>
    <w:rsid w:val="00195969"/>
    <w:rsid w:val="00195A30"/>
    <w:rsid w:val="001962B4"/>
    <w:rsid w:val="0019685C"/>
    <w:rsid w:val="00196D0E"/>
    <w:rsid w:val="001972E8"/>
    <w:rsid w:val="00197909"/>
    <w:rsid w:val="001A037B"/>
    <w:rsid w:val="001A2167"/>
    <w:rsid w:val="001A2429"/>
    <w:rsid w:val="001A2595"/>
    <w:rsid w:val="001A27C7"/>
    <w:rsid w:val="001A4183"/>
    <w:rsid w:val="001A4670"/>
    <w:rsid w:val="001A4708"/>
    <w:rsid w:val="001A4C6F"/>
    <w:rsid w:val="001A4CCF"/>
    <w:rsid w:val="001A5612"/>
    <w:rsid w:val="001A58AA"/>
    <w:rsid w:val="001A5C5F"/>
    <w:rsid w:val="001A69A0"/>
    <w:rsid w:val="001A6C32"/>
    <w:rsid w:val="001A7124"/>
    <w:rsid w:val="001A7C5F"/>
    <w:rsid w:val="001B0444"/>
    <w:rsid w:val="001B1AD7"/>
    <w:rsid w:val="001B1B7E"/>
    <w:rsid w:val="001B1F40"/>
    <w:rsid w:val="001B26BD"/>
    <w:rsid w:val="001B2A14"/>
    <w:rsid w:val="001B2AF4"/>
    <w:rsid w:val="001B322D"/>
    <w:rsid w:val="001B3445"/>
    <w:rsid w:val="001B47CF"/>
    <w:rsid w:val="001B533B"/>
    <w:rsid w:val="001B61D8"/>
    <w:rsid w:val="001B6D08"/>
    <w:rsid w:val="001B6E13"/>
    <w:rsid w:val="001B7449"/>
    <w:rsid w:val="001C10EA"/>
    <w:rsid w:val="001C1588"/>
    <w:rsid w:val="001C185E"/>
    <w:rsid w:val="001C2130"/>
    <w:rsid w:val="001C24BA"/>
    <w:rsid w:val="001C35C0"/>
    <w:rsid w:val="001C3704"/>
    <w:rsid w:val="001C4C41"/>
    <w:rsid w:val="001C56D8"/>
    <w:rsid w:val="001C6DF3"/>
    <w:rsid w:val="001C79E0"/>
    <w:rsid w:val="001C7DEE"/>
    <w:rsid w:val="001D06D1"/>
    <w:rsid w:val="001D111A"/>
    <w:rsid w:val="001D16B2"/>
    <w:rsid w:val="001D1E4A"/>
    <w:rsid w:val="001D1FE7"/>
    <w:rsid w:val="001D22E3"/>
    <w:rsid w:val="001D2406"/>
    <w:rsid w:val="001D33A5"/>
    <w:rsid w:val="001D3D8B"/>
    <w:rsid w:val="001D3E63"/>
    <w:rsid w:val="001D4474"/>
    <w:rsid w:val="001D5AD6"/>
    <w:rsid w:val="001D7595"/>
    <w:rsid w:val="001D7668"/>
    <w:rsid w:val="001D777D"/>
    <w:rsid w:val="001E12C7"/>
    <w:rsid w:val="001E2490"/>
    <w:rsid w:val="001E2525"/>
    <w:rsid w:val="001E2709"/>
    <w:rsid w:val="001E318A"/>
    <w:rsid w:val="001E510E"/>
    <w:rsid w:val="001E5DCB"/>
    <w:rsid w:val="001E60BA"/>
    <w:rsid w:val="001E65D2"/>
    <w:rsid w:val="001E70CC"/>
    <w:rsid w:val="001E78D3"/>
    <w:rsid w:val="001F188B"/>
    <w:rsid w:val="001F2A29"/>
    <w:rsid w:val="001F33B2"/>
    <w:rsid w:val="001F376B"/>
    <w:rsid w:val="001F3DC4"/>
    <w:rsid w:val="001F52CE"/>
    <w:rsid w:val="001F6166"/>
    <w:rsid w:val="001F67A9"/>
    <w:rsid w:val="001F70A2"/>
    <w:rsid w:val="001F7B76"/>
    <w:rsid w:val="00200AFB"/>
    <w:rsid w:val="00201418"/>
    <w:rsid w:val="00201BDC"/>
    <w:rsid w:val="0020276E"/>
    <w:rsid w:val="00203BD3"/>
    <w:rsid w:val="00204834"/>
    <w:rsid w:val="00204AF5"/>
    <w:rsid w:val="00204C51"/>
    <w:rsid w:val="00204D82"/>
    <w:rsid w:val="002059BE"/>
    <w:rsid w:val="00205D6B"/>
    <w:rsid w:val="00205EED"/>
    <w:rsid w:val="00207479"/>
    <w:rsid w:val="002075D0"/>
    <w:rsid w:val="002078B7"/>
    <w:rsid w:val="00210104"/>
    <w:rsid w:val="00210A8A"/>
    <w:rsid w:val="00210AA4"/>
    <w:rsid w:val="002133D0"/>
    <w:rsid w:val="00213935"/>
    <w:rsid w:val="0021396F"/>
    <w:rsid w:val="002143EE"/>
    <w:rsid w:val="002145A5"/>
    <w:rsid w:val="002147BC"/>
    <w:rsid w:val="00215795"/>
    <w:rsid w:val="00216B29"/>
    <w:rsid w:val="00217919"/>
    <w:rsid w:val="00217AB8"/>
    <w:rsid w:val="00220A4C"/>
    <w:rsid w:val="00221F37"/>
    <w:rsid w:val="00222918"/>
    <w:rsid w:val="002235E9"/>
    <w:rsid w:val="002243E3"/>
    <w:rsid w:val="00224952"/>
    <w:rsid w:val="00225589"/>
    <w:rsid w:val="0022588F"/>
    <w:rsid w:val="00225C51"/>
    <w:rsid w:val="00226B1E"/>
    <w:rsid w:val="00227F55"/>
    <w:rsid w:val="00231D0C"/>
    <w:rsid w:val="00233BC2"/>
    <w:rsid w:val="002346B2"/>
    <w:rsid w:val="00235FF7"/>
    <w:rsid w:val="00236A11"/>
    <w:rsid w:val="00236E65"/>
    <w:rsid w:val="00237237"/>
    <w:rsid w:val="00242048"/>
    <w:rsid w:val="0024302B"/>
    <w:rsid w:val="002436D5"/>
    <w:rsid w:val="00244CCA"/>
    <w:rsid w:val="00245A18"/>
    <w:rsid w:val="00247054"/>
    <w:rsid w:val="00247500"/>
    <w:rsid w:val="00247A41"/>
    <w:rsid w:val="002503B1"/>
    <w:rsid w:val="002504B3"/>
    <w:rsid w:val="002516F4"/>
    <w:rsid w:val="00252080"/>
    <w:rsid w:val="0025247F"/>
    <w:rsid w:val="0025304B"/>
    <w:rsid w:val="00253524"/>
    <w:rsid w:val="002538D5"/>
    <w:rsid w:val="00253CA3"/>
    <w:rsid w:val="002555EC"/>
    <w:rsid w:val="00255FD6"/>
    <w:rsid w:val="002571FA"/>
    <w:rsid w:val="00260B68"/>
    <w:rsid w:val="00260D94"/>
    <w:rsid w:val="00260DCE"/>
    <w:rsid w:val="002624DB"/>
    <w:rsid w:val="00262D0A"/>
    <w:rsid w:val="00262FC1"/>
    <w:rsid w:val="0026315E"/>
    <w:rsid w:val="002633E2"/>
    <w:rsid w:val="002643AF"/>
    <w:rsid w:val="00264707"/>
    <w:rsid w:val="00264817"/>
    <w:rsid w:val="002653E4"/>
    <w:rsid w:val="002669C8"/>
    <w:rsid w:val="002675DA"/>
    <w:rsid w:val="0027016D"/>
    <w:rsid w:val="00270ED7"/>
    <w:rsid w:val="00270FFE"/>
    <w:rsid w:val="00271741"/>
    <w:rsid w:val="00271BE7"/>
    <w:rsid w:val="00272887"/>
    <w:rsid w:val="00273345"/>
    <w:rsid w:val="0027416B"/>
    <w:rsid w:val="0028078C"/>
    <w:rsid w:val="002808BE"/>
    <w:rsid w:val="00280BA1"/>
    <w:rsid w:val="002819E2"/>
    <w:rsid w:val="00282411"/>
    <w:rsid w:val="00282428"/>
    <w:rsid w:val="00283C7D"/>
    <w:rsid w:val="002842CE"/>
    <w:rsid w:val="0028578E"/>
    <w:rsid w:val="00286231"/>
    <w:rsid w:val="00286A15"/>
    <w:rsid w:val="00286B5C"/>
    <w:rsid w:val="002873C3"/>
    <w:rsid w:val="00287A51"/>
    <w:rsid w:val="00287AB7"/>
    <w:rsid w:val="0029039B"/>
    <w:rsid w:val="00291D4A"/>
    <w:rsid w:val="0029280F"/>
    <w:rsid w:val="00292A32"/>
    <w:rsid w:val="00292A58"/>
    <w:rsid w:val="00293046"/>
    <w:rsid w:val="002933F3"/>
    <w:rsid w:val="002951AC"/>
    <w:rsid w:val="00295603"/>
    <w:rsid w:val="0029561F"/>
    <w:rsid w:val="00295714"/>
    <w:rsid w:val="00296098"/>
    <w:rsid w:val="00296FFF"/>
    <w:rsid w:val="002974F1"/>
    <w:rsid w:val="002976BB"/>
    <w:rsid w:val="00297F07"/>
    <w:rsid w:val="00297F77"/>
    <w:rsid w:val="002A1F8D"/>
    <w:rsid w:val="002A2CCC"/>
    <w:rsid w:val="002A35DE"/>
    <w:rsid w:val="002A3652"/>
    <w:rsid w:val="002A3E74"/>
    <w:rsid w:val="002A615A"/>
    <w:rsid w:val="002B0960"/>
    <w:rsid w:val="002B2E32"/>
    <w:rsid w:val="002B3281"/>
    <w:rsid w:val="002B32F3"/>
    <w:rsid w:val="002B3A38"/>
    <w:rsid w:val="002B44F7"/>
    <w:rsid w:val="002B4845"/>
    <w:rsid w:val="002B4949"/>
    <w:rsid w:val="002B59DC"/>
    <w:rsid w:val="002B6797"/>
    <w:rsid w:val="002B6899"/>
    <w:rsid w:val="002B6E31"/>
    <w:rsid w:val="002B7271"/>
    <w:rsid w:val="002B758B"/>
    <w:rsid w:val="002B7AE9"/>
    <w:rsid w:val="002C025C"/>
    <w:rsid w:val="002C03DF"/>
    <w:rsid w:val="002C12FB"/>
    <w:rsid w:val="002C15E5"/>
    <w:rsid w:val="002C1D98"/>
    <w:rsid w:val="002C48AC"/>
    <w:rsid w:val="002C4933"/>
    <w:rsid w:val="002C4F10"/>
    <w:rsid w:val="002C7501"/>
    <w:rsid w:val="002C7641"/>
    <w:rsid w:val="002D0132"/>
    <w:rsid w:val="002D19E2"/>
    <w:rsid w:val="002D1E3F"/>
    <w:rsid w:val="002D22D9"/>
    <w:rsid w:val="002D2CFD"/>
    <w:rsid w:val="002D4156"/>
    <w:rsid w:val="002D549F"/>
    <w:rsid w:val="002D596D"/>
    <w:rsid w:val="002D6D93"/>
    <w:rsid w:val="002D7621"/>
    <w:rsid w:val="002D78F5"/>
    <w:rsid w:val="002D7998"/>
    <w:rsid w:val="002E0544"/>
    <w:rsid w:val="002E0D89"/>
    <w:rsid w:val="002E1031"/>
    <w:rsid w:val="002E24C2"/>
    <w:rsid w:val="002E3408"/>
    <w:rsid w:val="002E3762"/>
    <w:rsid w:val="002E3F78"/>
    <w:rsid w:val="002E44CC"/>
    <w:rsid w:val="002E4795"/>
    <w:rsid w:val="002E4AFC"/>
    <w:rsid w:val="002E6143"/>
    <w:rsid w:val="002E61C8"/>
    <w:rsid w:val="002E6B75"/>
    <w:rsid w:val="002E77C7"/>
    <w:rsid w:val="002E7B41"/>
    <w:rsid w:val="002F043C"/>
    <w:rsid w:val="002F17FE"/>
    <w:rsid w:val="002F23E6"/>
    <w:rsid w:val="002F2D40"/>
    <w:rsid w:val="002F3F9E"/>
    <w:rsid w:val="002F56F2"/>
    <w:rsid w:val="002F5990"/>
    <w:rsid w:val="002F639B"/>
    <w:rsid w:val="002F674E"/>
    <w:rsid w:val="002F689E"/>
    <w:rsid w:val="002F69A0"/>
    <w:rsid w:val="002F6D22"/>
    <w:rsid w:val="0030062D"/>
    <w:rsid w:val="003009FE"/>
    <w:rsid w:val="003011C6"/>
    <w:rsid w:val="0030346F"/>
    <w:rsid w:val="0030352A"/>
    <w:rsid w:val="00303A66"/>
    <w:rsid w:val="003041F3"/>
    <w:rsid w:val="00304603"/>
    <w:rsid w:val="003047D7"/>
    <w:rsid w:val="00304FDE"/>
    <w:rsid w:val="00305923"/>
    <w:rsid w:val="00305DFC"/>
    <w:rsid w:val="0030690B"/>
    <w:rsid w:val="00306F63"/>
    <w:rsid w:val="003072C3"/>
    <w:rsid w:val="00307A95"/>
    <w:rsid w:val="003103CB"/>
    <w:rsid w:val="00310736"/>
    <w:rsid w:val="00310A27"/>
    <w:rsid w:val="00310C92"/>
    <w:rsid w:val="003112E4"/>
    <w:rsid w:val="0031160E"/>
    <w:rsid w:val="003122F6"/>
    <w:rsid w:val="00312A1F"/>
    <w:rsid w:val="003136AF"/>
    <w:rsid w:val="00314259"/>
    <w:rsid w:val="003153A3"/>
    <w:rsid w:val="00316CE5"/>
    <w:rsid w:val="00316E68"/>
    <w:rsid w:val="003172C9"/>
    <w:rsid w:val="00317F94"/>
    <w:rsid w:val="0032023C"/>
    <w:rsid w:val="00320BD9"/>
    <w:rsid w:val="00321F0E"/>
    <w:rsid w:val="003220C1"/>
    <w:rsid w:val="003221A0"/>
    <w:rsid w:val="003222D7"/>
    <w:rsid w:val="00323B48"/>
    <w:rsid w:val="00324083"/>
    <w:rsid w:val="003245B6"/>
    <w:rsid w:val="00324B3B"/>
    <w:rsid w:val="003253A9"/>
    <w:rsid w:val="00326224"/>
    <w:rsid w:val="00326BE1"/>
    <w:rsid w:val="00327C76"/>
    <w:rsid w:val="00330B20"/>
    <w:rsid w:val="00330D16"/>
    <w:rsid w:val="0033199F"/>
    <w:rsid w:val="00332373"/>
    <w:rsid w:val="00332495"/>
    <w:rsid w:val="0033294A"/>
    <w:rsid w:val="003339B3"/>
    <w:rsid w:val="00333A0B"/>
    <w:rsid w:val="00334568"/>
    <w:rsid w:val="00335594"/>
    <w:rsid w:val="00336873"/>
    <w:rsid w:val="003373EB"/>
    <w:rsid w:val="0033760E"/>
    <w:rsid w:val="003405BE"/>
    <w:rsid w:val="00340C42"/>
    <w:rsid w:val="00340DD8"/>
    <w:rsid w:val="00343A5F"/>
    <w:rsid w:val="00343B98"/>
    <w:rsid w:val="00344301"/>
    <w:rsid w:val="003446F0"/>
    <w:rsid w:val="0034506C"/>
    <w:rsid w:val="00345204"/>
    <w:rsid w:val="00345267"/>
    <w:rsid w:val="00346A7C"/>
    <w:rsid w:val="00347A5E"/>
    <w:rsid w:val="00347B67"/>
    <w:rsid w:val="00347C05"/>
    <w:rsid w:val="00347CD0"/>
    <w:rsid w:val="0035013F"/>
    <w:rsid w:val="00353774"/>
    <w:rsid w:val="003542F6"/>
    <w:rsid w:val="0035449E"/>
    <w:rsid w:val="003550FA"/>
    <w:rsid w:val="003556B2"/>
    <w:rsid w:val="003565F3"/>
    <w:rsid w:val="003568BA"/>
    <w:rsid w:val="00356BC5"/>
    <w:rsid w:val="0035757F"/>
    <w:rsid w:val="00357E3A"/>
    <w:rsid w:val="003607EC"/>
    <w:rsid w:val="00361639"/>
    <w:rsid w:val="00361A80"/>
    <w:rsid w:val="003621BC"/>
    <w:rsid w:val="0036261B"/>
    <w:rsid w:val="0036406F"/>
    <w:rsid w:val="0036579F"/>
    <w:rsid w:val="003665CE"/>
    <w:rsid w:val="00366936"/>
    <w:rsid w:val="00367BC1"/>
    <w:rsid w:val="00367C8B"/>
    <w:rsid w:val="00367E97"/>
    <w:rsid w:val="003740CC"/>
    <w:rsid w:val="0037430C"/>
    <w:rsid w:val="00374AFA"/>
    <w:rsid w:val="003751FD"/>
    <w:rsid w:val="0037796A"/>
    <w:rsid w:val="00377DD7"/>
    <w:rsid w:val="00377F0C"/>
    <w:rsid w:val="0038001C"/>
    <w:rsid w:val="00380585"/>
    <w:rsid w:val="003806D9"/>
    <w:rsid w:val="00380D5D"/>
    <w:rsid w:val="00380E75"/>
    <w:rsid w:val="00381089"/>
    <w:rsid w:val="003812E9"/>
    <w:rsid w:val="0038157D"/>
    <w:rsid w:val="003821A3"/>
    <w:rsid w:val="00382A35"/>
    <w:rsid w:val="00382C69"/>
    <w:rsid w:val="00383701"/>
    <w:rsid w:val="00383805"/>
    <w:rsid w:val="00383CD2"/>
    <w:rsid w:val="00383D7D"/>
    <w:rsid w:val="00384106"/>
    <w:rsid w:val="003846F3"/>
    <w:rsid w:val="0038485D"/>
    <w:rsid w:val="00384D64"/>
    <w:rsid w:val="003859C4"/>
    <w:rsid w:val="00385D8B"/>
    <w:rsid w:val="00385F07"/>
    <w:rsid w:val="003862FA"/>
    <w:rsid w:val="003869E4"/>
    <w:rsid w:val="00386EE2"/>
    <w:rsid w:val="003870FD"/>
    <w:rsid w:val="003876A7"/>
    <w:rsid w:val="00387C7D"/>
    <w:rsid w:val="00387F10"/>
    <w:rsid w:val="003914D3"/>
    <w:rsid w:val="00391B3F"/>
    <w:rsid w:val="00391E2A"/>
    <w:rsid w:val="00392695"/>
    <w:rsid w:val="00393A8A"/>
    <w:rsid w:val="00394022"/>
    <w:rsid w:val="0039409C"/>
    <w:rsid w:val="003947D6"/>
    <w:rsid w:val="00394EC7"/>
    <w:rsid w:val="00395121"/>
    <w:rsid w:val="00396CF6"/>
    <w:rsid w:val="0039754C"/>
    <w:rsid w:val="003A0D12"/>
    <w:rsid w:val="003A1235"/>
    <w:rsid w:val="003A29B8"/>
    <w:rsid w:val="003A2A62"/>
    <w:rsid w:val="003A2FCD"/>
    <w:rsid w:val="003A38ED"/>
    <w:rsid w:val="003A47ED"/>
    <w:rsid w:val="003A5000"/>
    <w:rsid w:val="003A51BE"/>
    <w:rsid w:val="003A55C9"/>
    <w:rsid w:val="003A58A5"/>
    <w:rsid w:val="003A6317"/>
    <w:rsid w:val="003A6A73"/>
    <w:rsid w:val="003A6AA1"/>
    <w:rsid w:val="003A730A"/>
    <w:rsid w:val="003A78B7"/>
    <w:rsid w:val="003B0261"/>
    <w:rsid w:val="003B0AE8"/>
    <w:rsid w:val="003B0AFC"/>
    <w:rsid w:val="003B0BC4"/>
    <w:rsid w:val="003B0DFF"/>
    <w:rsid w:val="003B0F53"/>
    <w:rsid w:val="003B15B1"/>
    <w:rsid w:val="003B28F9"/>
    <w:rsid w:val="003B39D0"/>
    <w:rsid w:val="003B4141"/>
    <w:rsid w:val="003B499B"/>
    <w:rsid w:val="003B686A"/>
    <w:rsid w:val="003B735C"/>
    <w:rsid w:val="003B753C"/>
    <w:rsid w:val="003B79D1"/>
    <w:rsid w:val="003C034C"/>
    <w:rsid w:val="003C05F3"/>
    <w:rsid w:val="003C07FF"/>
    <w:rsid w:val="003C11FF"/>
    <w:rsid w:val="003C1C2E"/>
    <w:rsid w:val="003C2C9E"/>
    <w:rsid w:val="003C512C"/>
    <w:rsid w:val="003C53C1"/>
    <w:rsid w:val="003C5AC5"/>
    <w:rsid w:val="003C6555"/>
    <w:rsid w:val="003C72CF"/>
    <w:rsid w:val="003D0093"/>
    <w:rsid w:val="003D027A"/>
    <w:rsid w:val="003D0852"/>
    <w:rsid w:val="003D1EDB"/>
    <w:rsid w:val="003D3D08"/>
    <w:rsid w:val="003D4F2A"/>
    <w:rsid w:val="003D5415"/>
    <w:rsid w:val="003D57FC"/>
    <w:rsid w:val="003D5D33"/>
    <w:rsid w:val="003D7458"/>
    <w:rsid w:val="003E27B6"/>
    <w:rsid w:val="003E367B"/>
    <w:rsid w:val="003E585D"/>
    <w:rsid w:val="003E5919"/>
    <w:rsid w:val="003E6155"/>
    <w:rsid w:val="003E6881"/>
    <w:rsid w:val="003E6B34"/>
    <w:rsid w:val="003E6CCA"/>
    <w:rsid w:val="003E7BFB"/>
    <w:rsid w:val="003E7C06"/>
    <w:rsid w:val="003F0A95"/>
    <w:rsid w:val="003F1743"/>
    <w:rsid w:val="003F1A6E"/>
    <w:rsid w:val="003F1C49"/>
    <w:rsid w:val="003F1D7A"/>
    <w:rsid w:val="003F271F"/>
    <w:rsid w:val="003F29AC"/>
    <w:rsid w:val="003F2C4D"/>
    <w:rsid w:val="003F309F"/>
    <w:rsid w:val="003F31B5"/>
    <w:rsid w:val="003F33D3"/>
    <w:rsid w:val="003F3ACE"/>
    <w:rsid w:val="003F3E50"/>
    <w:rsid w:val="003F4AD8"/>
    <w:rsid w:val="003F4FFB"/>
    <w:rsid w:val="003F63E9"/>
    <w:rsid w:val="003F6682"/>
    <w:rsid w:val="003F6AA6"/>
    <w:rsid w:val="003F7EEA"/>
    <w:rsid w:val="004001F9"/>
    <w:rsid w:val="0040195E"/>
    <w:rsid w:val="00402793"/>
    <w:rsid w:val="00403584"/>
    <w:rsid w:val="00406321"/>
    <w:rsid w:val="00407939"/>
    <w:rsid w:val="00410040"/>
    <w:rsid w:val="004113A6"/>
    <w:rsid w:val="00411934"/>
    <w:rsid w:val="004122BB"/>
    <w:rsid w:val="00412956"/>
    <w:rsid w:val="00412BCC"/>
    <w:rsid w:val="00412C72"/>
    <w:rsid w:val="004132AF"/>
    <w:rsid w:val="00413812"/>
    <w:rsid w:val="004139D1"/>
    <w:rsid w:val="0041445B"/>
    <w:rsid w:val="00414C6F"/>
    <w:rsid w:val="00415529"/>
    <w:rsid w:val="0041588D"/>
    <w:rsid w:val="004159BB"/>
    <w:rsid w:val="00415AC0"/>
    <w:rsid w:val="00415B12"/>
    <w:rsid w:val="0041727C"/>
    <w:rsid w:val="00417719"/>
    <w:rsid w:val="004179EE"/>
    <w:rsid w:val="004225C7"/>
    <w:rsid w:val="00422F6B"/>
    <w:rsid w:val="00423271"/>
    <w:rsid w:val="00423F81"/>
    <w:rsid w:val="00424B42"/>
    <w:rsid w:val="00424D15"/>
    <w:rsid w:val="004251FD"/>
    <w:rsid w:val="00425587"/>
    <w:rsid w:val="00425E28"/>
    <w:rsid w:val="00426872"/>
    <w:rsid w:val="00426A08"/>
    <w:rsid w:val="00427D07"/>
    <w:rsid w:val="004306DD"/>
    <w:rsid w:val="00430A3C"/>
    <w:rsid w:val="00431683"/>
    <w:rsid w:val="004317EC"/>
    <w:rsid w:val="00432E1A"/>
    <w:rsid w:val="0043363F"/>
    <w:rsid w:val="0043442A"/>
    <w:rsid w:val="004346FE"/>
    <w:rsid w:val="00434A50"/>
    <w:rsid w:val="004352D0"/>
    <w:rsid w:val="00435C6D"/>
    <w:rsid w:val="00435DFD"/>
    <w:rsid w:val="00435F01"/>
    <w:rsid w:val="004377F0"/>
    <w:rsid w:val="00441038"/>
    <w:rsid w:val="00443F58"/>
    <w:rsid w:val="00443FD0"/>
    <w:rsid w:val="00445091"/>
    <w:rsid w:val="0044558C"/>
    <w:rsid w:val="00446236"/>
    <w:rsid w:val="00446C6D"/>
    <w:rsid w:val="004501D7"/>
    <w:rsid w:val="0045075F"/>
    <w:rsid w:val="00450C8B"/>
    <w:rsid w:val="0045165A"/>
    <w:rsid w:val="00452214"/>
    <w:rsid w:val="00452FB9"/>
    <w:rsid w:val="00453B0E"/>
    <w:rsid w:val="00454AD8"/>
    <w:rsid w:val="00454C7C"/>
    <w:rsid w:val="00454C92"/>
    <w:rsid w:val="00457A34"/>
    <w:rsid w:val="00460A77"/>
    <w:rsid w:val="00461853"/>
    <w:rsid w:val="00461ADF"/>
    <w:rsid w:val="00462922"/>
    <w:rsid w:val="00462987"/>
    <w:rsid w:val="00462D6D"/>
    <w:rsid w:val="00462F85"/>
    <w:rsid w:val="00463263"/>
    <w:rsid w:val="004635CA"/>
    <w:rsid w:val="004636F3"/>
    <w:rsid w:val="00463B05"/>
    <w:rsid w:val="00463D2D"/>
    <w:rsid w:val="0046465E"/>
    <w:rsid w:val="00464ADE"/>
    <w:rsid w:val="00465CDD"/>
    <w:rsid w:val="00466173"/>
    <w:rsid w:val="0047164A"/>
    <w:rsid w:val="0047211A"/>
    <w:rsid w:val="004723DC"/>
    <w:rsid w:val="00472D39"/>
    <w:rsid w:val="00473F84"/>
    <w:rsid w:val="00474598"/>
    <w:rsid w:val="00474CAA"/>
    <w:rsid w:val="0047580B"/>
    <w:rsid w:val="0047661A"/>
    <w:rsid w:val="004766AE"/>
    <w:rsid w:val="00477168"/>
    <w:rsid w:val="00477F4E"/>
    <w:rsid w:val="00480CF9"/>
    <w:rsid w:val="0048231C"/>
    <w:rsid w:val="00482C71"/>
    <w:rsid w:val="00483ED4"/>
    <w:rsid w:val="00485DA7"/>
    <w:rsid w:val="004864F4"/>
    <w:rsid w:val="0048663B"/>
    <w:rsid w:val="004866C2"/>
    <w:rsid w:val="00486758"/>
    <w:rsid w:val="00487707"/>
    <w:rsid w:val="00487B43"/>
    <w:rsid w:val="00487C68"/>
    <w:rsid w:val="0049093C"/>
    <w:rsid w:val="00490940"/>
    <w:rsid w:val="0049278F"/>
    <w:rsid w:val="00492A81"/>
    <w:rsid w:val="00492E12"/>
    <w:rsid w:val="004936DD"/>
    <w:rsid w:val="00494CA0"/>
    <w:rsid w:val="004971F3"/>
    <w:rsid w:val="00497F94"/>
    <w:rsid w:val="004A0779"/>
    <w:rsid w:val="004A1DEB"/>
    <w:rsid w:val="004A1EE5"/>
    <w:rsid w:val="004A2714"/>
    <w:rsid w:val="004A3833"/>
    <w:rsid w:val="004A39C2"/>
    <w:rsid w:val="004A3BC3"/>
    <w:rsid w:val="004A4E0C"/>
    <w:rsid w:val="004A5426"/>
    <w:rsid w:val="004A63EB"/>
    <w:rsid w:val="004A73AB"/>
    <w:rsid w:val="004B03CC"/>
    <w:rsid w:val="004B13FC"/>
    <w:rsid w:val="004B14FE"/>
    <w:rsid w:val="004B1D51"/>
    <w:rsid w:val="004B21E4"/>
    <w:rsid w:val="004B2B0B"/>
    <w:rsid w:val="004B2F5C"/>
    <w:rsid w:val="004B368D"/>
    <w:rsid w:val="004B3DAA"/>
    <w:rsid w:val="004B4F55"/>
    <w:rsid w:val="004B510F"/>
    <w:rsid w:val="004B7213"/>
    <w:rsid w:val="004B73CD"/>
    <w:rsid w:val="004B787B"/>
    <w:rsid w:val="004C09E7"/>
    <w:rsid w:val="004C205B"/>
    <w:rsid w:val="004C2500"/>
    <w:rsid w:val="004C2F1B"/>
    <w:rsid w:val="004C433D"/>
    <w:rsid w:val="004C4792"/>
    <w:rsid w:val="004C49A2"/>
    <w:rsid w:val="004C4D79"/>
    <w:rsid w:val="004C66F5"/>
    <w:rsid w:val="004C71FA"/>
    <w:rsid w:val="004D09D2"/>
    <w:rsid w:val="004D2A2A"/>
    <w:rsid w:val="004D3475"/>
    <w:rsid w:val="004D3AFA"/>
    <w:rsid w:val="004D4110"/>
    <w:rsid w:val="004D44DE"/>
    <w:rsid w:val="004D5490"/>
    <w:rsid w:val="004D54E7"/>
    <w:rsid w:val="004D5517"/>
    <w:rsid w:val="004D7158"/>
    <w:rsid w:val="004D7A71"/>
    <w:rsid w:val="004D7AF1"/>
    <w:rsid w:val="004E07FA"/>
    <w:rsid w:val="004E1001"/>
    <w:rsid w:val="004E105E"/>
    <w:rsid w:val="004E154B"/>
    <w:rsid w:val="004E1AEA"/>
    <w:rsid w:val="004E1FC1"/>
    <w:rsid w:val="004E21C6"/>
    <w:rsid w:val="004E21E9"/>
    <w:rsid w:val="004E457C"/>
    <w:rsid w:val="004E4A80"/>
    <w:rsid w:val="004E623B"/>
    <w:rsid w:val="004E70D6"/>
    <w:rsid w:val="004E7190"/>
    <w:rsid w:val="004E736B"/>
    <w:rsid w:val="004F0F6A"/>
    <w:rsid w:val="004F10CD"/>
    <w:rsid w:val="004F2A6C"/>
    <w:rsid w:val="004F3BE9"/>
    <w:rsid w:val="004F4B7C"/>
    <w:rsid w:val="004F55CF"/>
    <w:rsid w:val="004F5616"/>
    <w:rsid w:val="004F66AB"/>
    <w:rsid w:val="004F6D98"/>
    <w:rsid w:val="004F6E2E"/>
    <w:rsid w:val="004F7FA3"/>
    <w:rsid w:val="0050060A"/>
    <w:rsid w:val="00501346"/>
    <w:rsid w:val="00501512"/>
    <w:rsid w:val="005018BA"/>
    <w:rsid w:val="005019AE"/>
    <w:rsid w:val="00502D9C"/>
    <w:rsid w:val="005043C8"/>
    <w:rsid w:val="00504CD4"/>
    <w:rsid w:val="0050503F"/>
    <w:rsid w:val="005050D5"/>
    <w:rsid w:val="00506DD5"/>
    <w:rsid w:val="005071C5"/>
    <w:rsid w:val="0050743D"/>
    <w:rsid w:val="00507576"/>
    <w:rsid w:val="005105E8"/>
    <w:rsid w:val="00510D04"/>
    <w:rsid w:val="00511742"/>
    <w:rsid w:val="005121CB"/>
    <w:rsid w:val="00513215"/>
    <w:rsid w:val="00513A4A"/>
    <w:rsid w:val="00516DD0"/>
    <w:rsid w:val="005176C4"/>
    <w:rsid w:val="00517D07"/>
    <w:rsid w:val="005217BC"/>
    <w:rsid w:val="00522849"/>
    <w:rsid w:val="00522BFF"/>
    <w:rsid w:val="005231DA"/>
    <w:rsid w:val="00523299"/>
    <w:rsid w:val="00523814"/>
    <w:rsid w:val="00524992"/>
    <w:rsid w:val="005259F8"/>
    <w:rsid w:val="00525BE9"/>
    <w:rsid w:val="00525F1C"/>
    <w:rsid w:val="00525F8F"/>
    <w:rsid w:val="00527C18"/>
    <w:rsid w:val="005303D6"/>
    <w:rsid w:val="0053067D"/>
    <w:rsid w:val="005308B5"/>
    <w:rsid w:val="00532544"/>
    <w:rsid w:val="0053261F"/>
    <w:rsid w:val="00532FD8"/>
    <w:rsid w:val="005332DA"/>
    <w:rsid w:val="005335DC"/>
    <w:rsid w:val="00533A48"/>
    <w:rsid w:val="00534576"/>
    <w:rsid w:val="00534633"/>
    <w:rsid w:val="00536717"/>
    <w:rsid w:val="005367F6"/>
    <w:rsid w:val="00536F0A"/>
    <w:rsid w:val="00537161"/>
    <w:rsid w:val="0053758D"/>
    <w:rsid w:val="00540466"/>
    <w:rsid w:val="00540622"/>
    <w:rsid w:val="00540E5D"/>
    <w:rsid w:val="00542F58"/>
    <w:rsid w:val="00543F2F"/>
    <w:rsid w:val="00544219"/>
    <w:rsid w:val="005445EB"/>
    <w:rsid w:val="0054479B"/>
    <w:rsid w:val="00544DF1"/>
    <w:rsid w:val="0054565D"/>
    <w:rsid w:val="005456A5"/>
    <w:rsid w:val="0054740A"/>
    <w:rsid w:val="00547D4C"/>
    <w:rsid w:val="005509BC"/>
    <w:rsid w:val="005510B3"/>
    <w:rsid w:val="005520FE"/>
    <w:rsid w:val="00552C74"/>
    <w:rsid w:val="00553331"/>
    <w:rsid w:val="005538A6"/>
    <w:rsid w:val="00554D2B"/>
    <w:rsid w:val="00556BBF"/>
    <w:rsid w:val="00556F67"/>
    <w:rsid w:val="005578EF"/>
    <w:rsid w:val="00560243"/>
    <w:rsid w:val="005607B6"/>
    <w:rsid w:val="00560A33"/>
    <w:rsid w:val="00560F5D"/>
    <w:rsid w:val="00561050"/>
    <w:rsid w:val="00561135"/>
    <w:rsid w:val="0056316E"/>
    <w:rsid w:val="00563327"/>
    <w:rsid w:val="00563543"/>
    <w:rsid w:val="00564D23"/>
    <w:rsid w:val="00564D66"/>
    <w:rsid w:val="005653FB"/>
    <w:rsid w:val="0056650E"/>
    <w:rsid w:val="005701AA"/>
    <w:rsid w:val="005701CB"/>
    <w:rsid w:val="00570467"/>
    <w:rsid w:val="005708CA"/>
    <w:rsid w:val="00571053"/>
    <w:rsid w:val="005712A5"/>
    <w:rsid w:val="00571D94"/>
    <w:rsid w:val="005735A0"/>
    <w:rsid w:val="0057492C"/>
    <w:rsid w:val="00574C55"/>
    <w:rsid w:val="00575468"/>
    <w:rsid w:val="005767BC"/>
    <w:rsid w:val="00577904"/>
    <w:rsid w:val="00577A46"/>
    <w:rsid w:val="00577D11"/>
    <w:rsid w:val="005822B7"/>
    <w:rsid w:val="0058242C"/>
    <w:rsid w:val="0058301C"/>
    <w:rsid w:val="00583056"/>
    <w:rsid w:val="005830DC"/>
    <w:rsid w:val="0058328F"/>
    <w:rsid w:val="00584239"/>
    <w:rsid w:val="005849F0"/>
    <w:rsid w:val="00585EC0"/>
    <w:rsid w:val="005860D7"/>
    <w:rsid w:val="005860E1"/>
    <w:rsid w:val="00586ADE"/>
    <w:rsid w:val="00587363"/>
    <w:rsid w:val="0058760C"/>
    <w:rsid w:val="00591ECE"/>
    <w:rsid w:val="0059237A"/>
    <w:rsid w:val="00593BD8"/>
    <w:rsid w:val="00595253"/>
    <w:rsid w:val="00595D4B"/>
    <w:rsid w:val="005977FC"/>
    <w:rsid w:val="005978B7"/>
    <w:rsid w:val="00597B48"/>
    <w:rsid w:val="00597C3C"/>
    <w:rsid w:val="005A05AB"/>
    <w:rsid w:val="005A08F8"/>
    <w:rsid w:val="005A17D7"/>
    <w:rsid w:val="005A2CEE"/>
    <w:rsid w:val="005A3B56"/>
    <w:rsid w:val="005A47F4"/>
    <w:rsid w:val="005A6FC2"/>
    <w:rsid w:val="005A7801"/>
    <w:rsid w:val="005B0A76"/>
    <w:rsid w:val="005B14B6"/>
    <w:rsid w:val="005B206D"/>
    <w:rsid w:val="005B321D"/>
    <w:rsid w:val="005B715B"/>
    <w:rsid w:val="005B7D86"/>
    <w:rsid w:val="005C0167"/>
    <w:rsid w:val="005C1050"/>
    <w:rsid w:val="005C1C82"/>
    <w:rsid w:val="005C247B"/>
    <w:rsid w:val="005C302C"/>
    <w:rsid w:val="005C4C53"/>
    <w:rsid w:val="005C53F0"/>
    <w:rsid w:val="005C5C2D"/>
    <w:rsid w:val="005C627D"/>
    <w:rsid w:val="005C7950"/>
    <w:rsid w:val="005C7F7A"/>
    <w:rsid w:val="005D0BEC"/>
    <w:rsid w:val="005D18A0"/>
    <w:rsid w:val="005D1A55"/>
    <w:rsid w:val="005D1D67"/>
    <w:rsid w:val="005D2A07"/>
    <w:rsid w:val="005D3085"/>
    <w:rsid w:val="005D321F"/>
    <w:rsid w:val="005D326F"/>
    <w:rsid w:val="005D55A1"/>
    <w:rsid w:val="005D5A54"/>
    <w:rsid w:val="005D60A8"/>
    <w:rsid w:val="005D747E"/>
    <w:rsid w:val="005E094E"/>
    <w:rsid w:val="005E1568"/>
    <w:rsid w:val="005E2048"/>
    <w:rsid w:val="005E251E"/>
    <w:rsid w:val="005E2AFB"/>
    <w:rsid w:val="005E2BD0"/>
    <w:rsid w:val="005E4755"/>
    <w:rsid w:val="005E4BAC"/>
    <w:rsid w:val="005E5011"/>
    <w:rsid w:val="005E5059"/>
    <w:rsid w:val="005E5318"/>
    <w:rsid w:val="005E53DA"/>
    <w:rsid w:val="005E5AE6"/>
    <w:rsid w:val="005E5BBA"/>
    <w:rsid w:val="005E6497"/>
    <w:rsid w:val="005E6F27"/>
    <w:rsid w:val="005F0DF7"/>
    <w:rsid w:val="005F1C11"/>
    <w:rsid w:val="005F4164"/>
    <w:rsid w:val="005F4F12"/>
    <w:rsid w:val="005F6231"/>
    <w:rsid w:val="005F7928"/>
    <w:rsid w:val="00600134"/>
    <w:rsid w:val="00600176"/>
    <w:rsid w:val="0060230A"/>
    <w:rsid w:val="006027A9"/>
    <w:rsid w:val="00602D84"/>
    <w:rsid w:val="006037B3"/>
    <w:rsid w:val="00603DC5"/>
    <w:rsid w:val="006046E4"/>
    <w:rsid w:val="0060509D"/>
    <w:rsid w:val="00605637"/>
    <w:rsid w:val="006056DB"/>
    <w:rsid w:val="00605CE3"/>
    <w:rsid w:val="00606C49"/>
    <w:rsid w:val="006070E6"/>
    <w:rsid w:val="006071C4"/>
    <w:rsid w:val="00607C50"/>
    <w:rsid w:val="006103D8"/>
    <w:rsid w:val="00610FC5"/>
    <w:rsid w:val="006148DA"/>
    <w:rsid w:val="00614CF7"/>
    <w:rsid w:val="00614F3C"/>
    <w:rsid w:val="00615C29"/>
    <w:rsid w:val="00615C6D"/>
    <w:rsid w:val="00616209"/>
    <w:rsid w:val="006166B7"/>
    <w:rsid w:val="00616920"/>
    <w:rsid w:val="0061712B"/>
    <w:rsid w:val="0062042F"/>
    <w:rsid w:val="0062091E"/>
    <w:rsid w:val="006224BC"/>
    <w:rsid w:val="00622921"/>
    <w:rsid w:val="00624084"/>
    <w:rsid w:val="006250D0"/>
    <w:rsid w:val="0062550C"/>
    <w:rsid w:val="006268ED"/>
    <w:rsid w:val="00626EE7"/>
    <w:rsid w:val="00631112"/>
    <w:rsid w:val="00631414"/>
    <w:rsid w:val="00631CBB"/>
    <w:rsid w:val="00631D32"/>
    <w:rsid w:val="00631FE0"/>
    <w:rsid w:val="006328F0"/>
    <w:rsid w:val="00632CEB"/>
    <w:rsid w:val="006338CF"/>
    <w:rsid w:val="00633905"/>
    <w:rsid w:val="00634304"/>
    <w:rsid w:val="00634C29"/>
    <w:rsid w:val="006356E1"/>
    <w:rsid w:val="00636276"/>
    <w:rsid w:val="006376B7"/>
    <w:rsid w:val="00640255"/>
    <w:rsid w:val="006414D1"/>
    <w:rsid w:val="00642F64"/>
    <w:rsid w:val="0064527C"/>
    <w:rsid w:val="00645364"/>
    <w:rsid w:val="00645D90"/>
    <w:rsid w:val="00646F4B"/>
    <w:rsid w:val="00647115"/>
    <w:rsid w:val="006504D5"/>
    <w:rsid w:val="00650866"/>
    <w:rsid w:val="00651026"/>
    <w:rsid w:val="006510D2"/>
    <w:rsid w:val="006517B6"/>
    <w:rsid w:val="00651957"/>
    <w:rsid w:val="006532D6"/>
    <w:rsid w:val="00654421"/>
    <w:rsid w:val="006554CA"/>
    <w:rsid w:val="00655D43"/>
    <w:rsid w:val="00656AB0"/>
    <w:rsid w:val="0066081B"/>
    <w:rsid w:val="00661096"/>
    <w:rsid w:val="006611B7"/>
    <w:rsid w:val="00661C91"/>
    <w:rsid w:val="0066253C"/>
    <w:rsid w:val="00665715"/>
    <w:rsid w:val="00666114"/>
    <w:rsid w:val="0066633B"/>
    <w:rsid w:val="00666805"/>
    <w:rsid w:val="00666834"/>
    <w:rsid w:val="00667955"/>
    <w:rsid w:val="00667B13"/>
    <w:rsid w:val="006710C7"/>
    <w:rsid w:val="0067128A"/>
    <w:rsid w:val="006720D8"/>
    <w:rsid w:val="00672441"/>
    <w:rsid w:val="00672AF6"/>
    <w:rsid w:val="006739FD"/>
    <w:rsid w:val="006745B7"/>
    <w:rsid w:val="006747E9"/>
    <w:rsid w:val="0067496E"/>
    <w:rsid w:val="00674D6B"/>
    <w:rsid w:val="006751B5"/>
    <w:rsid w:val="00675440"/>
    <w:rsid w:val="00676981"/>
    <w:rsid w:val="00676A71"/>
    <w:rsid w:val="0067733E"/>
    <w:rsid w:val="00677418"/>
    <w:rsid w:val="0067799B"/>
    <w:rsid w:val="00677E11"/>
    <w:rsid w:val="0068039A"/>
    <w:rsid w:val="00680FE8"/>
    <w:rsid w:val="0068272D"/>
    <w:rsid w:val="00682808"/>
    <w:rsid w:val="00683289"/>
    <w:rsid w:val="006840B8"/>
    <w:rsid w:val="00684190"/>
    <w:rsid w:val="00684B0E"/>
    <w:rsid w:val="00684FFD"/>
    <w:rsid w:val="00685119"/>
    <w:rsid w:val="00685A63"/>
    <w:rsid w:val="00686464"/>
    <w:rsid w:val="00686795"/>
    <w:rsid w:val="006870BC"/>
    <w:rsid w:val="0068783A"/>
    <w:rsid w:val="006903A6"/>
    <w:rsid w:val="006903C8"/>
    <w:rsid w:val="00690997"/>
    <w:rsid w:val="00690D41"/>
    <w:rsid w:val="00691185"/>
    <w:rsid w:val="006951BE"/>
    <w:rsid w:val="00695A72"/>
    <w:rsid w:val="00696ED3"/>
    <w:rsid w:val="006A168E"/>
    <w:rsid w:val="006A1FC3"/>
    <w:rsid w:val="006A3136"/>
    <w:rsid w:val="006A36E6"/>
    <w:rsid w:val="006A387A"/>
    <w:rsid w:val="006A397C"/>
    <w:rsid w:val="006A4001"/>
    <w:rsid w:val="006A53D1"/>
    <w:rsid w:val="006A690F"/>
    <w:rsid w:val="006A6931"/>
    <w:rsid w:val="006A6D23"/>
    <w:rsid w:val="006B0175"/>
    <w:rsid w:val="006B02C7"/>
    <w:rsid w:val="006B18C6"/>
    <w:rsid w:val="006B2051"/>
    <w:rsid w:val="006B244F"/>
    <w:rsid w:val="006B26E9"/>
    <w:rsid w:val="006B2BBD"/>
    <w:rsid w:val="006B301B"/>
    <w:rsid w:val="006B30C7"/>
    <w:rsid w:val="006B3B2E"/>
    <w:rsid w:val="006B3E2E"/>
    <w:rsid w:val="006B3F66"/>
    <w:rsid w:val="006B434C"/>
    <w:rsid w:val="006B49AA"/>
    <w:rsid w:val="006B4A05"/>
    <w:rsid w:val="006B5DEC"/>
    <w:rsid w:val="006B5E2C"/>
    <w:rsid w:val="006B627D"/>
    <w:rsid w:val="006C0CCF"/>
    <w:rsid w:val="006C1AFE"/>
    <w:rsid w:val="006C1BFC"/>
    <w:rsid w:val="006C3073"/>
    <w:rsid w:val="006C35B2"/>
    <w:rsid w:val="006C390B"/>
    <w:rsid w:val="006C3CB3"/>
    <w:rsid w:val="006C3E49"/>
    <w:rsid w:val="006C449D"/>
    <w:rsid w:val="006C59AC"/>
    <w:rsid w:val="006C7DAE"/>
    <w:rsid w:val="006D004A"/>
    <w:rsid w:val="006D11BF"/>
    <w:rsid w:val="006D1277"/>
    <w:rsid w:val="006D37A2"/>
    <w:rsid w:val="006D3EAF"/>
    <w:rsid w:val="006D4AA6"/>
    <w:rsid w:val="006D4ABC"/>
    <w:rsid w:val="006D50C3"/>
    <w:rsid w:val="006D5FEA"/>
    <w:rsid w:val="006D60F8"/>
    <w:rsid w:val="006D6441"/>
    <w:rsid w:val="006D7077"/>
    <w:rsid w:val="006E0783"/>
    <w:rsid w:val="006E220D"/>
    <w:rsid w:val="006E2A09"/>
    <w:rsid w:val="006E2BF1"/>
    <w:rsid w:val="006E2F52"/>
    <w:rsid w:val="006E311F"/>
    <w:rsid w:val="006E313A"/>
    <w:rsid w:val="006E3199"/>
    <w:rsid w:val="006E42F2"/>
    <w:rsid w:val="006E44F6"/>
    <w:rsid w:val="006E4725"/>
    <w:rsid w:val="006E4B55"/>
    <w:rsid w:val="006E4DFD"/>
    <w:rsid w:val="006E4E5E"/>
    <w:rsid w:val="006E4EE3"/>
    <w:rsid w:val="006E4FDD"/>
    <w:rsid w:val="006E57E5"/>
    <w:rsid w:val="006E5DC7"/>
    <w:rsid w:val="006F0F63"/>
    <w:rsid w:val="006F1355"/>
    <w:rsid w:val="006F1F5E"/>
    <w:rsid w:val="006F3401"/>
    <w:rsid w:val="006F4437"/>
    <w:rsid w:val="006F5426"/>
    <w:rsid w:val="006F54F2"/>
    <w:rsid w:val="006F580B"/>
    <w:rsid w:val="006F67F7"/>
    <w:rsid w:val="00700001"/>
    <w:rsid w:val="007011E7"/>
    <w:rsid w:val="007016F8"/>
    <w:rsid w:val="0070181C"/>
    <w:rsid w:val="00701CD4"/>
    <w:rsid w:val="00705701"/>
    <w:rsid w:val="0070575F"/>
    <w:rsid w:val="0070594B"/>
    <w:rsid w:val="00705ADB"/>
    <w:rsid w:val="00705BEB"/>
    <w:rsid w:val="007068ED"/>
    <w:rsid w:val="00706AC8"/>
    <w:rsid w:val="0070767B"/>
    <w:rsid w:val="00707815"/>
    <w:rsid w:val="00707D10"/>
    <w:rsid w:val="007102B9"/>
    <w:rsid w:val="00710715"/>
    <w:rsid w:val="00711715"/>
    <w:rsid w:val="0071256A"/>
    <w:rsid w:val="007127F9"/>
    <w:rsid w:val="00712E38"/>
    <w:rsid w:val="007130A8"/>
    <w:rsid w:val="0071318A"/>
    <w:rsid w:val="00713312"/>
    <w:rsid w:val="00713579"/>
    <w:rsid w:val="00713768"/>
    <w:rsid w:val="00713B86"/>
    <w:rsid w:val="00713F3D"/>
    <w:rsid w:val="00714079"/>
    <w:rsid w:val="0071424C"/>
    <w:rsid w:val="00714938"/>
    <w:rsid w:val="0071540E"/>
    <w:rsid w:val="00715651"/>
    <w:rsid w:val="00715BC7"/>
    <w:rsid w:val="00716284"/>
    <w:rsid w:val="007176D4"/>
    <w:rsid w:val="00717CE1"/>
    <w:rsid w:val="0072064F"/>
    <w:rsid w:val="00721202"/>
    <w:rsid w:val="00722689"/>
    <w:rsid w:val="00722763"/>
    <w:rsid w:val="00722BF6"/>
    <w:rsid w:val="00722E12"/>
    <w:rsid w:val="007235AA"/>
    <w:rsid w:val="00724725"/>
    <w:rsid w:val="007248F6"/>
    <w:rsid w:val="00725182"/>
    <w:rsid w:val="0072646D"/>
    <w:rsid w:val="00731177"/>
    <w:rsid w:val="007312AC"/>
    <w:rsid w:val="00731577"/>
    <w:rsid w:val="00731D2F"/>
    <w:rsid w:val="0073261F"/>
    <w:rsid w:val="00732748"/>
    <w:rsid w:val="0073282E"/>
    <w:rsid w:val="00733496"/>
    <w:rsid w:val="00734115"/>
    <w:rsid w:val="00734169"/>
    <w:rsid w:val="007343BF"/>
    <w:rsid w:val="00734DA4"/>
    <w:rsid w:val="00734FE1"/>
    <w:rsid w:val="0073526A"/>
    <w:rsid w:val="00735349"/>
    <w:rsid w:val="00736504"/>
    <w:rsid w:val="0073781E"/>
    <w:rsid w:val="007378D5"/>
    <w:rsid w:val="00740157"/>
    <w:rsid w:val="00740FBD"/>
    <w:rsid w:val="00741179"/>
    <w:rsid w:val="00742458"/>
    <w:rsid w:val="00742963"/>
    <w:rsid w:val="00742A36"/>
    <w:rsid w:val="00742FB2"/>
    <w:rsid w:val="00743068"/>
    <w:rsid w:val="007440CE"/>
    <w:rsid w:val="00744675"/>
    <w:rsid w:val="0074467E"/>
    <w:rsid w:val="00745DB5"/>
    <w:rsid w:val="0074611D"/>
    <w:rsid w:val="0074691D"/>
    <w:rsid w:val="00747280"/>
    <w:rsid w:val="00747BFE"/>
    <w:rsid w:val="00752102"/>
    <w:rsid w:val="00752420"/>
    <w:rsid w:val="0075288F"/>
    <w:rsid w:val="00752A0F"/>
    <w:rsid w:val="00752B46"/>
    <w:rsid w:val="00752B8A"/>
    <w:rsid w:val="00754330"/>
    <w:rsid w:val="00754339"/>
    <w:rsid w:val="00754474"/>
    <w:rsid w:val="0075492A"/>
    <w:rsid w:val="00754DE7"/>
    <w:rsid w:val="007556D2"/>
    <w:rsid w:val="00756FE2"/>
    <w:rsid w:val="0075734E"/>
    <w:rsid w:val="00760202"/>
    <w:rsid w:val="00760361"/>
    <w:rsid w:val="00761389"/>
    <w:rsid w:val="00762B1E"/>
    <w:rsid w:val="0076326A"/>
    <w:rsid w:val="0076375C"/>
    <w:rsid w:val="0076409E"/>
    <w:rsid w:val="00764982"/>
    <w:rsid w:val="00765082"/>
    <w:rsid w:val="0076518B"/>
    <w:rsid w:val="0076530B"/>
    <w:rsid w:val="00765EBF"/>
    <w:rsid w:val="007660A8"/>
    <w:rsid w:val="0076623C"/>
    <w:rsid w:val="00767B1B"/>
    <w:rsid w:val="0077018F"/>
    <w:rsid w:val="00770771"/>
    <w:rsid w:val="00770BB4"/>
    <w:rsid w:val="007710AC"/>
    <w:rsid w:val="00772090"/>
    <w:rsid w:val="00773588"/>
    <w:rsid w:val="0077358D"/>
    <w:rsid w:val="0077424A"/>
    <w:rsid w:val="007778AE"/>
    <w:rsid w:val="00777962"/>
    <w:rsid w:val="00777A7F"/>
    <w:rsid w:val="00780CAD"/>
    <w:rsid w:val="007815B2"/>
    <w:rsid w:val="00781760"/>
    <w:rsid w:val="0078322B"/>
    <w:rsid w:val="00783F66"/>
    <w:rsid w:val="007841AD"/>
    <w:rsid w:val="007856F9"/>
    <w:rsid w:val="00785A64"/>
    <w:rsid w:val="00785C30"/>
    <w:rsid w:val="00785C33"/>
    <w:rsid w:val="00785D8A"/>
    <w:rsid w:val="00785FDA"/>
    <w:rsid w:val="00786004"/>
    <w:rsid w:val="007868A7"/>
    <w:rsid w:val="00790BB9"/>
    <w:rsid w:val="00790F46"/>
    <w:rsid w:val="007938B0"/>
    <w:rsid w:val="00794821"/>
    <w:rsid w:val="00794B29"/>
    <w:rsid w:val="00795631"/>
    <w:rsid w:val="00795826"/>
    <w:rsid w:val="00795E20"/>
    <w:rsid w:val="00795FDC"/>
    <w:rsid w:val="00796552"/>
    <w:rsid w:val="00797149"/>
    <w:rsid w:val="00797505"/>
    <w:rsid w:val="00797FF6"/>
    <w:rsid w:val="007A04CD"/>
    <w:rsid w:val="007A15FA"/>
    <w:rsid w:val="007A17DF"/>
    <w:rsid w:val="007A1A58"/>
    <w:rsid w:val="007A231D"/>
    <w:rsid w:val="007A341F"/>
    <w:rsid w:val="007A415F"/>
    <w:rsid w:val="007A50F3"/>
    <w:rsid w:val="007A635B"/>
    <w:rsid w:val="007A6518"/>
    <w:rsid w:val="007A6838"/>
    <w:rsid w:val="007A71BD"/>
    <w:rsid w:val="007A75FD"/>
    <w:rsid w:val="007B0932"/>
    <w:rsid w:val="007B20EE"/>
    <w:rsid w:val="007B22BB"/>
    <w:rsid w:val="007B2A8E"/>
    <w:rsid w:val="007B461B"/>
    <w:rsid w:val="007B6046"/>
    <w:rsid w:val="007B60AE"/>
    <w:rsid w:val="007B6564"/>
    <w:rsid w:val="007B724E"/>
    <w:rsid w:val="007B7406"/>
    <w:rsid w:val="007C1AC3"/>
    <w:rsid w:val="007C2C51"/>
    <w:rsid w:val="007C2EE0"/>
    <w:rsid w:val="007C3BFB"/>
    <w:rsid w:val="007C47AA"/>
    <w:rsid w:val="007C4A5B"/>
    <w:rsid w:val="007C4B51"/>
    <w:rsid w:val="007C5468"/>
    <w:rsid w:val="007C5E7E"/>
    <w:rsid w:val="007C60BD"/>
    <w:rsid w:val="007C60D9"/>
    <w:rsid w:val="007C6DC1"/>
    <w:rsid w:val="007D07B5"/>
    <w:rsid w:val="007D0C10"/>
    <w:rsid w:val="007D1A96"/>
    <w:rsid w:val="007D2767"/>
    <w:rsid w:val="007D2895"/>
    <w:rsid w:val="007D3C65"/>
    <w:rsid w:val="007D3D91"/>
    <w:rsid w:val="007D4133"/>
    <w:rsid w:val="007D47D1"/>
    <w:rsid w:val="007D5104"/>
    <w:rsid w:val="007D5452"/>
    <w:rsid w:val="007D5836"/>
    <w:rsid w:val="007D5DE4"/>
    <w:rsid w:val="007D5F7C"/>
    <w:rsid w:val="007D6600"/>
    <w:rsid w:val="007D7F1E"/>
    <w:rsid w:val="007E111E"/>
    <w:rsid w:val="007E1758"/>
    <w:rsid w:val="007E1BA2"/>
    <w:rsid w:val="007E1C70"/>
    <w:rsid w:val="007E2A4A"/>
    <w:rsid w:val="007E3C38"/>
    <w:rsid w:val="007E6A0C"/>
    <w:rsid w:val="007E72D2"/>
    <w:rsid w:val="007E7D47"/>
    <w:rsid w:val="007F0D6D"/>
    <w:rsid w:val="007F0EAC"/>
    <w:rsid w:val="007F0FF6"/>
    <w:rsid w:val="007F22D6"/>
    <w:rsid w:val="007F2835"/>
    <w:rsid w:val="007F33A2"/>
    <w:rsid w:val="007F3D48"/>
    <w:rsid w:val="007F4380"/>
    <w:rsid w:val="007F44D2"/>
    <w:rsid w:val="007F5B4D"/>
    <w:rsid w:val="007F5D6B"/>
    <w:rsid w:val="007F603B"/>
    <w:rsid w:val="007F6648"/>
    <w:rsid w:val="007F670B"/>
    <w:rsid w:val="007F6BD3"/>
    <w:rsid w:val="007F7F56"/>
    <w:rsid w:val="007F7FE1"/>
    <w:rsid w:val="00800F7A"/>
    <w:rsid w:val="00801524"/>
    <w:rsid w:val="008023A9"/>
    <w:rsid w:val="00803D21"/>
    <w:rsid w:val="00803E11"/>
    <w:rsid w:val="0080453E"/>
    <w:rsid w:val="00804656"/>
    <w:rsid w:val="008047A9"/>
    <w:rsid w:val="00805826"/>
    <w:rsid w:val="008066C0"/>
    <w:rsid w:val="00806A16"/>
    <w:rsid w:val="00806AF2"/>
    <w:rsid w:val="008079D8"/>
    <w:rsid w:val="00807F85"/>
    <w:rsid w:val="008105EA"/>
    <w:rsid w:val="0081077F"/>
    <w:rsid w:val="00810D44"/>
    <w:rsid w:val="0081152A"/>
    <w:rsid w:val="00812151"/>
    <w:rsid w:val="0081224F"/>
    <w:rsid w:val="00812692"/>
    <w:rsid w:val="008129A6"/>
    <w:rsid w:val="00814064"/>
    <w:rsid w:val="00814533"/>
    <w:rsid w:val="00814D38"/>
    <w:rsid w:val="00814E8F"/>
    <w:rsid w:val="0081503A"/>
    <w:rsid w:val="00815784"/>
    <w:rsid w:val="008167E0"/>
    <w:rsid w:val="00816956"/>
    <w:rsid w:val="0081697F"/>
    <w:rsid w:val="00817161"/>
    <w:rsid w:val="0081788F"/>
    <w:rsid w:val="0082083A"/>
    <w:rsid w:val="00820CAA"/>
    <w:rsid w:val="00821B52"/>
    <w:rsid w:val="00822CE5"/>
    <w:rsid w:val="00822FAB"/>
    <w:rsid w:val="008242AF"/>
    <w:rsid w:val="008269B4"/>
    <w:rsid w:val="008303B7"/>
    <w:rsid w:val="00830A24"/>
    <w:rsid w:val="00831FEE"/>
    <w:rsid w:val="00832CD7"/>
    <w:rsid w:val="00834280"/>
    <w:rsid w:val="00834BF6"/>
    <w:rsid w:val="00834CE0"/>
    <w:rsid w:val="0083597E"/>
    <w:rsid w:val="008362A1"/>
    <w:rsid w:val="008371B3"/>
    <w:rsid w:val="00837571"/>
    <w:rsid w:val="00837C2E"/>
    <w:rsid w:val="008404EF"/>
    <w:rsid w:val="008407B8"/>
    <w:rsid w:val="00840BAD"/>
    <w:rsid w:val="00841A99"/>
    <w:rsid w:val="00842029"/>
    <w:rsid w:val="00843601"/>
    <w:rsid w:val="008449E0"/>
    <w:rsid w:val="00844A07"/>
    <w:rsid w:val="008464BB"/>
    <w:rsid w:val="00846914"/>
    <w:rsid w:val="00847515"/>
    <w:rsid w:val="00850499"/>
    <w:rsid w:val="00850C9A"/>
    <w:rsid w:val="00851A9C"/>
    <w:rsid w:val="008524E1"/>
    <w:rsid w:val="0085259F"/>
    <w:rsid w:val="00854E60"/>
    <w:rsid w:val="0085625E"/>
    <w:rsid w:val="00856778"/>
    <w:rsid w:val="0085679F"/>
    <w:rsid w:val="008568D6"/>
    <w:rsid w:val="00856E3F"/>
    <w:rsid w:val="00857AA6"/>
    <w:rsid w:val="00860641"/>
    <w:rsid w:val="008622D2"/>
    <w:rsid w:val="008623B4"/>
    <w:rsid w:val="008639C6"/>
    <w:rsid w:val="0086472B"/>
    <w:rsid w:val="00864B87"/>
    <w:rsid w:val="0086514B"/>
    <w:rsid w:val="00866F86"/>
    <w:rsid w:val="008674E3"/>
    <w:rsid w:val="00867D67"/>
    <w:rsid w:val="00870551"/>
    <w:rsid w:val="00871BB7"/>
    <w:rsid w:val="0087352A"/>
    <w:rsid w:val="00873712"/>
    <w:rsid w:val="00873ABF"/>
    <w:rsid w:val="00874012"/>
    <w:rsid w:val="008742DA"/>
    <w:rsid w:val="008745DC"/>
    <w:rsid w:val="00874903"/>
    <w:rsid w:val="00874DED"/>
    <w:rsid w:val="00875E2B"/>
    <w:rsid w:val="008761A7"/>
    <w:rsid w:val="00876EEF"/>
    <w:rsid w:val="00876F18"/>
    <w:rsid w:val="008812F5"/>
    <w:rsid w:val="00882108"/>
    <w:rsid w:val="00882928"/>
    <w:rsid w:val="008829B1"/>
    <w:rsid w:val="008830B3"/>
    <w:rsid w:val="008833EE"/>
    <w:rsid w:val="00883920"/>
    <w:rsid w:val="00884BF8"/>
    <w:rsid w:val="0088516B"/>
    <w:rsid w:val="00885DDF"/>
    <w:rsid w:val="0088676F"/>
    <w:rsid w:val="00886DE8"/>
    <w:rsid w:val="008872C9"/>
    <w:rsid w:val="00890EE4"/>
    <w:rsid w:val="008912C7"/>
    <w:rsid w:val="00893D35"/>
    <w:rsid w:val="00893E90"/>
    <w:rsid w:val="00893ECB"/>
    <w:rsid w:val="00894645"/>
    <w:rsid w:val="00895A76"/>
    <w:rsid w:val="008962A9"/>
    <w:rsid w:val="008968D1"/>
    <w:rsid w:val="0089733B"/>
    <w:rsid w:val="008A0472"/>
    <w:rsid w:val="008A04E3"/>
    <w:rsid w:val="008A0ED6"/>
    <w:rsid w:val="008A2002"/>
    <w:rsid w:val="008A20C0"/>
    <w:rsid w:val="008A2635"/>
    <w:rsid w:val="008A3E48"/>
    <w:rsid w:val="008A45C9"/>
    <w:rsid w:val="008A595A"/>
    <w:rsid w:val="008A5BDE"/>
    <w:rsid w:val="008A5D1B"/>
    <w:rsid w:val="008A64A9"/>
    <w:rsid w:val="008A6577"/>
    <w:rsid w:val="008B0A04"/>
    <w:rsid w:val="008B0A4A"/>
    <w:rsid w:val="008B0A8A"/>
    <w:rsid w:val="008B0ED5"/>
    <w:rsid w:val="008B16C0"/>
    <w:rsid w:val="008B245C"/>
    <w:rsid w:val="008B28ED"/>
    <w:rsid w:val="008B2D51"/>
    <w:rsid w:val="008B301D"/>
    <w:rsid w:val="008B3F64"/>
    <w:rsid w:val="008B443C"/>
    <w:rsid w:val="008B467C"/>
    <w:rsid w:val="008B4CCD"/>
    <w:rsid w:val="008B55E2"/>
    <w:rsid w:val="008B5C15"/>
    <w:rsid w:val="008B6842"/>
    <w:rsid w:val="008B6A23"/>
    <w:rsid w:val="008B6B8B"/>
    <w:rsid w:val="008B6EC7"/>
    <w:rsid w:val="008B6F90"/>
    <w:rsid w:val="008C0001"/>
    <w:rsid w:val="008C181E"/>
    <w:rsid w:val="008C3285"/>
    <w:rsid w:val="008C3358"/>
    <w:rsid w:val="008C37CE"/>
    <w:rsid w:val="008C39E9"/>
    <w:rsid w:val="008C40D3"/>
    <w:rsid w:val="008C41CF"/>
    <w:rsid w:val="008C53C1"/>
    <w:rsid w:val="008C6733"/>
    <w:rsid w:val="008C77D3"/>
    <w:rsid w:val="008C7977"/>
    <w:rsid w:val="008D0E8C"/>
    <w:rsid w:val="008D1CE3"/>
    <w:rsid w:val="008D27EB"/>
    <w:rsid w:val="008D28FA"/>
    <w:rsid w:val="008D2CCA"/>
    <w:rsid w:val="008D472B"/>
    <w:rsid w:val="008D5AD2"/>
    <w:rsid w:val="008D62B4"/>
    <w:rsid w:val="008D7704"/>
    <w:rsid w:val="008D79EC"/>
    <w:rsid w:val="008E0D62"/>
    <w:rsid w:val="008E1C90"/>
    <w:rsid w:val="008E283E"/>
    <w:rsid w:val="008E4248"/>
    <w:rsid w:val="008E4725"/>
    <w:rsid w:val="008E515E"/>
    <w:rsid w:val="008E65D3"/>
    <w:rsid w:val="008E6617"/>
    <w:rsid w:val="008E669B"/>
    <w:rsid w:val="008E781E"/>
    <w:rsid w:val="008E7C76"/>
    <w:rsid w:val="008E7EFF"/>
    <w:rsid w:val="008F01AE"/>
    <w:rsid w:val="008F06A8"/>
    <w:rsid w:val="008F0E9B"/>
    <w:rsid w:val="008F102A"/>
    <w:rsid w:val="008F209C"/>
    <w:rsid w:val="008F23E5"/>
    <w:rsid w:val="008F29B5"/>
    <w:rsid w:val="008F2EE0"/>
    <w:rsid w:val="008F34C6"/>
    <w:rsid w:val="008F39B8"/>
    <w:rsid w:val="008F3BB1"/>
    <w:rsid w:val="008F3FE8"/>
    <w:rsid w:val="008F48E8"/>
    <w:rsid w:val="008F50BD"/>
    <w:rsid w:val="008F6EC1"/>
    <w:rsid w:val="0090002E"/>
    <w:rsid w:val="00900335"/>
    <w:rsid w:val="00900B64"/>
    <w:rsid w:val="00902338"/>
    <w:rsid w:val="0090381F"/>
    <w:rsid w:val="00903B10"/>
    <w:rsid w:val="009049F0"/>
    <w:rsid w:val="009054FF"/>
    <w:rsid w:val="009078C8"/>
    <w:rsid w:val="0090796E"/>
    <w:rsid w:val="0090798D"/>
    <w:rsid w:val="00907D13"/>
    <w:rsid w:val="0091113B"/>
    <w:rsid w:val="009115E4"/>
    <w:rsid w:val="009117AF"/>
    <w:rsid w:val="00911C64"/>
    <w:rsid w:val="009140A3"/>
    <w:rsid w:val="00914595"/>
    <w:rsid w:val="00914F31"/>
    <w:rsid w:val="009163C9"/>
    <w:rsid w:val="00916693"/>
    <w:rsid w:val="009173CC"/>
    <w:rsid w:val="00920002"/>
    <w:rsid w:val="009207A8"/>
    <w:rsid w:val="00920AEA"/>
    <w:rsid w:val="00920C00"/>
    <w:rsid w:val="00920F0F"/>
    <w:rsid w:val="00921812"/>
    <w:rsid w:val="009218A1"/>
    <w:rsid w:val="0092190F"/>
    <w:rsid w:val="00922D32"/>
    <w:rsid w:val="009239E6"/>
    <w:rsid w:val="009243ED"/>
    <w:rsid w:val="00924562"/>
    <w:rsid w:val="009248AE"/>
    <w:rsid w:val="00925212"/>
    <w:rsid w:val="009254F3"/>
    <w:rsid w:val="0092698D"/>
    <w:rsid w:val="00926B9A"/>
    <w:rsid w:val="00927AEA"/>
    <w:rsid w:val="00930050"/>
    <w:rsid w:val="0093034F"/>
    <w:rsid w:val="00930D38"/>
    <w:rsid w:val="00931CBA"/>
    <w:rsid w:val="00931D63"/>
    <w:rsid w:val="00931E66"/>
    <w:rsid w:val="00932A07"/>
    <w:rsid w:val="0093364E"/>
    <w:rsid w:val="009338C5"/>
    <w:rsid w:val="00935F88"/>
    <w:rsid w:val="00940114"/>
    <w:rsid w:val="009404D2"/>
    <w:rsid w:val="0094239C"/>
    <w:rsid w:val="009429D1"/>
    <w:rsid w:val="00942B1D"/>
    <w:rsid w:val="00943126"/>
    <w:rsid w:val="00943C43"/>
    <w:rsid w:val="00944D9B"/>
    <w:rsid w:val="00945C2F"/>
    <w:rsid w:val="00946E9C"/>
    <w:rsid w:val="00947375"/>
    <w:rsid w:val="009479A6"/>
    <w:rsid w:val="009511DD"/>
    <w:rsid w:val="0095125F"/>
    <w:rsid w:val="0095214B"/>
    <w:rsid w:val="0095261E"/>
    <w:rsid w:val="009541F2"/>
    <w:rsid w:val="00954C4C"/>
    <w:rsid w:val="00955157"/>
    <w:rsid w:val="00960955"/>
    <w:rsid w:val="00961962"/>
    <w:rsid w:val="00961C84"/>
    <w:rsid w:val="009623B8"/>
    <w:rsid w:val="009639FF"/>
    <w:rsid w:val="00964919"/>
    <w:rsid w:val="00970A2C"/>
    <w:rsid w:val="00970ED1"/>
    <w:rsid w:val="00971CBA"/>
    <w:rsid w:val="009723CF"/>
    <w:rsid w:val="00972784"/>
    <w:rsid w:val="00972A10"/>
    <w:rsid w:val="00972F34"/>
    <w:rsid w:val="00974173"/>
    <w:rsid w:val="00975855"/>
    <w:rsid w:val="00976885"/>
    <w:rsid w:val="00977768"/>
    <w:rsid w:val="009804E5"/>
    <w:rsid w:val="009806CB"/>
    <w:rsid w:val="009819A8"/>
    <w:rsid w:val="00981B74"/>
    <w:rsid w:val="00982BBC"/>
    <w:rsid w:val="00982C93"/>
    <w:rsid w:val="00984BF4"/>
    <w:rsid w:val="009859C0"/>
    <w:rsid w:val="00985A50"/>
    <w:rsid w:val="00985E7D"/>
    <w:rsid w:val="00987152"/>
    <w:rsid w:val="009875F1"/>
    <w:rsid w:val="0099004C"/>
    <w:rsid w:val="00991887"/>
    <w:rsid w:val="00992115"/>
    <w:rsid w:val="00992AA5"/>
    <w:rsid w:val="00994028"/>
    <w:rsid w:val="00995977"/>
    <w:rsid w:val="00995EEF"/>
    <w:rsid w:val="00997925"/>
    <w:rsid w:val="00997C72"/>
    <w:rsid w:val="009A01B1"/>
    <w:rsid w:val="009A0434"/>
    <w:rsid w:val="009A1AFE"/>
    <w:rsid w:val="009A262E"/>
    <w:rsid w:val="009A2C94"/>
    <w:rsid w:val="009A33C0"/>
    <w:rsid w:val="009A3AE1"/>
    <w:rsid w:val="009A7BC0"/>
    <w:rsid w:val="009A7D55"/>
    <w:rsid w:val="009B10FE"/>
    <w:rsid w:val="009B1B83"/>
    <w:rsid w:val="009B3FAB"/>
    <w:rsid w:val="009B46F7"/>
    <w:rsid w:val="009B494F"/>
    <w:rsid w:val="009B50A6"/>
    <w:rsid w:val="009B51BB"/>
    <w:rsid w:val="009B5AAC"/>
    <w:rsid w:val="009B6FD2"/>
    <w:rsid w:val="009B77F8"/>
    <w:rsid w:val="009B7ACB"/>
    <w:rsid w:val="009B7DCB"/>
    <w:rsid w:val="009B7E12"/>
    <w:rsid w:val="009C0306"/>
    <w:rsid w:val="009C0888"/>
    <w:rsid w:val="009C1E32"/>
    <w:rsid w:val="009C1E42"/>
    <w:rsid w:val="009C277E"/>
    <w:rsid w:val="009C2BDC"/>
    <w:rsid w:val="009C3C5F"/>
    <w:rsid w:val="009C58B4"/>
    <w:rsid w:val="009C59E1"/>
    <w:rsid w:val="009C5F04"/>
    <w:rsid w:val="009C6326"/>
    <w:rsid w:val="009C634C"/>
    <w:rsid w:val="009C78EF"/>
    <w:rsid w:val="009D082A"/>
    <w:rsid w:val="009D102A"/>
    <w:rsid w:val="009D1369"/>
    <w:rsid w:val="009D2686"/>
    <w:rsid w:val="009D3087"/>
    <w:rsid w:val="009D44DF"/>
    <w:rsid w:val="009D4792"/>
    <w:rsid w:val="009D5A7E"/>
    <w:rsid w:val="009D6411"/>
    <w:rsid w:val="009D7221"/>
    <w:rsid w:val="009E11E8"/>
    <w:rsid w:val="009E12FF"/>
    <w:rsid w:val="009E15E6"/>
    <w:rsid w:val="009E2948"/>
    <w:rsid w:val="009E2A28"/>
    <w:rsid w:val="009E2AED"/>
    <w:rsid w:val="009E2AFE"/>
    <w:rsid w:val="009E2DD4"/>
    <w:rsid w:val="009E4124"/>
    <w:rsid w:val="009E4149"/>
    <w:rsid w:val="009E42E3"/>
    <w:rsid w:val="009E513B"/>
    <w:rsid w:val="009E5300"/>
    <w:rsid w:val="009E5465"/>
    <w:rsid w:val="009F16A8"/>
    <w:rsid w:val="009F1C30"/>
    <w:rsid w:val="009F1E16"/>
    <w:rsid w:val="009F232F"/>
    <w:rsid w:val="009F2568"/>
    <w:rsid w:val="009F2DE3"/>
    <w:rsid w:val="009F4D2F"/>
    <w:rsid w:val="009F53EE"/>
    <w:rsid w:val="009F5853"/>
    <w:rsid w:val="009F5F9F"/>
    <w:rsid w:val="009F630F"/>
    <w:rsid w:val="009F6AFA"/>
    <w:rsid w:val="009F6E99"/>
    <w:rsid w:val="009F7248"/>
    <w:rsid w:val="00A00BD8"/>
    <w:rsid w:val="00A01054"/>
    <w:rsid w:val="00A011F4"/>
    <w:rsid w:val="00A018BD"/>
    <w:rsid w:val="00A033C3"/>
    <w:rsid w:val="00A035C1"/>
    <w:rsid w:val="00A03622"/>
    <w:rsid w:val="00A05395"/>
    <w:rsid w:val="00A0546D"/>
    <w:rsid w:val="00A059F9"/>
    <w:rsid w:val="00A0625A"/>
    <w:rsid w:val="00A063C3"/>
    <w:rsid w:val="00A06A28"/>
    <w:rsid w:val="00A07F85"/>
    <w:rsid w:val="00A10B5A"/>
    <w:rsid w:val="00A11417"/>
    <w:rsid w:val="00A11696"/>
    <w:rsid w:val="00A11DC9"/>
    <w:rsid w:val="00A12546"/>
    <w:rsid w:val="00A143B4"/>
    <w:rsid w:val="00A15210"/>
    <w:rsid w:val="00A167B3"/>
    <w:rsid w:val="00A178AD"/>
    <w:rsid w:val="00A17E6D"/>
    <w:rsid w:val="00A21185"/>
    <w:rsid w:val="00A21212"/>
    <w:rsid w:val="00A21CC0"/>
    <w:rsid w:val="00A22600"/>
    <w:rsid w:val="00A22FEF"/>
    <w:rsid w:val="00A233AE"/>
    <w:rsid w:val="00A24652"/>
    <w:rsid w:val="00A2573B"/>
    <w:rsid w:val="00A25821"/>
    <w:rsid w:val="00A25BE6"/>
    <w:rsid w:val="00A25E06"/>
    <w:rsid w:val="00A262D3"/>
    <w:rsid w:val="00A26FBF"/>
    <w:rsid w:val="00A279DD"/>
    <w:rsid w:val="00A30227"/>
    <w:rsid w:val="00A30B57"/>
    <w:rsid w:val="00A3153C"/>
    <w:rsid w:val="00A3423C"/>
    <w:rsid w:val="00A34341"/>
    <w:rsid w:val="00A34B1C"/>
    <w:rsid w:val="00A36A6B"/>
    <w:rsid w:val="00A3703D"/>
    <w:rsid w:val="00A404DB"/>
    <w:rsid w:val="00A4068C"/>
    <w:rsid w:val="00A4095E"/>
    <w:rsid w:val="00A40CD8"/>
    <w:rsid w:val="00A41783"/>
    <w:rsid w:val="00A42819"/>
    <w:rsid w:val="00A432B3"/>
    <w:rsid w:val="00A435C2"/>
    <w:rsid w:val="00A43EFB"/>
    <w:rsid w:val="00A44D71"/>
    <w:rsid w:val="00A451C9"/>
    <w:rsid w:val="00A4678E"/>
    <w:rsid w:val="00A47055"/>
    <w:rsid w:val="00A476F6"/>
    <w:rsid w:val="00A50A6D"/>
    <w:rsid w:val="00A51C7D"/>
    <w:rsid w:val="00A51CA4"/>
    <w:rsid w:val="00A53F6B"/>
    <w:rsid w:val="00A54AF8"/>
    <w:rsid w:val="00A55E9D"/>
    <w:rsid w:val="00A57318"/>
    <w:rsid w:val="00A575A9"/>
    <w:rsid w:val="00A57748"/>
    <w:rsid w:val="00A60E00"/>
    <w:rsid w:val="00A619F1"/>
    <w:rsid w:val="00A62764"/>
    <w:rsid w:val="00A62991"/>
    <w:rsid w:val="00A649B4"/>
    <w:rsid w:val="00A64D2A"/>
    <w:rsid w:val="00A664AE"/>
    <w:rsid w:val="00A66CFF"/>
    <w:rsid w:val="00A70666"/>
    <w:rsid w:val="00A7113A"/>
    <w:rsid w:val="00A71E9B"/>
    <w:rsid w:val="00A71FB8"/>
    <w:rsid w:val="00A72BA6"/>
    <w:rsid w:val="00A73169"/>
    <w:rsid w:val="00A73655"/>
    <w:rsid w:val="00A750F0"/>
    <w:rsid w:val="00A75607"/>
    <w:rsid w:val="00A75851"/>
    <w:rsid w:val="00A764A1"/>
    <w:rsid w:val="00A771C8"/>
    <w:rsid w:val="00A776A8"/>
    <w:rsid w:val="00A77801"/>
    <w:rsid w:val="00A806F9"/>
    <w:rsid w:val="00A8224C"/>
    <w:rsid w:val="00A83C9E"/>
    <w:rsid w:val="00A83E37"/>
    <w:rsid w:val="00A8436E"/>
    <w:rsid w:val="00A84B0F"/>
    <w:rsid w:val="00A861D6"/>
    <w:rsid w:val="00A86588"/>
    <w:rsid w:val="00A8714D"/>
    <w:rsid w:val="00A87196"/>
    <w:rsid w:val="00A87427"/>
    <w:rsid w:val="00A90940"/>
    <w:rsid w:val="00A91210"/>
    <w:rsid w:val="00A9165D"/>
    <w:rsid w:val="00A9181F"/>
    <w:rsid w:val="00A918DF"/>
    <w:rsid w:val="00A9365C"/>
    <w:rsid w:val="00A944C5"/>
    <w:rsid w:val="00A97962"/>
    <w:rsid w:val="00AA01AC"/>
    <w:rsid w:val="00AA2828"/>
    <w:rsid w:val="00AA291A"/>
    <w:rsid w:val="00AA2F32"/>
    <w:rsid w:val="00AA33DE"/>
    <w:rsid w:val="00AA393B"/>
    <w:rsid w:val="00AA607C"/>
    <w:rsid w:val="00AA6829"/>
    <w:rsid w:val="00AA6C45"/>
    <w:rsid w:val="00AA7D24"/>
    <w:rsid w:val="00AA7D6E"/>
    <w:rsid w:val="00AB1759"/>
    <w:rsid w:val="00AB19DE"/>
    <w:rsid w:val="00AB2BB6"/>
    <w:rsid w:val="00AB49B4"/>
    <w:rsid w:val="00AC06C1"/>
    <w:rsid w:val="00AC0ACD"/>
    <w:rsid w:val="00AC0AE7"/>
    <w:rsid w:val="00AC213B"/>
    <w:rsid w:val="00AC3404"/>
    <w:rsid w:val="00AC6497"/>
    <w:rsid w:val="00AC669D"/>
    <w:rsid w:val="00AC6FD5"/>
    <w:rsid w:val="00AC723B"/>
    <w:rsid w:val="00AC7FCB"/>
    <w:rsid w:val="00AD05FD"/>
    <w:rsid w:val="00AD066B"/>
    <w:rsid w:val="00AD0BA0"/>
    <w:rsid w:val="00AD0E51"/>
    <w:rsid w:val="00AD1386"/>
    <w:rsid w:val="00AD16A3"/>
    <w:rsid w:val="00AD24E9"/>
    <w:rsid w:val="00AD2DE7"/>
    <w:rsid w:val="00AD2FBD"/>
    <w:rsid w:val="00AD32DA"/>
    <w:rsid w:val="00AD65E4"/>
    <w:rsid w:val="00AD7188"/>
    <w:rsid w:val="00AD7852"/>
    <w:rsid w:val="00AD793F"/>
    <w:rsid w:val="00AE09F9"/>
    <w:rsid w:val="00AE13C6"/>
    <w:rsid w:val="00AE2CC7"/>
    <w:rsid w:val="00AE4884"/>
    <w:rsid w:val="00AE500D"/>
    <w:rsid w:val="00AE5F69"/>
    <w:rsid w:val="00AE65FB"/>
    <w:rsid w:val="00AE6749"/>
    <w:rsid w:val="00AE6B8E"/>
    <w:rsid w:val="00AE6F15"/>
    <w:rsid w:val="00AE72E3"/>
    <w:rsid w:val="00AE748F"/>
    <w:rsid w:val="00AE7D06"/>
    <w:rsid w:val="00AF05AC"/>
    <w:rsid w:val="00AF16D1"/>
    <w:rsid w:val="00AF1CF7"/>
    <w:rsid w:val="00AF24D7"/>
    <w:rsid w:val="00AF252E"/>
    <w:rsid w:val="00AF311E"/>
    <w:rsid w:val="00AF3514"/>
    <w:rsid w:val="00AF4777"/>
    <w:rsid w:val="00AF4EDF"/>
    <w:rsid w:val="00AF5130"/>
    <w:rsid w:val="00AF5257"/>
    <w:rsid w:val="00AF57EB"/>
    <w:rsid w:val="00AF588D"/>
    <w:rsid w:val="00AF5E7F"/>
    <w:rsid w:val="00AF62FF"/>
    <w:rsid w:val="00B017A9"/>
    <w:rsid w:val="00B021D3"/>
    <w:rsid w:val="00B023CE"/>
    <w:rsid w:val="00B03C89"/>
    <w:rsid w:val="00B03D2F"/>
    <w:rsid w:val="00B05772"/>
    <w:rsid w:val="00B05A65"/>
    <w:rsid w:val="00B05ADB"/>
    <w:rsid w:val="00B060C8"/>
    <w:rsid w:val="00B068D7"/>
    <w:rsid w:val="00B10179"/>
    <w:rsid w:val="00B10969"/>
    <w:rsid w:val="00B10AD4"/>
    <w:rsid w:val="00B12614"/>
    <w:rsid w:val="00B13AC7"/>
    <w:rsid w:val="00B165FB"/>
    <w:rsid w:val="00B174FD"/>
    <w:rsid w:val="00B17A4E"/>
    <w:rsid w:val="00B211D7"/>
    <w:rsid w:val="00B21EAC"/>
    <w:rsid w:val="00B22B7C"/>
    <w:rsid w:val="00B235F8"/>
    <w:rsid w:val="00B23B5E"/>
    <w:rsid w:val="00B23E2C"/>
    <w:rsid w:val="00B242C5"/>
    <w:rsid w:val="00B260D6"/>
    <w:rsid w:val="00B27200"/>
    <w:rsid w:val="00B2754B"/>
    <w:rsid w:val="00B31702"/>
    <w:rsid w:val="00B31A73"/>
    <w:rsid w:val="00B31D54"/>
    <w:rsid w:val="00B31EE5"/>
    <w:rsid w:val="00B33527"/>
    <w:rsid w:val="00B34A35"/>
    <w:rsid w:val="00B34DF8"/>
    <w:rsid w:val="00B366F2"/>
    <w:rsid w:val="00B36AF2"/>
    <w:rsid w:val="00B37A96"/>
    <w:rsid w:val="00B37EC1"/>
    <w:rsid w:val="00B40219"/>
    <w:rsid w:val="00B407F9"/>
    <w:rsid w:val="00B40B81"/>
    <w:rsid w:val="00B40D78"/>
    <w:rsid w:val="00B42688"/>
    <w:rsid w:val="00B43623"/>
    <w:rsid w:val="00B4383C"/>
    <w:rsid w:val="00B449E5"/>
    <w:rsid w:val="00B4556D"/>
    <w:rsid w:val="00B45F53"/>
    <w:rsid w:val="00B46540"/>
    <w:rsid w:val="00B4696C"/>
    <w:rsid w:val="00B5196D"/>
    <w:rsid w:val="00B52475"/>
    <w:rsid w:val="00B52788"/>
    <w:rsid w:val="00B53D88"/>
    <w:rsid w:val="00B53D9C"/>
    <w:rsid w:val="00B54081"/>
    <w:rsid w:val="00B54720"/>
    <w:rsid w:val="00B54F8A"/>
    <w:rsid w:val="00B56B92"/>
    <w:rsid w:val="00B56CA1"/>
    <w:rsid w:val="00B56E40"/>
    <w:rsid w:val="00B57587"/>
    <w:rsid w:val="00B60DC8"/>
    <w:rsid w:val="00B61177"/>
    <w:rsid w:val="00B61957"/>
    <w:rsid w:val="00B62136"/>
    <w:rsid w:val="00B63B1D"/>
    <w:rsid w:val="00B63CC2"/>
    <w:rsid w:val="00B650B5"/>
    <w:rsid w:val="00B652B3"/>
    <w:rsid w:val="00B66846"/>
    <w:rsid w:val="00B66C69"/>
    <w:rsid w:val="00B67B72"/>
    <w:rsid w:val="00B67E09"/>
    <w:rsid w:val="00B67E39"/>
    <w:rsid w:val="00B703FF"/>
    <w:rsid w:val="00B70456"/>
    <w:rsid w:val="00B71A95"/>
    <w:rsid w:val="00B71FB7"/>
    <w:rsid w:val="00B724B0"/>
    <w:rsid w:val="00B73132"/>
    <w:rsid w:val="00B73D29"/>
    <w:rsid w:val="00B73DEA"/>
    <w:rsid w:val="00B74B68"/>
    <w:rsid w:val="00B75597"/>
    <w:rsid w:val="00B7587A"/>
    <w:rsid w:val="00B7629B"/>
    <w:rsid w:val="00B77203"/>
    <w:rsid w:val="00B81136"/>
    <w:rsid w:val="00B811B4"/>
    <w:rsid w:val="00B814AD"/>
    <w:rsid w:val="00B822BD"/>
    <w:rsid w:val="00B82863"/>
    <w:rsid w:val="00B82C34"/>
    <w:rsid w:val="00B8323B"/>
    <w:rsid w:val="00B832AD"/>
    <w:rsid w:val="00B839D0"/>
    <w:rsid w:val="00B85687"/>
    <w:rsid w:val="00B86973"/>
    <w:rsid w:val="00B870E9"/>
    <w:rsid w:val="00B87144"/>
    <w:rsid w:val="00B90DA6"/>
    <w:rsid w:val="00B90F66"/>
    <w:rsid w:val="00B9280C"/>
    <w:rsid w:val="00B93221"/>
    <w:rsid w:val="00B93DEA"/>
    <w:rsid w:val="00B96548"/>
    <w:rsid w:val="00B96628"/>
    <w:rsid w:val="00B97984"/>
    <w:rsid w:val="00BA0809"/>
    <w:rsid w:val="00BA0D92"/>
    <w:rsid w:val="00BA12F2"/>
    <w:rsid w:val="00BA22AD"/>
    <w:rsid w:val="00BA250E"/>
    <w:rsid w:val="00BA2B64"/>
    <w:rsid w:val="00BA419D"/>
    <w:rsid w:val="00BA59DE"/>
    <w:rsid w:val="00BA6F36"/>
    <w:rsid w:val="00BA7134"/>
    <w:rsid w:val="00BA7908"/>
    <w:rsid w:val="00BB06F5"/>
    <w:rsid w:val="00BB0D6E"/>
    <w:rsid w:val="00BB1295"/>
    <w:rsid w:val="00BB3EB6"/>
    <w:rsid w:val="00BB41A2"/>
    <w:rsid w:val="00BB54E7"/>
    <w:rsid w:val="00BB5815"/>
    <w:rsid w:val="00BB65C9"/>
    <w:rsid w:val="00BB6A03"/>
    <w:rsid w:val="00BB6F90"/>
    <w:rsid w:val="00BB7C50"/>
    <w:rsid w:val="00BC02E3"/>
    <w:rsid w:val="00BC041E"/>
    <w:rsid w:val="00BC0E1B"/>
    <w:rsid w:val="00BC0FE5"/>
    <w:rsid w:val="00BC11EC"/>
    <w:rsid w:val="00BC17E3"/>
    <w:rsid w:val="00BC1CF9"/>
    <w:rsid w:val="00BC1EFD"/>
    <w:rsid w:val="00BC2572"/>
    <w:rsid w:val="00BC26E4"/>
    <w:rsid w:val="00BC2B11"/>
    <w:rsid w:val="00BC2B89"/>
    <w:rsid w:val="00BC439D"/>
    <w:rsid w:val="00BC4F00"/>
    <w:rsid w:val="00BC582A"/>
    <w:rsid w:val="00BC5B87"/>
    <w:rsid w:val="00BC5C9B"/>
    <w:rsid w:val="00BC5D31"/>
    <w:rsid w:val="00BC611F"/>
    <w:rsid w:val="00BC6DDA"/>
    <w:rsid w:val="00BC6EA6"/>
    <w:rsid w:val="00BC764C"/>
    <w:rsid w:val="00BD08D7"/>
    <w:rsid w:val="00BD0A7F"/>
    <w:rsid w:val="00BD145A"/>
    <w:rsid w:val="00BD1A8C"/>
    <w:rsid w:val="00BD1CD9"/>
    <w:rsid w:val="00BD20EE"/>
    <w:rsid w:val="00BD22B9"/>
    <w:rsid w:val="00BD26F2"/>
    <w:rsid w:val="00BD2A08"/>
    <w:rsid w:val="00BD2AE9"/>
    <w:rsid w:val="00BD34AB"/>
    <w:rsid w:val="00BD4254"/>
    <w:rsid w:val="00BD4903"/>
    <w:rsid w:val="00BD49C4"/>
    <w:rsid w:val="00BD4E98"/>
    <w:rsid w:val="00BD73E1"/>
    <w:rsid w:val="00BD7BBE"/>
    <w:rsid w:val="00BD7C86"/>
    <w:rsid w:val="00BE0316"/>
    <w:rsid w:val="00BE07F9"/>
    <w:rsid w:val="00BE0857"/>
    <w:rsid w:val="00BE096D"/>
    <w:rsid w:val="00BE0DE9"/>
    <w:rsid w:val="00BE1692"/>
    <w:rsid w:val="00BE3208"/>
    <w:rsid w:val="00BE3534"/>
    <w:rsid w:val="00BE353B"/>
    <w:rsid w:val="00BE365B"/>
    <w:rsid w:val="00BE47A1"/>
    <w:rsid w:val="00BE50F5"/>
    <w:rsid w:val="00BE65A5"/>
    <w:rsid w:val="00BE7016"/>
    <w:rsid w:val="00BE7A0C"/>
    <w:rsid w:val="00BF049F"/>
    <w:rsid w:val="00BF0D1E"/>
    <w:rsid w:val="00BF1E09"/>
    <w:rsid w:val="00BF2244"/>
    <w:rsid w:val="00BF2A71"/>
    <w:rsid w:val="00BF40DE"/>
    <w:rsid w:val="00BF5648"/>
    <w:rsid w:val="00BF57A8"/>
    <w:rsid w:val="00BF69D1"/>
    <w:rsid w:val="00BF749B"/>
    <w:rsid w:val="00BF7F4E"/>
    <w:rsid w:val="00BF7FAC"/>
    <w:rsid w:val="00C001A5"/>
    <w:rsid w:val="00C0097C"/>
    <w:rsid w:val="00C02B2D"/>
    <w:rsid w:val="00C036FB"/>
    <w:rsid w:val="00C04E54"/>
    <w:rsid w:val="00C04F5C"/>
    <w:rsid w:val="00C0520D"/>
    <w:rsid w:val="00C05B34"/>
    <w:rsid w:val="00C064DC"/>
    <w:rsid w:val="00C11E4A"/>
    <w:rsid w:val="00C135E9"/>
    <w:rsid w:val="00C160F5"/>
    <w:rsid w:val="00C166D8"/>
    <w:rsid w:val="00C16B02"/>
    <w:rsid w:val="00C17ECC"/>
    <w:rsid w:val="00C204FD"/>
    <w:rsid w:val="00C20FDC"/>
    <w:rsid w:val="00C214DB"/>
    <w:rsid w:val="00C21D7C"/>
    <w:rsid w:val="00C21E9D"/>
    <w:rsid w:val="00C22715"/>
    <w:rsid w:val="00C2481A"/>
    <w:rsid w:val="00C24FD2"/>
    <w:rsid w:val="00C25374"/>
    <w:rsid w:val="00C255CF"/>
    <w:rsid w:val="00C25EB7"/>
    <w:rsid w:val="00C27015"/>
    <w:rsid w:val="00C2776E"/>
    <w:rsid w:val="00C27B05"/>
    <w:rsid w:val="00C27E92"/>
    <w:rsid w:val="00C30461"/>
    <w:rsid w:val="00C3067E"/>
    <w:rsid w:val="00C31290"/>
    <w:rsid w:val="00C3177E"/>
    <w:rsid w:val="00C31CA5"/>
    <w:rsid w:val="00C321BB"/>
    <w:rsid w:val="00C32418"/>
    <w:rsid w:val="00C3351A"/>
    <w:rsid w:val="00C33E09"/>
    <w:rsid w:val="00C35A52"/>
    <w:rsid w:val="00C36CCA"/>
    <w:rsid w:val="00C375A9"/>
    <w:rsid w:val="00C40843"/>
    <w:rsid w:val="00C40CF4"/>
    <w:rsid w:val="00C41083"/>
    <w:rsid w:val="00C41CDC"/>
    <w:rsid w:val="00C42732"/>
    <w:rsid w:val="00C42AFE"/>
    <w:rsid w:val="00C43829"/>
    <w:rsid w:val="00C441C6"/>
    <w:rsid w:val="00C4434C"/>
    <w:rsid w:val="00C4608D"/>
    <w:rsid w:val="00C46496"/>
    <w:rsid w:val="00C46919"/>
    <w:rsid w:val="00C47569"/>
    <w:rsid w:val="00C47CAB"/>
    <w:rsid w:val="00C50CAC"/>
    <w:rsid w:val="00C5499D"/>
    <w:rsid w:val="00C556F1"/>
    <w:rsid w:val="00C57D9F"/>
    <w:rsid w:val="00C60306"/>
    <w:rsid w:val="00C60E26"/>
    <w:rsid w:val="00C60F52"/>
    <w:rsid w:val="00C61447"/>
    <w:rsid w:val="00C62034"/>
    <w:rsid w:val="00C6239D"/>
    <w:rsid w:val="00C63166"/>
    <w:rsid w:val="00C6369F"/>
    <w:rsid w:val="00C655E9"/>
    <w:rsid w:val="00C658B0"/>
    <w:rsid w:val="00C65AF4"/>
    <w:rsid w:val="00C65FBA"/>
    <w:rsid w:val="00C66655"/>
    <w:rsid w:val="00C67D26"/>
    <w:rsid w:val="00C705C0"/>
    <w:rsid w:val="00C70B11"/>
    <w:rsid w:val="00C7183E"/>
    <w:rsid w:val="00C71D7C"/>
    <w:rsid w:val="00C72682"/>
    <w:rsid w:val="00C72F5F"/>
    <w:rsid w:val="00C7310C"/>
    <w:rsid w:val="00C7408C"/>
    <w:rsid w:val="00C75FEB"/>
    <w:rsid w:val="00C76057"/>
    <w:rsid w:val="00C76EF1"/>
    <w:rsid w:val="00C772EB"/>
    <w:rsid w:val="00C8166F"/>
    <w:rsid w:val="00C818D1"/>
    <w:rsid w:val="00C82B8B"/>
    <w:rsid w:val="00C82BC1"/>
    <w:rsid w:val="00C82C39"/>
    <w:rsid w:val="00C82ED6"/>
    <w:rsid w:val="00C82FE2"/>
    <w:rsid w:val="00C8571E"/>
    <w:rsid w:val="00C8622D"/>
    <w:rsid w:val="00C865F6"/>
    <w:rsid w:val="00C872FE"/>
    <w:rsid w:val="00C87A32"/>
    <w:rsid w:val="00C90F93"/>
    <w:rsid w:val="00C90F99"/>
    <w:rsid w:val="00C91431"/>
    <w:rsid w:val="00C91553"/>
    <w:rsid w:val="00C922A4"/>
    <w:rsid w:val="00C92B4C"/>
    <w:rsid w:val="00C9390D"/>
    <w:rsid w:val="00C93D40"/>
    <w:rsid w:val="00C94224"/>
    <w:rsid w:val="00C94E39"/>
    <w:rsid w:val="00C956C0"/>
    <w:rsid w:val="00C96099"/>
    <w:rsid w:val="00C966B4"/>
    <w:rsid w:val="00C96C5E"/>
    <w:rsid w:val="00C97312"/>
    <w:rsid w:val="00C97944"/>
    <w:rsid w:val="00CA0BB4"/>
    <w:rsid w:val="00CA0C51"/>
    <w:rsid w:val="00CA18A8"/>
    <w:rsid w:val="00CA1AE7"/>
    <w:rsid w:val="00CA2818"/>
    <w:rsid w:val="00CA31F6"/>
    <w:rsid w:val="00CA4D5E"/>
    <w:rsid w:val="00CA5BA3"/>
    <w:rsid w:val="00CA61DE"/>
    <w:rsid w:val="00CA75C8"/>
    <w:rsid w:val="00CA7CC2"/>
    <w:rsid w:val="00CB0577"/>
    <w:rsid w:val="00CB1F44"/>
    <w:rsid w:val="00CB279D"/>
    <w:rsid w:val="00CB5DD1"/>
    <w:rsid w:val="00CB69FC"/>
    <w:rsid w:val="00CB7028"/>
    <w:rsid w:val="00CB74F0"/>
    <w:rsid w:val="00CB7636"/>
    <w:rsid w:val="00CB7DE8"/>
    <w:rsid w:val="00CC08D6"/>
    <w:rsid w:val="00CC16D5"/>
    <w:rsid w:val="00CC1E2B"/>
    <w:rsid w:val="00CC1FD6"/>
    <w:rsid w:val="00CC286C"/>
    <w:rsid w:val="00CC2C5C"/>
    <w:rsid w:val="00CC3304"/>
    <w:rsid w:val="00CC34F5"/>
    <w:rsid w:val="00CC3B20"/>
    <w:rsid w:val="00CC41AA"/>
    <w:rsid w:val="00CC4363"/>
    <w:rsid w:val="00CC4987"/>
    <w:rsid w:val="00CC51DB"/>
    <w:rsid w:val="00CC5216"/>
    <w:rsid w:val="00CC64C9"/>
    <w:rsid w:val="00CC6AA9"/>
    <w:rsid w:val="00CC74EF"/>
    <w:rsid w:val="00CC7654"/>
    <w:rsid w:val="00CD20DC"/>
    <w:rsid w:val="00CD30EA"/>
    <w:rsid w:val="00CD3C6C"/>
    <w:rsid w:val="00CD3EB4"/>
    <w:rsid w:val="00CD408F"/>
    <w:rsid w:val="00CD465E"/>
    <w:rsid w:val="00CD6E2A"/>
    <w:rsid w:val="00CD7893"/>
    <w:rsid w:val="00CD7BBB"/>
    <w:rsid w:val="00CE0227"/>
    <w:rsid w:val="00CE0C2C"/>
    <w:rsid w:val="00CE2C81"/>
    <w:rsid w:val="00CE40F0"/>
    <w:rsid w:val="00CE5165"/>
    <w:rsid w:val="00CE529F"/>
    <w:rsid w:val="00CE5A6C"/>
    <w:rsid w:val="00CE7A73"/>
    <w:rsid w:val="00CF0A5C"/>
    <w:rsid w:val="00CF0A64"/>
    <w:rsid w:val="00CF1A59"/>
    <w:rsid w:val="00CF2743"/>
    <w:rsid w:val="00CF5D65"/>
    <w:rsid w:val="00CF7F44"/>
    <w:rsid w:val="00D004AF"/>
    <w:rsid w:val="00D00771"/>
    <w:rsid w:val="00D00EC4"/>
    <w:rsid w:val="00D0282C"/>
    <w:rsid w:val="00D03621"/>
    <w:rsid w:val="00D03E59"/>
    <w:rsid w:val="00D05DBB"/>
    <w:rsid w:val="00D06BCB"/>
    <w:rsid w:val="00D0766C"/>
    <w:rsid w:val="00D079C4"/>
    <w:rsid w:val="00D100E4"/>
    <w:rsid w:val="00D109C4"/>
    <w:rsid w:val="00D10E80"/>
    <w:rsid w:val="00D11A0C"/>
    <w:rsid w:val="00D1229D"/>
    <w:rsid w:val="00D129F8"/>
    <w:rsid w:val="00D132F5"/>
    <w:rsid w:val="00D13803"/>
    <w:rsid w:val="00D13A32"/>
    <w:rsid w:val="00D13ED8"/>
    <w:rsid w:val="00D14C4C"/>
    <w:rsid w:val="00D15C1B"/>
    <w:rsid w:val="00D15E1C"/>
    <w:rsid w:val="00D16620"/>
    <w:rsid w:val="00D1679D"/>
    <w:rsid w:val="00D17279"/>
    <w:rsid w:val="00D2009C"/>
    <w:rsid w:val="00D20D3B"/>
    <w:rsid w:val="00D21E3C"/>
    <w:rsid w:val="00D21E5A"/>
    <w:rsid w:val="00D22057"/>
    <w:rsid w:val="00D225BA"/>
    <w:rsid w:val="00D23258"/>
    <w:rsid w:val="00D23804"/>
    <w:rsid w:val="00D23FA2"/>
    <w:rsid w:val="00D23FC3"/>
    <w:rsid w:val="00D270D3"/>
    <w:rsid w:val="00D27B2F"/>
    <w:rsid w:val="00D27F0B"/>
    <w:rsid w:val="00D310A0"/>
    <w:rsid w:val="00D31128"/>
    <w:rsid w:val="00D314B5"/>
    <w:rsid w:val="00D317D7"/>
    <w:rsid w:val="00D31A91"/>
    <w:rsid w:val="00D31D81"/>
    <w:rsid w:val="00D32317"/>
    <w:rsid w:val="00D32F71"/>
    <w:rsid w:val="00D33704"/>
    <w:rsid w:val="00D33754"/>
    <w:rsid w:val="00D3398F"/>
    <w:rsid w:val="00D34C99"/>
    <w:rsid w:val="00D355AD"/>
    <w:rsid w:val="00D35934"/>
    <w:rsid w:val="00D363BF"/>
    <w:rsid w:val="00D3705F"/>
    <w:rsid w:val="00D37917"/>
    <w:rsid w:val="00D40F99"/>
    <w:rsid w:val="00D41049"/>
    <w:rsid w:val="00D414CD"/>
    <w:rsid w:val="00D41F95"/>
    <w:rsid w:val="00D42D6F"/>
    <w:rsid w:val="00D43B26"/>
    <w:rsid w:val="00D44D20"/>
    <w:rsid w:val="00D44E4B"/>
    <w:rsid w:val="00D4580B"/>
    <w:rsid w:val="00D46606"/>
    <w:rsid w:val="00D477A5"/>
    <w:rsid w:val="00D47903"/>
    <w:rsid w:val="00D47EEE"/>
    <w:rsid w:val="00D5010B"/>
    <w:rsid w:val="00D50AAD"/>
    <w:rsid w:val="00D51144"/>
    <w:rsid w:val="00D52C33"/>
    <w:rsid w:val="00D52E17"/>
    <w:rsid w:val="00D53842"/>
    <w:rsid w:val="00D53E71"/>
    <w:rsid w:val="00D55A07"/>
    <w:rsid w:val="00D55CA7"/>
    <w:rsid w:val="00D601E1"/>
    <w:rsid w:val="00D613B8"/>
    <w:rsid w:val="00D613EA"/>
    <w:rsid w:val="00D621A3"/>
    <w:rsid w:val="00D62374"/>
    <w:rsid w:val="00D623F4"/>
    <w:rsid w:val="00D62C9E"/>
    <w:rsid w:val="00D63085"/>
    <w:rsid w:val="00D6326B"/>
    <w:rsid w:val="00D65DFF"/>
    <w:rsid w:val="00D65EBF"/>
    <w:rsid w:val="00D67BE3"/>
    <w:rsid w:val="00D67DDE"/>
    <w:rsid w:val="00D70117"/>
    <w:rsid w:val="00D70ACD"/>
    <w:rsid w:val="00D712D4"/>
    <w:rsid w:val="00D71A29"/>
    <w:rsid w:val="00D732E2"/>
    <w:rsid w:val="00D74DF5"/>
    <w:rsid w:val="00D74F0B"/>
    <w:rsid w:val="00D7760A"/>
    <w:rsid w:val="00D77A79"/>
    <w:rsid w:val="00D77EDB"/>
    <w:rsid w:val="00D8019E"/>
    <w:rsid w:val="00D80366"/>
    <w:rsid w:val="00D810C3"/>
    <w:rsid w:val="00D81782"/>
    <w:rsid w:val="00D82813"/>
    <w:rsid w:val="00D82BF0"/>
    <w:rsid w:val="00D82CFF"/>
    <w:rsid w:val="00D82FBA"/>
    <w:rsid w:val="00D84019"/>
    <w:rsid w:val="00D85293"/>
    <w:rsid w:val="00D852C2"/>
    <w:rsid w:val="00D856CD"/>
    <w:rsid w:val="00D860E1"/>
    <w:rsid w:val="00D871E5"/>
    <w:rsid w:val="00D91460"/>
    <w:rsid w:val="00D9305B"/>
    <w:rsid w:val="00D936F4"/>
    <w:rsid w:val="00D94615"/>
    <w:rsid w:val="00D95405"/>
    <w:rsid w:val="00D95523"/>
    <w:rsid w:val="00D959F3"/>
    <w:rsid w:val="00DA209E"/>
    <w:rsid w:val="00DA2D97"/>
    <w:rsid w:val="00DA3234"/>
    <w:rsid w:val="00DA381C"/>
    <w:rsid w:val="00DA402C"/>
    <w:rsid w:val="00DA4476"/>
    <w:rsid w:val="00DA551E"/>
    <w:rsid w:val="00DA5587"/>
    <w:rsid w:val="00DA5EE3"/>
    <w:rsid w:val="00DA7037"/>
    <w:rsid w:val="00DA71B2"/>
    <w:rsid w:val="00DA79A4"/>
    <w:rsid w:val="00DA7DE1"/>
    <w:rsid w:val="00DB0977"/>
    <w:rsid w:val="00DB1102"/>
    <w:rsid w:val="00DB112C"/>
    <w:rsid w:val="00DB644C"/>
    <w:rsid w:val="00DC02AA"/>
    <w:rsid w:val="00DC07D6"/>
    <w:rsid w:val="00DC2831"/>
    <w:rsid w:val="00DC3147"/>
    <w:rsid w:val="00DC3685"/>
    <w:rsid w:val="00DC4FB5"/>
    <w:rsid w:val="00DC5D7B"/>
    <w:rsid w:val="00DC66A5"/>
    <w:rsid w:val="00DC7D04"/>
    <w:rsid w:val="00DC7E3D"/>
    <w:rsid w:val="00DD0458"/>
    <w:rsid w:val="00DD0BF7"/>
    <w:rsid w:val="00DD1011"/>
    <w:rsid w:val="00DD181A"/>
    <w:rsid w:val="00DD1F69"/>
    <w:rsid w:val="00DD2682"/>
    <w:rsid w:val="00DD29B6"/>
    <w:rsid w:val="00DD3776"/>
    <w:rsid w:val="00DD403B"/>
    <w:rsid w:val="00DD4254"/>
    <w:rsid w:val="00DD4AB6"/>
    <w:rsid w:val="00DD4C75"/>
    <w:rsid w:val="00DD4E2B"/>
    <w:rsid w:val="00DD7418"/>
    <w:rsid w:val="00DE05B5"/>
    <w:rsid w:val="00DE3C55"/>
    <w:rsid w:val="00DE583F"/>
    <w:rsid w:val="00DE5C88"/>
    <w:rsid w:val="00DF029E"/>
    <w:rsid w:val="00DF0AAC"/>
    <w:rsid w:val="00DF146A"/>
    <w:rsid w:val="00DF2AEE"/>
    <w:rsid w:val="00DF33A6"/>
    <w:rsid w:val="00DF3899"/>
    <w:rsid w:val="00DF58E4"/>
    <w:rsid w:val="00DF5BD8"/>
    <w:rsid w:val="00DF5CB8"/>
    <w:rsid w:val="00DF77A0"/>
    <w:rsid w:val="00DF7BC4"/>
    <w:rsid w:val="00E00367"/>
    <w:rsid w:val="00E005F1"/>
    <w:rsid w:val="00E00BEC"/>
    <w:rsid w:val="00E0107A"/>
    <w:rsid w:val="00E01D9B"/>
    <w:rsid w:val="00E02DCA"/>
    <w:rsid w:val="00E03171"/>
    <w:rsid w:val="00E03634"/>
    <w:rsid w:val="00E03A6A"/>
    <w:rsid w:val="00E03EFB"/>
    <w:rsid w:val="00E040A6"/>
    <w:rsid w:val="00E052E2"/>
    <w:rsid w:val="00E05451"/>
    <w:rsid w:val="00E0562C"/>
    <w:rsid w:val="00E05A7F"/>
    <w:rsid w:val="00E062D2"/>
    <w:rsid w:val="00E067AF"/>
    <w:rsid w:val="00E06865"/>
    <w:rsid w:val="00E06C87"/>
    <w:rsid w:val="00E06D69"/>
    <w:rsid w:val="00E074F8"/>
    <w:rsid w:val="00E075FC"/>
    <w:rsid w:val="00E10AC7"/>
    <w:rsid w:val="00E11107"/>
    <w:rsid w:val="00E1238B"/>
    <w:rsid w:val="00E1292B"/>
    <w:rsid w:val="00E1296F"/>
    <w:rsid w:val="00E132D1"/>
    <w:rsid w:val="00E13375"/>
    <w:rsid w:val="00E138E3"/>
    <w:rsid w:val="00E154B6"/>
    <w:rsid w:val="00E156CF"/>
    <w:rsid w:val="00E2039D"/>
    <w:rsid w:val="00E203F6"/>
    <w:rsid w:val="00E21B18"/>
    <w:rsid w:val="00E223C7"/>
    <w:rsid w:val="00E22DE9"/>
    <w:rsid w:val="00E23CB1"/>
    <w:rsid w:val="00E25AC4"/>
    <w:rsid w:val="00E264EA"/>
    <w:rsid w:val="00E26753"/>
    <w:rsid w:val="00E26CB9"/>
    <w:rsid w:val="00E27006"/>
    <w:rsid w:val="00E270BF"/>
    <w:rsid w:val="00E27C2B"/>
    <w:rsid w:val="00E30772"/>
    <w:rsid w:val="00E30AB7"/>
    <w:rsid w:val="00E30CAB"/>
    <w:rsid w:val="00E31DD0"/>
    <w:rsid w:val="00E32305"/>
    <w:rsid w:val="00E32EB7"/>
    <w:rsid w:val="00E3379B"/>
    <w:rsid w:val="00E33C92"/>
    <w:rsid w:val="00E34119"/>
    <w:rsid w:val="00E3444D"/>
    <w:rsid w:val="00E35FB0"/>
    <w:rsid w:val="00E372F4"/>
    <w:rsid w:val="00E37E1A"/>
    <w:rsid w:val="00E40B28"/>
    <w:rsid w:val="00E40C4F"/>
    <w:rsid w:val="00E41144"/>
    <w:rsid w:val="00E42983"/>
    <w:rsid w:val="00E42BCD"/>
    <w:rsid w:val="00E432A6"/>
    <w:rsid w:val="00E43869"/>
    <w:rsid w:val="00E44C01"/>
    <w:rsid w:val="00E4685F"/>
    <w:rsid w:val="00E46E64"/>
    <w:rsid w:val="00E47093"/>
    <w:rsid w:val="00E475CC"/>
    <w:rsid w:val="00E50339"/>
    <w:rsid w:val="00E50B04"/>
    <w:rsid w:val="00E53A7E"/>
    <w:rsid w:val="00E53D8A"/>
    <w:rsid w:val="00E540AA"/>
    <w:rsid w:val="00E548CA"/>
    <w:rsid w:val="00E554EF"/>
    <w:rsid w:val="00E565AE"/>
    <w:rsid w:val="00E574D5"/>
    <w:rsid w:val="00E579A7"/>
    <w:rsid w:val="00E600E9"/>
    <w:rsid w:val="00E60329"/>
    <w:rsid w:val="00E6185F"/>
    <w:rsid w:val="00E62783"/>
    <w:rsid w:val="00E627BB"/>
    <w:rsid w:val="00E629DF"/>
    <w:rsid w:val="00E62BA7"/>
    <w:rsid w:val="00E65994"/>
    <w:rsid w:val="00E659FD"/>
    <w:rsid w:val="00E66138"/>
    <w:rsid w:val="00E661C9"/>
    <w:rsid w:val="00E6675A"/>
    <w:rsid w:val="00E67793"/>
    <w:rsid w:val="00E71469"/>
    <w:rsid w:val="00E725D8"/>
    <w:rsid w:val="00E73F60"/>
    <w:rsid w:val="00E74B84"/>
    <w:rsid w:val="00E7505D"/>
    <w:rsid w:val="00E7731F"/>
    <w:rsid w:val="00E804B0"/>
    <w:rsid w:val="00E80914"/>
    <w:rsid w:val="00E814E5"/>
    <w:rsid w:val="00E8283F"/>
    <w:rsid w:val="00E839E1"/>
    <w:rsid w:val="00E83C07"/>
    <w:rsid w:val="00E84CD0"/>
    <w:rsid w:val="00E84E87"/>
    <w:rsid w:val="00E867AF"/>
    <w:rsid w:val="00E86DB6"/>
    <w:rsid w:val="00E90FC3"/>
    <w:rsid w:val="00E91D06"/>
    <w:rsid w:val="00E9246B"/>
    <w:rsid w:val="00E93774"/>
    <w:rsid w:val="00E942F3"/>
    <w:rsid w:val="00E94DC4"/>
    <w:rsid w:val="00E967C6"/>
    <w:rsid w:val="00E96B03"/>
    <w:rsid w:val="00E96C6F"/>
    <w:rsid w:val="00EA11FF"/>
    <w:rsid w:val="00EA198E"/>
    <w:rsid w:val="00EA2FE8"/>
    <w:rsid w:val="00EA30CA"/>
    <w:rsid w:val="00EA48DC"/>
    <w:rsid w:val="00EA5507"/>
    <w:rsid w:val="00EA5714"/>
    <w:rsid w:val="00EA62C3"/>
    <w:rsid w:val="00EA6B29"/>
    <w:rsid w:val="00EA7699"/>
    <w:rsid w:val="00EA7F93"/>
    <w:rsid w:val="00EB04FC"/>
    <w:rsid w:val="00EB0B28"/>
    <w:rsid w:val="00EB0FAC"/>
    <w:rsid w:val="00EB17B3"/>
    <w:rsid w:val="00EB39E5"/>
    <w:rsid w:val="00EB585B"/>
    <w:rsid w:val="00EB6D74"/>
    <w:rsid w:val="00EB700F"/>
    <w:rsid w:val="00EB73DE"/>
    <w:rsid w:val="00EB7519"/>
    <w:rsid w:val="00EB795B"/>
    <w:rsid w:val="00EB7DCE"/>
    <w:rsid w:val="00EC1304"/>
    <w:rsid w:val="00EC1877"/>
    <w:rsid w:val="00EC2891"/>
    <w:rsid w:val="00EC31E1"/>
    <w:rsid w:val="00EC34E1"/>
    <w:rsid w:val="00EC3C8F"/>
    <w:rsid w:val="00EC4779"/>
    <w:rsid w:val="00EC50F7"/>
    <w:rsid w:val="00EC517A"/>
    <w:rsid w:val="00EC56DE"/>
    <w:rsid w:val="00EC63A9"/>
    <w:rsid w:val="00EC64C7"/>
    <w:rsid w:val="00EC667E"/>
    <w:rsid w:val="00EC6E7E"/>
    <w:rsid w:val="00EC6EA4"/>
    <w:rsid w:val="00EC7A76"/>
    <w:rsid w:val="00ED01D0"/>
    <w:rsid w:val="00ED04DA"/>
    <w:rsid w:val="00ED10A9"/>
    <w:rsid w:val="00ED22F8"/>
    <w:rsid w:val="00ED2521"/>
    <w:rsid w:val="00ED2BCC"/>
    <w:rsid w:val="00ED2BDB"/>
    <w:rsid w:val="00ED3E32"/>
    <w:rsid w:val="00ED3FD5"/>
    <w:rsid w:val="00ED48AD"/>
    <w:rsid w:val="00ED6A8E"/>
    <w:rsid w:val="00ED77D9"/>
    <w:rsid w:val="00ED7E94"/>
    <w:rsid w:val="00EE009E"/>
    <w:rsid w:val="00EE1120"/>
    <w:rsid w:val="00EE1EAA"/>
    <w:rsid w:val="00EE22DD"/>
    <w:rsid w:val="00EE2F01"/>
    <w:rsid w:val="00EE32B8"/>
    <w:rsid w:val="00EE4580"/>
    <w:rsid w:val="00EE53A0"/>
    <w:rsid w:val="00EE5FE3"/>
    <w:rsid w:val="00EE60CE"/>
    <w:rsid w:val="00EE7537"/>
    <w:rsid w:val="00EE7FE2"/>
    <w:rsid w:val="00EF0234"/>
    <w:rsid w:val="00EF1787"/>
    <w:rsid w:val="00EF20D5"/>
    <w:rsid w:val="00EF3320"/>
    <w:rsid w:val="00EF3627"/>
    <w:rsid w:val="00EF3916"/>
    <w:rsid w:val="00EF4754"/>
    <w:rsid w:val="00EF4FA4"/>
    <w:rsid w:val="00EF5827"/>
    <w:rsid w:val="00EF5FBA"/>
    <w:rsid w:val="00EF6FF4"/>
    <w:rsid w:val="00F01547"/>
    <w:rsid w:val="00F015FB"/>
    <w:rsid w:val="00F026B3"/>
    <w:rsid w:val="00F02D13"/>
    <w:rsid w:val="00F042F8"/>
    <w:rsid w:val="00F04D8A"/>
    <w:rsid w:val="00F04DD0"/>
    <w:rsid w:val="00F050B7"/>
    <w:rsid w:val="00F051C9"/>
    <w:rsid w:val="00F067F6"/>
    <w:rsid w:val="00F06DA4"/>
    <w:rsid w:val="00F07586"/>
    <w:rsid w:val="00F106E3"/>
    <w:rsid w:val="00F1081A"/>
    <w:rsid w:val="00F11787"/>
    <w:rsid w:val="00F1180B"/>
    <w:rsid w:val="00F11F0C"/>
    <w:rsid w:val="00F120A7"/>
    <w:rsid w:val="00F139E1"/>
    <w:rsid w:val="00F15DC7"/>
    <w:rsid w:val="00F15F2E"/>
    <w:rsid w:val="00F1675E"/>
    <w:rsid w:val="00F16A51"/>
    <w:rsid w:val="00F16F99"/>
    <w:rsid w:val="00F1766D"/>
    <w:rsid w:val="00F17E80"/>
    <w:rsid w:val="00F2059D"/>
    <w:rsid w:val="00F20CB8"/>
    <w:rsid w:val="00F20F35"/>
    <w:rsid w:val="00F23FA1"/>
    <w:rsid w:val="00F25E61"/>
    <w:rsid w:val="00F2628D"/>
    <w:rsid w:val="00F2640F"/>
    <w:rsid w:val="00F26D4F"/>
    <w:rsid w:val="00F271EB"/>
    <w:rsid w:val="00F2738E"/>
    <w:rsid w:val="00F27BF5"/>
    <w:rsid w:val="00F30396"/>
    <w:rsid w:val="00F3209B"/>
    <w:rsid w:val="00F32D30"/>
    <w:rsid w:val="00F33E39"/>
    <w:rsid w:val="00F35F1F"/>
    <w:rsid w:val="00F36082"/>
    <w:rsid w:val="00F36A56"/>
    <w:rsid w:val="00F36B1D"/>
    <w:rsid w:val="00F37BA7"/>
    <w:rsid w:val="00F40235"/>
    <w:rsid w:val="00F40408"/>
    <w:rsid w:val="00F40808"/>
    <w:rsid w:val="00F40A01"/>
    <w:rsid w:val="00F40A44"/>
    <w:rsid w:val="00F4181C"/>
    <w:rsid w:val="00F425E5"/>
    <w:rsid w:val="00F4340D"/>
    <w:rsid w:val="00F4417F"/>
    <w:rsid w:val="00F441C6"/>
    <w:rsid w:val="00F44B87"/>
    <w:rsid w:val="00F4514C"/>
    <w:rsid w:val="00F4757B"/>
    <w:rsid w:val="00F47BB2"/>
    <w:rsid w:val="00F50816"/>
    <w:rsid w:val="00F50C9F"/>
    <w:rsid w:val="00F51C04"/>
    <w:rsid w:val="00F52037"/>
    <w:rsid w:val="00F521BC"/>
    <w:rsid w:val="00F52674"/>
    <w:rsid w:val="00F52B75"/>
    <w:rsid w:val="00F558BF"/>
    <w:rsid w:val="00F5597A"/>
    <w:rsid w:val="00F56134"/>
    <w:rsid w:val="00F562C1"/>
    <w:rsid w:val="00F56D9B"/>
    <w:rsid w:val="00F6099C"/>
    <w:rsid w:val="00F60C4F"/>
    <w:rsid w:val="00F61B97"/>
    <w:rsid w:val="00F61F4C"/>
    <w:rsid w:val="00F62DE8"/>
    <w:rsid w:val="00F63C45"/>
    <w:rsid w:val="00F63D2D"/>
    <w:rsid w:val="00F64AE0"/>
    <w:rsid w:val="00F67BC9"/>
    <w:rsid w:val="00F67EDD"/>
    <w:rsid w:val="00F71D18"/>
    <w:rsid w:val="00F73A5C"/>
    <w:rsid w:val="00F73DF3"/>
    <w:rsid w:val="00F7443A"/>
    <w:rsid w:val="00F759D9"/>
    <w:rsid w:val="00F75E3F"/>
    <w:rsid w:val="00F7675C"/>
    <w:rsid w:val="00F7743B"/>
    <w:rsid w:val="00F8006D"/>
    <w:rsid w:val="00F8062B"/>
    <w:rsid w:val="00F8087B"/>
    <w:rsid w:val="00F8258A"/>
    <w:rsid w:val="00F82CB8"/>
    <w:rsid w:val="00F8310F"/>
    <w:rsid w:val="00F83805"/>
    <w:rsid w:val="00F840F3"/>
    <w:rsid w:val="00F844FE"/>
    <w:rsid w:val="00F84D7F"/>
    <w:rsid w:val="00F85940"/>
    <w:rsid w:val="00F85BF9"/>
    <w:rsid w:val="00F87154"/>
    <w:rsid w:val="00F87830"/>
    <w:rsid w:val="00F87BD6"/>
    <w:rsid w:val="00F87F22"/>
    <w:rsid w:val="00F90446"/>
    <w:rsid w:val="00F907C8"/>
    <w:rsid w:val="00F9109B"/>
    <w:rsid w:val="00F91900"/>
    <w:rsid w:val="00F92720"/>
    <w:rsid w:val="00F92B4B"/>
    <w:rsid w:val="00F92E8D"/>
    <w:rsid w:val="00F93AEE"/>
    <w:rsid w:val="00F93C5F"/>
    <w:rsid w:val="00F93E49"/>
    <w:rsid w:val="00F94115"/>
    <w:rsid w:val="00F94530"/>
    <w:rsid w:val="00F94E64"/>
    <w:rsid w:val="00F96F01"/>
    <w:rsid w:val="00F972F0"/>
    <w:rsid w:val="00F977D2"/>
    <w:rsid w:val="00FA1373"/>
    <w:rsid w:val="00FA1E19"/>
    <w:rsid w:val="00FA2DA8"/>
    <w:rsid w:val="00FA47CD"/>
    <w:rsid w:val="00FA4991"/>
    <w:rsid w:val="00FA61A7"/>
    <w:rsid w:val="00FA70BB"/>
    <w:rsid w:val="00FA729E"/>
    <w:rsid w:val="00FA7D90"/>
    <w:rsid w:val="00FB0233"/>
    <w:rsid w:val="00FB1825"/>
    <w:rsid w:val="00FB1D0C"/>
    <w:rsid w:val="00FB1E8C"/>
    <w:rsid w:val="00FB1F25"/>
    <w:rsid w:val="00FB240A"/>
    <w:rsid w:val="00FB27EB"/>
    <w:rsid w:val="00FB28B1"/>
    <w:rsid w:val="00FB33EA"/>
    <w:rsid w:val="00FB362D"/>
    <w:rsid w:val="00FB4C81"/>
    <w:rsid w:val="00FB6E83"/>
    <w:rsid w:val="00FB7875"/>
    <w:rsid w:val="00FB7D41"/>
    <w:rsid w:val="00FC0BC4"/>
    <w:rsid w:val="00FC0C43"/>
    <w:rsid w:val="00FC1512"/>
    <w:rsid w:val="00FC1CDC"/>
    <w:rsid w:val="00FC26C3"/>
    <w:rsid w:val="00FC2FC6"/>
    <w:rsid w:val="00FC39F0"/>
    <w:rsid w:val="00FC423E"/>
    <w:rsid w:val="00FC50EF"/>
    <w:rsid w:val="00FC577B"/>
    <w:rsid w:val="00FC7AD5"/>
    <w:rsid w:val="00FD06D9"/>
    <w:rsid w:val="00FD1546"/>
    <w:rsid w:val="00FD2804"/>
    <w:rsid w:val="00FD2814"/>
    <w:rsid w:val="00FD2C29"/>
    <w:rsid w:val="00FD537A"/>
    <w:rsid w:val="00FD6B25"/>
    <w:rsid w:val="00FD7A36"/>
    <w:rsid w:val="00FE004C"/>
    <w:rsid w:val="00FE12CB"/>
    <w:rsid w:val="00FE166F"/>
    <w:rsid w:val="00FE23B8"/>
    <w:rsid w:val="00FE347A"/>
    <w:rsid w:val="00FE5998"/>
    <w:rsid w:val="00FE63D6"/>
    <w:rsid w:val="00FE6A12"/>
    <w:rsid w:val="00FE7844"/>
    <w:rsid w:val="00FE7853"/>
    <w:rsid w:val="00FF074E"/>
    <w:rsid w:val="00FF0C32"/>
    <w:rsid w:val="00FF11A9"/>
    <w:rsid w:val="00FF12E1"/>
    <w:rsid w:val="00FF2901"/>
    <w:rsid w:val="00FF35FF"/>
    <w:rsid w:val="00FF432F"/>
    <w:rsid w:val="00FF718B"/>
    <w:rsid w:val="00FF727A"/>
    <w:rsid w:val="00FF7824"/>
    <w:rsid w:val="015B4CA3"/>
    <w:rsid w:val="016B6B19"/>
    <w:rsid w:val="02025613"/>
    <w:rsid w:val="021A06B0"/>
    <w:rsid w:val="0282156D"/>
    <w:rsid w:val="033E696D"/>
    <w:rsid w:val="039858F2"/>
    <w:rsid w:val="03A03184"/>
    <w:rsid w:val="040231B9"/>
    <w:rsid w:val="044367B0"/>
    <w:rsid w:val="048F6BA5"/>
    <w:rsid w:val="04BD3D81"/>
    <w:rsid w:val="05E5600D"/>
    <w:rsid w:val="06710E08"/>
    <w:rsid w:val="068612E7"/>
    <w:rsid w:val="06CC10CD"/>
    <w:rsid w:val="07AF256F"/>
    <w:rsid w:val="07B319DE"/>
    <w:rsid w:val="09146E98"/>
    <w:rsid w:val="09210183"/>
    <w:rsid w:val="09F9205B"/>
    <w:rsid w:val="0A307AB3"/>
    <w:rsid w:val="0A407F4A"/>
    <w:rsid w:val="0A4648CF"/>
    <w:rsid w:val="0A7E3BC1"/>
    <w:rsid w:val="0AD16353"/>
    <w:rsid w:val="0AF20E23"/>
    <w:rsid w:val="0B5D6924"/>
    <w:rsid w:val="0BB83A54"/>
    <w:rsid w:val="0BE001DA"/>
    <w:rsid w:val="0C53176E"/>
    <w:rsid w:val="0C5E697A"/>
    <w:rsid w:val="0E047CEB"/>
    <w:rsid w:val="0E130DFA"/>
    <w:rsid w:val="0E8D65A6"/>
    <w:rsid w:val="0EC6513C"/>
    <w:rsid w:val="0F467E20"/>
    <w:rsid w:val="0FA02DE0"/>
    <w:rsid w:val="0FB86BA3"/>
    <w:rsid w:val="104B7BFF"/>
    <w:rsid w:val="108C39E7"/>
    <w:rsid w:val="10B06788"/>
    <w:rsid w:val="116B5255"/>
    <w:rsid w:val="118F6932"/>
    <w:rsid w:val="122E5DFF"/>
    <w:rsid w:val="129841CB"/>
    <w:rsid w:val="13301502"/>
    <w:rsid w:val="136A7EDD"/>
    <w:rsid w:val="13A92C40"/>
    <w:rsid w:val="155308F6"/>
    <w:rsid w:val="15945CB1"/>
    <w:rsid w:val="15DC2785"/>
    <w:rsid w:val="16195FDE"/>
    <w:rsid w:val="16201F02"/>
    <w:rsid w:val="1695469E"/>
    <w:rsid w:val="1767428D"/>
    <w:rsid w:val="17A84504"/>
    <w:rsid w:val="17D17FE1"/>
    <w:rsid w:val="17E864DD"/>
    <w:rsid w:val="1830075E"/>
    <w:rsid w:val="196565AA"/>
    <w:rsid w:val="19A608D2"/>
    <w:rsid w:val="19CB6AA7"/>
    <w:rsid w:val="19E82F2D"/>
    <w:rsid w:val="1A4B2D28"/>
    <w:rsid w:val="1AB35309"/>
    <w:rsid w:val="1C3F1E54"/>
    <w:rsid w:val="1DEF6368"/>
    <w:rsid w:val="1E1B0ADF"/>
    <w:rsid w:val="1EEF0DDB"/>
    <w:rsid w:val="1EEF24C5"/>
    <w:rsid w:val="1F30762B"/>
    <w:rsid w:val="1F3423B7"/>
    <w:rsid w:val="1FC42B64"/>
    <w:rsid w:val="1FCC62D3"/>
    <w:rsid w:val="20214B10"/>
    <w:rsid w:val="20E65548"/>
    <w:rsid w:val="21060FD7"/>
    <w:rsid w:val="21DB22DE"/>
    <w:rsid w:val="22A76EC8"/>
    <w:rsid w:val="22F94F21"/>
    <w:rsid w:val="22FB4006"/>
    <w:rsid w:val="23052BAC"/>
    <w:rsid w:val="234E65B1"/>
    <w:rsid w:val="23883918"/>
    <w:rsid w:val="24575689"/>
    <w:rsid w:val="252B1339"/>
    <w:rsid w:val="25DA6D7E"/>
    <w:rsid w:val="25E649EA"/>
    <w:rsid w:val="263952BC"/>
    <w:rsid w:val="26492611"/>
    <w:rsid w:val="27823EA2"/>
    <w:rsid w:val="27C45A95"/>
    <w:rsid w:val="28584A86"/>
    <w:rsid w:val="28C52387"/>
    <w:rsid w:val="28DB5C1A"/>
    <w:rsid w:val="29102574"/>
    <w:rsid w:val="292D2255"/>
    <w:rsid w:val="29C1466A"/>
    <w:rsid w:val="2A040055"/>
    <w:rsid w:val="2A8451C8"/>
    <w:rsid w:val="2ABA708D"/>
    <w:rsid w:val="2B4B5A9E"/>
    <w:rsid w:val="2B822FB7"/>
    <w:rsid w:val="2B9D7E25"/>
    <w:rsid w:val="2BF734FF"/>
    <w:rsid w:val="2CAD5165"/>
    <w:rsid w:val="2CB72DF0"/>
    <w:rsid w:val="2D422172"/>
    <w:rsid w:val="2DCD1368"/>
    <w:rsid w:val="2E063E89"/>
    <w:rsid w:val="2E11721B"/>
    <w:rsid w:val="2F5B0E81"/>
    <w:rsid w:val="2FB16CA4"/>
    <w:rsid w:val="30144EC2"/>
    <w:rsid w:val="303073CE"/>
    <w:rsid w:val="30E119FE"/>
    <w:rsid w:val="30F24EA9"/>
    <w:rsid w:val="30F721F2"/>
    <w:rsid w:val="3156044E"/>
    <w:rsid w:val="31A8218F"/>
    <w:rsid w:val="31C14142"/>
    <w:rsid w:val="33475512"/>
    <w:rsid w:val="33C80504"/>
    <w:rsid w:val="33E60EE4"/>
    <w:rsid w:val="33F15628"/>
    <w:rsid w:val="348B0379"/>
    <w:rsid w:val="353A18E4"/>
    <w:rsid w:val="35952AEC"/>
    <w:rsid w:val="35AA389E"/>
    <w:rsid w:val="35B704D6"/>
    <w:rsid w:val="35DB7CBD"/>
    <w:rsid w:val="365C0720"/>
    <w:rsid w:val="36E431AB"/>
    <w:rsid w:val="3801771C"/>
    <w:rsid w:val="380753BC"/>
    <w:rsid w:val="380D767A"/>
    <w:rsid w:val="38993E8F"/>
    <w:rsid w:val="38C04622"/>
    <w:rsid w:val="38E5211B"/>
    <w:rsid w:val="395922E0"/>
    <w:rsid w:val="396101CC"/>
    <w:rsid w:val="39AB02EF"/>
    <w:rsid w:val="3AD815D7"/>
    <w:rsid w:val="3C0E1570"/>
    <w:rsid w:val="3C186B72"/>
    <w:rsid w:val="3C3B59DA"/>
    <w:rsid w:val="3C8753CF"/>
    <w:rsid w:val="3CB43221"/>
    <w:rsid w:val="3D6F7148"/>
    <w:rsid w:val="3DCD3561"/>
    <w:rsid w:val="3E242A60"/>
    <w:rsid w:val="3E26436F"/>
    <w:rsid w:val="3E605436"/>
    <w:rsid w:val="3EB5522B"/>
    <w:rsid w:val="3FC823B0"/>
    <w:rsid w:val="4004136D"/>
    <w:rsid w:val="40EF3A24"/>
    <w:rsid w:val="41F82507"/>
    <w:rsid w:val="420C3D6E"/>
    <w:rsid w:val="424109D0"/>
    <w:rsid w:val="426551F3"/>
    <w:rsid w:val="42990C13"/>
    <w:rsid w:val="436A002C"/>
    <w:rsid w:val="437236DC"/>
    <w:rsid w:val="43CB2A52"/>
    <w:rsid w:val="4407612D"/>
    <w:rsid w:val="448970B3"/>
    <w:rsid w:val="466A5022"/>
    <w:rsid w:val="4690622E"/>
    <w:rsid w:val="46BC17F8"/>
    <w:rsid w:val="470864C7"/>
    <w:rsid w:val="47A00C06"/>
    <w:rsid w:val="481B56EC"/>
    <w:rsid w:val="482F4D73"/>
    <w:rsid w:val="489C2AAD"/>
    <w:rsid w:val="491714BC"/>
    <w:rsid w:val="49725D2E"/>
    <w:rsid w:val="49E56247"/>
    <w:rsid w:val="4A3B3251"/>
    <w:rsid w:val="4A98308A"/>
    <w:rsid w:val="4AEA3692"/>
    <w:rsid w:val="4B176810"/>
    <w:rsid w:val="4BA803F5"/>
    <w:rsid w:val="4BB84AAD"/>
    <w:rsid w:val="4CD33427"/>
    <w:rsid w:val="4CE120C9"/>
    <w:rsid w:val="4CFF33B4"/>
    <w:rsid w:val="4D966A3D"/>
    <w:rsid w:val="4E1A6DB5"/>
    <w:rsid w:val="4E4667F5"/>
    <w:rsid w:val="4EB86BA1"/>
    <w:rsid w:val="4EF66C19"/>
    <w:rsid w:val="4F301FFB"/>
    <w:rsid w:val="4F3D0E54"/>
    <w:rsid w:val="4FCB1C0C"/>
    <w:rsid w:val="4FF21C3E"/>
    <w:rsid w:val="502A587C"/>
    <w:rsid w:val="50871D27"/>
    <w:rsid w:val="51BC4C86"/>
    <w:rsid w:val="51CB5293"/>
    <w:rsid w:val="51E1640E"/>
    <w:rsid w:val="51FB09CD"/>
    <w:rsid w:val="520D74BE"/>
    <w:rsid w:val="522377D2"/>
    <w:rsid w:val="52927AA2"/>
    <w:rsid w:val="52CE11C4"/>
    <w:rsid w:val="530E3233"/>
    <w:rsid w:val="53532B6D"/>
    <w:rsid w:val="541615DB"/>
    <w:rsid w:val="55992AE1"/>
    <w:rsid w:val="55AA6CC4"/>
    <w:rsid w:val="55BF7B5D"/>
    <w:rsid w:val="55E069DD"/>
    <w:rsid w:val="56266A73"/>
    <w:rsid w:val="570B7614"/>
    <w:rsid w:val="5751384D"/>
    <w:rsid w:val="57B07009"/>
    <w:rsid w:val="57E6738D"/>
    <w:rsid w:val="588A5924"/>
    <w:rsid w:val="58B7301E"/>
    <w:rsid w:val="58CD607B"/>
    <w:rsid w:val="58FE6895"/>
    <w:rsid w:val="59223A64"/>
    <w:rsid w:val="59AD3E0E"/>
    <w:rsid w:val="59F35F3A"/>
    <w:rsid w:val="5A4C5F01"/>
    <w:rsid w:val="5A7A2220"/>
    <w:rsid w:val="5AB665E6"/>
    <w:rsid w:val="5B6523ED"/>
    <w:rsid w:val="5B7A63DB"/>
    <w:rsid w:val="5B7B32D1"/>
    <w:rsid w:val="5BD4615F"/>
    <w:rsid w:val="5BF8682E"/>
    <w:rsid w:val="5C38462F"/>
    <w:rsid w:val="5D74263F"/>
    <w:rsid w:val="5DEA5997"/>
    <w:rsid w:val="5E9706DB"/>
    <w:rsid w:val="5EF04098"/>
    <w:rsid w:val="5F7A7D2B"/>
    <w:rsid w:val="5F954394"/>
    <w:rsid w:val="5FA6034F"/>
    <w:rsid w:val="5FD37252"/>
    <w:rsid w:val="5FE64BF0"/>
    <w:rsid w:val="6048114B"/>
    <w:rsid w:val="605A1055"/>
    <w:rsid w:val="60C213F0"/>
    <w:rsid w:val="60EB7DAD"/>
    <w:rsid w:val="611B477F"/>
    <w:rsid w:val="619066B6"/>
    <w:rsid w:val="61F361F9"/>
    <w:rsid w:val="61F54E8E"/>
    <w:rsid w:val="620745A3"/>
    <w:rsid w:val="620D389C"/>
    <w:rsid w:val="628644E2"/>
    <w:rsid w:val="62E967AF"/>
    <w:rsid w:val="63E04B73"/>
    <w:rsid w:val="63EC7A2E"/>
    <w:rsid w:val="64D85DCB"/>
    <w:rsid w:val="65AD7695"/>
    <w:rsid w:val="66A479F2"/>
    <w:rsid w:val="66B4253F"/>
    <w:rsid w:val="670A28D3"/>
    <w:rsid w:val="67854AA5"/>
    <w:rsid w:val="67EA1A46"/>
    <w:rsid w:val="680F4B23"/>
    <w:rsid w:val="681177DB"/>
    <w:rsid w:val="688F2159"/>
    <w:rsid w:val="68C0684E"/>
    <w:rsid w:val="693634DB"/>
    <w:rsid w:val="69590A12"/>
    <w:rsid w:val="69DB25A5"/>
    <w:rsid w:val="6A483EC8"/>
    <w:rsid w:val="6ACA3056"/>
    <w:rsid w:val="6ACB55EB"/>
    <w:rsid w:val="6AE05BA5"/>
    <w:rsid w:val="6B4C0418"/>
    <w:rsid w:val="6BE61923"/>
    <w:rsid w:val="6C2E5844"/>
    <w:rsid w:val="6CB917F8"/>
    <w:rsid w:val="6DA877B4"/>
    <w:rsid w:val="6E2214E9"/>
    <w:rsid w:val="6E8E2821"/>
    <w:rsid w:val="6EE851AF"/>
    <w:rsid w:val="6FFF3DBF"/>
    <w:rsid w:val="705C5AA3"/>
    <w:rsid w:val="70696998"/>
    <w:rsid w:val="707E1D6A"/>
    <w:rsid w:val="70904E1F"/>
    <w:rsid w:val="70980188"/>
    <w:rsid w:val="70DB1624"/>
    <w:rsid w:val="714479C8"/>
    <w:rsid w:val="714E5797"/>
    <w:rsid w:val="72F53670"/>
    <w:rsid w:val="73131704"/>
    <w:rsid w:val="732C4FF0"/>
    <w:rsid w:val="73615290"/>
    <w:rsid w:val="740D6106"/>
    <w:rsid w:val="74C41BB6"/>
    <w:rsid w:val="76230C32"/>
    <w:rsid w:val="77AB7A17"/>
    <w:rsid w:val="79DB0D33"/>
    <w:rsid w:val="7A5A101B"/>
    <w:rsid w:val="7A915E47"/>
    <w:rsid w:val="7A950CD9"/>
    <w:rsid w:val="7AE555B6"/>
    <w:rsid w:val="7B612B29"/>
    <w:rsid w:val="7B9B0B33"/>
    <w:rsid w:val="7BC71E36"/>
    <w:rsid w:val="7C4C031C"/>
    <w:rsid w:val="7C671830"/>
    <w:rsid w:val="7CAD1877"/>
    <w:rsid w:val="7D882BC9"/>
    <w:rsid w:val="7DBF31C7"/>
    <w:rsid w:val="7E1D02EF"/>
    <w:rsid w:val="7E4B38EA"/>
    <w:rsid w:val="7E5C0A47"/>
    <w:rsid w:val="7EFA2E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9" w:semiHidden="0" w:name="heading 3"/>
    <w:lsdException w:qFormat="1" w:uiPriority="9" w:semiHidden="0" w:name="heading 4"/>
    <w:lsdException w:qFormat="1" w:uiPriority="9" w:semiHidden="0" w:name="heading 5"/>
    <w:lsdException w:qFormat="1" w:uiPriority="9"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iPriority="0" w:semiHidden="0"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3">
    <w:name w:val="heading 1"/>
    <w:basedOn w:val="1"/>
    <w:next w:val="1"/>
    <w:link w:val="50"/>
    <w:autoRedefine/>
    <w:qFormat/>
    <w:uiPriority w:val="9"/>
    <w:pPr>
      <w:pageBreakBefore/>
      <w:numPr>
        <w:ilvl w:val="0"/>
        <w:numId w:val="1"/>
      </w:numPr>
      <w:tabs>
        <w:tab w:val="left" w:pos="0"/>
      </w:tabs>
      <w:spacing w:before="120" w:after="120"/>
      <w:ind w:left="432" w:hanging="432" w:firstLineChars="0"/>
      <w:jc w:val="center"/>
      <w:outlineLvl w:val="0"/>
    </w:pPr>
    <w:rPr>
      <w:rFonts w:ascii="宋体" w:hAnsi="宋体" w:cs="宋体"/>
      <w:b/>
      <w:color w:val="000000" w:themeColor="text1"/>
      <w:kern w:val="44"/>
      <w:sz w:val="44"/>
      <w:szCs w:val="22"/>
      <w14:textFill>
        <w14:solidFill>
          <w14:schemeClr w14:val="tx1"/>
        </w14:solidFill>
      </w14:textFill>
    </w:rPr>
  </w:style>
  <w:style w:type="paragraph" w:styleId="4">
    <w:name w:val="heading 2"/>
    <w:basedOn w:val="1"/>
    <w:next w:val="1"/>
    <w:link w:val="51"/>
    <w:autoRedefine/>
    <w:unhideWhenUsed/>
    <w:qFormat/>
    <w:uiPriority w:val="99"/>
    <w:pPr>
      <w:keepNext/>
      <w:keepLines/>
      <w:numPr>
        <w:ilvl w:val="1"/>
        <w:numId w:val="1"/>
      </w:numPr>
      <w:tabs>
        <w:tab w:val="left" w:pos="0"/>
      </w:tabs>
      <w:ind w:left="575" w:hanging="575" w:firstLineChars="0"/>
      <w:jc w:val="left"/>
      <w:outlineLvl w:val="1"/>
    </w:pPr>
    <w:rPr>
      <w:rFonts w:ascii="Times New Roman" w:hAnsi="Times New Roman" w:eastAsia="宋体" w:cstheme="majorBidi"/>
      <w:b/>
      <w:bCs/>
      <w:sz w:val="24"/>
      <w:szCs w:val="32"/>
    </w:rPr>
  </w:style>
  <w:style w:type="paragraph" w:styleId="5">
    <w:name w:val="heading 3"/>
    <w:basedOn w:val="4"/>
    <w:next w:val="1"/>
    <w:link w:val="52"/>
    <w:autoRedefine/>
    <w:unhideWhenUsed/>
    <w:qFormat/>
    <w:uiPriority w:val="99"/>
    <w:pPr>
      <w:keepLines/>
      <w:numPr>
        <w:ilvl w:val="2"/>
        <w:numId w:val="1"/>
      </w:numPr>
      <w:ind w:left="720" w:hanging="720" w:firstLineChars="0"/>
      <w:jc w:val="left"/>
      <w:outlineLvl w:val="2"/>
    </w:pPr>
    <w:rPr>
      <w:rFonts w:ascii="Times New Roman" w:hAnsi="Times New Roman" w:eastAsia="宋体"/>
      <w:sz w:val="24"/>
      <w:szCs w:val="24"/>
    </w:rPr>
  </w:style>
  <w:style w:type="paragraph" w:styleId="6">
    <w:name w:val="heading 4"/>
    <w:basedOn w:val="1"/>
    <w:next w:val="1"/>
    <w:link w:val="53"/>
    <w:autoRedefine/>
    <w:unhideWhenUsed/>
    <w:qFormat/>
    <w:uiPriority w:val="9"/>
    <w:pPr>
      <w:numPr>
        <w:ilvl w:val="3"/>
        <w:numId w:val="1"/>
      </w:numPr>
      <w:tabs>
        <w:tab w:val="left" w:pos="0"/>
      </w:tabs>
      <w:ind w:left="864" w:hanging="864" w:firstLineChars="0"/>
      <w:outlineLvl w:val="3"/>
    </w:pPr>
  </w:style>
  <w:style w:type="paragraph" w:styleId="7">
    <w:name w:val="heading 5"/>
    <w:basedOn w:val="1"/>
    <w:next w:val="1"/>
    <w:link w:val="54"/>
    <w:autoRedefine/>
    <w:unhideWhenUsed/>
    <w:qFormat/>
    <w:uiPriority w:val="9"/>
    <w:pPr>
      <w:keepNext/>
      <w:keepLines/>
      <w:numPr>
        <w:ilvl w:val="4"/>
        <w:numId w:val="1"/>
      </w:numPr>
      <w:ind w:left="1008" w:hanging="1008" w:firstLineChars="0"/>
      <w:jc w:val="left"/>
      <w:outlineLvl w:val="4"/>
    </w:pPr>
    <w:rPr>
      <w:b/>
      <w:bCs/>
      <w:szCs w:val="28"/>
    </w:rPr>
  </w:style>
  <w:style w:type="paragraph" w:styleId="8">
    <w:name w:val="heading 6"/>
    <w:basedOn w:val="1"/>
    <w:next w:val="1"/>
    <w:link w:val="121"/>
    <w:autoRedefine/>
    <w:unhideWhenUsed/>
    <w:qFormat/>
    <w:uiPriority w:val="9"/>
    <w:pPr>
      <w:numPr>
        <w:ilvl w:val="5"/>
        <w:numId w:val="1"/>
      </w:numPr>
      <w:ind w:left="1151" w:hanging="1151" w:firstLineChars="0"/>
      <w:outlineLvl w:val="5"/>
    </w:pPr>
    <w:rPr>
      <w:b/>
    </w:rPr>
  </w:style>
  <w:style w:type="paragraph" w:styleId="9">
    <w:name w:val="heading 7"/>
    <w:basedOn w:val="1"/>
    <w:next w:val="1"/>
    <w:link w:val="55"/>
    <w:autoRedefine/>
    <w:unhideWhenUsed/>
    <w:qFormat/>
    <w:uiPriority w:val="0"/>
    <w:pPr>
      <w:keepNext/>
      <w:keepLines/>
      <w:numPr>
        <w:ilvl w:val="6"/>
        <w:numId w:val="1"/>
      </w:numPr>
      <w:ind w:left="1296" w:hanging="1296" w:firstLineChars="0"/>
      <w:outlineLvl w:val="6"/>
    </w:pPr>
    <w:rPr>
      <w:b/>
      <w:bCs/>
      <w:szCs w:val="24"/>
    </w:rPr>
  </w:style>
  <w:style w:type="paragraph" w:styleId="10">
    <w:name w:val="heading 8"/>
    <w:basedOn w:val="1"/>
    <w:next w:val="1"/>
    <w:link w:val="56"/>
    <w:autoRedefine/>
    <w:unhideWhenUsed/>
    <w:qFormat/>
    <w:uiPriority w:val="0"/>
    <w:pPr>
      <w:keepNext/>
      <w:keepLines/>
      <w:numPr>
        <w:ilvl w:val="7"/>
        <w:numId w:val="1"/>
      </w:numPr>
      <w:spacing w:before="240" w:after="64" w:line="320" w:lineRule="auto"/>
      <w:ind w:left="1440" w:hanging="1440" w:firstLineChars="0"/>
      <w:outlineLvl w:val="7"/>
    </w:pPr>
    <w:rPr>
      <w:rFonts w:asciiTheme="majorHAnsi" w:hAnsiTheme="majorHAnsi" w:eastAsiaTheme="majorEastAsia" w:cstheme="majorBidi"/>
      <w:szCs w:val="24"/>
    </w:rPr>
  </w:style>
  <w:style w:type="paragraph" w:styleId="11">
    <w:name w:val="heading 9"/>
    <w:basedOn w:val="1"/>
    <w:next w:val="1"/>
    <w:link w:val="111"/>
    <w:autoRedefine/>
    <w:unhideWhenUsed/>
    <w:qFormat/>
    <w:uiPriority w:val="0"/>
    <w:pPr>
      <w:keepNext/>
      <w:keepLines/>
      <w:numPr>
        <w:ilvl w:val="8"/>
        <w:numId w:val="1"/>
      </w:numPr>
      <w:spacing w:before="240" w:after="64" w:line="320" w:lineRule="auto"/>
      <w:ind w:left="1583" w:hanging="1583" w:firstLineChars="0"/>
      <w:outlineLvl w:val="8"/>
    </w:pPr>
    <w:rPr>
      <w:rFonts w:asciiTheme="majorHAnsi" w:hAnsiTheme="majorHAnsi" w:eastAsiaTheme="majorEastAsia" w:cstheme="majorBidi"/>
      <w:sz w:val="21"/>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autoRedefine/>
    <w:qFormat/>
    <w:uiPriority w:val="0"/>
    <w:pPr>
      <w:widowControl w:val="0"/>
      <w:autoSpaceDE w:val="0"/>
      <w:autoSpaceDN w:val="0"/>
      <w:adjustRightInd w:val="0"/>
    </w:pPr>
    <w:rPr>
      <w:rFonts w:ascii="ST Kaiti" w:hAnsi="Times New Roman" w:eastAsia="ST Kaiti" w:cs="Times New Roman"/>
      <w:color w:val="000000"/>
      <w:sz w:val="24"/>
      <w:szCs w:val="24"/>
      <w:lang w:val="en-US" w:eastAsia="zh-CN" w:bidi="ar-SA"/>
    </w:rPr>
  </w:style>
  <w:style w:type="paragraph" w:styleId="12">
    <w:name w:val="toc 7"/>
    <w:basedOn w:val="1"/>
    <w:next w:val="1"/>
    <w:autoRedefine/>
    <w:unhideWhenUsed/>
    <w:qFormat/>
    <w:uiPriority w:val="39"/>
    <w:pPr>
      <w:ind w:left="1440"/>
      <w:jc w:val="left"/>
    </w:pPr>
    <w:rPr>
      <w:rFonts w:asciiTheme="minorHAnsi" w:hAnsiTheme="minorHAnsi" w:cstheme="minorHAnsi"/>
      <w:sz w:val="18"/>
      <w:szCs w:val="18"/>
    </w:rPr>
  </w:style>
  <w:style w:type="paragraph" w:styleId="13">
    <w:name w:val="Normal Indent"/>
    <w:basedOn w:val="1"/>
    <w:next w:val="14"/>
    <w:link w:val="314"/>
    <w:autoRedefine/>
    <w:qFormat/>
    <w:uiPriority w:val="0"/>
    <w:pPr>
      <w:ind w:firstLine="420"/>
    </w:pPr>
    <w:rPr>
      <w:rFonts w:ascii="Calibri" w:hAnsi="Calibri"/>
      <w:szCs w:val="22"/>
    </w:rPr>
  </w:style>
  <w:style w:type="paragraph" w:styleId="14">
    <w:name w:val="Body Text First Indent"/>
    <w:basedOn w:val="15"/>
    <w:link w:val="58"/>
    <w:autoRedefine/>
    <w:unhideWhenUsed/>
    <w:qFormat/>
    <w:uiPriority w:val="0"/>
    <w:pPr>
      <w:spacing w:before="154"/>
      <w:ind w:left="121" w:firstLine="420" w:firstLineChars="100"/>
    </w:pPr>
    <w:rPr>
      <w:rFonts w:hint="eastAsia" w:ascii="仿宋" w:hAnsi="仿宋" w:eastAsia="仿宋"/>
      <w:szCs w:val="21"/>
    </w:rPr>
  </w:style>
  <w:style w:type="paragraph" w:styleId="15">
    <w:name w:val="Body Text"/>
    <w:basedOn w:val="1"/>
    <w:link w:val="57"/>
    <w:autoRedefine/>
    <w:unhideWhenUsed/>
    <w:qFormat/>
    <w:uiPriority w:val="0"/>
    <w:pPr>
      <w:ind w:firstLine="560"/>
    </w:pPr>
    <w:rPr>
      <w:szCs w:val="24"/>
    </w:rPr>
  </w:style>
  <w:style w:type="paragraph" w:styleId="16">
    <w:name w:val="caption"/>
    <w:basedOn w:val="1"/>
    <w:next w:val="1"/>
    <w:link w:val="59"/>
    <w:autoRedefine/>
    <w:unhideWhenUsed/>
    <w:qFormat/>
    <w:uiPriority w:val="35"/>
    <w:pPr>
      <w:spacing w:line="240" w:lineRule="auto"/>
      <w:ind w:firstLine="0" w:firstLineChars="0"/>
      <w:jc w:val="center"/>
    </w:pPr>
    <w:rPr>
      <w:rFonts w:cstheme="majorBidi"/>
      <w:b/>
      <w:sz w:val="21"/>
      <w:szCs w:val="20"/>
    </w:rPr>
  </w:style>
  <w:style w:type="paragraph" w:styleId="17">
    <w:name w:val="Document Map"/>
    <w:basedOn w:val="1"/>
    <w:link w:val="153"/>
    <w:autoRedefine/>
    <w:unhideWhenUsed/>
    <w:qFormat/>
    <w:uiPriority w:val="99"/>
    <w:rPr>
      <w:rFonts w:ascii="Microsoft YaHei UI" w:eastAsia="Microsoft YaHei UI"/>
      <w:sz w:val="18"/>
      <w:szCs w:val="18"/>
    </w:rPr>
  </w:style>
  <w:style w:type="paragraph" w:styleId="18">
    <w:name w:val="annotation text"/>
    <w:basedOn w:val="1"/>
    <w:link w:val="60"/>
    <w:autoRedefine/>
    <w:unhideWhenUsed/>
    <w:qFormat/>
    <w:uiPriority w:val="0"/>
    <w:pPr>
      <w:jc w:val="left"/>
    </w:pPr>
  </w:style>
  <w:style w:type="paragraph" w:styleId="19">
    <w:name w:val="Body Text 3"/>
    <w:basedOn w:val="1"/>
    <w:link w:val="203"/>
    <w:autoRedefine/>
    <w:qFormat/>
    <w:uiPriority w:val="0"/>
    <w:pPr>
      <w:adjustRightInd w:val="0"/>
      <w:snapToGrid w:val="0"/>
      <w:ind w:firstLine="663" w:firstLineChars="150"/>
      <w:jc w:val="left"/>
    </w:pPr>
    <w:rPr>
      <w:szCs w:val="24"/>
    </w:rPr>
  </w:style>
  <w:style w:type="paragraph" w:styleId="20">
    <w:name w:val="Body Text Indent"/>
    <w:basedOn w:val="1"/>
    <w:link w:val="327"/>
    <w:autoRedefine/>
    <w:unhideWhenUsed/>
    <w:qFormat/>
    <w:uiPriority w:val="0"/>
    <w:pPr>
      <w:adjustRightInd w:val="0"/>
      <w:snapToGrid w:val="0"/>
      <w:ind w:firstLine="560"/>
    </w:pPr>
    <w:rPr>
      <w:color w:val="000000"/>
      <w:sz w:val="28"/>
      <w:szCs w:val="24"/>
    </w:rPr>
  </w:style>
  <w:style w:type="paragraph" w:styleId="21">
    <w:name w:val="toc 5"/>
    <w:basedOn w:val="1"/>
    <w:next w:val="1"/>
    <w:autoRedefine/>
    <w:unhideWhenUsed/>
    <w:qFormat/>
    <w:uiPriority w:val="39"/>
    <w:pPr>
      <w:ind w:left="960"/>
      <w:jc w:val="left"/>
    </w:pPr>
    <w:rPr>
      <w:rFonts w:asciiTheme="minorHAnsi" w:hAnsiTheme="minorHAnsi" w:cstheme="minorHAnsi"/>
      <w:sz w:val="18"/>
      <w:szCs w:val="18"/>
    </w:rPr>
  </w:style>
  <w:style w:type="paragraph" w:styleId="22">
    <w:name w:val="toc 3"/>
    <w:basedOn w:val="1"/>
    <w:next w:val="1"/>
    <w:autoRedefine/>
    <w:unhideWhenUsed/>
    <w:qFormat/>
    <w:uiPriority w:val="39"/>
    <w:pPr>
      <w:ind w:left="480"/>
      <w:jc w:val="left"/>
    </w:pPr>
    <w:rPr>
      <w:rFonts w:asciiTheme="minorHAnsi" w:hAnsiTheme="minorHAnsi" w:cstheme="minorHAnsi"/>
      <w:i/>
      <w:iCs/>
      <w:sz w:val="20"/>
      <w:szCs w:val="20"/>
    </w:rPr>
  </w:style>
  <w:style w:type="paragraph" w:styleId="23">
    <w:name w:val="Plain Text"/>
    <w:basedOn w:val="1"/>
    <w:link w:val="204"/>
    <w:autoRedefine/>
    <w:qFormat/>
    <w:uiPriority w:val="0"/>
    <w:pPr>
      <w:spacing w:after="50" w:afterLines="50" w:line="240" w:lineRule="auto"/>
      <w:ind w:firstLine="0" w:firstLineChars="0"/>
      <w:jc w:val="left"/>
    </w:pPr>
    <w:rPr>
      <w:rFonts w:ascii="宋体" w:hAnsi="宋体" w:eastAsia="仿宋" w:cstheme="minorBidi"/>
      <w:szCs w:val="24"/>
    </w:rPr>
  </w:style>
  <w:style w:type="paragraph" w:styleId="24">
    <w:name w:val="toc 8"/>
    <w:basedOn w:val="1"/>
    <w:next w:val="1"/>
    <w:autoRedefine/>
    <w:unhideWhenUsed/>
    <w:qFormat/>
    <w:uiPriority w:val="39"/>
    <w:pPr>
      <w:ind w:left="1680"/>
      <w:jc w:val="left"/>
    </w:pPr>
    <w:rPr>
      <w:rFonts w:asciiTheme="minorHAnsi" w:hAnsiTheme="minorHAnsi" w:cstheme="minorHAnsi"/>
      <w:sz w:val="18"/>
      <w:szCs w:val="18"/>
    </w:rPr>
  </w:style>
  <w:style w:type="paragraph" w:styleId="25">
    <w:name w:val="Date"/>
    <w:basedOn w:val="1"/>
    <w:next w:val="1"/>
    <w:link w:val="154"/>
    <w:autoRedefine/>
    <w:qFormat/>
    <w:uiPriority w:val="0"/>
    <w:pPr>
      <w:spacing w:line="240" w:lineRule="auto"/>
      <w:ind w:left="100" w:leftChars="2500" w:firstLine="0" w:firstLineChars="0"/>
    </w:pPr>
    <w:rPr>
      <w:rFonts w:asciiTheme="minorHAnsi" w:hAnsiTheme="minorHAnsi" w:eastAsiaTheme="minorEastAsia" w:cstheme="minorBidi"/>
      <w:sz w:val="21"/>
    </w:rPr>
  </w:style>
  <w:style w:type="paragraph" w:styleId="26">
    <w:name w:val="Body Text Indent 2"/>
    <w:basedOn w:val="1"/>
    <w:link w:val="205"/>
    <w:autoRedefine/>
    <w:qFormat/>
    <w:uiPriority w:val="99"/>
    <w:pPr>
      <w:spacing w:after="50" w:afterLines="50" w:line="300" w:lineRule="auto"/>
      <w:ind w:firstLine="927" w:firstLineChars="331"/>
      <w:jc w:val="left"/>
    </w:pPr>
    <w:rPr>
      <w:rFonts w:ascii="仿宋_GB2312" w:hAnsi="宋体" w:eastAsia="仿宋_GB2312" w:cstheme="minorBidi"/>
      <w:sz w:val="28"/>
      <w:szCs w:val="24"/>
    </w:rPr>
  </w:style>
  <w:style w:type="paragraph" w:styleId="27">
    <w:name w:val="Balloon Text"/>
    <w:basedOn w:val="1"/>
    <w:link w:val="104"/>
    <w:autoRedefine/>
    <w:unhideWhenUsed/>
    <w:qFormat/>
    <w:uiPriority w:val="0"/>
    <w:pPr>
      <w:spacing w:line="240" w:lineRule="auto"/>
    </w:pPr>
    <w:rPr>
      <w:sz w:val="18"/>
      <w:szCs w:val="18"/>
    </w:rPr>
  </w:style>
  <w:style w:type="paragraph" w:styleId="28">
    <w:name w:val="footer"/>
    <w:basedOn w:val="1"/>
    <w:link w:val="61"/>
    <w:autoRedefine/>
    <w:unhideWhenUsed/>
    <w:qFormat/>
    <w:uiPriority w:val="99"/>
    <w:pPr>
      <w:tabs>
        <w:tab w:val="center" w:pos="4153"/>
        <w:tab w:val="right" w:pos="8306"/>
      </w:tabs>
      <w:snapToGrid w:val="0"/>
      <w:jc w:val="left"/>
    </w:pPr>
    <w:rPr>
      <w:sz w:val="21"/>
      <w:szCs w:val="18"/>
    </w:rPr>
  </w:style>
  <w:style w:type="paragraph" w:styleId="29">
    <w:name w:val="header"/>
    <w:basedOn w:val="1"/>
    <w:link w:val="62"/>
    <w:autoRedefine/>
    <w:unhideWhenUsed/>
    <w:qFormat/>
    <w:uiPriority w:val="99"/>
    <w:pPr>
      <w:pBdr>
        <w:bottom w:val="single" w:color="auto" w:sz="6" w:space="1"/>
      </w:pBdr>
      <w:tabs>
        <w:tab w:val="center" w:pos="4153"/>
        <w:tab w:val="right" w:pos="8306"/>
      </w:tabs>
      <w:snapToGrid w:val="0"/>
      <w:spacing w:line="240" w:lineRule="auto"/>
      <w:ind w:firstLine="0" w:firstLineChars="0"/>
      <w:jc w:val="center"/>
    </w:pPr>
    <w:rPr>
      <w:sz w:val="21"/>
      <w:szCs w:val="18"/>
    </w:rPr>
  </w:style>
  <w:style w:type="paragraph" w:styleId="30">
    <w:name w:val="toc 1"/>
    <w:basedOn w:val="1"/>
    <w:next w:val="1"/>
    <w:link w:val="232"/>
    <w:autoRedefine/>
    <w:unhideWhenUsed/>
    <w:qFormat/>
    <w:uiPriority w:val="39"/>
    <w:pPr>
      <w:ind w:firstLine="0" w:firstLineChars="0"/>
      <w:jc w:val="center"/>
    </w:pPr>
    <w:rPr>
      <w:rFonts w:cstheme="minorHAnsi"/>
      <w:bCs/>
      <w:caps/>
      <w:szCs w:val="20"/>
    </w:rPr>
  </w:style>
  <w:style w:type="paragraph" w:styleId="31">
    <w:name w:val="toc 4"/>
    <w:basedOn w:val="1"/>
    <w:next w:val="1"/>
    <w:autoRedefine/>
    <w:unhideWhenUsed/>
    <w:qFormat/>
    <w:uiPriority w:val="39"/>
    <w:pPr>
      <w:ind w:left="720"/>
      <w:jc w:val="left"/>
    </w:pPr>
    <w:rPr>
      <w:rFonts w:asciiTheme="minorHAnsi" w:hAnsiTheme="minorHAnsi" w:cstheme="minorHAnsi"/>
      <w:sz w:val="18"/>
      <w:szCs w:val="18"/>
    </w:rPr>
  </w:style>
  <w:style w:type="paragraph" w:styleId="32">
    <w:name w:val="Subtitle"/>
    <w:basedOn w:val="1"/>
    <w:next w:val="1"/>
    <w:link w:val="118"/>
    <w:autoRedefine/>
    <w:qFormat/>
    <w:uiPriority w:val="11"/>
    <w:pPr>
      <w:widowControl/>
      <w:spacing w:before="240" w:after="60" w:line="312" w:lineRule="auto"/>
      <w:jc w:val="center"/>
      <w:outlineLvl w:val="1"/>
    </w:pPr>
    <w:rPr>
      <w:rFonts w:asciiTheme="majorHAnsi" w:hAnsiTheme="majorHAnsi" w:cstheme="majorBidi"/>
      <w:b/>
      <w:bCs/>
      <w:kern w:val="28"/>
      <w:sz w:val="32"/>
      <w:szCs w:val="32"/>
    </w:rPr>
  </w:style>
  <w:style w:type="paragraph" w:styleId="33">
    <w:name w:val="toc 6"/>
    <w:basedOn w:val="1"/>
    <w:next w:val="1"/>
    <w:autoRedefine/>
    <w:unhideWhenUsed/>
    <w:qFormat/>
    <w:uiPriority w:val="39"/>
    <w:pPr>
      <w:ind w:left="1200"/>
      <w:jc w:val="left"/>
    </w:pPr>
    <w:rPr>
      <w:rFonts w:asciiTheme="minorHAnsi" w:hAnsiTheme="minorHAnsi" w:cstheme="minorHAnsi"/>
      <w:sz w:val="18"/>
      <w:szCs w:val="18"/>
    </w:rPr>
  </w:style>
  <w:style w:type="paragraph" w:styleId="34">
    <w:name w:val="Body Text Indent 3"/>
    <w:basedOn w:val="1"/>
    <w:link w:val="206"/>
    <w:autoRedefine/>
    <w:qFormat/>
    <w:uiPriority w:val="0"/>
    <w:pPr>
      <w:adjustRightInd w:val="0"/>
      <w:snapToGrid w:val="0"/>
      <w:spacing w:after="120"/>
      <w:ind w:left="420" w:leftChars="200" w:firstLine="883"/>
    </w:pPr>
    <w:rPr>
      <w:sz w:val="16"/>
      <w:szCs w:val="16"/>
    </w:rPr>
  </w:style>
  <w:style w:type="paragraph" w:styleId="35">
    <w:name w:val="toc 2"/>
    <w:basedOn w:val="1"/>
    <w:next w:val="1"/>
    <w:autoRedefine/>
    <w:unhideWhenUsed/>
    <w:qFormat/>
    <w:uiPriority w:val="39"/>
    <w:rPr>
      <w:rFonts w:cstheme="minorHAnsi"/>
      <w:smallCaps/>
      <w:szCs w:val="20"/>
    </w:rPr>
  </w:style>
  <w:style w:type="paragraph" w:styleId="36">
    <w:name w:val="toc 9"/>
    <w:basedOn w:val="1"/>
    <w:next w:val="1"/>
    <w:autoRedefine/>
    <w:unhideWhenUsed/>
    <w:qFormat/>
    <w:uiPriority w:val="39"/>
    <w:pPr>
      <w:ind w:left="1920"/>
      <w:jc w:val="left"/>
    </w:pPr>
    <w:rPr>
      <w:rFonts w:asciiTheme="minorHAnsi" w:hAnsiTheme="minorHAnsi" w:cstheme="minorHAnsi"/>
      <w:sz w:val="18"/>
      <w:szCs w:val="18"/>
    </w:rPr>
  </w:style>
  <w:style w:type="paragraph" w:styleId="37">
    <w:name w:val="Body Text 2"/>
    <w:basedOn w:val="1"/>
    <w:link w:val="63"/>
    <w:autoRedefine/>
    <w:unhideWhenUsed/>
    <w:qFormat/>
    <w:uiPriority w:val="0"/>
    <w:pPr>
      <w:jc w:val="center"/>
    </w:pPr>
  </w:style>
  <w:style w:type="paragraph" w:styleId="38">
    <w:name w:val="Normal (Web)"/>
    <w:basedOn w:val="1"/>
    <w:next w:val="15"/>
    <w:link w:val="135"/>
    <w:autoRedefine/>
    <w:qFormat/>
    <w:uiPriority w:val="99"/>
    <w:pPr>
      <w:widowControl/>
      <w:spacing w:before="100" w:beforeAutospacing="1" w:after="100" w:afterAutospacing="1" w:line="320" w:lineRule="atLeast"/>
      <w:jc w:val="left"/>
    </w:pPr>
    <w:rPr>
      <w:color w:val="000000"/>
      <w:kern w:val="0"/>
      <w:sz w:val="14"/>
      <w:szCs w:val="20"/>
    </w:rPr>
  </w:style>
  <w:style w:type="paragraph" w:styleId="39">
    <w:name w:val="Title"/>
    <w:basedOn w:val="1"/>
    <w:next w:val="1"/>
    <w:link w:val="207"/>
    <w:autoRedefine/>
    <w:qFormat/>
    <w:uiPriority w:val="10"/>
    <w:pPr>
      <w:spacing w:before="240" w:after="60"/>
      <w:ind w:firstLine="480"/>
      <w:jc w:val="center"/>
      <w:outlineLvl w:val="0"/>
    </w:pPr>
    <w:rPr>
      <w:rFonts w:asciiTheme="majorHAnsi" w:hAnsiTheme="majorHAnsi" w:eastAsiaTheme="majorEastAsia" w:cstheme="majorBidi"/>
      <w:b/>
      <w:bCs/>
      <w:color w:val="000000" w:themeColor="text1"/>
      <w:sz w:val="32"/>
      <w:szCs w:val="32"/>
      <w14:textFill>
        <w14:solidFill>
          <w14:schemeClr w14:val="tx1"/>
        </w14:solidFill>
      </w14:textFill>
    </w:rPr>
  </w:style>
  <w:style w:type="paragraph" w:styleId="40">
    <w:name w:val="annotation subject"/>
    <w:basedOn w:val="18"/>
    <w:next w:val="18"/>
    <w:link w:val="64"/>
    <w:autoRedefine/>
    <w:unhideWhenUsed/>
    <w:qFormat/>
    <w:uiPriority w:val="0"/>
    <w:rPr>
      <w:b/>
      <w:bCs/>
    </w:rPr>
  </w:style>
  <w:style w:type="paragraph" w:styleId="41">
    <w:name w:val="Body Text First Indent 2"/>
    <w:basedOn w:val="20"/>
    <w:next w:val="15"/>
    <w:link w:val="328"/>
    <w:autoRedefine/>
    <w:unhideWhenUsed/>
    <w:qFormat/>
    <w:uiPriority w:val="0"/>
    <w:pPr>
      <w:ind w:firstLine="420"/>
    </w:pPr>
    <w:rPr>
      <w:sz w:val="24"/>
    </w:rPr>
  </w:style>
  <w:style w:type="table" w:styleId="43">
    <w:name w:val="Table Grid"/>
    <w:basedOn w:val="4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autoRedefine/>
    <w:qFormat/>
    <w:uiPriority w:val="0"/>
    <w:rPr>
      <w:b/>
    </w:rPr>
  </w:style>
  <w:style w:type="character" w:styleId="46">
    <w:name w:val="page number"/>
    <w:basedOn w:val="44"/>
    <w:autoRedefine/>
    <w:qFormat/>
    <w:uiPriority w:val="0"/>
  </w:style>
  <w:style w:type="character" w:styleId="47">
    <w:name w:val="FollowedHyperlink"/>
    <w:autoRedefine/>
    <w:qFormat/>
    <w:uiPriority w:val="99"/>
    <w:rPr>
      <w:color w:val="800080"/>
      <w:u w:val="single"/>
    </w:rPr>
  </w:style>
  <w:style w:type="character" w:styleId="48">
    <w:name w:val="Hyperlink"/>
    <w:basedOn w:val="44"/>
    <w:autoRedefine/>
    <w:unhideWhenUsed/>
    <w:qFormat/>
    <w:uiPriority w:val="99"/>
    <w:rPr>
      <w:color w:val="0000FF" w:themeColor="hyperlink"/>
      <w:u w:val="single"/>
      <w14:textFill>
        <w14:solidFill>
          <w14:schemeClr w14:val="hlink"/>
        </w14:solidFill>
      </w14:textFill>
    </w:rPr>
  </w:style>
  <w:style w:type="character" w:styleId="49">
    <w:name w:val="annotation reference"/>
    <w:basedOn w:val="44"/>
    <w:autoRedefine/>
    <w:unhideWhenUsed/>
    <w:qFormat/>
    <w:uiPriority w:val="0"/>
    <w:rPr>
      <w:sz w:val="21"/>
      <w:szCs w:val="21"/>
    </w:rPr>
  </w:style>
  <w:style w:type="character" w:customStyle="1" w:styleId="50">
    <w:name w:val="标题 1 字符"/>
    <w:basedOn w:val="44"/>
    <w:link w:val="3"/>
    <w:autoRedefine/>
    <w:qFormat/>
    <w:uiPriority w:val="9"/>
    <w:rPr>
      <w:rFonts w:ascii="宋体" w:hAnsi="宋体" w:cs="宋体"/>
      <w:b/>
      <w:color w:val="000000" w:themeColor="text1"/>
      <w:kern w:val="44"/>
      <w:sz w:val="44"/>
      <w:szCs w:val="22"/>
      <w14:textFill>
        <w14:solidFill>
          <w14:schemeClr w14:val="tx1"/>
        </w14:solidFill>
      </w14:textFill>
    </w:rPr>
  </w:style>
  <w:style w:type="character" w:customStyle="1" w:styleId="51">
    <w:name w:val="标题 2 字符"/>
    <w:basedOn w:val="44"/>
    <w:link w:val="4"/>
    <w:autoRedefine/>
    <w:qFormat/>
    <w:uiPriority w:val="9"/>
    <w:rPr>
      <w:rFonts w:ascii="Times New Roman" w:hAnsi="Times New Roman" w:eastAsia="宋体" w:cstheme="majorBidi"/>
      <w:b/>
      <w:bCs/>
      <w:kern w:val="2"/>
      <w:sz w:val="24"/>
      <w:szCs w:val="32"/>
    </w:rPr>
  </w:style>
  <w:style w:type="character" w:customStyle="1" w:styleId="52">
    <w:name w:val="标题 3 字符"/>
    <w:basedOn w:val="44"/>
    <w:link w:val="5"/>
    <w:autoRedefine/>
    <w:qFormat/>
    <w:uiPriority w:val="9"/>
    <w:rPr>
      <w:rFonts w:ascii="Times New Roman" w:hAnsi="Times New Roman" w:eastAsia="宋体"/>
      <w:b/>
      <w:bCs/>
      <w:kern w:val="2"/>
      <w:sz w:val="24"/>
      <w:szCs w:val="24"/>
    </w:rPr>
  </w:style>
  <w:style w:type="character" w:customStyle="1" w:styleId="53">
    <w:name w:val="标题 4 字符"/>
    <w:basedOn w:val="44"/>
    <w:link w:val="6"/>
    <w:autoRedefine/>
    <w:qFormat/>
    <w:uiPriority w:val="9"/>
    <w:rPr>
      <w:b/>
      <w:bCs/>
      <w:kern w:val="2"/>
      <w:sz w:val="24"/>
      <w:szCs w:val="24"/>
    </w:rPr>
  </w:style>
  <w:style w:type="character" w:customStyle="1" w:styleId="54">
    <w:name w:val="标题 5 字符"/>
    <w:basedOn w:val="44"/>
    <w:link w:val="7"/>
    <w:autoRedefine/>
    <w:qFormat/>
    <w:uiPriority w:val="0"/>
    <w:rPr>
      <w:b/>
      <w:bCs/>
      <w:kern w:val="2"/>
      <w:sz w:val="24"/>
      <w:szCs w:val="28"/>
    </w:rPr>
  </w:style>
  <w:style w:type="character" w:customStyle="1" w:styleId="55">
    <w:name w:val="标题 7 字符"/>
    <w:basedOn w:val="44"/>
    <w:link w:val="9"/>
    <w:autoRedefine/>
    <w:qFormat/>
    <w:uiPriority w:val="0"/>
    <w:rPr>
      <w:b/>
      <w:bCs/>
      <w:kern w:val="2"/>
      <w:sz w:val="24"/>
      <w:szCs w:val="24"/>
    </w:rPr>
  </w:style>
  <w:style w:type="character" w:customStyle="1" w:styleId="56">
    <w:name w:val="标题 8 字符"/>
    <w:basedOn w:val="44"/>
    <w:link w:val="10"/>
    <w:autoRedefine/>
    <w:qFormat/>
    <w:uiPriority w:val="0"/>
    <w:rPr>
      <w:rFonts w:asciiTheme="majorHAnsi" w:hAnsiTheme="majorHAnsi" w:eastAsiaTheme="majorEastAsia" w:cstheme="majorBidi"/>
      <w:kern w:val="2"/>
      <w:sz w:val="24"/>
      <w:szCs w:val="24"/>
    </w:rPr>
  </w:style>
  <w:style w:type="character" w:customStyle="1" w:styleId="57">
    <w:name w:val="正文文本 字符"/>
    <w:basedOn w:val="44"/>
    <w:link w:val="15"/>
    <w:autoRedefine/>
    <w:qFormat/>
    <w:uiPriority w:val="0"/>
    <w:rPr>
      <w:kern w:val="2"/>
      <w:sz w:val="24"/>
      <w:szCs w:val="24"/>
    </w:rPr>
  </w:style>
  <w:style w:type="character" w:customStyle="1" w:styleId="58">
    <w:name w:val="正文文本首行缩进 字符"/>
    <w:basedOn w:val="57"/>
    <w:link w:val="14"/>
    <w:autoRedefine/>
    <w:qFormat/>
    <w:uiPriority w:val="0"/>
    <w:rPr>
      <w:rFonts w:ascii="仿宋" w:hAnsi="仿宋" w:eastAsia="仿宋"/>
      <w:kern w:val="2"/>
      <w:sz w:val="24"/>
      <w:szCs w:val="21"/>
    </w:rPr>
  </w:style>
  <w:style w:type="character" w:customStyle="1" w:styleId="59">
    <w:name w:val="题注 字符"/>
    <w:basedOn w:val="44"/>
    <w:link w:val="16"/>
    <w:autoRedefine/>
    <w:qFormat/>
    <w:uiPriority w:val="35"/>
    <w:rPr>
      <w:rFonts w:ascii="Times New Roman" w:hAnsi="Times New Roman" w:eastAsia="宋体" w:cstheme="majorBidi"/>
      <w:b/>
      <w:kern w:val="2"/>
      <w:sz w:val="21"/>
    </w:rPr>
  </w:style>
  <w:style w:type="character" w:customStyle="1" w:styleId="60">
    <w:name w:val="批注文字 字符"/>
    <w:basedOn w:val="44"/>
    <w:link w:val="18"/>
    <w:autoRedefine/>
    <w:qFormat/>
    <w:uiPriority w:val="0"/>
    <w:rPr>
      <w:rFonts w:ascii="Times New Roman" w:hAnsi="Times New Roman" w:eastAsia="宋体" w:cs="Times New Roman"/>
      <w:kern w:val="2"/>
      <w:sz w:val="24"/>
      <w:szCs w:val="21"/>
    </w:rPr>
  </w:style>
  <w:style w:type="character" w:customStyle="1" w:styleId="61">
    <w:name w:val="页脚 字符"/>
    <w:basedOn w:val="44"/>
    <w:link w:val="28"/>
    <w:autoRedefine/>
    <w:qFormat/>
    <w:uiPriority w:val="99"/>
    <w:rPr>
      <w:kern w:val="2"/>
      <w:sz w:val="21"/>
      <w:szCs w:val="18"/>
    </w:rPr>
  </w:style>
  <w:style w:type="character" w:customStyle="1" w:styleId="62">
    <w:name w:val="页眉 字符"/>
    <w:basedOn w:val="44"/>
    <w:link w:val="29"/>
    <w:autoRedefine/>
    <w:qFormat/>
    <w:uiPriority w:val="99"/>
    <w:rPr>
      <w:kern w:val="2"/>
      <w:sz w:val="21"/>
      <w:szCs w:val="18"/>
    </w:rPr>
  </w:style>
  <w:style w:type="character" w:customStyle="1" w:styleId="63">
    <w:name w:val="正文文本 2 字符"/>
    <w:basedOn w:val="44"/>
    <w:link w:val="37"/>
    <w:autoRedefine/>
    <w:qFormat/>
    <w:uiPriority w:val="0"/>
    <w:rPr>
      <w:kern w:val="2"/>
      <w:sz w:val="24"/>
      <w:szCs w:val="21"/>
    </w:rPr>
  </w:style>
  <w:style w:type="character" w:customStyle="1" w:styleId="64">
    <w:name w:val="批注主题 字符"/>
    <w:basedOn w:val="60"/>
    <w:link w:val="40"/>
    <w:autoRedefine/>
    <w:qFormat/>
    <w:uiPriority w:val="0"/>
    <w:rPr>
      <w:rFonts w:ascii="Times New Roman" w:hAnsi="Times New Roman" w:eastAsia="宋体" w:cs="Times New Roman"/>
      <w:b/>
      <w:bCs/>
      <w:kern w:val="2"/>
      <w:sz w:val="24"/>
      <w:szCs w:val="21"/>
    </w:rPr>
  </w:style>
  <w:style w:type="paragraph" w:customStyle="1" w:styleId="65">
    <w:name w:val="表内文字"/>
    <w:basedOn w:val="1"/>
    <w:next w:val="1"/>
    <w:autoRedefine/>
    <w:qFormat/>
    <w:uiPriority w:val="0"/>
    <w:pPr>
      <w:spacing w:line="240" w:lineRule="auto"/>
      <w:ind w:firstLine="0" w:firstLineChars="0"/>
      <w:jc w:val="center"/>
    </w:pPr>
    <w:rPr>
      <w:sz w:val="21"/>
    </w:rPr>
  </w:style>
  <w:style w:type="paragraph" w:customStyle="1" w:styleId="66">
    <w:name w:val="封面标题"/>
    <w:basedOn w:val="1"/>
    <w:next w:val="1"/>
    <w:link w:val="227"/>
    <w:autoRedefine/>
    <w:qFormat/>
    <w:uiPriority w:val="0"/>
    <w:pPr>
      <w:ind w:firstLine="0" w:firstLineChars="0"/>
      <w:jc w:val="center"/>
    </w:pPr>
    <w:rPr>
      <w:rFonts w:eastAsia="黑体"/>
      <w:b/>
      <w:sz w:val="52"/>
    </w:rPr>
  </w:style>
  <w:style w:type="paragraph" w:styleId="67">
    <w:name w:val="List Paragraph"/>
    <w:basedOn w:val="1"/>
    <w:link w:val="68"/>
    <w:autoRedefine/>
    <w:qFormat/>
    <w:uiPriority w:val="34"/>
    <w:pPr>
      <w:numPr>
        <w:ilvl w:val="0"/>
        <w:numId w:val="2"/>
      </w:numPr>
      <w:ind w:left="0" w:firstLine="0" w:firstLineChars="0"/>
      <w:jc w:val="left"/>
    </w:pPr>
  </w:style>
  <w:style w:type="character" w:customStyle="1" w:styleId="68">
    <w:name w:val="列表段落 字符"/>
    <w:basedOn w:val="44"/>
    <w:link w:val="67"/>
    <w:autoRedefine/>
    <w:qFormat/>
    <w:uiPriority w:val="34"/>
    <w:rPr>
      <w:kern w:val="2"/>
      <w:sz w:val="24"/>
      <w:szCs w:val="21"/>
    </w:rPr>
  </w:style>
  <w:style w:type="table" w:customStyle="1" w:styleId="69">
    <w:name w:val="XX表格"/>
    <w:basedOn w:val="42"/>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paragraph" w:customStyle="1" w:styleId="70">
    <w:name w:val="表中字"/>
    <w:basedOn w:val="1"/>
    <w:link w:val="71"/>
    <w:autoRedefine/>
    <w:qFormat/>
    <w:uiPriority w:val="0"/>
    <w:pPr>
      <w:spacing w:line="240" w:lineRule="auto"/>
      <w:ind w:firstLine="0" w:firstLineChars="0"/>
      <w:jc w:val="center"/>
    </w:pPr>
    <w:rPr>
      <w:rFonts w:cs="宋体"/>
      <w:sz w:val="21"/>
      <w:szCs w:val="24"/>
    </w:rPr>
  </w:style>
  <w:style w:type="character" w:customStyle="1" w:styleId="71">
    <w:name w:val="表中字 字符"/>
    <w:link w:val="70"/>
    <w:autoRedefine/>
    <w:qFormat/>
    <w:uiPriority w:val="0"/>
    <w:rPr>
      <w:rFonts w:ascii="Times New Roman" w:hAnsi="Times New Roman" w:eastAsia="宋体" w:cs="宋体"/>
      <w:kern w:val="2"/>
      <w:sz w:val="21"/>
      <w:szCs w:val="24"/>
    </w:rPr>
  </w:style>
  <w:style w:type="table" w:customStyle="1" w:styleId="72">
    <w:name w:val="XX表格11"/>
    <w:basedOn w:val="42"/>
    <w:autoRedefine/>
    <w:qFormat/>
    <w:uiPriority w:val="99"/>
    <w:rPr>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i w:val="0"/>
        <w:sz w:val="21"/>
      </w:rPr>
      <w:tblPr/>
      <w:trPr>
        <w:tblHeader/>
      </w:trPr>
      <w:tcPr>
        <w:shd w:val="clear" w:color="auto" w:fill="C6D9F1"/>
      </w:tcPr>
    </w:tblStylePr>
    <w:tblStylePr w:type="firstCol">
      <w:rPr>
        <w:rFonts w:ascii="Times New Roman" w:hAnsi="Times New Roman" w:eastAsia="宋体"/>
        <w:b w:val="0"/>
        <w:i w:val="0"/>
        <w:sz w:val="21"/>
      </w:rPr>
    </w:tblStylePr>
  </w:style>
  <w:style w:type="character" w:styleId="73">
    <w:name w:val="Placeholder Text"/>
    <w:basedOn w:val="44"/>
    <w:autoRedefine/>
    <w:semiHidden/>
    <w:qFormat/>
    <w:uiPriority w:val="99"/>
    <w:rPr>
      <w:color w:val="808080"/>
    </w:rPr>
  </w:style>
  <w:style w:type="table" w:customStyle="1" w:styleId="74">
    <w:name w:val="两色网格表1"/>
    <w:basedOn w:val="42"/>
    <w:autoRedefine/>
    <w:qFormat/>
    <w:uiPriority w:val="0"/>
    <w:pPr>
      <w:jc w:val="center"/>
    </w:pPr>
    <w:rPr>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blPr/>
      <w:trPr>
        <w:tblHeader/>
      </w:trPr>
      <w:tcPr>
        <w:shd w:val="clear" w:color="auto" w:fill="DBE5F1"/>
      </w:tcPr>
    </w:tblStylePr>
  </w:style>
  <w:style w:type="table" w:customStyle="1" w:styleId="75">
    <w:name w:val="标准样式"/>
    <w:basedOn w:val="42"/>
    <w:autoRedefine/>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bCs/>
        <w:sz w:val="21"/>
      </w:rPr>
      <w:tcPr>
        <w:shd w:val="clear" w:color="auto" w:fill="B4C6E7"/>
      </w:tcPr>
    </w:tblStylePr>
    <w:tblStylePr w:type="firstCol">
      <w:rPr>
        <w:rFonts w:eastAsia="宋体"/>
        <w:b/>
        <w:bCs/>
        <w:sz w:val="21"/>
      </w:rPr>
      <w:tcPr>
        <w:shd w:val="clear" w:color="auto" w:fill="FBD4B4"/>
      </w:tcPr>
    </w:tblStylePr>
  </w:style>
  <w:style w:type="paragraph" w:customStyle="1" w:styleId="76">
    <w:name w:val="表左字1"/>
    <w:basedOn w:val="70"/>
    <w:autoRedefine/>
    <w:qFormat/>
    <w:uiPriority w:val="0"/>
    <w:pPr>
      <w:numPr>
        <w:ilvl w:val="0"/>
        <w:numId w:val="3"/>
      </w:numPr>
      <w:jc w:val="both"/>
    </w:pPr>
  </w:style>
  <w:style w:type="table" w:customStyle="1" w:styleId="77">
    <w:name w:val="Table Normal"/>
    <w:autoRedefine/>
    <w:unhideWhenUsed/>
    <w:qFormat/>
    <w:uiPriority w:val="0"/>
    <w:tblPr>
      <w:tblCellMar>
        <w:top w:w="0" w:type="dxa"/>
        <w:left w:w="0" w:type="dxa"/>
        <w:bottom w:w="0" w:type="dxa"/>
        <w:right w:w="0" w:type="dxa"/>
      </w:tblCellMar>
    </w:tblPr>
  </w:style>
  <w:style w:type="character" w:customStyle="1" w:styleId="78">
    <w:name w:val="未处理的提及1"/>
    <w:basedOn w:val="44"/>
    <w:autoRedefine/>
    <w:semiHidden/>
    <w:unhideWhenUsed/>
    <w:qFormat/>
    <w:uiPriority w:val="99"/>
    <w:rPr>
      <w:color w:val="605E5C"/>
      <w:shd w:val="clear" w:color="auto" w:fill="E1DFDD"/>
    </w:rPr>
  </w:style>
  <w:style w:type="paragraph" w:customStyle="1" w:styleId="79">
    <w:name w:val="表左字"/>
    <w:basedOn w:val="70"/>
    <w:link w:val="80"/>
    <w:autoRedefine/>
    <w:qFormat/>
    <w:uiPriority w:val="0"/>
    <w:pPr>
      <w:adjustRightInd w:val="0"/>
      <w:snapToGrid w:val="0"/>
      <w:jc w:val="left"/>
    </w:pPr>
    <w:rPr>
      <w:rFonts w:cstheme="minorBidi"/>
      <w:szCs w:val="21"/>
    </w:rPr>
  </w:style>
  <w:style w:type="character" w:customStyle="1" w:styleId="80">
    <w:name w:val="表左字 Char"/>
    <w:basedOn w:val="44"/>
    <w:link w:val="79"/>
    <w:autoRedefine/>
    <w:qFormat/>
    <w:uiPriority w:val="0"/>
    <w:rPr>
      <w:rFonts w:cstheme="minorBidi"/>
      <w:kern w:val="2"/>
      <w:sz w:val="21"/>
      <w:szCs w:val="21"/>
    </w:rPr>
  </w:style>
  <w:style w:type="table" w:customStyle="1" w:styleId="81">
    <w:name w:val="标准样式2"/>
    <w:basedOn w:val="42"/>
    <w:autoRedefine/>
    <w:qFormat/>
    <w:uiPriority w:val="99"/>
    <w:pPr>
      <w:jc w:val="both"/>
    </w:pPr>
    <w:rPr>
      <w:rFonts w:cstheme="minorBidi"/>
      <w:kern w:val="2"/>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E5DFEC" w:themeFill="accent4" w:themeFillTint="33"/>
      <w:vAlign w:val="center"/>
    </w:tcPr>
    <w:tblStylePr w:type="firstRow">
      <w:rPr>
        <w:b/>
      </w:rPr>
      <w:tcPr>
        <w:shd w:val="clear" w:color="auto" w:fill="B6DDE8" w:themeFill="accent5" w:themeFillTint="66"/>
      </w:tcPr>
    </w:tblStylePr>
    <w:tblStylePr w:type="firstCol">
      <w:tcPr>
        <w:shd w:val="clear" w:color="auto" w:fill="FBD4B4" w:themeFill="accent6" w:themeFillTint="66"/>
      </w:tcPr>
    </w:tblStylePr>
  </w:style>
  <w:style w:type="table" w:customStyle="1" w:styleId="82">
    <w:name w:val="57"/>
    <w:autoRedefine/>
    <w:qFormat/>
    <w:uiPriority w:val="0"/>
    <w:pPr>
      <w:widowControl w:val="0"/>
      <w:autoSpaceDE w:val="0"/>
      <w:autoSpaceDN w:val="0"/>
      <w:adjustRightInd w:val="0"/>
    </w:pPr>
    <w:rPr>
      <w:sz w:val="24"/>
      <w:szCs w:val="24"/>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rPr>
      <w:jc w:val="center"/>
    </w:trPr>
  </w:style>
  <w:style w:type="table" w:customStyle="1" w:styleId="83">
    <w:name w:val="标准样式311"/>
    <w:basedOn w:val="42"/>
    <w:autoRedefine/>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sz w:val="21"/>
      </w:rPr>
      <w:tcPr>
        <w:shd w:val="clear" w:color="auto" w:fill="B4C6E7"/>
      </w:tcPr>
    </w:tblStylePr>
    <w:tblStylePr w:type="firstCol">
      <w:rPr>
        <w:rFonts w:eastAsia="宋体"/>
        <w:b/>
        <w:sz w:val="21"/>
      </w:rPr>
      <w:tcPr>
        <w:shd w:val="clear" w:color="auto" w:fill="FBD4B4"/>
      </w:tcPr>
    </w:tblStylePr>
  </w:style>
  <w:style w:type="table" w:customStyle="1" w:styleId="84">
    <w:name w:val="000"/>
    <w:basedOn w:val="42"/>
    <w:autoRedefine/>
    <w:qFormat/>
    <w:uiPriority w:val="99"/>
    <w:pPr>
      <w:jc w:val="center"/>
    </w:pPr>
    <w:rPr>
      <w:rFonts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shd w:val="clear" w:color="auto" w:fill="FFFFFF" w:themeFill="background1"/>
      <w:vAlign w:val="center"/>
    </w:tcPr>
    <w:tblStylePr w:type="firstRow">
      <w:rPr>
        <w:rFonts w:eastAsia="宋体"/>
        <w:b/>
        <w:sz w:val="21"/>
      </w:rPr>
      <w:tcPr>
        <w:shd w:val="clear" w:color="auto" w:fill="C6D9F0" w:themeFill="text2" w:themeFillTint="33"/>
      </w:tcPr>
    </w:tblStylePr>
  </w:style>
  <w:style w:type="paragraph" w:customStyle="1" w:styleId="85">
    <w:name w:val="表左字△"/>
    <w:basedOn w:val="1"/>
    <w:autoRedefine/>
    <w:qFormat/>
    <w:uiPriority w:val="0"/>
    <w:pPr>
      <w:numPr>
        <w:ilvl w:val="0"/>
        <w:numId w:val="4"/>
      </w:numPr>
      <w:adjustRightInd w:val="0"/>
      <w:snapToGrid w:val="0"/>
      <w:spacing w:line="300" w:lineRule="auto"/>
      <w:ind w:firstLineChars="0"/>
      <w:jc w:val="left"/>
    </w:pPr>
    <w:rPr>
      <w:rFonts w:cstheme="minorBidi"/>
      <w:kern w:val="0"/>
      <w:sz w:val="21"/>
      <w:szCs w:val="20"/>
    </w:rPr>
  </w:style>
  <w:style w:type="table" w:customStyle="1" w:styleId="86">
    <w:name w:val="方案编制"/>
    <w:basedOn w:val="42"/>
    <w:autoRedefine/>
    <w:qFormat/>
    <w:uiPriority w:val="0"/>
    <w:pPr>
      <w:jc w:val="center"/>
    </w:pPr>
    <w:rPr>
      <w:rFonts w:ascii="Calibri" w:hAnsi="Calibri"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eastAsia="宋体"/>
        <w:b/>
        <w:sz w:val="21"/>
      </w:rPr>
      <w:tcPr>
        <w:shd w:val="clear" w:color="auto" w:fill="FFFFFF" w:themeFill="background1"/>
      </w:tcPr>
    </w:tblStylePr>
  </w:style>
  <w:style w:type="paragraph" w:customStyle="1" w:styleId="87">
    <w:name w:val="表中字使用"/>
    <w:basedOn w:val="1"/>
    <w:autoRedefine/>
    <w:qFormat/>
    <w:uiPriority w:val="0"/>
    <w:pPr>
      <w:spacing w:line="240" w:lineRule="auto"/>
      <w:ind w:firstLine="0" w:firstLineChars="0"/>
      <w:jc w:val="center"/>
    </w:pPr>
    <w:rPr>
      <w:rFonts w:cs="宋体"/>
      <w:sz w:val="21"/>
      <w:szCs w:val="24"/>
    </w:rPr>
  </w:style>
  <w:style w:type="paragraph" w:customStyle="1" w:styleId="88">
    <w:name w:val="ZG-ZW"/>
    <w:basedOn w:val="1"/>
    <w:link w:val="89"/>
    <w:autoRedefine/>
    <w:qFormat/>
    <w:uiPriority w:val="0"/>
    <w:pPr>
      <w:ind w:firstLine="420"/>
    </w:pPr>
  </w:style>
  <w:style w:type="character" w:customStyle="1" w:styleId="89">
    <w:name w:val="ZG-ZW Char"/>
    <w:link w:val="88"/>
    <w:autoRedefine/>
    <w:qFormat/>
    <w:uiPriority w:val="0"/>
    <w:rPr>
      <w:kern w:val="2"/>
      <w:sz w:val="24"/>
      <w:szCs w:val="21"/>
    </w:rPr>
  </w:style>
  <w:style w:type="paragraph" w:customStyle="1" w:styleId="90">
    <w:name w:val="图表名"/>
    <w:basedOn w:val="1"/>
    <w:link w:val="91"/>
    <w:autoRedefine/>
    <w:qFormat/>
    <w:uiPriority w:val="0"/>
    <w:pPr>
      <w:spacing w:line="240" w:lineRule="auto"/>
      <w:ind w:firstLine="0" w:firstLineChars="0"/>
      <w:jc w:val="center"/>
    </w:pPr>
    <w:rPr>
      <w:rFonts w:cstheme="minorBidi"/>
      <w:b/>
      <w:szCs w:val="24"/>
    </w:rPr>
  </w:style>
  <w:style w:type="character" w:customStyle="1" w:styleId="91">
    <w:name w:val="图表名 Char"/>
    <w:link w:val="90"/>
    <w:autoRedefine/>
    <w:qFormat/>
    <w:uiPriority w:val="0"/>
    <w:rPr>
      <w:rFonts w:cstheme="minorBidi"/>
      <w:b/>
      <w:kern w:val="2"/>
      <w:sz w:val="24"/>
      <w:szCs w:val="24"/>
    </w:rPr>
  </w:style>
  <w:style w:type="paragraph" w:customStyle="1" w:styleId="92">
    <w:name w:val="图表字-居中"/>
    <w:basedOn w:val="1"/>
    <w:autoRedefine/>
    <w:qFormat/>
    <w:uiPriority w:val="0"/>
    <w:pPr>
      <w:spacing w:line="240" w:lineRule="auto"/>
      <w:ind w:firstLine="0" w:firstLineChars="0"/>
      <w:jc w:val="center"/>
    </w:pPr>
    <w:rPr>
      <w:rFonts w:cs="宋体"/>
      <w:sz w:val="21"/>
      <w:szCs w:val="24"/>
    </w:rPr>
  </w:style>
  <w:style w:type="character" w:customStyle="1" w:styleId="93">
    <w:name w:val="无间隔 字符"/>
    <w:link w:val="94"/>
    <w:autoRedefine/>
    <w:qFormat/>
    <w:uiPriority w:val="0"/>
    <w:rPr>
      <w:rFonts w:ascii="Arial" w:hAnsi="Arial" w:cs="Arial"/>
      <w:kern w:val="2"/>
      <w:sz w:val="18"/>
      <w:szCs w:val="18"/>
    </w:rPr>
  </w:style>
  <w:style w:type="paragraph" w:styleId="94">
    <w:name w:val="No Spacing"/>
    <w:basedOn w:val="1"/>
    <w:next w:val="1"/>
    <w:link w:val="93"/>
    <w:autoRedefine/>
    <w:qFormat/>
    <w:uiPriority w:val="0"/>
    <w:pPr>
      <w:spacing w:line="240" w:lineRule="auto"/>
      <w:ind w:firstLine="0" w:firstLineChars="0"/>
      <w:jc w:val="center"/>
      <w:textAlignment w:val="center"/>
    </w:pPr>
    <w:rPr>
      <w:rFonts w:ascii="Arial" w:hAnsi="Arial" w:cs="Arial"/>
      <w:sz w:val="18"/>
      <w:szCs w:val="18"/>
      <w:shd w:val="clear" w:color="auto" w:fill="FFFFFF"/>
    </w:rPr>
  </w:style>
  <w:style w:type="paragraph" w:customStyle="1" w:styleId="95">
    <w:name w:val="图表题注"/>
    <w:basedOn w:val="1"/>
    <w:next w:val="1"/>
    <w:link w:val="96"/>
    <w:autoRedefine/>
    <w:qFormat/>
    <w:uiPriority w:val="0"/>
    <w:pPr>
      <w:spacing w:line="240" w:lineRule="auto"/>
      <w:ind w:firstLine="0" w:firstLineChars="0"/>
      <w:jc w:val="center"/>
    </w:pPr>
    <w:rPr>
      <w:rFonts w:cstheme="minorBidi"/>
      <w:b/>
      <w:szCs w:val="24"/>
    </w:rPr>
  </w:style>
  <w:style w:type="character" w:customStyle="1" w:styleId="96">
    <w:name w:val="图表题注 Char"/>
    <w:link w:val="95"/>
    <w:autoRedefine/>
    <w:qFormat/>
    <w:uiPriority w:val="0"/>
    <w:rPr>
      <w:rFonts w:cstheme="minorBidi"/>
      <w:b/>
      <w:kern w:val="2"/>
      <w:sz w:val="24"/>
      <w:szCs w:val="24"/>
    </w:rPr>
  </w:style>
  <w:style w:type="paragraph" w:customStyle="1" w:styleId="97">
    <w:name w:val="k4级"/>
    <w:basedOn w:val="1"/>
    <w:next w:val="1"/>
    <w:autoRedefine/>
    <w:qFormat/>
    <w:uiPriority w:val="0"/>
    <w:pPr>
      <w:outlineLvl w:val="3"/>
    </w:pPr>
  </w:style>
  <w:style w:type="paragraph" w:customStyle="1" w:styleId="98">
    <w:name w:val="图表名称"/>
    <w:basedOn w:val="1"/>
    <w:link w:val="181"/>
    <w:autoRedefine/>
    <w:qFormat/>
    <w:uiPriority w:val="0"/>
    <w:pPr>
      <w:ind w:firstLine="0" w:firstLineChars="0"/>
      <w:jc w:val="center"/>
    </w:pPr>
    <w:rPr>
      <w:b/>
      <w:bCs/>
      <w:color w:val="000000" w:themeColor="text1"/>
      <w:sz w:val="21"/>
      <w14:textFill>
        <w14:solidFill>
          <w14:schemeClr w14:val="tx1"/>
        </w14:solidFill>
      </w14:textFill>
    </w:rPr>
  </w:style>
  <w:style w:type="paragraph" w:customStyle="1" w:styleId="99">
    <w:name w:val="表格文字"/>
    <w:basedOn w:val="1"/>
    <w:autoRedefine/>
    <w:qFormat/>
    <w:uiPriority w:val="0"/>
    <w:pPr>
      <w:spacing w:line="240" w:lineRule="auto"/>
      <w:ind w:firstLine="0" w:firstLineChars="0"/>
      <w:jc w:val="center"/>
    </w:pPr>
    <w:rPr>
      <w:rFonts w:hint="eastAsia"/>
      <w:sz w:val="21"/>
      <w:szCs w:val="18"/>
    </w:rPr>
  </w:style>
  <w:style w:type="paragraph" w:customStyle="1" w:styleId="100">
    <w:name w:val="图表标题1"/>
    <w:basedOn w:val="1"/>
    <w:autoRedefine/>
    <w:qFormat/>
    <w:uiPriority w:val="0"/>
    <w:pPr>
      <w:ind w:firstLine="0" w:firstLineChars="0"/>
      <w:jc w:val="center"/>
    </w:pPr>
    <w:rPr>
      <w:b/>
      <w:bCs/>
      <w:sz w:val="21"/>
    </w:rPr>
  </w:style>
  <w:style w:type="table" w:customStyle="1" w:styleId="101">
    <w:name w:val="样式3"/>
    <w:basedOn w:val="42"/>
    <w:autoRedefine/>
    <w:qFormat/>
    <w:uiPriority w:val="99"/>
    <w:rPr>
      <w:rFonts w:ascii="Calibri" w:hAnsi="Calibri" w:cs="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102">
    <w:name w:val="表内文字 Char"/>
    <w:autoRedefine/>
    <w:qFormat/>
    <w:uiPriority w:val="0"/>
    <w:rPr>
      <w:rFonts w:ascii="Times New Roman" w:hAnsi="Times New Roman" w:eastAsia="宋体" w:cs="Times New Roman"/>
      <w:color w:val="000000" w:themeColor="text1"/>
      <w:kern w:val="2"/>
      <w:sz w:val="21"/>
      <w:szCs w:val="21"/>
      <w14:textFill>
        <w14:solidFill>
          <w14:schemeClr w14:val="tx1"/>
        </w14:solidFill>
      </w14:textFill>
    </w:rPr>
  </w:style>
  <w:style w:type="character" w:customStyle="1" w:styleId="103">
    <w:name w:val="表中字 Char"/>
    <w:basedOn w:val="44"/>
    <w:autoRedefine/>
    <w:qFormat/>
    <w:uiPriority w:val="0"/>
    <w:rPr>
      <w:rFonts w:ascii="Times New Roman" w:hAnsi="Times New Roman" w:eastAsia="宋体"/>
    </w:rPr>
  </w:style>
  <w:style w:type="character" w:customStyle="1" w:styleId="104">
    <w:name w:val="批注框文本 字符"/>
    <w:basedOn w:val="44"/>
    <w:link w:val="27"/>
    <w:autoRedefine/>
    <w:qFormat/>
    <w:uiPriority w:val="0"/>
    <w:rPr>
      <w:kern w:val="2"/>
      <w:sz w:val="18"/>
      <w:szCs w:val="18"/>
    </w:rPr>
  </w:style>
  <w:style w:type="paragraph" w:customStyle="1" w:styleId="105">
    <w:name w:val="k 表中字"/>
    <w:basedOn w:val="1"/>
    <w:link w:val="106"/>
    <w:autoRedefine/>
    <w:qFormat/>
    <w:uiPriority w:val="0"/>
    <w:pPr>
      <w:widowControl/>
      <w:adjustRightInd w:val="0"/>
      <w:ind w:hanging="420" w:hangingChars="189"/>
      <w:jc w:val="center"/>
      <w:textAlignment w:val="baseline"/>
    </w:pPr>
    <w:rPr>
      <w:sz w:val="21"/>
      <w:szCs w:val="22"/>
    </w:rPr>
  </w:style>
  <w:style w:type="character" w:customStyle="1" w:styleId="106">
    <w:name w:val="k 表中字 Char Char"/>
    <w:basedOn w:val="44"/>
    <w:link w:val="105"/>
    <w:autoRedefine/>
    <w:qFormat/>
    <w:uiPriority w:val="0"/>
    <w:rPr>
      <w:kern w:val="2"/>
      <w:sz w:val="21"/>
      <w:szCs w:val="22"/>
    </w:rPr>
  </w:style>
  <w:style w:type="paragraph" w:customStyle="1" w:styleId="107">
    <w:name w:val="表格"/>
    <w:next w:val="1"/>
    <w:link w:val="108"/>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08">
    <w:name w:val="表格 Char"/>
    <w:link w:val="107"/>
    <w:autoRedefine/>
    <w:qFormat/>
    <w:uiPriority w:val="0"/>
    <w:rPr>
      <w:kern w:val="2"/>
      <w:sz w:val="21"/>
      <w:szCs w:val="22"/>
    </w:rPr>
  </w:style>
  <w:style w:type="paragraph" w:customStyle="1" w:styleId="109">
    <w:name w:val="官新图名"/>
    <w:basedOn w:val="1"/>
    <w:next w:val="1"/>
    <w:autoRedefine/>
    <w:qFormat/>
    <w:uiPriority w:val="0"/>
    <w:pPr>
      <w:spacing w:line="240" w:lineRule="auto"/>
      <w:ind w:firstLine="0" w:firstLineChars="0"/>
      <w:jc w:val="center"/>
    </w:pPr>
    <w:rPr>
      <w:rFonts w:hint="eastAsia"/>
      <w:b/>
      <w:bCs/>
      <w:sz w:val="21"/>
    </w:rPr>
  </w:style>
  <w:style w:type="paragraph" w:customStyle="1" w:styleId="110">
    <w:name w:val="官新表格"/>
    <w:next w:val="1"/>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11">
    <w:name w:val="标题 9 字符"/>
    <w:basedOn w:val="44"/>
    <w:link w:val="11"/>
    <w:autoRedefine/>
    <w:qFormat/>
    <w:uiPriority w:val="0"/>
    <w:rPr>
      <w:rFonts w:asciiTheme="majorHAnsi" w:hAnsiTheme="majorHAnsi" w:eastAsiaTheme="majorEastAsia" w:cstheme="majorBidi"/>
      <w:kern w:val="2"/>
      <w:sz w:val="21"/>
      <w:szCs w:val="21"/>
    </w:rPr>
  </w:style>
  <w:style w:type="paragraph" w:customStyle="1" w:styleId="112">
    <w:name w:val="列表段落1）"/>
    <w:basedOn w:val="67"/>
    <w:autoRedefine/>
    <w:qFormat/>
    <w:uiPriority w:val="0"/>
    <w:pPr>
      <w:widowControl/>
      <w:numPr>
        <w:ilvl w:val="0"/>
        <w:numId w:val="5"/>
      </w:numPr>
      <w:adjustRightInd w:val="0"/>
      <w:snapToGrid w:val="0"/>
      <w:ind w:left="0" w:firstLine="300" w:firstLineChars="300"/>
    </w:pPr>
    <w:rPr>
      <w:rFonts w:cs="宋体"/>
      <w:kern w:val="0"/>
      <w:szCs w:val="24"/>
    </w:rPr>
  </w:style>
  <w:style w:type="table" w:customStyle="1" w:styleId="113">
    <w:name w:val="网格表 7 彩色 - 着色 61"/>
    <w:basedOn w:val="42"/>
    <w:autoRedefine/>
    <w:qFormat/>
    <w:uiPriority w:val="52"/>
    <w:rPr>
      <w:rFonts w:asciiTheme="minorHAnsi" w:hAnsiTheme="minorHAnsi" w:eastAsiaTheme="minorEastAsia" w:cstheme="minorBidi"/>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paragraph" w:customStyle="1" w:styleId="114">
    <w:name w:val="表左字段落标识"/>
    <w:basedOn w:val="1"/>
    <w:link w:val="115"/>
    <w:autoRedefine/>
    <w:qFormat/>
    <w:uiPriority w:val="0"/>
    <w:pPr>
      <w:numPr>
        <w:ilvl w:val="0"/>
        <w:numId w:val="6"/>
      </w:numPr>
      <w:spacing w:line="240" w:lineRule="auto"/>
      <w:ind w:left="0" w:firstLine="200"/>
      <w:jc w:val="left"/>
    </w:pPr>
    <w:rPr>
      <w:rFonts w:cstheme="minorBidi"/>
      <w:sz w:val="21"/>
    </w:rPr>
  </w:style>
  <w:style w:type="character" w:customStyle="1" w:styleId="115">
    <w:name w:val="表左字段落标识 字符"/>
    <w:basedOn w:val="68"/>
    <w:link w:val="114"/>
    <w:autoRedefine/>
    <w:qFormat/>
    <w:uiPriority w:val="0"/>
    <w:rPr>
      <w:rFonts w:cstheme="minorBidi"/>
      <w:kern w:val="2"/>
      <w:sz w:val="21"/>
      <w:szCs w:val="21"/>
    </w:rPr>
  </w:style>
  <w:style w:type="paragraph" w:customStyle="1" w:styleId="116">
    <w:name w:val="表左字缩进"/>
    <w:basedOn w:val="1"/>
    <w:link w:val="117"/>
    <w:autoRedefine/>
    <w:qFormat/>
    <w:uiPriority w:val="0"/>
    <w:pPr>
      <w:widowControl/>
      <w:adjustRightInd w:val="0"/>
      <w:snapToGrid w:val="0"/>
      <w:spacing w:line="240" w:lineRule="auto"/>
      <w:ind w:firstLine="0" w:firstLineChars="0"/>
    </w:pPr>
    <w:rPr>
      <w:rFonts w:cs="宋体"/>
      <w:kern w:val="0"/>
      <w:sz w:val="21"/>
      <w:szCs w:val="24"/>
    </w:rPr>
  </w:style>
  <w:style w:type="character" w:customStyle="1" w:styleId="117">
    <w:name w:val="表左字缩进 字符"/>
    <w:basedOn w:val="44"/>
    <w:link w:val="116"/>
    <w:autoRedefine/>
    <w:qFormat/>
    <w:uiPriority w:val="0"/>
    <w:rPr>
      <w:rFonts w:cs="宋体"/>
      <w:sz w:val="21"/>
      <w:szCs w:val="24"/>
    </w:rPr>
  </w:style>
  <w:style w:type="character" w:customStyle="1" w:styleId="118">
    <w:name w:val="副标题 字符"/>
    <w:basedOn w:val="44"/>
    <w:link w:val="32"/>
    <w:autoRedefine/>
    <w:qFormat/>
    <w:uiPriority w:val="11"/>
    <w:rPr>
      <w:rFonts w:asciiTheme="majorHAnsi" w:hAnsiTheme="majorHAnsi" w:cstheme="majorBidi"/>
      <w:b/>
      <w:bCs/>
      <w:kern w:val="28"/>
      <w:sz w:val="32"/>
      <w:szCs w:val="32"/>
    </w:rPr>
  </w:style>
  <w:style w:type="paragraph" w:customStyle="1" w:styleId="119">
    <w:name w:val="XX正文"/>
    <w:basedOn w:val="1"/>
    <w:link w:val="120"/>
    <w:autoRedefine/>
    <w:qFormat/>
    <w:uiPriority w:val="0"/>
    <w:pPr>
      <w:widowControl/>
    </w:pPr>
    <w:rPr>
      <w:rFonts w:cs="宋体"/>
      <w:kern w:val="0"/>
      <w:szCs w:val="24"/>
    </w:rPr>
  </w:style>
  <w:style w:type="character" w:customStyle="1" w:styleId="120">
    <w:name w:val="XX正文 字符"/>
    <w:link w:val="119"/>
    <w:autoRedefine/>
    <w:qFormat/>
    <w:uiPriority w:val="0"/>
    <w:rPr>
      <w:rFonts w:cs="宋体"/>
      <w:sz w:val="24"/>
      <w:szCs w:val="24"/>
    </w:rPr>
  </w:style>
  <w:style w:type="character" w:customStyle="1" w:styleId="121">
    <w:name w:val="标题 6 字符"/>
    <w:basedOn w:val="44"/>
    <w:link w:val="8"/>
    <w:autoRedefine/>
    <w:qFormat/>
    <w:uiPriority w:val="0"/>
    <w:rPr>
      <w:b/>
      <w:kern w:val="2"/>
      <w:sz w:val="24"/>
      <w:szCs w:val="21"/>
    </w:rPr>
  </w:style>
  <w:style w:type="table" w:customStyle="1" w:styleId="122">
    <w:name w:val="W"/>
    <w:basedOn w:val="42"/>
    <w:autoRedefine/>
    <w:qFormat/>
    <w:uiPriority w:val="99"/>
    <w:pPr>
      <w:adjustRightInd w:val="0"/>
      <w:snapToGrid w:val="0"/>
      <w:jc w:val="center"/>
    </w:pPr>
    <w:rPr>
      <w:rFonts w:cstheme="minorBidi"/>
      <w:sz w:val="21"/>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rFonts w:ascii="Times New Roman" w:hAnsi="Times New Roman" w:eastAsia="宋体"/>
        <w:b/>
        <w:i w:val="0"/>
        <w:sz w:val="21"/>
      </w:rPr>
      <w:tcPr>
        <w:shd w:val="clear" w:color="auto" w:fill="C6D9F0" w:themeFill="text2" w:themeFillTint="33"/>
      </w:tcPr>
    </w:tblStylePr>
  </w:style>
  <w:style w:type="paragraph" w:customStyle="1" w:styleId="123">
    <w:name w:val="修订1"/>
    <w:autoRedefine/>
    <w:hidden/>
    <w:qFormat/>
    <w:uiPriority w:val="99"/>
    <w:rPr>
      <w:rFonts w:ascii="Times New Roman" w:hAnsi="Times New Roman" w:eastAsia="宋体" w:cs="宋体"/>
      <w:sz w:val="24"/>
      <w:szCs w:val="24"/>
      <w:lang w:val="en-US" w:eastAsia="zh-CN" w:bidi="ar-SA"/>
    </w:rPr>
  </w:style>
  <w:style w:type="table" w:customStyle="1" w:styleId="124">
    <w:name w:val="网格表 1 浅色1"/>
    <w:basedOn w:val="42"/>
    <w:autoRedefine/>
    <w:qFormat/>
    <w:uiPriority w:val="46"/>
    <w:rPr>
      <w:rFonts w:asciiTheme="minorHAnsi" w:hAnsiTheme="minorHAnsi" w:eastAsiaTheme="minorEastAsia" w:cstheme="minorBidi"/>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25">
    <w:name w:val="两色网格表"/>
    <w:basedOn w:val="42"/>
    <w:autoRedefine/>
    <w:qFormat/>
    <w:uiPriority w:val="0"/>
    <w:pPr>
      <w:jc w:val="center"/>
    </w:pPr>
    <w:rPr>
      <w:rFonts w:cstheme="minorBidi"/>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cPr>
        <w:shd w:val="clear" w:color="auto" w:fill="C6D9F0" w:themeFill="text2" w:themeFillTint="33"/>
      </w:tcPr>
    </w:tblStylePr>
  </w:style>
  <w:style w:type="table" w:customStyle="1" w:styleId="126">
    <w:name w:val="方案编制标准"/>
    <w:basedOn w:val="42"/>
    <w:autoRedefine/>
    <w:qFormat/>
    <w:uiPriority w:val="99"/>
    <w:rPr>
      <w:rFonts w:cstheme="minorBidi"/>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shd w:val="clear" w:color="auto" w:fill="auto"/>
      <w:vAlign w:val="center"/>
    </w:tcPr>
    <w:tblStylePr w:type="firstRow">
      <w:pPr>
        <w:jc w:val="center"/>
      </w:pPr>
      <w:rPr>
        <w:rFonts w:ascii="Times New Roman" w:hAnsi="Times New Roman" w:eastAsia="宋体"/>
        <w:b/>
        <w:i w:val="0"/>
        <w:sz w:val="18"/>
      </w:rPr>
      <w:tcPr>
        <w:shd w:val="clear" w:color="auto" w:fill="FFFFFF" w:themeFill="background1"/>
      </w:tcPr>
    </w:tblStylePr>
  </w:style>
  <w:style w:type="table" w:customStyle="1" w:styleId="127">
    <w:name w:val="样式1"/>
    <w:basedOn w:val="42"/>
    <w:autoRedefine/>
    <w:qFormat/>
    <w:uiPriority w:val="99"/>
    <w:rPr>
      <w:rFonts w:asciiTheme="minorHAnsi" w:hAnsiTheme="minorHAnsi"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shd w:val="clear" w:color="auto" w:fill="auto"/>
    </w:tcPr>
  </w:style>
  <w:style w:type="paragraph" w:customStyle="1" w:styleId="128">
    <w:name w:val="图名称"/>
    <w:basedOn w:val="1"/>
    <w:link w:val="129"/>
    <w:autoRedefine/>
    <w:qFormat/>
    <w:uiPriority w:val="0"/>
    <w:pPr>
      <w:spacing w:line="240" w:lineRule="auto"/>
      <w:ind w:firstLine="0" w:firstLineChars="0"/>
      <w:jc w:val="center"/>
    </w:pPr>
    <w:rPr>
      <w:b/>
      <w:sz w:val="21"/>
    </w:rPr>
  </w:style>
  <w:style w:type="character" w:customStyle="1" w:styleId="129">
    <w:name w:val="图名称 字符"/>
    <w:basedOn w:val="44"/>
    <w:link w:val="128"/>
    <w:autoRedefine/>
    <w:qFormat/>
    <w:uiPriority w:val="0"/>
    <w:rPr>
      <w:b/>
      <w:kern w:val="2"/>
      <w:sz w:val="21"/>
      <w:szCs w:val="21"/>
    </w:rPr>
  </w:style>
  <w:style w:type="paragraph" w:customStyle="1" w:styleId="130">
    <w:name w:val="缩进2"/>
    <w:basedOn w:val="1"/>
    <w:link w:val="131"/>
    <w:autoRedefine/>
    <w:qFormat/>
    <w:uiPriority w:val="0"/>
    <w:rPr>
      <w:rFonts w:cstheme="minorBidi"/>
      <w:szCs w:val="22"/>
    </w:rPr>
  </w:style>
  <w:style w:type="character" w:customStyle="1" w:styleId="131">
    <w:name w:val="缩进2 字符"/>
    <w:basedOn w:val="44"/>
    <w:link w:val="130"/>
    <w:autoRedefine/>
    <w:qFormat/>
    <w:uiPriority w:val="0"/>
    <w:rPr>
      <w:rFonts w:cstheme="minorBidi"/>
      <w:kern w:val="2"/>
      <w:sz w:val="24"/>
      <w:szCs w:val="22"/>
    </w:rPr>
  </w:style>
  <w:style w:type="paragraph" w:customStyle="1" w:styleId="132">
    <w:name w:val="缩进1.5"/>
    <w:basedOn w:val="1"/>
    <w:next w:val="1"/>
    <w:link w:val="133"/>
    <w:autoRedefine/>
    <w:qFormat/>
    <w:uiPriority w:val="0"/>
    <w:pPr>
      <w:ind w:firstLine="150" w:firstLineChars="150"/>
    </w:pPr>
    <w:rPr>
      <w:rFonts w:cstheme="minorBidi"/>
      <w:szCs w:val="22"/>
    </w:rPr>
  </w:style>
  <w:style w:type="character" w:customStyle="1" w:styleId="133">
    <w:name w:val="缩进1.5 字符"/>
    <w:basedOn w:val="44"/>
    <w:link w:val="132"/>
    <w:autoRedefine/>
    <w:qFormat/>
    <w:uiPriority w:val="0"/>
    <w:rPr>
      <w:rFonts w:cstheme="minorBidi"/>
      <w:kern w:val="2"/>
      <w:sz w:val="24"/>
      <w:szCs w:val="22"/>
    </w:rPr>
  </w:style>
  <w:style w:type="paragraph" w:customStyle="1" w:styleId="134">
    <w:name w:val="XX图表字-居中"/>
    <w:basedOn w:val="1"/>
    <w:autoRedefine/>
    <w:qFormat/>
    <w:uiPriority w:val="0"/>
    <w:pPr>
      <w:spacing w:line="240" w:lineRule="auto"/>
      <w:ind w:firstLine="0" w:firstLineChars="0"/>
      <w:jc w:val="center"/>
    </w:pPr>
    <w:rPr>
      <w:rFonts w:cs="宋体"/>
      <w:sz w:val="21"/>
      <w:szCs w:val="24"/>
    </w:rPr>
  </w:style>
  <w:style w:type="character" w:customStyle="1" w:styleId="135">
    <w:name w:val="普通(网站) 字符"/>
    <w:link w:val="38"/>
    <w:autoRedefine/>
    <w:qFormat/>
    <w:locked/>
    <w:uiPriority w:val="99"/>
    <w:rPr>
      <w:color w:val="000000"/>
      <w:sz w:val="14"/>
    </w:rPr>
  </w:style>
  <w:style w:type="paragraph" w:customStyle="1" w:styleId="136">
    <w:name w:val="表头"/>
    <w:next w:val="107"/>
    <w:link w:val="137"/>
    <w:autoRedefine/>
    <w:qFormat/>
    <w:uiPriority w:val="1"/>
    <w:pPr>
      <w:keepNext/>
      <w:spacing w:line="360" w:lineRule="auto"/>
      <w:jc w:val="center"/>
    </w:pPr>
    <w:rPr>
      <w:rFonts w:ascii="Times New Roman" w:hAnsi="Times New Roman" w:eastAsia="宋体" w:cstheme="minorBidi"/>
      <w:b/>
      <w:kern w:val="2"/>
      <w:sz w:val="21"/>
      <w:szCs w:val="22"/>
      <w:lang w:val="en-US" w:eastAsia="zh-CN" w:bidi="ar-SA"/>
    </w:rPr>
  </w:style>
  <w:style w:type="character" w:customStyle="1" w:styleId="137">
    <w:name w:val="表头 Char"/>
    <w:basedOn w:val="44"/>
    <w:link w:val="136"/>
    <w:autoRedefine/>
    <w:qFormat/>
    <w:uiPriority w:val="1"/>
    <w:rPr>
      <w:rFonts w:cstheme="minorBidi"/>
      <w:b/>
      <w:kern w:val="2"/>
      <w:sz w:val="21"/>
      <w:szCs w:val="22"/>
    </w:rPr>
  </w:style>
  <w:style w:type="table" w:customStyle="1" w:styleId="138">
    <w:name w:val="两色网格表2"/>
    <w:basedOn w:val="42"/>
    <w:autoRedefine/>
    <w:qFormat/>
    <w:uiPriority w:val="99"/>
    <w:pPr>
      <w:jc w:val="center"/>
    </w:pPr>
    <w:rPr>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b/>
      </w:rPr>
      <w:tcPr>
        <w:shd w:val="clear" w:color="auto" w:fill="FFFFFF"/>
      </w:tcPr>
    </w:tblStylePr>
  </w:style>
  <w:style w:type="paragraph" w:customStyle="1" w:styleId="139">
    <w:name w:val="列表段落）"/>
    <w:basedOn w:val="1"/>
    <w:autoRedefine/>
    <w:qFormat/>
    <w:uiPriority w:val="0"/>
    <w:pPr>
      <w:numPr>
        <w:ilvl w:val="0"/>
        <w:numId w:val="7"/>
      </w:numPr>
      <w:ind w:left="0" w:firstLine="200"/>
    </w:pPr>
  </w:style>
  <w:style w:type="paragraph" w:customStyle="1" w:styleId="140">
    <w:name w:val="说明"/>
    <w:basedOn w:val="1"/>
    <w:autoRedefine/>
    <w:semiHidden/>
    <w:qFormat/>
    <w:uiPriority w:val="1"/>
    <w:pPr>
      <w:jc w:val="left"/>
      <w:textAlignment w:val="center"/>
    </w:pPr>
    <w:rPr>
      <w:rFonts w:ascii="楷体_GB2312" w:hAnsi="Calibri" w:eastAsia="楷体_GB2312" w:cstheme="minorBidi"/>
      <w:kern w:val="0"/>
      <w:szCs w:val="24"/>
    </w:rPr>
  </w:style>
  <w:style w:type="paragraph" w:customStyle="1" w:styleId="141">
    <w:name w:val="K正文"/>
    <w:basedOn w:val="1"/>
    <w:link w:val="142"/>
    <w:autoRedefine/>
    <w:qFormat/>
    <w:uiPriority w:val="0"/>
    <w:pPr>
      <w:ind w:firstLine="480"/>
    </w:pPr>
    <w:rPr>
      <w:rFonts w:cs="宋体"/>
      <w:szCs w:val="24"/>
    </w:rPr>
  </w:style>
  <w:style w:type="character" w:customStyle="1" w:styleId="142">
    <w:name w:val="K正文 Char"/>
    <w:link w:val="141"/>
    <w:autoRedefine/>
    <w:qFormat/>
    <w:uiPriority w:val="0"/>
    <w:rPr>
      <w:rFonts w:cs="宋体"/>
      <w:kern w:val="2"/>
      <w:sz w:val="24"/>
      <w:szCs w:val="24"/>
    </w:rPr>
  </w:style>
  <w:style w:type="paragraph" w:customStyle="1" w:styleId="143">
    <w:name w:val="表不缩进"/>
    <w:basedOn w:val="1"/>
    <w:autoRedefine/>
    <w:qFormat/>
    <w:uiPriority w:val="0"/>
    <w:pPr>
      <w:widowControl/>
      <w:spacing w:line="240" w:lineRule="auto"/>
      <w:ind w:firstLine="0" w:firstLineChars="0"/>
      <w:jc w:val="left"/>
    </w:pPr>
    <w:rPr>
      <w:rFonts w:cs="宋体"/>
      <w:sz w:val="21"/>
      <w:szCs w:val="24"/>
    </w:rPr>
  </w:style>
  <w:style w:type="paragraph" w:customStyle="1" w:styleId="144">
    <w:name w:val="表格居中"/>
    <w:basedOn w:val="98"/>
    <w:link w:val="145"/>
    <w:autoRedefine/>
    <w:qFormat/>
    <w:uiPriority w:val="0"/>
    <w:pPr>
      <w:spacing w:line="240" w:lineRule="auto"/>
    </w:pPr>
    <w:rPr>
      <w:b w:val="0"/>
      <w:bCs w:val="0"/>
    </w:rPr>
  </w:style>
  <w:style w:type="character" w:customStyle="1" w:styleId="145">
    <w:name w:val="表格居中 Char"/>
    <w:link w:val="144"/>
    <w:autoRedefine/>
    <w:qFormat/>
    <w:uiPriority w:val="0"/>
    <w:rPr>
      <w:color w:val="000000" w:themeColor="text1"/>
      <w:kern w:val="2"/>
      <w:sz w:val="21"/>
      <w:szCs w:val="21"/>
      <w14:textFill>
        <w14:solidFill>
          <w14:schemeClr w14:val="tx1"/>
        </w14:solidFill>
      </w14:textFill>
    </w:rPr>
  </w:style>
  <w:style w:type="paragraph" w:customStyle="1" w:styleId="146">
    <w:name w:val="缩进-左表字"/>
    <w:basedOn w:val="116"/>
    <w:autoRedefine/>
    <w:qFormat/>
    <w:uiPriority w:val="0"/>
    <w:pPr>
      <w:ind w:firstLine="200" w:firstLineChars="200"/>
      <w:jc w:val="left"/>
    </w:pPr>
  </w:style>
  <w:style w:type="character" w:customStyle="1" w:styleId="147">
    <w:name w:val="表格正文 Char"/>
    <w:link w:val="148"/>
    <w:autoRedefine/>
    <w:qFormat/>
    <w:uiPriority w:val="0"/>
    <w:rPr>
      <w:rFonts w:ascii="宋体" w:hAnsi="宋体" w:eastAsia="仿宋_GB2312"/>
      <w:color w:val="0000FF"/>
      <w:sz w:val="24"/>
      <w:szCs w:val="24"/>
    </w:rPr>
  </w:style>
  <w:style w:type="paragraph" w:customStyle="1" w:styleId="148">
    <w:name w:val="表格正文"/>
    <w:basedOn w:val="1"/>
    <w:link w:val="147"/>
    <w:autoRedefine/>
    <w:qFormat/>
    <w:uiPriority w:val="0"/>
    <w:pPr>
      <w:ind w:firstLine="0" w:firstLineChars="0"/>
      <w:jc w:val="center"/>
    </w:pPr>
    <w:rPr>
      <w:rFonts w:ascii="宋体" w:hAnsi="宋体" w:eastAsia="仿宋_GB2312"/>
      <w:color w:val="0000FF"/>
      <w:kern w:val="0"/>
      <w:szCs w:val="24"/>
    </w:rPr>
  </w:style>
  <w:style w:type="character" w:customStyle="1" w:styleId="149">
    <w:name w:val="Char Char5"/>
    <w:autoRedefine/>
    <w:semiHidden/>
    <w:qFormat/>
    <w:uiPriority w:val="0"/>
    <w:rPr>
      <w:rFonts w:eastAsia="Verdana"/>
      <w:kern w:val="2"/>
      <w:sz w:val="18"/>
      <w:szCs w:val="18"/>
      <w:lang w:val="en-US" w:eastAsia="zh-CN" w:bidi="ar-SA"/>
    </w:rPr>
  </w:style>
  <w:style w:type="paragraph" w:customStyle="1" w:styleId="150">
    <w:name w:val="K图表字-居中"/>
    <w:basedOn w:val="141"/>
    <w:link w:val="151"/>
    <w:autoRedefine/>
    <w:qFormat/>
    <w:uiPriority w:val="0"/>
    <w:pPr>
      <w:spacing w:line="240" w:lineRule="auto"/>
      <w:ind w:firstLine="0" w:firstLineChars="0"/>
      <w:jc w:val="center"/>
    </w:pPr>
    <w:rPr>
      <w:rFonts w:ascii="宋体" w:hAnsi="宋体"/>
      <w:sz w:val="21"/>
    </w:rPr>
  </w:style>
  <w:style w:type="character" w:customStyle="1" w:styleId="151">
    <w:name w:val="K图表字-居中 Char"/>
    <w:link w:val="150"/>
    <w:autoRedefine/>
    <w:qFormat/>
    <w:uiPriority w:val="0"/>
    <w:rPr>
      <w:rFonts w:ascii="宋体" w:hAnsi="宋体" w:cs="宋体"/>
      <w:kern w:val="2"/>
      <w:sz w:val="21"/>
      <w:szCs w:val="24"/>
    </w:rPr>
  </w:style>
  <w:style w:type="paragraph" w:customStyle="1" w:styleId="152">
    <w:name w:val="表左缩进"/>
    <w:basedOn w:val="85"/>
    <w:autoRedefine/>
    <w:qFormat/>
    <w:uiPriority w:val="0"/>
    <w:pPr>
      <w:numPr>
        <w:ilvl w:val="0"/>
        <w:numId w:val="8"/>
      </w:numPr>
      <w:ind w:left="0" w:firstLine="0"/>
    </w:pPr>
  </w:style>
  <w:style w:type="character" w:customStyle="1" w:styleId="153">
    <w:name w:val="文档结构图 字符"/>
    <w:basedOn w:val="44"/>
    <w:link w:val="17"/>
    <w:autoRedefine/>
    <w:qFormat/>
    <w:uiPriority w:val="99"/>
    <w:rPr>
      <w:rFonts w:ascii="Microsoft YaHei UI" w:eastAsia="Microsoft YaHei UI"/>
      <w:kern w:val="2"/>
      <w:sz w:val="18"/>
      <w:szCs w:val="18"/>
    </w:rPr>
  </w:style>
  <w:style w:type="character" w:customStyle="1" w:styleId="154">
    <w:name w:val="日期 字符"/>
    <w:basedOn w:val="44"/>
    <w:link w:val="25"/>
    <w:autoRedefine/>
    <w:qFormat/>
    <w:uiPriority w:val="0"/>
    <w:rPr>
      <w:rFonts w:asciiTheme="minorHAnsi" w:hAnsiTheme="minorHAnsi" w:eastAsiaTheme="minorEastAsia" w:cstheme="minorBidi"/>
      <w:kern w:val="2"/>
      <w:sz w:val="21"/>
      <w:szCs w:val="21"/>
    </w:rPr>
  </w:style>
  <w:style w:type="table" w:customStyle="1" w:styleId="155">
    <w:name w:val="XX表格1"/>
    <w:basedOn w:val="42"/>
    <w:autoRedefine/>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table" w:customStyle="1" w:styleId="156">
    <w:name w:val="11111"/>
    <w:basedOn w:val="42"/>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Pr>
    <w:trPr>
      <w:jc w:val="center"/>
    </w:trPr>
    <w:tcPr>
      <w:shd w:val="clear" w:color="auto" w:fill="auto"/>
      <w:vAlign w:val="center"/>
    </w:tcPr>
    <w:tblStylePr w:type="firstRow">
      <w:rPr>
        <w:rFonts w:eastAsia="宋体"/>
        <w:b/>
        <w:sz w:val="21"/>
      </w:rPr>
      <w:tcPr>
        <w:tcBorders>
          <w:top w:val="double" w:color="auto" w:sz="4" w:space="0"/>
          <w:left w:val="double" w:color="auto" w:sz="4" w:space="0"/>
          <w:bottom w:val="single" w:color="auto" w:sz="4" w:space="0"/>
          <w:right w:val="double" w:color="auto" w:sz="4" w:space="0"/>
          <w:insideH w:val="nil"/>
          <w:insideV w:val="single" w:sz="4" w:space="0"/>
          <w:tl2br w:val="nil"/>
          <w:tr2bl w:val="nil"/>
        </w:tcBorders>
      </w:tcPr>
    </w:tblStylePr>
    <w:tblStylePr w:type="firstCol">
      <w:rPr>
        <w:rFonts w:eastAsia="宋体"/>
        <w:b/>
        <w:sz w:val="21"/>
      </w:rPr>
      <w:tcPr>
        <w:tcBorders>
          <w:top w:val="double" w:color="auto" w:sz="4" w:space="0"/>
          <w:left w:val="double" w:color="auto" w:sz="4" w:space="0"/>
          <w:bottom w:val="double" w:color="auto" w:sz="4" w:space="0"/>
          <w:right w:val="single" w:color="auto" w:sz="4" w:space="0"/>
          <w:insideH w:val="nil"/>
          <w:insideV w:val="nil"/>
          <w:tl2br w:val="nil"/>
          <w:tr2bl w:val="nil"/>
        </w:tcBorders>
      </w:tcPr>
    </w:tblStylePr>
  </w:style>
  <w:style w:type="table" w:customStyle="1" w:styleId="157">
    <w:name w:val="无格式表格 11"/>
    <w:basedOn w:val="42"/>
    <w:autoRedefine/>
    <w:qFormat/>
    <w:uiPriority w:val="41"/>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58">
    <w:name w:val="图片"/>
    <w:basedOn w:val="1"/>
    <w:autoRedefine/>
    <w:qFormat/>
    <w:uiPriority w:val="0"/>
    <w:pPr>
      <w:keepNext/>
      <w:framePr w:wrap="around" w:vAnchor="margin" w:hAnchor="text" w:xAlign="center" w:yAlign="center"/>
      <w:ind w:firstLine="0" w:firstLineChars="0"/>
      <w:jc w:val="center"/>
    </w:pPr>
    <w:rPr>
      <w:rFonts w:cstheme="minorBidi"/>
      <w:kern w:val="0"/>
      <w:szCs w:val="24"/>
    </w:rPr>
  </w:style>
  <w:style w:type="table" w:customStyle="1" w:styleId="159">
    <w:name w:val="网格型浅色1"/>
    <w:basedOn w:val="42"/>
    <w:autoRedefine/>
    <w:qFormat/>
    <w:uiPriority w:val="40"/>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60">
    <w:name w:val="表2"/>
    <w:basedOn w:val="42"/>
    <w:autoRedefine/>
    <w:qFormat/>
    <w:uiPriority w:val="99"/>
    <w:rPr>
      <w:rFonts w:cstheme="minorBidi"/>
      <w:sz w:val="24"/>
      <w:szCs w:val="24"/>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b/>
      </w:rPr>
      <w:tblPr>
        <w:jc w:val="center"/>
      </w:tblPr>
      <w:trPr>
        <w:jc w:val="center"/>
      </w:trPr>
      <w:tcPr>
        <w:vAlign w:val="center"/>
      </w:tcPr>
    </w:tblStylePr>
  </w:style>
  <w:style w:type="table" w:customStyle="1" w:styleId="161">
    <w:name w:val="k 表格1"/>
    <w:basedOn w:val="42"/>
    <w:autoRedefine/>
    <w:qFormat/>
    <w:uiPriority w:val="99"/>
    <w:rPr>
      <w:rFonts w:ascii="宋体" w:hAnsi="宋体" w:cs="Calibri"/>
      <w:sz w:val="21"/>
      <w:szCs w:val="24"/>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left w:w="57" w:type="dxa"/>
        <w:right w:w="57" w:type="dxa"/>
      </w:tblCellMar>
    </w:tblPr>
    <w:tcPr>
      <w:vAlign w:val="center"/>
    </w:tcPr>
    <w:tblStylePr w:type="firstRow">
      <w:rPr>
        <w:rFonts w:hint="default" w:ascii="Times New Roman" w:hAnsi="Times New Roman" w:eastAsia="宋体" w:cs="Times New Roman"/>
        <w:b/>
        <w:sz w:val="21"/>
        <w:szCs w:val="21"/>
      </w:rPr>
    </w:tblStylePr>
  </w:style>
  <w:style w:type="table" w:customStyle="1" w:styleId="162">
    <w:name w:val="K表格"/>
    <w:basedOn w:val="42"/>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character" w:customStyle="1" w:styleId="163">
    <w:name w:val="日期 字符1"/>
    <w:basedOn w:val="44"/>
    <w:autoRedefine/>
    <w:semiHidden/>
    <w:qFormat/>
    <w:uiPriority w:val="99"/>
    <w:rPr>
      <w:rFonts w:ascii="Times New Roman" w:hAnsi="Times New Roman" w:eastAsia="宋体" w:cs="Times New Roman"/>
      <w:kern w:val="2"/>
      <w:sz w:val="24"/>
      <w:szCs w:val="21"/>
    </w:rPr>
  </w:style>
  <w:style w:type="paragraph" w:customStyle="1" w:styleId="164">
    <w:name w:val="段落正文"/>
    <w:autoRedefine/>
    <w:qFormat/>
    <w:uiPriority w:val="0"/>
    <w:pPr>
      <w:spacing w:before="50" w:beforeLines="50" w:after="50" w:afterLines="50" w:line="320" w:lineRule="exact"/>
      <w:jc w:val="both"/>
    </w:pPr>
    <w:rPr>
      <w:rFonts w:ascii="Arial" w:hAnsi="Arial" w:eastAsia="Arial" w:cs="Times New Roman"/>
      <w:bCs/>
      <w:kern w:val="2"/>
      <w:sz w:val="24"/>
      <w:szCs w:val="24"/>
      <w:lang w:val="en-US" w:eastAsia="zh-CN" w:bidi="ar-SA"/>
    </w:rPr>
  </w:style>
  <w:style w:type="character" w:customStyle="1" w:styleId="165">
    <w:name w:val="批注文字 字符1"/>
    <w:basedOn w:val="44"/>
    <w:autoRedefine/>
    <w:semiHidden/>
    <w:qFormat/>
    <w:uiPriority w:val="99"/>
    <w:rPr>
      <w:rFonts w:ascii="Times New Roman" w:hAnsi="Times New Roman" w:eastAsia="宋体"/>
      <w:sz w:val="24"/>
      <w:szCs w:val="24"/>
    </w:rPr>
  </w:style>
  <w:style w:type="character" w:customStyle="1" w:styleId="166">
    <w:name w:val="批注主题 字符1"/>
    <w:basedOn w:val="165"/>
    <w:autoRedefine/>
    <w:semiHidden/>
    <w:qFormat/>
    <w:uiPriority w:val="99"/>
    <w:rPr>
      <w:rFonts w:ascii="Times New Roman" w:hAnsi="Times New Roman" w:eastAsia="宋体"/>
      <w:b/>
      <w:bCs/>
      <w:sz w:val="24"/>
      <w:szCs w:val="24"/>
    </w:rPr>
  </w:style>
  <w:style w:type="paragraph" w:customStyle="1" w:styleId="167">
    <w:name w:val="文字"/>
    <w:basedOn w:val="1"/>
    <w:autoRedefine/>
    <w:qFormat/>
    <w:uiPriority w:val="0"/>
    <w:pPr>
      <w:spacing w:after="50" w:afterLines="50" w:line="300" w:lineRule="auto"/>
    </w:pPr>
    <w:rPr>
      <w:rFonts w:ascii="仿宋_GB2312" w:eastAsia="仿宋_GB2312" w:cstheme="minorBidi"/>
      <w:kern w:val="0"/>
      <w:szCs w:val="24"/>
    </w:rPr>
  </w:style>
  <w:style w:type="paragraph" w:customStyle="1" w:styleId="168">
    <w:name w:val="图表"/>
    <w:basedOn w:val="1"/>
    <w:autoRedefine/>
    <w:qFormat/>
    <w:uiPriority w:val="1"/>
    <w:pPr>
      <w:spacing w:line="240" w:lineRule="auto"/>
      <w:ind w:firstLine="0" w:firstLineChars="0"/>
      <w:jc w:val="center"/>
      <w:textAlignment w:val="center"/>
    </w:pPr>
    <w:rPr>
      <w:rFonts w:ascii="仿宋_GB2312" w:hAnsi="Calibri" w:eastAsia="仿宋_GB2312" w:cstheme="minorBidi"/>
      <w:kern w:val="0"/>
      <w:sz w:val="21"/>
      <w:szCs w:val="24"/>
    </w:rPr>
  </w:style>
  <w:style w:type="table" w:customStyle="1" w:styleId="169">
    <w:name w:val="网格型3"/>
    <w:basedOn w:val="42"/>
    <w:autoRedefine/>
    <w:qFormat/>
    <w:uiPriority w:val="39"/>
    <w:rPr>
      <w:sz w:val="24"/>
      <w:szCs w:val="24"/>
    </w:rPr>
    <w:tblPr>
      <w:tblBorders>
        <w:top w:val="single" w:color="000000" w:sz="4" w:space="0"/>
        <w:bottom w:val="single" w:color="000000" w:sz="4" w:space="0"/>
        <w:insideH w:val="single" w:color="000000" w:sz="4" w:space="0"/>
        <w:insideV w:val="single" w:color="000000" w:sz="4" w:space="0"/>
      </w:tblBorders>
    </w:tblPr>
    <w:tcPr>
      <w:vAlign w:val="center"/>
    </w:tcPr>
  </w:style>
  <w:style w:type="table" w:customStyle="1" w:styleId="170">
    <w:name w:val="LBY样式"/>
    <w:basedOn w:val="42"/>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Times New Roman" w:hAnsi="Times New Roman" w:eastAsia="Courier New"/>
        <w:b/>
        <w:i w:val="0"/>
        <w:sz w:val="21"/>
      </w:rPr>
      <w:tcPr>
        <w:shd w:val="clear" w:color="auto" w:fill="8DB3E2"/>
      </w:tcPr>
    </w:tblStylePr>
    <w:tblStylePr w:type="firstCol">
      <w:tcPr>
        <w:shd w:val="clear" w:color="auto" w:fill="FFFFFF"/>
      </w:tcPr>
    </w:tblStylePr>
  </w:style>
  <w:style w:type="table" w:customStyle="1" w:styleId="171">
    <w:name w:val="标准样式1"/>
    <w:basedOn w:val="42"/>
    <w:autoRedefine/>
    <w:qFormat/>
    <w:uiPriority w:val="99"/>
    <w:rPr>
      <w:rFonts w:ascii="Calibri" w:hAnsi="Calibri"/>
      <w:sz w:val="24"/>
      <w:szCs w:val="24"/>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BE5F1"/>
      <w:vAlign w:val="center"/>
    </w:tcPr>
    <w:tblStylePr w:type="firstRow">
      <w:rPr>
        <w:b/>
        <w:color w:val="auto"/>
      </w:rPr>
      <w:tcPr>
        <w:shd w:val="clear" w:color="auto" w:fill="B6DDE8"/>
      </w:tcPr>
    </w:tblStylePr>
    <w:tblStylePr w:type="firstCol">
      <w:tcPr>
        <w:shd w:val="clear" w:color="auto" w:fill="FDE9D9"/>
      </w:tcPr>
    </w:tblStylePr>
  </w:style>
  <w:style w:type="table" w:customStyle="1" w:styleId="172">
    <w:name w:val="1111"/>
    <w:basedOn w:val="42"/>
    <w:autoRedefine/>
    <w:qFormat/>
    <w:uiPriority w:val="99"/>
    <w:pPr>
      <w:jc w:val="center"/>
    </w:pPr>
    <w:rPr>
      <w:rFonts w:cstheme="minorBidi"/>
      <w:sz w:val="21"/>
      <w:szCs w:val="24"/>
    </w:rPr>
    <w:tcPr>
      <w:shd w:val="clear" w:color="auto" w:fill="auto"/>
    </w:tcPr>
  </w:style>
  <w:style w:type="table" w:customStyle="1" w:styleId="173">
    <w:name w:val="LB样式"/>
    <w:basedOn w:val="42"/>
    <w:autoRedefine/>
    <w:qFormat/>
    <w:uiPriority w:val="99"/>
    <w:rPr>
      <w:rFonts w:cstheme="minorBidi"/>
      <w:sz w:val="21"/>
      <w:szCs w:val="24"/>
    </w:rPr>
  </w:style>
  <w:style w:type="character" w:customStyle="1" w:styleId="174">
    <w:name w:val="font11"/>
    <w:basedOn w:val="44"/>
    <w:autoRedefine/>
    <w:qFormat/>
    <w:uiPriority w:val="0"/>
    <w:rPr>
      <w:rFonts w:hint="eastAsia" w:ascii="宋体" w:hAnsi="宋体" w:eastAsia="宋体"/>
      <w:color w:val="000000"/>
      <w:sz w:val="18"/>
      <w:szCs w:val="18"/>
      <w:u w:val="none"/>
    </w:rPr>
  </w:style>
  <w:style w:type="character" w:customStyle="1" w:styleId="175">
    <w:name w:val="font51"/>
    <w:basedOn w:val="44"/>
    <w:autoRedefine/>
    <w:qFormat/>
    <w:uiPriority w:val="0"/>
    <w:rPr>
      <w:rFonts w:hint="eastAsia" w:ascii="宋体" w:hAnsi="宋体" w:eastAsia="宋体"/>
      <w:color w:val="000000"/>
      <w:sz w:val="9"/>
      <w:szCs w:val="9"/>
      <w:u w:val="none"/>
      <w:vertAlign w:val="subscript"/>
    </w:rPr>
  </w:style>
  <w:style w:type="character" w:customStyle="1" w:styleId="176">
    <w:name w:val="font41"/>
    <w:basedOn w:val="44"/>
    <w:autoRedefine/>
    <w:qFormat/>
    <w:uiPriority w:val="0"/>
    <w:rPr>
      <w:rFonts w:hint="eastAsia" w:ascii="宋体" w:hAnsi="宋体" w:eastAsia="宋体"/>
      <w:color w:val="000000"/>
      <w:sz w:val="9"/>
      <w:szCs w:val="9"/>
      <w:u w:val="none"/>
    </w:rPr>
  </w:style>
  <w:style w:type="character" w:customStyle="1" w:styleId="177">
    <w:name w:val="font31"/>
    <w:basedOn w:val="44"/>
    <w:autoRedefine/>
    <w:qFormat/>
    <w:uiPriority w:val="0"/>
    <w:rPr>
      <w:rFonts w:hint="eastAsia" w:ascii="宋体" w:hAnsi="宋体" w:eastAsia="宋体"/>
      <w:color w:val="000000"/>
      <w:sz w:val="18"/>
      <w:szCs w:val="18"/>
      <w:u w:val="none"/>
      <w:vertAlign w:val="subscript"/>
    </w:rPr>
  </w:style>
  <w:style w:type="paragraph" w:customStyle="1" w:styleId="178">
    <w:name w:val="Char Char Char Char Char Char Char"/>
    <w:basedOn w:val="17"/>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character" w:customStyle="1" w:styleId="179">
    <w:name w:val="k 正文 Char"/>
    <w:link w:val="180"/>
    <w:autoRedefine/>
    <w:qFormat/>
    <w:uiPriority w:val="0"/>
    <w:rPr>
      <w:kern w:val="2"/>
      <w:sz w:val="24"/>
      <w:szCs w:val="24"/>
    </w:rPr>
  </w:style>
  <w:style w:type="paragraph" w:customStyle="1" w:styleId="180">
    <w:name w:val="k 正文"/>
    <w:basedOn w:val="1"/>
    <w:link w:val="179"/>
    <w:autoRedefine/>
    <w:qFormat/>
    <w:uiPriority w:val="0"/>
    <w:rPr>
      <w:szCs w:val="24"/>
    </w:rPr>
  </w:style>
  <w:style w:type="character" w:customStyle="1" w:styleId="181">
    <w:name w:val="图表名称 Char"/>
    <w:link w:val="98"/>
    <w:autoRedefine/>
    <w:qFormat/>
    <w:uiPriority w:val="0"/>
    <w:rPr>
      <w:b/>
      <w:bCs/>
      <w:color w:val="000000" w:themeColor="text1"/>
      <w:kern w:val="2"/>
      <w:sz w:val="21"/>
      <w:szCs w:val="21"/>
      <w14:textFill>
        <w14:solidFill>
          <w14:schemeClr w14:val="tx1"/>
        </w14:solidFill>
      </w14:textFill>
    </w:rPr>
  </w:style>
  <w:style w:type="paragraph" w:customStyle="1" w:styleId="182">
    <w:name w:val="图居中、图表标题"/>
    <w:basedOn w:val="1"/>
    <w:next w:val="1"/>
    <w:link w:val="183"/>
    <w:autoRedefine/>
    <w:qFormat/>
    <w:uiPriority w:val="0"/>
    <w:pPr>
      <w:adjustRightInd w:val="0"/>
      <w:snapToGrid w:val="0"/>
      <w:ind w:firstLine="0" w:firstLineChars="0"/>
      <w:jc w:val="center"/>
    </w:pPr>
    <w:rPr>
      <w:rFonts w:cs="宋体" w:asciiTheme="minorHAnsi" w:hAnsiTheme="minorHAnsi"/>
      <w:b/>
      <w:color w:val="0000C8"/>
      <w:kern w:val="0"/>
      <w:sz w:val="20"/>
      <w:szCs w:val="20"/>
    </w:rPr>
  </w:style>
  <w:style w:type="character" w:customStyle="1" w:styleId="183">
    <w:name w:val="图居中、图表标题 Char"/>
    <w:basedOn w:val="44"/>
    <w:link w:val="182"/>
    <w:autoRedefine/>
    <w:qFormat/>
    <w:uiPriority w:val="0"/>
    <w:rPr>
      <w:rFonts w:cs="宋体" w:asciiTheme="minorHAnsi" w:hAnsiTheme="minorHAnsi"/>
      <w:b/>
      <w:color w:val="0000C8"/>
    </w:rPr>
  </w:style>
  <w:style w:type="paragraph" w:customStyle="1" w:styleId="184">
    <w:name w:val="WFS正文"/>
    <w:basedOn w:val="1"/>
    <w:link w:val="185"/>
    <w:autoRedefine/>
    <w:qFormat/>
    <w:uiPriority w:val="0"/>
    <w:pPr>
      <w:adjustRightInd w:val="0"/>
      <w:ind w:firstLine="480"/>
    </w:pPr>
    <w:rPr>
      <w:rFonts w:cs="宋体"/>
      <w:szCs w:val="24"/>
    </w:rPr>
  </w:style>
  <w:style w:type="character" w:customStyle="1" w:styleId="185">
    <w:name w:val="WFS正文 Char"/>
    <w:link w:val="184"/>
    <w:autoRedefine/>
    <w:qFormat/>
    <w:uiPriority w:val="0"/>
    <w:rPr>
      <w:rFonts w:cs="宋体"/>
      <w:kern w:val="2"/>
      <w:sz w:val="24"/>
      <w:szCs w:val="24"/>
    </w:rPr>
  </w:style>
  <w:style w:type="character" w:customStyle="1" w:styleId="186">
    <w:name w:val="k 正文 Char Char"/>
    <w:autoRedefine/>
    <w:qFormat/>
    <w:uiPriority w:val="0"/>
    <w:rPr>
      <w:kern w:val="2"/>
      <w:sz w:val="24"/>
      <w:szCs w:val="22"/>
    </w:rPr>
  </w:style>
  <w:style w:type="paragraph" w:customStyle="1" w:styleId="187">
    <w:name w:val="k 图表标题"/>
    <w:basedOn w:val="1"/>
    <w:next w:val="1"/>
    <w:link w:val="188"/>
    <w:autoRedefine/>
    <w:qFormat/>
    <w:uiPriority w:val="0"/>
    <w:pPr>
      <w:adjustRightInd w:val="0"/>
      <w:snapToGrid w:val="0"/>
      <w:spacing w:before="120" w:beforeLines="50" w:after="120" w:afterLines="50" w:line="240" w:lineRule="auto"/>
      <w:ind w:firstLine="0" w:firstLineChars="0"/>
      <w:jc w:val="center"/>
    </w:pPr>
    <w:rPr>
      <w:b/>
      <w:color w:val="0000FF"/>
      <w:sz w:val="28"/>
      <w:szCs w:val="22"/>
      <w:lang w:val="zh-CN"/>
    </w:rPr>
  </w:style>
  <w:style w:type="character" w:customStyle="1" w:styleId="188">
    <w:name w:val="k 图表标题 Char"/>
    <w:link w:val="187"/>
    <w:autoRedefine/>
    <w:qFormat/>
    <w:uiPriority w:val="0"/>
    <w:rPr>
      <w:b/>
      <w:color w:val="0000FF"/>
      <w:kern w:val="2"/>
      <w:sz w:val="28"/>
      <w:szCs w:val="22"/>
      <w:lang w:val="zh-CN" w:eastAsia="zh-CN"/>
    </w:rPr>
  </w:style>
  <w:style w:type="paragraph" w:customStyle="1" w:styleId="189">
    <w:name w:val="WFS图表字-居中"/>
    <w:basedOn w:val="1"/>
    <w:link w:val="190"/>
    <w:autoRedefine/>
    <w:qFormat/>
    <w:uiPriority w:val="0"/>
    <w:pPr>
      <w:adjustRightInd w:val="0"/>
      <w:spacing w:line="240" w:lineRule="auto"/>
      <w:ind w:firstLine="0" w:firstLineChars="0"/>
      <w:jc w:val="center"/>
    </w:pPr>
    <w:rPr>
      <w:sz w:val="21"/>
      <w:szCs w:val="24"/>
    </w:rPr>
  </w:style>
  <w:style w:type="character" w:customStyle="1" w:styleId="190">
    <w:name w:val="WFS图表字-居中 Char"/>
    <w:link w:val="189"/>
    <w:autoRedefine/>
    <w:qFormat/>
    <w:uiPriority w:val="0"/>
    <w:rPr>
      <w:kern w:val="2"/>
      <w:sz w:val="21"/>
      <w:szCs w:val="24"/>
    </w:rPr>
  </w:style>
  <w:style w:type="table" w:customStyle="1" w:styleId="191">
    <w:name w:val="网格型2"/>
    <w:basedOn w:val="42"/>
    <w:autoRedefine/>
    <w:qFormat/>
    <w:uiPriority w:val="5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2">
    <w:name w:val="图表标题"/>
    <w:link w:val="193"/>
    <w:autoRedefine/>
    <w:qFormat/>
    <w:uiPriority w:val="0"/>
    <w:pPr>
      <w:widowControl w:val="0"/>
      <w:snapToGrid w:val="0"/>
      <w:spacing w:line="360" w:lineRule="auto"/>
      <w:ind w:firstLine="723" w:firstLineChars="200"/>
      <w:jc w:val="center"/>
    </w:pPr>
    <w:rPr>
      <w:rFonts w:ascii="仿宋" w:hAnsi="仿宋" w:eastAsia="仿宋" w:cs="仿宋"/>
      <w:b/>
      <w:kern w:val="3"/>
      <w:sz w:val="24"/>
      <w:szCs w:val="24"/>
      <w:lang w:val="en-US" w:eastAsia="zh-CN" w:bidi="ar-SA"/>
    </w:rPr>
  </w:style>
  <w:style w:type="character" w:customStyle="1" w:styleId="193">
    <w:name w:val="图表标题 Char"/>
    <w:link w:val="192"/>
    <w:autoRedefine/>
    <w:qFormat/>
    <w:uiPriority w:val="0"/>
    <w:rPr>
      <w:rFonts w:ascii="仿宋" w:hAnsi="仿宋" w:eastAsia="仿宋" w:cs="仿宋"/>
      <w:b/>
      <w:kern w:val="3"/>
      <w:sz w:val="24"/>
      <w:szCs w:val="24"/>
    </w:rPr>
  </w:style>
  <w:style w:type="paragraph" w:customStyle="1" w:styleId="194">
    <w:name w:val="40正文(1)"/>
    <w:basedOn w:val="1"/>
    <w:link w:val="200"/>
    <w:autoRedefine/>
    <w:qFormat/>
    <w:uiPriority w:val="0"/>
    <w:pPr>
      <w:tabs>
        <w:tab w:val="left" w:pos="0"/>
        <w:tab w:val="left" w:pos="420"/>
        <w:tab w:val="left" w:pos="478"/>
        <w:tab w:val="left" w:pos="510"/>
      </w:tabs>
      <w:adjustRightInd w:val="0"/>
      <w:ind w:left="58" w:firstLine="0" w:firstLineChars="0"/>
      <w:jc w:val="left"/>
    </w:pPr>
    <w:rPr>
      <w:rFonts w:ascii="宋体" w:hAnsi="宋体" w:cs="宋体"/>
      <w:snapToGrid w:val="0"/>
      <w:kern w:val="0"/>
      <w:szCs w:val="24"/>
    </w:rPr>
  </w:style>
  <w:style w:type="paragraph" w:customStyle="1" w:styleId="195">
    <w:name w:val="正文 1）"/>
    <w:basedOn w:val="1"/>
    <w:next w:val="1"/>
    <w:autoRedefine/>
    <w:qFormat/>
    <w:uiPriority w:val="0"/>
    <w:pPr>
      <w:tabs>
        <w:tab w:val="left" w:pos="-204"/>
        <w:tab w:val="left" w:pos="0"/>
      </w:tabs>
      <w:adjustRightInd w:val="0"/>
      <w:ind w:left="-624" w:firstLine="0" w:firstLineChars="0"/>
      <w:jc w:val="left"/>
    </w:pPr>
    <w:rPr>
      <w:rFonts w:ascii="宋体" w:hAnsi="宋体" w:cs="宋体"/>
      <w:snapToGrid w:val="0"/>
      <w:kern w:val="0"/>
      <w:szCs w:val="24"/>
    </w:rPr>
  </w:style>
  <w:style w:type="paragraph" w:customStyle="1" w:styleId="196">
    <w:name w:val="正文 a"/>
    <w:basedOn w:val="1"/>
    <w:next w:val="1"/>
    <w:autoRedefine/>
    <w:qFormat/>
    <w:uiPriority w:val="0"/>
    <w:pPr>
      <w:tabs>
        <w:tab w:val="left" w:pos="420"/>
        <w:tab w:val="left" w:pos="568"/>
      </w:tabs>
      <w:adjustRightInd w:val="0"/>
      <w:ind w:left="-56" w:firstLine="0" w:firstLineChars="0"/>
      <w:jc w:val="left"/>
    </w:pPr>
    <w:rPr>
      <w:rFonts w:ascii="宋体" w:hAnsi="宋体" w:cs="宋体"/>
      <w:snapToGrid w:val="0"/>
      <w:kern w:val="0"/>
      <w:szCs w:val="24"/>
    </w:rPr>
  </w:style>
  <w:style w:type="paragraph" w:customStyle="1" w:styleId="197">
    <w:name w:val="70标题表格"/>
    <w:basedOn w:val="1"/>
    <w:next w:val="1"/>
    <w:link w:val="202"/>
    <w:autoRedefine/>
    <w:qFormat/>
    <w:uiPriority w:val="0"/>
    <w:pPr>
      <w:tabs>
        <w:tab w:val="left" w:pos="420"/>
      </w:tabs>
      <w:adjustRightInd w:val="0"/>
      <w:ind w:firstLine="0" w:firstLineChars="0"/>
      <w:jc w:val="center"/>
    </w:pPr>
    <w:rPr>
      <w:rFonts w:ascii="宋体" w:hAnsi="宋体" w:cs="宋体"/>
      <w:b/>
      <w:bCs/>
      <w:snapToGrid w:val="0"/>
      <w:color w:val="0766D4"/>
      <w:kern w:val="0"/>
      <w:sz w:val="21"/>
    </w:rPr>
  </w:style>
  <w:style w:type="paragraph" w:customStyle="1" w:styleId="198">
    <w:name w:val="80标题图片"/>
    <w:basedOn w:val="1"/>
    <w:next w:val="1"/>
    <w:autoRedefine/>
    <w:qFormat/>
    <w:uiPriority w:val="0"/>
    <w:pPr>
      <w:tabs>
        <w:tab w:val="left" w:pos="0"/>
        <w:tab w:val="left" w:pos="2973"/>
        <w:tab w:val="left" w:pos="3540"/>
        <w:tab w:val="left" w:pos="3681"/>
        <w:tab w:val="left" w:pos="4107"/>
      </w:tabs>
      <w:adjustRightInd w:val="0"/>
      <w:ind w:firstLine="0" w:firstLineChars="0"/>
      <w:jc w:val="center"/>
    </w:pPr>
    <w:rPr>
      <w:rFonts w:ascii="宋体" w:hAnsi="宋体" w:cs="宋体"/>
      <w:b/>
      <w:snapToGrid w:val="0"/>
      <w:color w:val="0766D4"/>
      <w:kern w:val="0"/>
      <w:sz w:val="21"/>
    </w:rPr>
  </w:style>
  <w:style w:type="paragraph" w:customStyle="1" w:styleId="199">
    <w:name w:val="90表格序号"/>
    <w:basedOn w:val="1"/>
    <w:next w:val="1"/>
    <w:autoRedefine/>
    <w:qFormat/>
    <w:uiPriority w:val="0"/>
    <w:pPr>
      <w:tabs>
        <w:tab w:val="left" w:pos="0"/>
      </w:tabs>
      <w:adjustRightInd w:val="0"/>
      <w:spacing w:line="240" w:lineRule="auto"/>
      <w:ind w:firstLine="0" w:firstLineChars="0"/>
      <w:jc w:val="center"/>
    </w:pPr>
    <w:rPr>
      <w:rFonts w:ascii="宋体" w:hAnsi="宋体" w:cs="宋体"/>
      <w:snapToGrid w:val="0"/>
      <w:kern w:val="0"/>
      <w:sz w:val="21"/>
    </w:rPr>
  </w:style>
  <w:style w:type="character" w:customStyle="1" w:styleId="200">
    <w:name w:val="正文（1） Char"/>
    <w:link w:val="194"/>
    <w:autoRedefine/>
    <w:qFormat/>
    <w:uiPriority w:val="0"/>
    <w:rPr>
      <w:rFonts w:ascii="宋体" w:hAnsi="宋体" w:cs="宋体"/>
      <w:snapToGrid w:val="0"/>
      <w:sz w:val="24"/>
      <w:szCs w:val="24"/>
    </w:rPr>
  </w:style>
  <w:style w:type="paragraph" w:customStyle="1" w:styleId="201">
    <w:name w:val="72表格小五"/>
    <w:basedOn w:val="1"/>
    <w:autoRedefine/>
    <w:qFormat/>
    <w:uiPriority w:val="0"/>
    <w:pPr>
      <w:adjustRightInd w:val="0"/>
      <w:spacing w:line="240" w:lineRule="auto"/>
      <w:ind w:firstLine="0" w:firstLineChars="0"/>
      <w:jc w:val="center"/>
    </w:pPr>
    <w:rPr>
      <w:rFonts w:ascii="宋体" w:hAnsi="宋体" w:cs="宋体"/>
      <w:snapToGrid w:val="0"/>
      <w:kern w:val="0"/>
      <w:sz w:val="18"/>
      <w:szCs w:val="18"/>
    </w:rPr>
  </w:style>
  <w:style w:type="character" w:customStyle="1" w:styleId="202">
    <w:name w:val="70标题表格 Char"/>
    <w:link w:val="197"/>
    <w:autoRedefine/>
    <w:qFormat/>
    <w:uiPriority w:val="0"/>
    <w:rPr>
      <w:rFonts w:ascii="宋体" w:hAnsi="宋体" w:cs="宋体"/>
      <w:b/>
      <w:bCs/>
      <w:snapToGrid w:val="0"/>
      <w:color w:val="0766D4"/>
      <w:sz w:val="21"/>
      <w:szCs w:val="21"/>
    </w:rPr>
  </w:style>
  <w:style w:type="character" w:customStyle="1" w:styleId="203">
    <w:name w:val="正文文本 3 字符"/>
    <w:basedOn w:val="44"/>
    <w:link w:val="19"/>
    <w:autoRedefine/>
    <w:qFormat/>
    <w:uiPriority w:val="0"/>
    <w:rPr>
      <w:kern w:val="2"/>
      <w:sz w:val="24"/>
      <w:szCs w:val="24"/>
    </w:rPr>
  </w:style>
  <w:style w:type="character" w:customStyle="1" w:styleId="204">
    <w:name w:val="纯文本 字符"/>
    <w:basedOn w:val="44"/>
    <w:link w:val="23"/>
    <w:autoRedefine/>
    <w:qFormat/>
    <w:uiPriority w:val="0"/>
    <w:rPr>
      <w:rFonts w:ascii="宋体" w:hAnsi="宋体" w:eastAsia="仿宋" w:cstheme="minorBidi"/>
      <w:kern w:val="2"/>
      <w:sz w:val="24"/>
      <w:szCs w:val="24"/>
    </w:rPr>
  </w:style>
  <w:style w:type="character" w:customStyle="1" w:styleId="205">
    <w:name w:val="正文文本缩进 2 字符"/>
    <w:basedOn w:val="44"/>
    <w:link w:val="26"/>
    <w:autoRedefine/>
    <w:qFormat/>
    <w:uiPriority w:val="99"/>
    <w:rPr>
      <w:rFonts w:ascii="仿宋_GB2312" w:hAnsi="宋体" w:eastAsia="仿宋_GB2312" w:cstheme="minorBidi"/>
      <w:kern w:val="2"/>
      <w:sz w:val="28"/>
      <w:szCs w:val="24"/>
    </w:rPr>
  </w:style>
  <w:style w:type="character" w:customStyle="1" w:styleId="206">
    <w:name w:val="正文文本缩进 3 字符"/>
    <w:basedOn w:val="44"/>
    <w:link w:val="34"/>
    <w:autoRedefine/>
    <w:qFormat/>
    <w:uiPriority w:val="0"/>
    <w:rPr>
      <w:kern w:val="2"/>
      <w:sz w:val="16"/>
      <w:szCs w:val="16"/>
    </w:rPr>
  </w:style>
  <w:style w:type="character" w:customStyle="1" w:styleId="207">
    <w:name w:val="标题 字符"/>
    <w:basedOn w:val="44"/>
    <w:link w:val="39"/>
    <w:autoRedefine/>
    <w:qFormat/>
    <w:uiPriority w:val="10"/>
    <w:rPr>
      <w:rFonts w:asciiTheme="majorHAnsi" w:hAnsiTheme="majorHAnsi" w:eastAsiaTheme="majorEastAsia" w:cstheme="majorBidi"/>
      <w:b/>
      <w:bCs/>
      <w:color w:val="000000" w:themeColor="text1"/>
      <w:kern w:val="2"/>
      <w:sz w:val="32"/>
      <w:szCs w:val="32"/>
      <w14:textFill>
        <w14:solidFill>
          <w14:schemeClr w14:val="tx1"/>
        </w14:solidFill>
      </w14:textFill>
    </w:rPr>
  </w:style>
  <w:style w:type="paragraph" w:customStyle="1" w:styleId="208">
    <w:name w:val="表格内容"/>
    <w:link w:val="375"/>
    <w:autoRedefine/>
    <w:qFormat/>
    <w:uiPriority w:val="0"/>
    <w:pPr>
      <w:jc w:val="center"/>
    </w:pPr>
    <w:rPr>
      <w:rFonts w:ascii="楷体_GB2312" w:hAnsi="Times New Roman" w:eastAsia="楷体_GB2312" w:cs="Times New Roman"/>
      <w:sz w:val="24"/>
      <w:lang w:val="en-US" w:eastAsia="zh-CN" w:bidi="ar-SA"/>
    </w:rPr>
  </w:style>
  <w:style w:type="character" w:customStyle="1" w:styleId="209">
    <w:name w:val="font01"/>
    <w:basedOn w:val="44"/>
    <w:autoRedefine/>
    <w:qFormat/>
    <w:uiPriority w:val="0"/>
    <w:rPr>
      <w:rFonts w:hint="eastAsia" w:ascii="宋体" w:hAnsi="宋体" w:eastAsia="宋体" w:cs="宋体"/>
      <w:b/>
      <w:color w:val="000000"/>
      <w:sz w:val="20"/>
      <w:szCs w:val="20"/>
      <w:u w:val="none"/>
    </w:rPr>
  </w:style>
  <w:style w:type="paragraph" w:customStyle="1" w:styleId="210">
    <w:name w:val="方案正文"/>
    <w:basedOn w:val="1"/>
    <w:autoRedefine/>
    <w:qFormat/>
    <w:uiPriority w:val="0"/>
    <w:pPr>
      <w:spacing w:after="50" w:afterLines="50" w:line="300" w:lineRule="auto"/>
      <w:ind w:firstLine="420"/>
      <w:jc w:val="left"/>
    </w:pPr>
    <w:rPr>
      <w:rFonts w:ascii="宋体" w:hAnsi="宋体" w:eastAsia="仿宋"/>
      <w:sz w:val="28"/>
      <w:szCs w:val="20"/>
    </w:rPr>
  </w:style>
  <w:style w:type="table" w:customStyle="1" w:styleId="211">
    <w:name w:val="网格型1"/>
    <w:basedOn w:val="42"/>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2">
    <w:name w:val="fontstyle01"/>
    <w:autoRedefine/>
    <w:qFormat/>
    <w:uiPriority w:val="0"/>
    <w:rPr>
      <w:rFonts w:hint="eastAsia" w:ascii="仿宋_GB2312" w:eastAsia="仿宋_GB2312"/>
      <w:color w:val="000000"/>
      <w:sz w:val="24"/>
      <w:szCs w:val="24"/>
    </w:rPr>
  </w:style>
  <w:style w:type="paragraph" w:customStyle="1" w:styleId="213">
    <w:name w:val="余杭图表"/>
    <w:next w:val="1"/>
    <w:autoRedefine/>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214">
    <w:name w:val="表格内文字"/>
    <w:autoRedefine/>
    <w:qFormat/>
    <w:uiPriority w:val="0"/>
    <w:rPr>
      <w:rFonts w:ascii="Times New Roman" w:hAnsi="Times New Roman" w:eastAsia="宋体"/>
      <w:color w:val="auto"/>
      <w:sz w:val="21"/>
    </w:rPr>
  </w:style>
  <w:style w:type="paragraph" w:customStyle="1" w:styleId="215">
    <w:name w:val="列出段落"/>
    <w:autoRedefine/>
    <w:qFormat/>
    <w:uiPriority w:val="0"/>
    <w:pPr>
      <w:widowControl w:val="0"/>
      <w:spacing w:line="360" w:lineRule="auto"/>
      <w:ind w:firstLine="420" w:firstLineChars="200"/>
      <w:jc w:val="both"/>
    </w:pPr>
    <w:rPr>
      <w:rFonts w:ascii="Calibri" w:hAnsi="Calibri" w:eastAsia="宋体" w:cs="Times New Roman"/>
      <w:kern w:val="2"/>
      <w:sz w:val="24"/>
      <w:lang w:val="zh-CN" w:eastAsia="zh-CN" w:bidi="ar-SA"/>
    </w:rPr>
  </w:style>
  <w:style w:type="paragraph" w:customStyle="1" w:styleId="216">
    <w:name w:val="标准正文"/>
    <w:autoRedefine/>
    <w:qFormat/>
    <w:uiPriority w:val="0"/>
    <w:pPr>
      <w:widowControl w:val="0"/>
      <w:spacing w:line="360" w:lineRule="auto"/>
      <w:ind w:firstLine="200" w:firstLineChars="200"/>
      <w:jc w:val="both"/>
    </w:pPr>
    <w:rPr>
      <w:rFonts w:ascii="宋体" w:hAnsi="宋体" w:eastAsia="宋体" w:cs="Times New Roman"/>
      <w:kern w:val="2"/>
      <w:sz w:val="24"/>
      <w:lang w:val="en-US" w:eastAsia="zh-CN" w:bidi="ar-SA"/>
    </w:rPr>
  </w:style>
  <w:style w:type="table" w:customStyle="1" w:styleId="217">
    <w:name w:val="自建11"/>
    <w:autoRedefine/>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0" w:type="dxa"/>
        <w:bottom w:w="0" w:type="dxa"/>
        <w:right w:w="0" w:type="dxa"/>
      </w:tblCellMar>
    </w:tblPr>
    <w:tcPr>
      <w:shd w:val="clear" w:color="auto" w:fill="DAEEF3"/>
      <w:vAlign w:val="center"/>
    </w:tcPr>
    <w:tblStylePr w:type="firstRow">
      <w:tcPr>
        <w:shd w:val="clear" w:color="auto" w:fill="92CDDC"/>
      </w:tcPr>
    </w:tblStylePr>
  </w:style>
  <w:style w:type="paragraph" w:customStyle="1" w:styleId="218">
    <w:name w:val="图表文字"/>
    <w:link w:val="333"/>
    <w:autoRedefine/>
    <w:qFormat/>
    <w:uiPriority w:val="0"/>
    <w:pPr>
      <w:widowControl w:val="0"/>
      <w:adjustRightInd w:val="0"/>
      <w:snapToGrid w:val="0"/>
      <w:ind w:firstLine="200" w:firstLineChars="200"/>
      <w:jc w:val="center"/>
    </w:pPr>
    <w:rPr>
      <w:rFonts w:ascii="宋体" w:hAnsi="宋体" w:eastAsia="宋体" w:cs="Times New Roman"/>
      <w:kern w:val="2"/>
      <w:sz w:val="22"/>
      <w:szCs w:val="21"/>
      <w:lang w:val="zh-CN" w:eastAsia="zh-CN" w:bidi="ar-SA"/>
    </w:rPr>
  </w:style>
  <w:style w:type="table" w:customStyle="1" w:styleId="219">
    <w:name w:val="方案编制常用表格样式1"/>
    <w:autoRedefine/>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CellMar>
        <w:top w:w="0" w:type="dxa"/>
        <w:left w:w="0" w:type="dxa"/>
        <w:bottom w:w="0" w:type="dxa"/>
        <w:right w:w="0" w:type="dxa"/>
      </w:tblCellMar>
    </w:tblPr>
    <w:trPr>
      <w:jc w:val="center"/>
    </w:trPr>
    <w:tcPr>
      <w:shd w:val="clear" w:color="auto" w:fill="DAEEF3"/>
      <w:vAlign w:val="center"/>
    </w:tcPr>
    <w:tblStylePr w:type="firstRow">
      <w:tcPr>
        <w:shd w:val="clear" w:color="auto" w:fill="92CDDC"/>
      </w:tcPr>
    </w:tblStylePr>
  </w:style>
  <w:style w:type="paragraph" w:customStyle="1" w:styleId="220">
    <w:name w:val="普通文字"/>
    <w:autoRedefine/>
    <w:qFormat/>
    <w:uiPriority w:val="0"/>
    <w:pPr>
      <w:widowControl w:val="0"/>
      <w:spacing w:line="360" w:lineRule="auto"/>
      <w:ind w:firstLine="200" w:firstLineChars="200"/>
      <w:jc w:val="both"/>
    </w:pPr>
    <w:rPr>
      <w:rFonts w:ascii="宋体" w:hAnsi="宋体" w:eastAsia="宋体" w:cs="Times New Roman"/>
      <w:kern w:val="2"/>
      <w:sz w:val="24"/>
      <w:szCs w:val="24"/>
      <w:lang w:val="en-US" w:eastAsia="zh-CN" w:bidi="ar-SA"/>
    </w:rPr>
  </w:style>
  <w:style w:type="paragraph" w:customStyle="1" w:styleId="221">
    <w:name w:val="图名"/>
    <w:next w:val="1"/>
    <w:link w:val="292"/>
    <w:autoRedefine/>
    <w:qFormat/>
    <w:uiPriority w:val="0"/>
    <w:pPr>
      <w:widowControl w:val="0"/>
      <w:numPr>
        <w:ilvl w:val="5"/>
        <w:numId w:val="9"/>
      </w:numPr>
      <w:tabs>
        <w:tab w:val="left" w:pos="0"/>
      </w:tabs>
      <w:spacing w:line="360" w:lineRule="auto"/>
      <w:jc w:val="center"/>
    </w:pPr>
    <w:rPr>
      <w:rFonts w:ascii="宋体" w:hAnsi="宋体" w:eastAsia="宋体" w:cs="Times New Roman"/>
      <w:b/>
      <w:kern w:val="2"/>
      <w:sz w:val="21"/>
      <w:szCs w:val="24"/>
      <w:lang w:val="en-US" w:eastAsia="zh-CN" w:bidi="ar-SA"/>
    </w:rPr>
  </w:style>
  <w:style w:type="paragraph" w:customStyle="1" w:styleId="222">
    <w:name w:val="正文X"/>
    <w:autoRedefine/>
    <w:qFormat/>
    <w:uiPriority w:val="0"/>
    <w:pPr>
      <w:snapToGrid w:val="0"/>
      <w:spacing w:line="360" w:lineRule="auto"/>
      <w:ind w:firstLine="482"/>
      <w:jc w:val="both"/>
    </w:pPr>
    <w:rPr>
      <w:rFonts w:ascii="宋体" w:hAnsi="宋体" w:eastAsia="宋体" w:cs="Times New Roman"/>
      <w:color w:val="000000"/>
      <w:kern w:val="2"/>
      <w:sz w:val="24"/>
      <w:szCs w:val="21"/>
      <w:lang w:val="zh-CN" w:eastAsia="zh-CN" w:bidi="ar-SA"/>
    </w:rPr>
  </w:style>
  <w:style w:type="paragraph" w:customStyle="1" w:styleId="223">
    <w:name w:val="表格字体"/>
    <w:next w:val="216"/>
    <w:autoRedefine/>
    <w:qFormat/>
    <w:uiPriority w:val="0"/>
    <w:pPr>
      <w:jc w:val="center"/>
    </w:pPr>
    <w:rPr>
      <w:rFonts w:ascii="Times New Roman" w:hAnsi="Times New Roman" w:eastAsia="宋体" w:cs="Times New Roman"/>
      <w:sz w:val="21"/>
      <w:szCs w:val="21"/>
      <w:lang w:val="en-US" w:eastAsia="zh-CN" w:bidi="ar-SA"/>
    </w:rPr>
  </w:style>
  <w:style w:type="paragraph" w:customStyle="1" w:styleId="224">
    <w:name w:val="图表文字-合安"/>
    <w:next w:val="1"/>
    <w:autoRedefine/>
    <w:qFormat/>
    <w:uiPriority w:val="0"/>
    <w:pPr>
      <w:widowControl w:val="0"/>
      <w:jc w:val="center"/>
    </w:pPr>
    <w:rPr>
      <w:rFonts w:ascii="宋体" w:hAnsi="Times New Roman" w:eastAsia="Times New Roman" w:cs="Times New Roman"/>
      <w:lang w:val="zh-CN" w:eastAsia="zh-CN" w:bidi="ar-SA"/>
    </w:rPr>
  </w:style>
  <w:style w:type="paragraph" w:customStyle="1" w:styleId="225">
    <w:name w:val="Body text|1"/>
    <w:autoRedefine/>
    <w:qFormat/>
    <w:uiPriority w:val="0"/>
    <w:pPr>
      <w:widowControl w:val="0"/>
      <w:spacing w:after="160" w:afterLines="50" w:line="384" w:lineRule="auto"/>
      <w:ind w:firstLine="400" w:firstLineChars="200"/>
    </w:pPr>
    <w:rPr>
      <w:rFonts w:ascii="宋体" w:hAnsi="宋体" w:eastAsia="宋体" w:cs="宋体"/>
      <w:kern w:val="2"/>
      <w:sz w:val="28"/>
      <w:szCs w:val="28"/>
      <w:lang w:val="zh-TW" w:eastAsia="zh-TW" w:bidi="zh-TW"/>
    </w:rPr>
  </w:style>
  <w:style w:type="character" w:customStyle="1" w:styleId="226">
    <w:name w:val="font21"/>
    <w:basedOn w:val="44"/>
    <w:autoRedefine/>
    <w:qFormat/>
    <w:uiPriority w:val="0"/>
    <w:rPr>
      <w:rFonts w:hint="eastAsia" w:ascii="宋体" w:hAnsi="宋体" w:eastAsia="宋体" w:cs="宋体"/>
      <w:color w:val="000000"/>
      <w:sz w:val="20"/>
      <w:szCs w:val="20"/>
      <w:u w:val="none"/>
    </w:rPr>
  </w:style>
  <w:style w:type="character" w:customStyle="1" w:styleId="227">
    <w:name w:val="封面标题 Char"/>
    <w:basedOn w:val="44"/>
    <w:link w:val="66"/>
    <w:autoRedefine/>
    <w:qFormat/>
    <w:uiPriority w:val="0"/>
    <w:rPr>
      <w:rFonts w:eastAsia="黑体"/>
      <w:b/>
      <w:kern w:val="2"/>
      <w:sz w:val="52"/>
      <w:szCs w:val="21"/>
    </w:rPr>
  </w:style>
  <w:style w:type="paragraph" w:customStyle="1" w:styleId="228">
    <w:name w:val="单位及日期"/>
    <w:basedOn w:val="66"/>
    <w:link w:val="229"/>
    <w:autoRedefine/>
    <w:qFormat/>
    <w:uiPriority w:val="0"/>
    <w:rPr>
      <w:sz w:val="28"/>
    </w:rPr>
  </w:style>
  <w:style w:type="character" w:customStyle="1" w:styleId="229">
    <w:name w:val="单位及日期 Char"/>
    <w:basedOn w:val="227"/>
    <w:link w:val="228"/>
    <w:autoRedefine/>
    <w:qFormat/>
    <w:uiPriority w:val="0"/>
    <w:rPr>
      <w:rFonts w:eastAsia="黑体"/>
      <w:kern w:val="2"/>
      <w:sz w:val="28"/>
      <w:szCs w:val="21"/>
    </w:rPr>
  </w:style>
  <w:style w:type="paragraph" w:customStyle="1" w:styleId="230">
    <w:name w:val="校审"/>
    <w:basedOn w:val="1"/>
    <w:link w:val="231"/>
    <w:autoRedefine/>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231">
    <w:name w:val="校审 Char"/>
    <w:basedOn w:val="44"/>
    <w:link w:val="230"/>
    <w:autoRedefine/>
    <w:qFormat/>
    <w:uiPriority w:val="0"/>
    <w:rPr>
      <w:bCs/>
      <w:color w:val="000000" w:themeColor="text1"/>
      <w:kern w:val="2"/>
      <w:sz w:val="28"/>
      <w:szCs w:val="28"/>
      <w14:textFill>
        <w14:solidFill>
          <w14:schemeClr w14:val="tx1"/>
        </w14:solidFill>
      </w14:textFill>
    </w:rPr>
  </w:style>
  <w:style w:type="character" w:customStyle="1" w:styleId="232">
    <w:name w:val="TOC 1 字符"/>
    <w:link w:val="30"/>
    <w:autoRedefine/>
    <w:qFormat/>
    <w:uiPriority w:val="39"/>
    <w:rPr>
      <w:rFonts w:cstheme="minorHAnsi"/>
      <w:bCs/>
      <w:caps/>
      <w:kern w:val="2"/>
      <w:sz w:val="24"/>
    </w:rPr>
  </w:style>
  <w:style w:type="paragraph" w:customStyle="1" w:styleId="233">
    <w:name w:val="燕矶图片样式"/>
    <w:basedOn w:val="1"/>
    <w:link w:val="234"/>
    <w:autoRedefine/>
    <w:qFormat/>
    <w:uiPriority w:val="0"/>
    <w:pPr>
      <w:adjustRightInd w:val="0"/>
      <w:snapToGrid w:val="0"/>
      <w:spacing w:line="240" w:lineRule="auto"/>
      <w:ind w:firstLine="0" w:firstLineChars="0"/>
      <w:jc w:val="center"/>
    </w:pPr>
    <w:rPr>
      <w:sz w:val="21"/>
    </w:rPr>
  </w:style>
  <w:style w:type="character" w:customStyle="1" w:styleId="234">
    <w:name w:val="燕矶图片样式 字符"/>
    <w:basedOn w:val="44"/>
    <w:link w:val="233"/>
    <w:autoRedefine/>
    <w:qFormat/>
    <w:uiPriority w:val="0"/>
    <w:rPr>
      <w:kern w:val="2"/>
      <w:sz w:val="21"/>
      <w:szCs w:val="21"/>
    </w:rPr>
  </w:style>
  <w:style w:type="paragraph" w:customStyle="1" w:styleId="235">
    <w:name w:val="燕矶图名"/>
    <w:basedOn w:val="1"/>
    <w:next w:val="1"/>
    <w:autoRedefine/>
    <w:qFormat/>
    <w:uiPriority w:val="0"/>
    <w:pPr>
      <w:spacing w:line="240" w:lineRule="auto"/>
      <w:ind w:firstLine="0" w:firstLineChars="0"/>
      <w:jc w:val="center"/>
    </w:pPr>
    <w:rPr>
      <w:rFonts w:hint="eastAsia"/>
      <w:b/>
      <w:bCs/>
      <w:sz w:val="21"/>
    </w:rPr>
  </w:style>
  <w:style w:type="paragraph" w:customStyle="1" w:styleId="236">
    <w:name w:val="插图"/>
    <w:basedOn w:val="16"/>
    <w:next w:val="221"/>
    <w:autoRedefine/>
    <w:qFormat/>
    <w:uiPriority w:val="0"/>
    <w:pPr>
      <w:spacing w:line="360" w:lineRule="auto"/>
    </w:pPr>
  </w:style>
  <w:style w:type="paragraph" w:customStyle="1" w:styleId="237">
    <w:name w:val="表名"/>
    <w:basedOn w:val="1"/>
    <w:link w:val="289"/>
    <w:autoRedefine/>
    <w:qFormat/>
    <w:uiPriority w:val="0"/>
    <w:pPr>
      <w:tabs>
        <w:tab w:val="left" w:pos="0"/>
      </w:tabs>
      <w:spacing w:before="50" w:beforeLines="50" w:line="240" w:lineRule="auto"/>
      <w:ind w:firstLine="0" w:firstLineChars="0"/>
      <w:jc w:val="center"/>
    </w:pPr>
    <w:rPr>
      <w:b/>
      <w:sz w:val="21"/>
    </w:rPr>
  </w:style>
  <w:style w:type="character" w:customStyle="1" w:styleId="238">
    <w:name w:val="图表标题 字符"/>
    <w:autoRedefine/>
    <w:qFormat/>
    <w:uiPriority w:val="0"/>
    <w:rPr>
      <w:rFonts w:ascii="Times New Roman" w:hAnsi="Times New Roman" w:cstheme="minorBidi"/>
      <w:b/>
      <w:sz w:val="24"/>
      <w:szCs w:val="21"/>
    </w:rPr>
  </w:style>
  <w:style w:type="table" w:customStyle="1" w:styleId="239">
    <w:name w:val="网格表 4 - 着色 11"/>
    <w:basedOn w:val="42"/>
    <w:autoRedefine/>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paragraph" w:customStyle="1" w:styleId="240">
    <w:name w:val="msonormal"/>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41">
    <w:name w:val="font5"/>
    <w:basedOn w:val="1"/>
    <w:autoRedefine/>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21"/>
    </w:rPr>
  </w:style>
  <w:style w:type="paragraph" w:customStyle="1" w:styleId="242">
    <w:name w:val="font6"/>
    <w:basedOn w:val="1"/>
    <w:autoRedefine/>
    <w:qFormat/>
    <w:uiPriority w:val="0"/>
    <w:pPr>
      <w:widowControl/>
      <w:spacing w:before="100" w:beforeAutospacing="1" w:after="100" w:afterAutospacing="1" w:line="240" w:lineRule="auto"/>
      <w:ind w:firstLine="0" w:firstLineChars="0"/>
      <w:jc w:val="left"/>
    </w:pPr>
    <w:rPr>
      <w:b/>
      <w:bCs/>
      <w:color w:val="000000"/>
      <w:kern w:val="0"/>
      <w:sz w:val="21"/>
    </w:rPr>
  </w:style>
  <w:style w:type="paragraph" w:customStyle="1" w:styleId="243">
    <w:name w:val="font7"/>
    <w:basedOn w:val="1"/>
    <w:autoRedefine/>
    <w:qFormat/>
    <w:uiPriority w:val="0"/>
    <w:pPr>
      <w:widowControl/>
      <w:spacing w:before="100" w:beforeAutospacing="1" w:after="100" w:afterAutospacing="1" w:line="240" w:lineRule="auto"/>
      <w:ind w:firstLine="0" w:firstLineChars="0"/>
      <w:jc w:val="left"/>
    </w:pPr>
    <w:rPr>
      <w:color w:val="000000"/>
      <w:kern w:val="0"/>
      <w:sz w:val="21"/>
    </w:rPr>
  </w:style>
  <w:style w:type="paragraph" w:customStyle="1" w:styleId="244">
    <w:name w:val="font8"/>
    <w:basedOn w:val="1"/>
    <w:autoRedefine/>
    <w:qFormat/>
    <w:uiPriority w:val="0"/>
    <w:pPr>
      <w:widowControl/>
      <w:spacing w:before="100" w:beforeAutospacing="1" w:after="100" w:afterAutospacing="1" w:line="240" w:lineRule="auto"/>
      <w:ind w:firstLine="0" w:firstLineChars="0"/>
      <w:jc w:val="left"/>
    </w:pPr>
    <w:rPr>
      <w:color w:val="000000"/>
      <w:kern w:val="0"/>
      <w:sz w:val="21"/>
    </w:rPr>
  </w:style>
  <w:style w:type="paragraph" w:customStyle="1" w:styleId="245">
    <w:name w:val="font9"/>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46">
    <w:name w:val="font10"/>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47">
    <w:name w:val="font12"/>
    <w:basedOn w:val="1"/>
    <w:autoRedefine/>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21"/>
    </w:rPr>
  </w:style>
  <w:style w:type="paragraph" w:customStyle="1" w:styleId="248">
    <w:name w:val="font13"/>
    <w:basedOn w:val="1"/>
    <w:autoRedefine/>
    <w:qFormat/>
    <w:uiPriority w:val="0"/>
    <w:pPr>
      <w:widowControl/>
      <w:spacing w:before="100" w:beforeAutospacing="1" w:after="100" w:afterAutospacing="1" w:line="240" w:lineRule="auto"/>
      <w:ind w:firstLine="0" w:firstLineChars="0"/>
      <w:jc w:val="left"/>
    </w:pPr>
    <w:rPr>
      <w:b/>
      <w:bCs/>
      <w:color w:val="000000"/>
      <w:kern w:val="0"/>
      <w:sz w:val="21"/>
    </w:rPr>
  </w:style>
  <w:style w:type="paragraph" w:customStyle="1" w:styleId="249">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50">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color w:val="000000"/>
      <w:kern w:val="0"/>
      <w:sz w:val="21"/>
    </w:rPr>
  </w:style>
  <w:style w:type="paragraph" w:customStyle="1" w:styleId="251">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5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5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54">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255">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56">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25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58">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59">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60">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1"/>
    </w:rPr>
  </w:style>
  <w:style w:type="paragraph" w:customStyle="1" w:styleId="261">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2">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63">
    <w:name w:val="xl77"/>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4">
    <w:name w:val="xl78"/>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5">
    <w:name w:val="xl79"/>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6">
    <w:name w:val="xl80"/>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7">
    <w:name w:val="xl81"/>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68">
    <w:name w:val="xl8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color w:val="000000"/>
      <w:kern w:val="0"/>
      <w:sz w:val="21"/>
    </w:rPr>
  </w:style>
  <w:style w:type="paragraph" w:customStyle="1" w:styleId="269">
    <w:name w:val="xl8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0">
    <w:name w:val="xl84"/>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1">
    <w:name w:val="xl85"/>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72">
    <w:name w:val="xl86"/>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73">
    <w:name w:val="xl8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74">
    <w:name w:val="xl88"/>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75">
    <w:name w:val="xl89"/>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6">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77">
    <w:name w:val="xl91"/>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78">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kern w:val="0"/>
      <w:sz w:val="21"/>
    </w:rPr>
  </w:style>
  <w:style w:type="paragraph" w:customStyle="1" w:styleId="279">
    <w:name w:val="xl9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0">
    <w:name w:val="xl94"/>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81">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2">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1"/>
    </w:rPr>
  </w:style>
  <w:style w:type="paragraph" w:customStyle="1" w:styleId="283">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b/>
      <w:bCs/>
      <w:kern w:val="0"/>
      <w:sz w:val="21"/>
    </w:rPr>
  </w:style>
  <w:style w:type="paragraph" w:customStyle="1" w:styleId="284">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rPr>
  </w:style>
  <w:style w:type="paragraph" w:customStyle="1" w:styleId="285">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286">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rPr>
  </w:style>
  <w:style w:type="paragraph" w:customStyle="1" w:styleId="287">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table" w:customStyle="1" w:styleId="288">
    <w:name w:val="网格型4"/>
    <w:basedOn w:val="4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89">
    <w:name w:val="表名 Char"/>
    <w:link w:val="237"/>
    <w:autoRedefine/>
    <w:qFormat/>
    <w:uiPriority w:val="0"/>
    <w:rPr>
      <w:b/>
      <w:kern w:val="2"/>
      <w:sz w:val="21"/>
      <w:szCs w:val="21"/>
    </w:rPr>
  </w:style>
  <w:style w:type="paragraph" w:customStyle="1" w:styleId="290">
    <w:name w:val="正文文本1"/>
    <w:basedOn w:val="1"/>
    <w:autoRedefine/>
    <w:qFormat/>
    <w:uiPriority w:val="0"/>
    <w:rPr>
      <w:rFonts w:ascii="宋体" w:hAnsi="Calibri"/>
      <w:kern w:val="0"/>
      <w:szCs w:val="32"/>
    </w:rPr>
  </w:style>
  <w:style w:type="table" w:customStyle="1" w:styleId="291">
    <w:name w:val="样式31"/>
    <w:basedOn w:val="42"/>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292">
    <w:name w:val="图名 Char"/>
    <w:link w:val="221"/>
    <w:autoRedefine/>
    <w:qFormat/>
    <w:uiPriority w:val="0"/>
    <w:rPr>
      <w:rFonts w:ascii="宋体" w:hAnsi="宋体"/>
      <w:b/>
      <w:kern w:val="2"/>
      <w:sz w:val="21"/>
      <w:szCs w:val="24"/>
    </w:rPr>
  </w:style>
  <w:style w:type="paragraph" w:customStyle="1" w:styleId="293">
    <w:name w:val="表格后首段正文"/>
    <w:basedOn w:val="1"/>
    <w:link w:val="294"/>
    <w:autoRedefine/>
    <w:qFormat/>
    <w:uiPriority w:val="0"/>
    <w:pPr>
      <w:adjustRightInd w:val="0"/>
      <w:snapToGrid w:val="0"/>
      <w:spacing w:before="70" w:beforeLines="70"/>
    </w:pPr>
    <w:rPr>
      <w:rFonts w:cstheme="minorBidi"/>
    </w:rPr>
  </w:style>
  <w:style w:type="character" w:customStyle="1" w:styleId="294">
    <w:name w:val="表格后首段正文 字符"/>
    <w:basedOn w:val="44"/>
    <w:link w:val="293"/>
    <w:autoRedefine/>
    <w:qFormat/>
    <w:uiPriority w:val="0"/>
    <w:rPr>
      <w:rFonts w:cstheme="minorBidi"/>
      <w:kern w:val="2"/>
      <w:sz w:val="24"/>
      <w:szCs w:val="21"/>
    </w:rPr>
  </w:style>
  <w:style w:type="table" w:customStyle="1" w:styleId="295">
    <w:name w:val="方案模板样式"/>
    <w:basedOn w:val="42"/>
    <w:autoRedefine/>
    <w:qFormat/>
    <w:uiPriority w:val="99"/>
    <w:pPr>
      <w:jc w:val="center"/>
    </w:pPr>
    <w:rPr>
      <w:rFonts w:ascii="Calibri" w:hAnsi="Calibri"/>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sz w:val="21"/>
      </w:rPr>
      <w:tcPr>
        <w:shd w:val="clear" w:color="auto" w:fill="D8D8D8" w:themeFill="background1" w:themeFillShade="D9"/>
      </w:tcPr>
    </w:tblStylePr>
  </w:style>
  <w:style w:type="paragraph" w:customStyle="1" w:styleId="296">
    <w:name w:val="仙新图表"/>
    <w:basedOn w:val="1"/>
    <w:next w:val="1"/>
    <w:autoRedefine/>
    <w:qFormat/>
    <w:uiPriority w:val="0"/>
    <w:pPr>
      <w:adjustRightInd w:val="0"/>
      <w:snapToGrid w:val="0"/>
      <w:ind w:firstLine="0" w:firstLineChars="0"/>
      <w:jc w:val="center"/>
    </w:pPr>
    <w:rPr>
      <w:rFonts w:cstheme="minorBidi"/>
      <w:b/>
    </w:rPr>
  </w:style>
  <w:style w:type="paragraph" w:customStyle="1" w:styleId="297">
    <w:name w:val="xl102"/>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98">
    <w:name w:val="xl103"/>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299">
    <w:name w:val="xl104"/>
    <w:basedOn w:val="1"/>
    <w:autoRedefine/>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0">
    <w:name w:val="xl105"/>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1">
    <w:name w:val="xl106"/>
    <w:basedOn w:val="1"/>
    <w:autoRedefine/>
    <w:qFormat/>
    <w:uiPriority w:val="0"/>
    <w:pPr>
      <w:widowControl/>
      <w:pBdr>
        <w:top w:val="single" w:color="auto" w:sz="8" w:space="0"/>
        <w:left w:val="single" w:color="auto" w:sz="8"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2">
    <w:name w:val="xl107"/>
    <w:basedOn w:val="1"/>
    <w:autoRedefine/>
    <w:qFormat/>
    <w:uiPriority w:val="0"/>
    <w:pPr>
      <w:widowControl/>
      <w:pBdr>
        <w:left w:val="single" w:color="auto" w:sz="8"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3">
    <w:name w:val="xl108"/>
    <w:basedOn w:val="1"/>
    <w:autoRedefine/>
    <w:qFormat/>
    <w:uiPriority w:val="0"/>
    <w:pPr>
      <w:widowControl/>
      <w:pBdr>
        <w:left w:val="single" w:color="auto" w:sz="8" w:space="0"/>
        <w:bottom w:val="single" w:color="auto" w:sz="12"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4">
    <w:name w:val="xl109"/>
    <w:basedOn w:val="1"/>
    <w:autoRedefine/>
    <w:qFormat/>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5">
    <w:name w:val="xl110"/>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6">
    <w:name w:val="xl111"/>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7">
    <w:name w:val="xl112"/>
    <w:basedOn w:val="1"/>
    <w:autoRedefine/>
    <w:qFormat/>
    <w:uiPriority w:val="0"/>
    <w:pPr>
      <w:widowControl/>
      <w:pBdr>
        <w:top w:val="single" w:color="auto" w:sz="12"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08">
    <w:name w:val="xl113"/>
    <w:basedOn w:val="1"/>
    <w:autoRedefine/>
    <w:qFormat/>
    <w:uiPriority w:val="0"/>
    <w:pPr>
      <w:widowControl/>
      <w:pBdr>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09">
    <w:name w:val="xl114"/>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0">
    <w:name w:val="列出段落1"/>
    <w:basedOn w:val="1"/>
    <w:autoRedefine/>
    <w:qFormat/>
    <w:uiPriority w:val="0"/>
    <w:pPr>
      <w:widowControl/>
      <w:spacing w:after="200" w:line="276" w:lineRule="auto"/>
      <w:ind w:firstLine="420"/>
      <w:jc w:val="left"/>
    </w:pPr>
    <w:rPr>
      <w:rFonts w:ascii="Arial Unicode MS" w:hAnsi="Arial Unicode MS"/>
      <w:kern w:val="0"/>
      <w:sz w:val="22"/>
      <w:szCs w:val="22"/>
      <w:lang w:eastAsia="en-US" w:bidi="en-US"/>
    </w:rPr>
  </w:style>
  <w:style w:type="paragraph" w:customStyle="1" w:styleId="311">
    <w:name w:val="仙新表格"/>
    <w:basedOn w:val="1"/>
    <w:next w:val="1"/>
    <w:link w:val="312"/>
    <w:autoRedefine/>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character" w:customStyle="1" w:styleId="312">
    <w:name w:val="仙新表格 字符"/>
    <w:basedOn w:val="44"/>
    <w:link w:val="311"/>
    <w:autoRedefine/>
    <w:qFormat/>
    <w:uiPriority w:val="0"/>
    <w:rPr>
      <w:rFonts w:cstheme="minorBidi"/>
      <w:color w:val="000000" w:themeColor="text1"/>
      <w:kern w:val="2"/>
      <w:sz w:val="21"/>
      <w:szCs w:val="21"/>
      <w14:textFill>
        <w14:solidFill>
          <w14:schemeClr w14:val="tx1"/>
        </w14:solidFill>
      </w14:textFill>
    </w:rPr>
  </w:style>
  <w:style w:type="table" w:customStyle="1" w:styleId="313">
    <w:name w:val="网格表 1 浅色 - 着色 11"/>
    <w:basedOn w:val="42"/>
    <w:autoRedefine/>
    <w:qFormat/>
    <w:uiPriority w:val="46"/>
    <w:rPr>
      <w:rFonts w:asciiTheme="minorHAnsi" w:hAnsiTheme="minorHAnsi" w:eastAsiaTheme="minorEastAsia" w:cstheme="minorBidi"/>
      <w:kern w:val="2"/>
      <w:sz w:val="21"/>
      <w:szCs w:val="22"/>
    </w:rPr>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character" w:customStyle="1" w:styleId="314">
    <w:name w:val="正文缩进 字符"/>
    <w:link w:val="13"/>
    <w:autoRedefine/>
    <w:qFormat/>
    <w:uiPriority w:val="0"/>
    <w:rPr>
      <w:rFonts w:ascii="Calibri" w:hAnsi="Calibri"/>
      <w:kern w:val="2"/>
      <w:sz w:val="24"/>
      <w:szCs w:val="22"/>
    </w:rPr>
  </w:style>
  <w:style w:type="paragraph" w:customStyle="1" w:styleId="315">
    <w:name w:val="Char Char Char Char Char Char Char1"/>
    <w:basedOn w:val="17"/>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316">
    <w:name w:val="k网格型1"/>
    <w:basedOn w:val="42"/>
    <w:autoRedefine/>
    <w:qFormat/>
    <w:uiPriority w:val="59"/>
    <w:pPr>
      <w:jc w:val="center"/>
    </w:pPr>
    <w:rPr>
      <w:kern w:val="2"/>
      <w:sz w:val="21"/>
      <w:szCs w:val="22"/>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tblStylePr w:type="firstRow">
      <w:rPr>
        <w:b/>
      </w:rPr>
    </w:tblStylePr>
  </w:style>
  <w:style w:type="paragraph" w:customStyle="1" w:styleId="317">
    <w:name w:val="列出段落2"/>
    <w:basedOn w:val="1"/>
    <w:autoRedefine/>
    <w:qFormat/>
    <w:uiPriority w:val="34"/>
    <w:pPr>
      <w:ind w:firstLine="420"/>
    </w:pPr>
    <w:rPr>
      <w:rFonts w:ascii="宋体" w:hAnsi="Calibri"/>
      <w:szCs w:val="22"/>
    </w:rPr>
  </w:style>
  <w:style w:type="paragraph" w:customStyle="1" w:styleId="318">
    <w:name w:val="Char Char Char Char Char Char Char2"/>
    <w:basedOn w:val="17"/>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319">
    <w:name w:val="网格表 4 - 着色 111"/>
    <w:basedOn w:val="42"/>
    <w:autoRedefine/>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20">
    <w:name w:val="方案模板样式1"/>
    <w:basedOn w:val="42"/>
    <w:autoRedefine/>
    <w:qFormat/>
    <w:uiPriority w:val="99"/>
    <w:pPr>
      <w:jc w:val="center"/>
    </w:pPr>
    <w:rPr>
      <w:rFonts w:ascii="Calibri" w:hAnsi="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hint="default" w:ascii="Times New Roman" w:hAnsi="Times New Roman" w:eastAsia="宋体" w:cs="Times New Roman"/>
        <w:b/>
        <w:sz w:val="21"/>
        <w:szCs w:val="21"/>
      </w:rPr>
      <w:tcPr>
        <w:shd w:val="clear" w:color="auto" w:fill="D8D8D8" w:themeFill="background1" w:themeFillShade="D9"/>
      </w:tcPr>
    </w:tblStylePr>
  </w:style>
  <w:style w:type="table" w:customStyle="1" w:styleId="321">
    <w:name w:val="571"/>
    <w:autoRedefine/>
    <w:qFormat/>
    <w:uiPriority w:val="0"/>
    <w:pPr>
      <w:widowControl w:val="0"/>
      <w:autoSpaceDE w:val="0"/>
      <w:autoSpaceDN w:val="0"/>
      <w:adjustRightInd w:val="0"/>
    </w:pPr>
    <w:rPr>
      <w:sz w:val="24"/>
      <w:szCs w:val="24"/>
    </w:rPr>
    <w:tblP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cPr>
      <w:vAlign w:val="center"/>
    </w:tcPr>
    <w:tblStylePr w:type="firstRow">
      <w:rPr>
        <w:b/>
      </w:rPr>
    </w:tblStylePr>
  </w:style>
  <w:style w:type="paragraph" w:customStyle="1" w:styleId="322">
    <w:name w:val="新生正文"/>
    <w:basedOn w:val="1"/>
    <w:link w:val="323"/>
    <w:autoRedefine/>
    <w:qFormat/>
    <w:uiPriority w:val="0"/>
    <w:pPr>
      <w:adjustRightInd w:val="0"/>
      <w:jc w:val="left"/>
    </w:pPr>
    <w:rPr>
      <w:szCs w:val="28"/>
      <w:lang w:bidi="en-US"/>
    </w:rPr>
  </w:style>
  <w:style w:type="character" w:customStyle="1" w:styleId="323">
    <w:name w:val="新生正文 Char"/>
    <w:link w:val="322"/>
    <w:autoRedefine/>
    <w:qFormat/>
    <w:locked/>
    <w:uiPriority w:val="0"/>
    <w:rPr>
      <w:kern w:val="2"/>
      <w:sz w:val="24"/>
      <w:szCs w:val="28"/>
      <w:lang w:bidi="en-US"/>
    </w:rPr>
  </w:style>
  <w:style w:type="paragraph" w:customStyle="1" w:styleId="324">
    <w:name w:val="Table Paragraph"/>
    <w:basedOn w:val="1"/>
    <w:autoRedefine/>
    <w:qFormat/>
    <w:uiPriority w:val="1"/>
    <w:pPr>
      <w:jc w:val="center"/>
    </w:pPr>
    <w:rPr>
      <w:rFonts w:ascii="宋体" w:hAnsi="宋体" w:cs="宋体"/>
    </w:rPr>
  </w:style>
  <w:style w:type="paragraph" w:customStyle="1" w:styleId="325">
    <w:name w:val="燕矶表格文字"/>
    <w:basedOn w:val="1"/>
    <w:link w:val="326"/>
    <w:autoRedefine/>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character" w:customStyle="1" w:styleId="326">
    <w:name w:val="燕矶表格文字 字符"/>
    <w:basedOn w:val="44"/>
    <w:link w:val="325"/>
    <w:autoRedefine/>
    <w:qFormat/>
    <w:uiPriority w:val="0"/>
    <w:rPr>
      <w:rFonts w:cstheme="minorBidi"/>
      <w:color w:val="000000" w:themeColor="text1"/>
      <w:kern w:val="2"/>
      <w:sz w:val="21"/>
      <w:szCs w:val="21"/>
      <w14:textFill>
        <w14:solidFill>
          <w14:schemeClr w14:val="tx1"/>
        </w14:solidFill>
      </w14:textFill>
    </w:rPr>
  </w:style>
  <w:style w:type="character" w:customStyle="1" w:styleId="327">
    <w:name w:val="正文文本缩进 字符"/>
    <w:basedOn w:val="44"/>
    <w:link w:val="20"/>
    <w:autoRedefine/>
    <w:qFormat/>
    <w:uiPriority w:val="0"/>
    <w:rPr>
      <w:color w:val="000000"/>
      <w:kern w:val="2"/>
      <w:sz w:val="28"/>
      <w:szCs w:val="24"/>
    </w:rPr>
  </w:style>
  <w:style w:type="character" w:customStyle="1" w:styleId="328">
    <w:name w:val="正文文本首行缩进 2 字符"/>
    <w:basedOn w:val="327"/>
    <w:link w:val="41"/>
    <w:autoRedefine/>
    <w:qFormat/>
    <w:uiPriority w:val="0"/>
    <w:rPr>
      <w:color w:val="000000"/>
      <w:kern w:val="2"/>
      <w:sz w:val="24"/>
      <w:szCs w:val="24"/>
    </w:rPr>
  </w:style>
  <w:style w:type="paragraph" w:customStyle="1" w:styleId="329">
    <w:name w:val="燕矶图表名"/>
    <w:basedOn w:val="1"/>
    <w:next w:val="1"/>
    <w:qFormat/>
    <w:uiPriority w:val="0"/>
    <w:pPr>
      <w:spacing w:line="240" w:lineRule="auto"/>
      <w:ind w:firstLine="0" w:firstLineChars="0"/>
      <w:jc w:val="center"/>
    </w:pPr>
    <w:rPr>
      <w:rFonts w:hint="eastAsia"/>
      <w:b/>
      <w:bCs/>
      <w:color w:val="000000" w:themeColor="text1"/>
      <w:sz w:val="21"/>
      <w14:textFill>
        <w14:solidFill>
          <w14:schemeClr w14:val="tx1"/>
        </w14:solidFill>
      </w14:textFill>
    </w:rPr>
  </w:style>
  <w:style w:type="paragraph" w:customStyle="1" w:styleId="330">
    <w:name w:val="正文文本缩进3"/>
    <w:basedOn w:val="1"/>
    <w:autoRedefine/>
    <w:qFormat/>
    <w:uiPriority w:val="99"/>
    <w:pPr>
      <w:adjustRightInd w:val="0"/>
      <w:snapToGrid w:val="0"/>
      <w:spacing w:after="120"/>
      <w:ind w:left="420" w:leftChars="200"/>
      <w:jc w:val="left"/>
    </w:pPr>
    <w:rPr>
      <w:rFonts w:ascii="Calibri" w:hAnsi="Calibri"/>
      <w:sz w:val="21"/>
      <w:szCs w:val="24"/>
    </w:rPr>
  </w:style>
  <w:style w:type="paragraph" w:customStyle="1" w:styleId="331">
    <w:name w:val="Char Char Char Char Char Char Char4"/>
    <w:basedOn w:val="17"/>
    <w:autoRedefine/>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paragraph" w:customStyle="1" w:styleId="332">
    <w:name w:val="Char Char Char Char Char Char Char3"/>
    <w:basedOn w:val="17"/>
    <w:autoRedefine/>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character" w:customStyle="1" w:styleId="333">
    <w:name w:val="图表文字 字符"/>
    <w:link w:val="218"/>
    <w:autoRedefine/>
    <w:qFormat/>
    <w:uiPriority w:val="0"/>
    <w:rPr>
      <w:rFonts w:ascii="宋体" w:hAnsi="宋体"/>
      <w:kern w:val="2"/>
      <w:sz w:val="22"/>
      <w:szCs w:val="21"/>
      <w:lang w:val="zh-CN"/>
    </w:rPr>
  </w:style>
  <w:style w:type="paragraph" w:customStyle="1" w:styleId="334">
    <w:name w:val="标正文"/>
    <w:basedOn w:val="1"/>
    <w:link w:val="335"/>
    <w:autoRedefine/>
    <w:qFormat/>
    <w:uiPriority w:val="0"/>
    <w:rPr>
      <w:rFonts w:cstheme="minorBidi"/>
      <w:szCs w:val="22"/>
    </w:rPr>
  </w:style>
  <w:style w:type="character" w:customStyle="1" w:styleId="335">
    <w:name w:val="标正文 Char"/>
    <w:basedOn w:val="44"/>
    <w:link w:val="334"/>
    <w:autoRedefine/>
    <w:qFormat/>
    <w:uiPriority w:val="0"/>
    <w:rPr>
      <w:rFonts w:cstheme="minorBidi"/>
      <w:kern w:val="2"/>
      <w:sz w:val="24"/>
      <w:szCs w:val="22"/>
    </w:rPr>
  </w:style>
  <w:style w:type="paragraph" w:customStyle="1" w:styleId="336">
    <w:name w:val="正文文本C"/>
    <w:basedOn w:val="1"/>
    <w:autoRedefine/>
    <w:qFormat/>
    <w:uiPriority w:val="0"/>
    <w:pPr>
      <w:widowControl/>
      <w:adjustRightInd w:val="0"/>
      <w:snapToGrid w:val="0"/>
      <w:jc w:val="left"/>
    </w:pPr>
    <w:rPr>
      <w:rFonts w:ascii="宋体" w:hAnsi="宋体" w:cs="宋体"/>
      <w:kern w:val="0"/>
      <w:szCs w:val="24"/>
    </w:rPr>
  </w:style>
  <w:style w:type="paragraph" w:customStyle="1" w:styleId="337">
    <w:name w:val="msolistparagraph"/>
    <w:basedOn w:val="1"/>
    <w:autoRedefine/>
    <w:qFormat/>
    <w:uiPriority w:val="0"/>
    <w:pPr>
      <w:adjustRightInd w:val="0"/>
      <w:snapToGrid w:val="0"/>
      <w:ind w:firstLine="420"/>
    </w:pPr>
    <w:rPr>
      <w:rFonts w:hint="eastAsia" w:ascii="等线" w:hAnsi="等线" w:eastAsia="仿宋"/>
      <w:sz w:val="21"/>
      <w:szCs w:val="22"/>
    </w:rPr>
  </w:style>
  <w:style w:type="character" w:customStyle="1" w:styleId="338">
    <w:name w:val="标题 2 Char"/>
    <w:autoRedefine/>
    <w:qFormat/>
    <w:uiPriority w:val="9"/>
    <w:rPr>
      <w:rFonts w:ascii="Times New Roman" w:hAnsi="Times New Roman" w:eastAsia="宋体"/>
      <w:b/>
      <w:bCs/>
      <w:sz w:val="30"/>
      <w:szCs w:val="32"/>
    </w:rPr>
  </w:style>
  <w:style w:type="character" w:customStyle="1" w:styleId="339">
    <w:name w:val="标题 4 Char"/>
    <w:autoRedefine/>
    <w:qFormat/>
    <w:uiPriority w:val="99"/>
    <w:rPr>
      <w:rFonts w:ascii="Times New Roman" w:hAnsi="Times New Roman" w:eastAsia="宋体" w:cs="Times New Roman"/>
      <w:b/>
      <w:bCs/>
      <w:kern w:val="2"/>
      <w:sz w:val="24"/>
      <w:szCs w:val="28"/>
    </w:rPr>
  </w:style>
  <w:style w:type="character" w:customStyle="1" w:styleId="340">
    <w:name w:val="Char Char1"/>
    <w:autoRedefine/>
    <w:qFormat/>
    <w:uiPriority w:val="0"/>
    <w:rPr>
      <w:rFonts w:eastAsia="宋体"/>
      <w:kern w:val="2"/>
      <w:sz w:val="18"/>
      <w:szCs w:val="18"/>
      <w:lang w:val="en-US" w:eastAsia="zh-CN" w:bidi="ar-SA"/>
    </w:rPr>
  </w:style>
  <w:style w:type="character" w:customStyle="1" w:styleId="341">
    <w:name w:val="fontstyle21"/>
    <w:basedOn w:val="44"/>
    <w:autoRedefine/>
    <w:qFormat/>
    <w:uiPriority w:val="0"/>
    <w:rPr>
      <w:rFonts w:hint="eastAsia" w:ascii="宋体" w:hAnsi="宋体" w:eastAsia="宋体"/>
      <w:color w:val="000000"/>
      <w:sz w:val="24"/>
      <w:szCs w:val="24"/>
    </w:rPr>
  </w:style>
  <w:style w:type="character" w:customStyle="1" w:styleId="342">
    <w:name w:val="Char Char2"/>
    <w:autoRedefine/>
    <w:qFormat/>
    <w:uiPriority w:val="0"/>
    <w:rPr>
      <w:rFonts w:ascii="仿宋_GB2312" w:eastAsia="仿宋_GB2312"/>
      <w:kern w:val="2"/>
      <w:sz w:val="21"/>
      <w:szCs w:val="21"/>
    </w:rPr>
  </w:style>
  <w:style w:type="paragraph" w:customStyle="1" w:styleId="343">
    <w:name w:val="表格、图名"/>
    <w:basedOn w:val="1"/>
    <w:link w:val="344"/>
    <w:autoRedefine/>
    <w:qFormat/>
    <w:uiPriority w:val="0"/>
    <w:pPr>
      <w:adjustRightInd w:val="0"/>
      <w:snapToGrid w:val="0"/>
      <w:ind w:firstLine="883"/>
      <w:jc w:val="center"/>
    </w:pPr>
    <w:rPr>
      <w:rFonts w:ascii="宋体" w:hAnsi="宋体" w:eastAsia="仿宋_GB2312" w:cs="宋体"/>
      <w:b/>
      <w:color w:val="0000FF"/>
      <w:kern w:val="0"/>
      <w:szCs w:val="24"/>
    </w:rPr>
  </w:style>
  <w:style w:type="character" w:customStyle="1" w:styleId="344">
    <w:name w:val="表格、图名 Char"/>
    <w:link w:val="343"/>
    <w:autoRedefine/>
    <w:qFormat/>
    <w:uiPriority w:val="0"/>
    <w:rPr>
      <w:rFonts w:ascii="宋体" w:hAnsi="宋体" w:eastAsia="仿宋_GB2312" w:cs="宋体"/>
      <w:b/>
      <w:color w:val="0000FF"/>
      <w:sz w:val="24"/>
      <w:szCs w:val="24"/>
    </w:rPr>
  </w:style>
  <w:style w:type="character" w:customStyle="1" w:styleId="345">
    <w:name w:val="正文 Char"/>
    <w:autoRedefine/>
    <w:qFormat/>
    <w:uiPriority w:val="0"/>
    <w:rPr>
      <w:rFonts w:cs="Times New Roman"/>
      <w:sz w:val="24"/>
      <w:lang w:val="en-US" w:eastAsia="zh-CN" w:bidi="ar-SA"/>
    </w:rPr>
  </w:style>
  <w:style w:type="character" w:customStyle="1" w:styleId="346">
    <w:name w:val="HT正文 Char"/>
    <w:link w:val="347"/>
    <w:autoRedefine/>
    <w:qFormat/>
    <w:uiPriority w:val="99"/>
    <w:rPr>
      <w:rFonts w:ascii="仿宋_GB2312" w:hAnsi="仿宋_GB2312" w:eastAsia="仿宋_GB2312"/>
      <w:kern w:val="28"/>
      <w:sz w:val="28"/>
      <w:szCs w:val="28"/>
    </w:rPr>
  </w:style>
  <w:style w:type="paragraph" w:customStyle="1" w:styleId="347">
    <w:name w:val="HT正文"/>
    <w:basedOn w:val="1"/>
    <w:link w:val="346"/>
    <w:autoRedefine/>
    <w:qFormat/>
    <w:uiPriority w:val="99"/>
    <w:pPr>
      <w:adjustRightInd w:val="0"/>
      <w:snapToGrid w:val="0"/>
      <w:spacing w:line="460" w:lineRule="exact"/>
      <w:jc w:val="left"/>
    </w:pPr>
    <w:rPr>
      <w:rFonts w:ascii="仿宋_GB2312" w:hAnsi="仿宋_GB2312" w:eastAsia="仿宋_GB2312"/>
      <w:kern w:val="28"/>
      <w:sz w:val="28"/>
      <w:szCs w:val="28"/>
    </w:rPr>
  </w:style>
  <w:style w:type="paragraph" w:customStyle="1" w:styleId="348">
    <w:name w:val="！正文"/>
    <w:autoRedefine/>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349">
    <w:name w:val="71表格五号"/>
    <w:basedOn w:val="1"/>
    <w:autoRedefine/>
    <w:qFormat/>
    <w:uiPriority w:val="0"/>
    <w:pPr>
      <w:adjustRightInd w:val="0"/>
      <w:snapToGrid w:val="0"/>
      <w:ind w:firstLine="883"/>
      <w:jc w:val="center"/>
    </w:pPr>
    <w:rPr>
      <w:rFonts w:ascii="宋体" w:hAnsi="宋体" w:cs="宋体"/>
      <w:snapToGrid w:val="0"/>
      <w:kern w:val="0"/>
    </w:rPr>
  </w:style>
  <w:style w:type="paragraph" w:customStyle="1" w:styleId="350">
    <w:name w:val="正文缩进0.88"/>
    <w:basedOn w:val="1"/>
    <w:autoRedefine/>
    <w:qFormat/>
    <w:uiPriority w:val="0"/>
    <w:pPr>
      <w:widowControl/>
      <w:adjustRightInd w:val="0"/>
      <w:snapToGrid w:val="0"/>
      <w:spacing w:line="440" w:lineRule="exact"/>
      <w:ind w:firstLine="499"/>
      <w:jc w:val="left"/>
    </w:pPr>
    <w:rPr>
      <w:rFonts w:ascii="宋体" w:hAnsi="宋体"/>
      <w:bCs/>
      <w:szCs w:val="22"/>
    </w:rPr>
  </w:style>
  <w:style w:type="paragraph" w:customStyle="1" w:styleId="351">
    <w:name w:val="样式 目录 1 + 行距: 固定值 20 磅"/>
    <w:basedOn w:val="30"/>
    <w:autoRedefine/>
    <w:qFormat/>
    <w:uiPriority w:val="0"/>
    <w:pPr>
      <w:tabs>
        <w:tab w:val="right" w:leader="dot" w:pos="8778"/>
      </w:tabs>
      <w:adjustRightInd w:val="0"/>
      <w:snapToGrid w:val="0"/>
      <w:spacing w:before="100" w:after="100"/>
      <w:jc w:val="both"/>
    </w:pPr>
    <w:rPr>
      <w:rFonts w:cs="宋体"/>
      <w:b/>
      <w:caps w:val="0"/>
      <w:sz w:val="21"/>
    </w:rPr>
  </w:style>
  <w:style w:type="paragraph" w:customStyle="1" w:styleId="352">
    <w:name w:val="正文C"/>
    <w:basedOn w:val="1"/>
    <w:link w:val="378"/>
    <w:autoRedefine/>
    <w:qFormat/>
    <w:uiPriority w:val="0"/>
    <w:pPr>
      <w:widowControl/>
      <w:adjustRightInd w:val="0"/>
      <w:snapToGrid w:val="0"/>
      <w:jc w:val="left"/>
    </w:pPr>
    <w:rPr>
      <w:rFonts w:ascii="宋体" w:hAnsi="宋体" w:cs="宋体"/>
      <w:color w:val="4F6228"/>
      <w:kern w:val="0"/>
      <w:szCs w:val="24"/>
    </w:rPr>
  </w:style>
  <w:style w:type="paragraph" w:customStyle="1" w:styleId="353">
    <w:name w:val="图表名1"/>
    <w:autoRedefine/>
    <w:qFormat/>
    <w:uiPriority w:val="1"/>
    <w:pPr>
      <w:widowControl w:val="0"/>
      <w:jc w:val="center"/>
    </w:pPr>
    <w:rPr>
      <w:rFonts w:ascii="Times New Roman" w:hAnsi="Times New Roman" w:eastAsia="仿宋" w:cs="Times New Roman"/>
      <w:kern w:val="2"/>
      <w:sz w:val="21"/>
      <w:szCs w:val="24"/>
      <w:lang w:val="en-US" w:eastAsia="zh-CN" w:bidi="ar-SA"/>
    </w:rPr>
  </w:style>
  <w:style w:type="paragraph" w:customStyle="1" w:styleId="354">
    <w:name w:val="k 表格文字"/>
    <w:basedOn w:val="1"/>
    <w:next w:val="1"/>
    <w:autoRedefine/>
    <w:qFormat/>
    <w:uiPriority w:val="0"/>
    <w:pPr>
      <w:adjustRightInd w:val="0"/>
      <w:snapToGrid w:val="0"/>
      <w:ind w:firstLine="883"/>
      <w:jc w:val="center"/>
    </w:pPr>
    <w:rPr>
      <w:rFonts w:ascii="仿宋_GB2312" w:eastAsia="仿宋_GB2312"/>
      <w:szCs w:val="22"/>
    </w:rPr>
  </w:style>
  <w:style w:type="paragraph" w:customStyle="1" w:styleId="355">
    <w:name w:val="表格小五"/>
    <w:basedOn w:val="1"/>
    <w:autoRedefine/>
    <w:qFormat/>
    <w:uiPriority w:val="0"/>
    <w:pPr>
      <w:adjustRightInd w:val="0"/>
      <w:snapToGrid w:val="0"/>
      <w:ind w:firstLine="883"/>
      <w:jc w:val="center"/>
    </w:pPr>
    <w:rPr>
      <w:rFonts w:ascii="宋体" w:hAnsi="宋体" w:cs="宋体"/>
      <w:snapToGrid w:val="0"/>
      <w:kern w:val="0"/>
      <w:sz w:val="18"/>
      <w:szCs w:val="18"/>
    </w:rPr>
  </w:style>
  <w:style w:type="paragraph" w:customStyle="1" w:styleId="356">
    <w:name w:val="样式 标题 3 + 加粗"/>
    <w:basedOn w:val="5"/>
    <w:next w:val="1"/>
    <w:autoRedefine/>
    <w:qFormat/>
    <w:uiPriority w:val="0"/>
    <w:pPr>
      <w:keepNext/>
      <w:numPr>
        <w:ilvl w:val="0"/>
        <w:numId w:val="0"/>
      </w:numPr>
      <w:adjustRightInd w:val="0"/>
      <w:snapToGrid w:val="0"/>
      <w:spacing w:before="60" w:after="60" w:line="240" w:lineRule="auto"/>
    </w:pPr>
    <w:rPr>
      <w:color w:val="000000"/>
    </w:rPr>
  </w:style>
  <w:style w:type="paragraph" w:customStyle="1" w:styleId="357">
    <w:name w:val="!表内仿宋"/>
    <w:autoRedefine/>
    <w:qFormat/>
    <w:uiPriority w:val="0"/>
    <w:pPr>
      <w:widowControl w:val="0"/>
      <w:adjustRightInd w:val="0"/>
      <w:jc w:val="center"/>
      <w:textAlignment w:val="baseline"/>
    </w:pPr>
    <w:rPr>
      <w:rFonts w:ascii="Times New Roman" w:hAnsi="Times New Roman" w:eastAsia="仿宋_GB2312" w:cs="Times New Roman"/>
      <w:bCs/>
      <w:color w:val="000000"/>
      <w:sz w:val="21"/>
      <w:szCs w:val="28"/>
      <w:lang w:val="en-US" w:eastAsia="zh-CN" w:bidi="ar-SA"/>
    </w:rPr>
  </w:style>
  <w:style w:type="paragraph" w:customStyle="1" w:styleId="358">
    <w:name w:val="aa"/>
    <w:basedOn w:val="1"/>
    <w:autoRedefine/>
    <w:qFormat/>
    <w:uiPriority w:val="0"/>
    <w:pPr>
      <w:adjustRightInd w:val="0"/>
      <w:snapToGrid w:val="0"/>
      <w:ind w:firstLine="883"/>
    </w:pPr>
    <w:rPr>
      <w:szCs w:val="24"/>
    </w:rPr>
  </w:style>
  <w:style w:type="paragraph" w:customStyle="1" w:styleId="359">
    <w:name w:val="三级标题"/>
    <w:autoRedefine/>
    <w:qFormat/>
    <w:uiPriority w:val="0"/>
    <w:pPr>
      <w:tabs>
        <w:tab w:val="left" w:pos="709"/>
      </w:tabs>
      <w:spacing w:before="160" w:after="160" w:line="460" w:lineRule="exact"/>
      <w:outlineLvl w:val="2"/>
    </w:pPr>
    <w:rPr>
      <w:rFonts w:ascii="黑体" w:hAnsi="宋体" w:eastAsia="黑体" w:cs="Times New Roman"/>
      <w:kern w:val="2"/>
      <w:sz w:val="28"/>
      <w:szCs w:val="22"/>
      <w:lang w:val="en-US" w:eastAsia="zh-CN" w:bidi="ar-SA"/>
    </w:rPr>
  </w:style>
  <w:style w:type="paragraph" w:customStyle="1" w:styleId="360">
    <w:name w:val="澳氹图及题注"/>
    <w:basedOn w:val="1"/>
    <w:next w:val="1"/>
    <w:autoRedefine/>
    <w:qFormat/>
    <w:uiPriority w:val="0"/>
    <w:pPr>
      <w:adjustRightInd w:val="0"/>
      <w:snapToGrid w:val="0"/>
      <w:spacing w:line="300" w:lineRule="auto"/>
      <w:ind w:firstLine="883"/>
      <w:jc w:val="center"/>
    </w:pPr>
    <w:rPr>
      <w:b/>
      <w:szCs w:val="22"/>
    </w:rPr>
  </w:style>
  <w:style w:type="paragraph" w:customStyle="1" w:styleId="361">
    <w:name w:val="!正文仿小四"/>
    <w:basedOn w:val="1"/>
    <w:autoRedefine/>
    <w:qFormat/>
    <w:uiPriority w:val="0"/>
    <w:pPr>
      <w:adjustRightInd w:val="0"/>
      <w:snapToGrid w:val="0"/>
      <w:jc w:val="left"/>
    </w:pPr>
    <w:rPr>
      <w:rFonts w:ascii="Courier New" w:hAnsi="Courier New" w:eastAsia="Tahoma" w:cs="Courier New"/>
      <w:szCs w:val="24"/>
    </w:rPr>
  </w:style>
  <w:style w:type="paragraph" w:customStyle="1" w:styleId="362">
    <w:name w:val="i正文"/>
    <w:autoRedefine/>
    <w:qFormat/>
    <w:uiPriority w:val="0"/>
    <w:pPr>
      <w:topLinePunct/>
      <w:spacing w:line="500" w:lineRule="exact"/>
      <w:ind w:firstLine="200" w:firstLineChars="200"/>
      <w:textAlignment w:val="top"/>
    </w:pPr>
    <w:rPr>
      <w:rFonts w:ascii="仿宋_GB2312" w:hAnsi="宋体" w:eastAsia="仿宋_GB2312" w:cs="Times New Roman"/>
      <w:color w:val="000000"/>
      <w:sz w:val="24"/>
      <w:szCs w:val="24"/>
      <w:lang w:val="en-US" w:eastAsia="zh-CN" w:bidi="ar-SA"/>
    </w:rPr>
  </w:style>
  <w:style w:type="paragraph" w:customStyle="1" w:styleId="363">
    <w:name w:val="正文部分"/>
    <w:basedOn w:val="1"/>
    <w:autoRedefine/>
    <w:qFormat/>
    <w:uiPriority w:val="0"/>
    <w:pPr>
      <w:adjustRightInd w:val="0"/>
      <w:snapToGrid w:val="0"/>
    </w:pPr>
    <w:rPr>
      <w:rFonts w:eastAsia="仿宋_GB2312"/>
      <w:szCs w:val="24"/>
    </w:rPr>
  </w:style>
  <w:style w:type="paragraph" w:customStyle="1" w:styleId="364">
    <w:name w:val="样式 目录 1 + 行距: 固定值 20 磅1"/>
    <w:basedOn w:val="30"/>
    <w:autoRedefine/>
    <w:qFormat/>
    <w:uiPriority w:val="0"/>
    <w:pPr>
      <w:tabs>
        <w:tab w:val="right" w:leader="dot" w:pos="8778"/>
      </w:tabs>
      <w:adjustRightInd w:val="0"/>
      <w:snapToGrid w:val="0"/>
      <w:spacing w:before="100" w:after="100"/>
      <w:jc w:val="both"/>
    </w:pPr>
    <w:rPr>
      <w:rFonts w:cs="宋体"/>
      <w:b/>
      <w:caps w:val="0"/>
      <w:sz w:val="21"/>
    </w:rPr>
  </w:style>
  <w:style w:type="paragraph" w:customStyle="1" w:styleId="365">
    <w:name w:val="正文样式"/>
    <w:basedOn w:val="1"/>
    <w:autoRedefine/>
    <w:qFormat/>
    <w:uiPriority w:val="0"/>
    <w:pPr>
      <w:widowControl/>
      <w:adjustRightInd w:val="0"/>
      <w:snapToGrid w:val="0"/>
      <w:ind w:firstLine="883"/>
    </w:pPr>
    <w:rPr>
      <w:rFonts w:cs="宋体"/>
      <w:szCs w:val="24"/>
    </w:rPr>
  </w:style>
  <w:style w:type="paragraph" w:customStyle="1" w:styleId="366">
    <w:name w:val="正文首行缩进1"/>
    <w:autoRedefine/>
    <w:qFormat/>
    <w:uiPriority w:val="0"/>
    <w:pPr>
      <w:widowControl w:val="0"/>
      <w:autoSpaceDE w:val="0"/>
      <w:autoSpaceDN w:val="0"/>
      <w:adjustRightInd w:val="0"/>
      <w:spacing w:line="360" w:lineRule="auto"/>
      <w:ind w:firstLine="420" w:firstLineChars="100"/>
      <w:jc w:val="both"/>
    </w:pPr>
    <w:rPr>
      <w:rFonts w:ascii="Times New Roman" w:hAnsi="Times New Roman" w:eastAsia="宋体" w:cs="宋体"/>
      <w:sz w:val="18"/>
      <w:szCs w:val="28"/>
      <w:lang w:val="en-US" w:eastAsia="zh-CN" w:bidi="ar-SA"/>
    </w:rPr>
  </w:style>
  <w:style w:type="paragraph" w:customStyle="1" w:styleId="367">
    <w:name w:val="k正文"/>
    <w:basedOn w:val="1"/>
    <w:autoRedefine/>
    <w:qFormat/>
    <w:uiPriority w:val="0"/>
    <w:pPr>
      <w:adjustRightInd w:val="0"/>
      <w:snapToGrid w:val="0"/>
    </w:pPr>
    <w:rPr>
      <w:szCs w:val="24"/>
    </w:rPr>
  </w:style>
  <w:style w:type="table" w:customStyle="1" w:styleId="368">
    <w:name w:val="标准样式27"/>
    <w:basedOn w:val="42"/>
    <w:autoRedefine/>
    <w:qFormat/>
    <w:uiPriority w:val="99"/>
    <w:pPr>
      <w:jc w:val="center"/>
    </w:p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Courier New" w:hAnsi="Courier New" w:eastAsia="Symbol"/>
        <w:b/>
        <w:i w:val="0"/>
        <w:sz w:val="21"/>
      </w:rPr>
      <w:tcPr>
        <w:shd w:val="clear" w:color="auto" w:fill="8DB3E2"/>
      </w:tcPr>
    </w:tblStylePr>
    <w:tblStylePr w:type="firstCol">
      <w:tcPr>
        <w:shd w:val="clear" w:color="auto" w:fill="FFFFFF"/>
      </w:tcPr>
    </w:tblStylePr>
  </w:style>
  <w:style w:type="paragraph" w:customStyle="1" w:styleId="369">
    <w:name w:val="6正文"/>
    <w:basedOn w:val="1"/>
    <w:autoRedefine/>
    <w:qFormat/>
    <w:uiPriority w:val="0"/>
    <w:pPr>
      <w:widowControl/>
      <w:adjustRightInd w:val="0"/>
      <w:snapToGrid w:val="0"/>
      <w:ind w:firstLine="480"/>
    </w:pPr>
    <w:rPr>
      <w:rFonts w:ascii="宋体" w:hAnsi="宋体" w:cs="宋体"/>
      <w:kern w:val="0"/>
      <w:szCs w:val="24"/>
    </w:rPr>
  </w:style>
  <w:style w:type="character" w:customStyle="1" w:styleId="370">
    <w:name w:val="图表文字 Char"/>
    <w:autoRedefine/>
    <w:qFormat/>
    <w:uiPriority w:val="0"/>
    <w:rPr>
      <w:rFonts w:ascii="Times New Roman" w:hAnsi="Times New Roman" w:cs="宋体"/>
      <w:color w:val="000000"/>
      <w:sz w:val="21"/>
      <w:szCs w:val="24"/>
    </w:rPr>
  </w:style>
  <w:style w:type="character" w:customStyle="1" w:styleId="371">
    <w:name w:val="图名 字符"/>
    <w:basedOn w:val="44"/>
    <w:autoRedefine/>
    <w:qFormat/>
    <w:uiPriority w:val="0"/>
    <w:rPr>
      <w:rFonts w:ascii="Times New Roman" w:hAnsi="Times New Roman"/>
      <w:b/>
      <w:kern w:val="2"/>
      <w:sz w:val="21"/>
      <w:szCs w:val="22"/>
    </w:rPr>
  </w:style>
  <w:style w:type="paragraph" w:customStyle="1" w:styleId="372">
    <w:name w:val="列表段落1"/>
    <w:basedOn w:val="1"/>
    <w:autoRedefine/>
    <w:qFormat/>
    <w:uiPriority w:val="34"/>
    <w:pPr>
      <w:spacing w:line="320" w:lineRule="atLeast"/>
      <w:ind w:firstLine="420"/>
    </w:pPr>
    <w:rPr>
      <w:sz w:val="28"/>
    </w:rPr>
  </w:style>
  <w:style w:type="paragraph" w:customStyle="1" w:styleId="373">
    <w:name w:val="正文①"/>
    <w:basedOn w:val="11"/>
    <w:next w:val="1"/>
    <w:link w:val="374"/>
    <w:autoRedefine/>
    <w:qFormat/>
    <w:uiPriority w:val="0"/>
    <w:pPr>
      <w:keepNext w:val="0"/>
      <w:keepLines w:val="0"/>
      <w:adjustRightInd w:val="0"/>
      <w:snapToGrid w:val="0"/>
      <w:spacing w:before="0" w:after="0" w:line="360" w:lineRule="auto"/>
      <w:ind w:left="1583" w:firstLine="200" w:firstLineChars="200"/>
      <w:jc w:val="left"/>
      <w:outlineLvl w:val="9"/>
    </w:pPr>
    <w:rPr>
      <w:rFonts w:ascii="Times New Roman" w:hAnsi="Times New Roman" w:eastAsia="宋体" w:cs="Times New Roman"/>
      <w:sz w:val="24"/>
    </w:rPr>
  </w:style>
  <w:style w:type="character" w:customStyle="1" w:styleId="374">
    <w:name w:val="正文① 字符"/>
    <w:link w:val="373"/>
    <w:autoRedefine/>
    <w:qFormat/>
    <w:uiPriority w:val="0"/>
    <w:rPr>
      <w:kern w:val="2"/>
      <w:sz w:val="24"/>
      <w:szCs w:val="21"/>
    </w:rPr>
  </w:style>
  <w:style w:type="character" w:customStyle="1" w:styleId="375">
    <w:name w:val="表格内容 字符"/>
    <w:link w:val="208"/>
    <w:autoRedefine/>
    <w:qFormat/>
    <w:uiPriority w:val="0"/>
    <w:rPr>
      <w:rFonts w:ascii="楷体_GB2312" w:eastAsia="楷体_GB2312"/>
      <w:sz w:val="24"/>
    </w:rPr>
  </w:style>
  <w:style w:type="character" w:customStyle="1" w:styleId="376">
    <w:name w:val="列表段落 字符1"/>
    <w:autoRedefine/>
    <w:qFormat/>
    <w:uiPriority w:val="0"/>
    <w:rPr>
      <w:rFonts w:ascii="Times New Roman" w:hAnsi="Times New Roman"/>
      <w:kern w:val="2"/>
      <w:sz w:val="24"/>
      <w:szCs w:val="21"/>
    </w:rPr>
  </w:style>
  <w:style w:type="character" w:customStyle="1" w:styleId="377">
    <w:name w:val="明显引用 字符3"/>
    <w:autoRedefine/>
    <w:semiHidden/>
    <w:qFormat/>
    <w:uiPriority w:val="0"/>
    <w:rPr>
      <w:rFonts w:ascii="Tahoma" w:eastAsia="Tahoma"/>
      <w:b/>
      <w:bCs/>
      <w:i/>
      <w:iCs/>
      <w:color w:val="4F81BD"/>
      <w:kern w:val="2"/>
      <w:sz w:val="21"/>
      <w:szCs w:val="24"/>
    </w:rPr>
  </w:style>
  <w:style w:type="character" w:customStyle="1" w:styleId="378">
    <w:name w:val="正文C Char"/>
    <w:link w:val="352"/>
    <w:autoRedefine/>
    <w:qFormat/>
    <w:uiPriority w:val="0"/>
    <w:rPr>
      <w:rFonts w:ascii="宋体" w:hAnsi="宋体" w:cs="宋体"/>
      <w:color w:val="4F6228"/>
      <w:sz w:val="24"/>
      <w:szCs w:val="24"/>
    </w:rPr>
  </w:style>
  <w:style w:type="paragraph" w:customStyle="1" w:styleId="379">
    <w:name w:val="标题3"/>
    <w:basedOn w:val="1"/>
    <w:autoRedefine/>
    <w:qFormat/>
    <w:uiPriority w:val="0"/>
    <w:pPr>
      <w:spacing w:before="20" w:after="20"/>
      <w:ind w:firstLine="100" w:firstLineChars="100"/>
      <w:jc w:val="left"/>
      <w:outlineLvl w:val="2"/>
    </w:pPr>
    <w:rPr>
      <w:rFonts w:ascii="宋体" w:hAnsi="宋体" w:eastAsia="仿宋"/>
      <w:b/>
      <w:bCs/>
      <w:color w:val="000000"/>
      <w:szCs w:val="24"/>
    </w:rPr>
  </w:style>
  <w:style w:type="paragraph" w:customStyle="1" w:styleId="380">
    <w:name w:val="方案样式：图片、表格居中"/>
    <w:next w:val="1"/>
    <w:autoRedefine/>
    <w:qFormat/>
    <w:uiPriority w:val="0"/>
    <w:pPr>
      <w:widowControl w:val="0"/>
      <w:spacing w:line="288" w:lineRule="auto"/>
      <w:jc w:val="center"/>
    </w:pPr>
    <w:rPr>
      <w:rFonts w:asciiTheme="minorHAnsi" w:hAnsiTheme="minorHAnsi" w:eastAsiaTheme="minorEastAsia" w:cstheme="minorBidi"/>
      <w:szCs w:val="24"/>
      <w:lang w:val="en-US" w:eastAsia="zh-CN" w:bidi="ar-SA"/>
    </w:rPr>
  </w:style>
  <w:style w:type="paragraph" w:customStyle="1" w:styleId="381">
    <w:name w:val="双柳图名"/>
    <w:next w:val="1"/>
    <w:autoRedefine/>
    <w:qFormat/>
    <w:uiPriority w:val="0"/>
    <w:pPr>
      <w:widowControl w:val="0"/>
      <w:spacing w:line="240" w:lineRule="auto"/>
      <w:jc w:val="center"/>
    </w:pPr>
    <w:rPr>
      <w:rFonts w:hint="eastAsia" w:ascii="Times New Roman" w:hAnsi="Times New Roman" w:eastAsia="宋体" w:cs="Times New Roman"/>
      <w:b/>
      <w:bCs/>
      <w:kern w:val="2"/>
      <w:sz w:val="21"/>
      <w:szCs w:val="21"/>
      <w:lang w:val="en-US" w:eastAsia="zh-CN" w:bidi="ar-SA"/>
    </w:rPr>
  </w:style>
  <w:style w:type="paragraph" w:customStyle="1" w:styleId="382">
    <w:name w:val="方案样式：图片名称"/>
    <w:next w:val="1"/>
    <w:autoRedefine/>
    <w:qFormat/>
    <w:uiPriority w:val="0"/>
    <w:pPr>
      <w:tabs>
        <w:tab w:val="left" w:pos="420"/>
      </w:tabs>
      <w:jc w:val="center"/>
    </w:pPr>
    <w:rPr>
      <w:rFonts w:asciiTheme="minorHAnsi" w:hAnsiTheme="minorHAnsi" w:eastAsiaTheme="minorEastAsia" w:cstheme="minorBidi"/>
      <w:b/>
      <w:sz w:val="21"/>
      <w:lang w:val="en-US" w:eastAsia="zh-CN" w:bidi="ar-SA"/>
    </w:rPr>
  </w:style>
  <w:style w:type="paragraph" w:customStyle="1" w:styleId="383">
    <w:name w:val="双柳正文文本"/>
    <w:autoRedefine/>
    <w:qFormat/>
    <w:uiPriority w:val="0"/>
    <w:pPr>
      <w:widowControl w:val="0"/>
      <w:wordWrap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customStyle="1" w:styleId="384">
    <w:name w:val="双柳表格"/>
    <w:next w:val="1"/>
    <w:autoRedefine/>
    <w:qFormat/>
    <w:uiPriority w:val="0"/>
    <w:pPr>
      <w:jc w:val="center"/>
    </w:pPr>
    <w:rPr>
      <w:rFonts w:ascii="Times New Roman" w:hAnsi="Times New Roman" w:eastAsia="宋体" w:cs="Times New Roman"/>
      <w:kern w:val="2"/>
      <w:sz w:val="21"/>
      <w:szCs w:val="22"/>
      <w:lang w:val="en-US" w:eastAsia="zh-CN" w:bidi="ar-SA"/>
    </w:rPr>
  </w:style>
  <w:style w:type="paragraph" w:customStyle="1" w:styleId="385">
    <w:name w:val="方案样式：表格名称（ALT+E）"/>
    <w:next w:val="1"/>
    <w:autoRedefine/>
    <w:qFormat/>
    <w:uiPriority w:val="0"/>
    <w:pPr>
      <w:keepNext/>
      <w:tabs>
        <w:tab w:val="left" w:pos="420"/>
      </w:tabs>
      <w:jc w:val="center"/>
    </w:pPr>
    <w:rPr>
      <w:rFonts w:ascii="Times New Roman" w:hAnsi="Times New Roman" w:eastAsia="宋体" w:cs="Times New Roman"/>
      <w:b/>
      <w:kern w:val="2"/>
      <w:sz w:val="21"/>
      <w:szCs w:val="24"/>
      <w:lang w:val="en-US" w:eastAsia="zh-CN" w:bidi="ar-SA"/>
    </w:rPr>
  </w:style>
  <w:style w:type="table" w:customStyle="1" w:styleId="386">
    <w:name w:val="网格型5"/>
    <w:autoRedefine/>
    <w:unhideWhenUsed/>
    <w:qFormat/>
    <w:uiPriority w:val="59"/>
    <w:rPr>
      <w:rFonts w:ascii="Calibri" w:hAnsi="Calibri"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2.bin"/><Relationship Id="rId98" Type="http://schemas.openxmlformats.org/officeDocument/2006/relationships/image" Target="media/image82.png"/><Relationship Id="rId97" Type="http://schemas.openxmlformats.org/officeDocument/2006/relationships/image" Target="media/image81.png"/><Relationship Id="rId96" Type="http://schemas.openxmlformats.org/officeDocument/2006/relationships/image" Target="media/image80.png"/><Relationship Id="rId95" Type="http://schemas.openxmlformats.org/officeDocument/2006/relationships/image" Target="media/image79.png"/><Relationship Id="rId94" Type="http://schemas.openxmlformats.org/officeDocument/2006/relationships/image" Target="media/image78.png"/><Relationship Id="rId93" Type="http://schemas.openxmlformats.org/officeDocument/2006/relationships/image" Target="media/image77.png"/><Relationship Id="rId92" Type="http://schemas.openxmlformats.org/officeDocument/2006/relationships/image" Target="media/image76.png"/><Relationship Id="rId91" Type="http://schemas.openxmlformats.org/officeDocument/2006/relationships/image" Target="media/image75.png"/><Relationship Id="rId90" Type="http://schemas.openxmlformats.org/officeDocument/2006/relationships/image" Target="media/image74.wmf"/><Relationship Id="rId9" Type="http://schemas.openxmlformats.org/officeDocument/2006/relationships/header" Target="header3.xml"/><Relationship Id="rId89" Type="http://schemas.openxmlformats.org/officeDocument/2006/relationships/oleObject" Target="embeddings/oleObject1.bin"/><Relationship Id="rId88" Type="http://schemas.openxmlformats.org/officeDocument/2006/relationships/image" Target="media/image73.png"/><Relationship Id="rId87" Type="http://schemas.openxmlformats.org/officeDocument/2006/relationships/image" Target="media/image72.png"/><Relationship Id="rId86" Type="http://schemas.openxmlformats.org/officeDocument/2006/relationships/image" Target="media/image71.png"/><Relationship Id="rId85" Type="http://schemas.openxmlformats.org/officeDocument/2006/relationships/image" Target="media/image70.png"/><Relationship Id="rId84" Type="http://schemas.openxmlformats.org/officeDocument/2006/relationships/image" Target="media/image69.png"/><Relationship Id="rId83" Type="http://schemas.openxmlformats.org/officeDocument/2006/relationships/image" Target="media/image68.png"/><Relationship Id="rId82" Type="http://schemas.openxmlformats.org/officeDocument/2006/relationships/image" Target="media/image67.png"/><Relationship Id="rId81" Type="http://schemas.openxmlformats.org/officeDocument/2006/relationships/image" Target="media/image66.emf"/><Relationship Id="rId80" Type="http://schemas.openxmlformats.org/officeDocument/2006/relationships/image" Target="media/image65.png"/><Relationship Id="rId8" Type="http://schemas.openxmlformats.org/officeDocument/2006/relationships/footer" Target="footer2.xml"/><Relationship Id="rId79" Type="http://schemas.openxmlformats.org/officeDocument/2006/relationships/image" Target="media/image64.png"/><Relationship Id="rId78" Type="http://schemas.openxmlformats.org/officeDocument/2006/relationships/image" Target="media/image63.emf"/><Relationship Id="rId77" Type="http://schemas.openxmlformats.org/officeDocument/2006/relationships/image" Target="media/image62.emf"/><Relationship Id="rId76" Type="http://schemas.openxmlformats.org/officeDocument/2006/relationships/image" Target="media/image61.emf"/><Relationship Id="rId75" Type="http://schemas.openxmlformats.org/officeDocument/2006/relationships/image" Target="media/image60.png"/><Relationship Id="rId74" Type="http://schemas.openxmlformats.org/officeDocument/2006/relationships/image" Target="media/image59.emf"/><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header" Target="header2.xml"/><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footer" Target="footer1.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emf"/><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emf"/><Relationship Id="rId27" Type="http://schemas.openxmlformats.org/officeDocument/2006/relationships/image" Target="media/image12.emf"/><Relationship Id="rId26" Type="http://schemas.openxmlformats.org/officeDocument/2006/relationships/image" Target="media/image11.emf"/><Relationship Id="rId25" Type="http://schemas.openxmlformats.org/officeDocument/2006/relationships/image" Target="media/image10.emf"/><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2" Type="http://schemas.openxmlformats.org/officeDocument/2006/relationships/fontTable" Target="fontTable.xml"/><Relationship Id="rId121" Type="http://schemas.openxmlformats.org/officeDocument/2006/relationships/customXml" Target="../customXml/item2.xml"/><Relationship Id="rId120" Type="http://schemas.openxmlformats.org/officeDocument/2006/relationships/numbering" Target="numbering.xml"/><Relationship Id="rId12" Type="http://schemas.openxmlformats.org/officeDocument/2006/relationships/header" Target="header5.xml"/><Relationship Id="rId119" Type="http://schemas.openxmlformats.org/officeDocument/2006/relationships/customXml" Target="../customXml/item1.xml"/><Relationship Id="rId118" Type="http://schemas.openxmlformats.org/officeDocument/2006/relationships/image" Target="media/image100.jpeg"/><Relationship Id="rId117" Type="http://schemas.openxmlformats.org/officeDocument/2006/relationships/image" Target="media/image99.png"/><Relationship Id="rId116" Type="http://schemas.openxmlformats.org/officeDocument/2006/relationships/image" Target="media/image98.png"/><Relationship Id="rId115" Type="http://schemas.openxmlformats.org/officeDocument/2006/relationships/image" Target="media/image97.jpeg"/><Relationship Id="rId114" Type="http://schemas.openxmlformats.org/officeDocument/2006/relationships/image" Target="media/image96.jpeg"/><Relationship Id="rId113" Type="http://schemas.openxmlformats.org/officeDocument/2006/relationships/image" Target="media/image95.jpeg"/><Relationship Id="rId112" Type="http://schemas.openxmlformats.org/officeDocument/2006/relationships/image" Target="media/image94.jpeg"/><Relationship Id="rId111" Type="http://schemas.openxmlformats.org/officeDocument/2006/relationships/image" Target="media/image93.jpeg"/><Relationship Id="rId110" Type="http://schemas.openxmlformats.org/officeDocument/2006/relationships/image" Target="media/image92.jpeg"/><Relationship Id="rId11" Type="http://schemas.openxmlformats.org/officeDocument/2006/relationships/header" Target="header4.xml"/><Relationship Id="rId109" Type="http://schemas.openxmlformats.org/officeDocument/2006/relationships/image" Target="media/image91.jpeg"/><Relationship Id="rId108" Type="http://schemas.openxmlformats.org/officeDocument/2006/relationships/image" Target="media/image90.jpeg"/><Relationship Id="rId107" Type="http://schemas.openxmlformats.org/officeDocument/2006/relationships/image" Target="media/image89.png"/><Relationship Id="rId106" Type="http://schemas.openxmlformats.org/officeDocument/2006/relationships/image" Target="media/image88.png"/><Relationship Id="rId105" Type="http://schemas.openxmlformats.org/officeDocument/2006/relationships/image" Target="media/image87.png"/><Relationship Id="rId104" Type="http://schemas.openxmlformats.org/officeDocument/2006/relationships/image" Target="media/image86.wmf"/><Relationship Id="rId103" Type="http://schemas.openxmlformats.org/officeDocument/2006/relationships/oleObject" Target="embeddings/oleObject3.bin"/><Relationship Id="rId102" Type="http://schemas.openxmlformats.org/officeDocument/2006/relationships/image" Target="media/image85.png"/><Relationship Id="rId101" Type="http://schemas.openxmlformats.org/officeDocument/2006/relationships/image" Target="media/image84.png"/><Relationship Id="rId100" Type="http://schemas.openxmlformats.org/officeDocument/2006/relationships/image" Target="media/image83.wmf"/><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EC4BF0-6190-4B8A-B6FB-291946CAFBCE}">
  <ds:schemaRefs/>
</ds:datastoreItem>
</file>

<file path=docProps/app.xml><?xml version="1.0" encoding="utf-8"?>
<Properties xmlns="http://schemas.openxmlformats.org/officeDocument/2006/extended-properties" xmlns:vt="http://schemas.openxmlformats.org/officeDocument/2006/docPropsVTypes">
  <Template>Normal</Template>
  <Pages>134</Pages>
  <Words>56496</Words>
  <Characters>62800</Characters>
  <Lines>594</Lines>
  <Paragraphs>167</Paragraphs>
  <TotalTime>17</TotalTime>
  <ScaleCrop>false</ScaleCrop>
  <LinksUpToDate>false</LinksUpToDate>
  <CharactersWithSpaces>63789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2022-12-28T10:24:00Z</dcterms:created>
  <dc:creator>刘丹</dc:creator>
  <cp:lastModifiedBy>杭州渝港机械施工有限公司</cp:lastModifiedBy>
  <cp:lastPrinted>2023-02-20T01:44:00Z</cp:lastPrinted>
  <dcterms:modified xsi:type="dcterms:W3CDTF">2024-04-30T08:55:16Z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504A9CDDBDC64CC089F2F60124520B37_13</vt:lpwstr>
  </property>
</Properties>
</file>