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E8546D">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center"/>
        <w:textAlignment w:val="auto"/>
        <w:rPr>
          <w:rFonts w:hint="eastAsia" w:ascii="仿宋" w:hAnsi="仿宋" w:eastAsia="仿宋" w:cs="仿宋"/>
          <w:sz w:val="28"/>
          <w:szCs w:val="28"/>
          <w:lang w:eastAsia="zh-CN"/>
        </w:rPr>
      </w:pPr>
      <w:bookmarkStart w:id="0" w:name="_Toc12146"/>
      <w:bookmarkStart w:id="1" w:name="_Hlk51268067"/>
      <w:r>
        <w:rPr>
          <w:rFonts w:hint="eastAsia" w:ascii="仿宋" w:hAnsi="仿宋" w:eastAsia="仿宋" w:cs="仿宋"/>
          <w:sz w:val="28"/>
          <w:szCs w:val="28"/>
          <w:lang w:eastAsia="zh-CN"/>
        </w:rPr>
        <w:drawing>
          <wp:inline distT="0" distB="0" distL="114300" distR="114300">
            <wp:extent cx="6417310" cy="9076055"/>
            <wp:effectExtent l="0" t="0" r="2540" b="10795"/>
            <wp:docPr id="2" name="图片 2" descr="科斗文封面签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科斗文封面签字"/>
                    <pic:cNvPicPr>
                      <a:picLocks noChangeAspect="1"/>
                    </pic:cNvPicPr>
                  </pic:nvPicPr>
                  <pic:blipFill>
                    <a:blip r:embed="rId11"/>
                    <a:stretch>
                      <a:fillRect/>
                    </a:stretch>
                  </pic:blipFill>
                  <pic:spPr>
                    <a:xfrm>
                      <a:off x="0" y="0"/>
                      <a:ext cx="6417310" cy="9076055"/>
                    </a:xfrm>
                    <a:prstGeom prst="rect">
                      <a:avLst/>
                    </a:prstGeom>
                  </pic:spPr>
                </pic:pic>
              </a:graphicData>
            </a:graphic>
          </wp:inline>
        </w:drawing>
      </w:r>
    </w:p>
    <w:p w14:paraId="070576E0">
      <w:pPr>
        <w:pStyle w:val="14"/>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lang w:val="en-US" w:eastAsia="zh-CN"/>
        </w:rPr>
        <w:sectPr>
          <w:headerReference r:id="rId5" w:type="default"/>
          <w:footerReference r:id="rId6" w:type="default"/>
          <w:pgSz w:w="11905" w:h="16838"/>
          <w:pgMar w:top="907" w:right="1134" w:bottom="1134" w:left="1134" w:header="851" w:footer="992" w:gutter="0"/>
          <w:pgBorders>
            <w:top w:val="none" w:sz="0" w:space="0"/>
            <w:left w:val="none" w:sz="0" w:space="0"/>
            <w:bottom w:val="none" w:sz="0" w:space="0"/>
            <w:right w:val="none" w:sz="0" w:space="0"/>
          </w:pgBorders>
          <w:cols w:space="425" w:num="1"/>
          <w:docGrid w:type="lines" w:linePitch="312" w:charSpace="0"/>
        </w:sectPr>
      </w:pPr>
      <w:bookmarkStart w:id="142" w:name="_GoBack"/>
      <w:bookmarkEnd w:id="142"/>
    </w:p>
    <w:bookmarkEnd w:id="0"/>
    <w:bookmarkEnd w:id="1"/>
    <w:sdt>
      <w:sdtPr>
        <w:rPr>
          <w:rFonts w:ascii="宋体" w:hAnsi="宋体" w:eastAsia="宋体" w:cs="Times New Roman"/>
          <w:kern w:val="2"/>
          <w:sz w:val="21"/>
          <w:szCs w:val="22"/>
          <w:lang w:val="en-US" w:eastAsia="zh-CN" w:bidi="ar-SA"/>
        </w:rPr>
        <w:id w:val="147464734"/>
        <w15:color w:val="DBDBDB"/>
        <w:docPartObj>
          <w:docPartGallery w:val="Table of Contents"/>
          <w:docPartUnique/>
        </w:docPartObj>
      </w:sdtPr>
      <w:sdtEndPr>
        <w:rPr>
          <w:rFonts w:hint="default" w:ascii="Times New Roman" w:hAnsi="Times New Roman" w:eastAsia="仿宋" w:cs="Times New Roman"/>
          <w:kern w:val="0"/>
          <w:sz w:val="22"/>
          <w:szCs w:val="22"/>
          <w:lang w:val="en-US" w:eastAsia="zh-CN" w:bidi="ar-SA"/>
        </w:rPr>
      </w:sdtEndPr>
      <w:sdtContent>
        <w:p w14:paraId="3F401212">
          <w:pPr>
            <w:spacing w:before="0" w:beforeLines="0" w:after="0" w:afterLines="0" w:line="240" w:lineRule="auto"/>
            <w:ind w:left="0" w:leftChars="0" w:right="0" w:rightChars="0" w:firstLine="0" w:firstLineChars="0"/>
            <w:jc w:val="center"/>
            <w:rPr>
              <w:sz w:val="28"/>
              <w:szCs w:val="24"/>
            </w:rPr>
          </w:pPr>
          <w:r>
            <w:rPr>
              <w:rFonts w:ascii="宋体" w:hAnsi="宋体" w:eastAsia="宋体"/>
              <w:sz w:val="22"/>
              <w:szCs w:val="24"/>
            </w:rPr>
            <w:t>目录</w:t>
          </w:r>
        </w:p>
        <w:p w14:paraId="17B1500F">
          <w:pPr>
            <w:pStyle w:val="23"/>
            <w:tabs>
              <w:tab w:val="right" w:leader="dot" w:pos="8306"/>
            </w:tabs>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TOC \o "1-2" \h \u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_Toc3102 </w:instrText>
          </w:r>
          <w:r>
            <w:rPr>
              <w:rFonts w:hint="default" w:ascii="Times New Roman" w:hAnsi="Times New Roman" w:eastAsia="仿宋" w:cs="Times New Roman"/>
              <w:szCs w:val="24"/>
            </w:rPr>
            <w:fldChar w:fldCharType="separate"/>
          </w:r>
          <w:r>
            <w:rPr>
              <w:rFonts w:hint="eastAsia"/>
              <w:lang w:val="en-US" w:eastAsia="zh-CN"/>
            </w:rPr>
            <w:t>1概述</w:t>
          </w:r>
          <w:r>
            <w:tab/>
          </w:r>
          <w:r>
            <w:fldChar w:fldCharType="begin"/>
          </w:r>
          <w:r>
            <w:instrText xml:space="preserve"> PAGEREF _Toc3102 \h </w:instrText>
          </w:r>
          <w:r>
            <w:fldChar w:fldCharType="separate"/>
          </w:r>
          <w:r>
            <w:t>4</w:t>
          </w:r>
          <w:r>
            <w:fldChar w:fldCharType="end"/>
          </w:r>
          <w:r>
            <w:rPr>
              <w:rFonts w:hint="default" w:ascii="Times New Roman" w:hAnsi="Times New Roman" w:eastAsia="仿宋" w:cs="Times New Roman"/>
              <w:szCs w:val="24"/>
            </w:rPr>
            <w:fldChar w:fldCharType="end"/>
          </w:r>
        </w:p>
        <w:p w14:paraId="5B922F1A">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_Toc12759 </w:instrText>
          </w:r>
          <w:r>
            <w:rPr>
              <w:rFonts w:hint="default" w:ascii="Times New Roman" w:hAnsi="Times New Roman" w:eastAsia="仿宋" w:cs="Times New Roman"/>
              <w:szCs w:val="24"/>
            </w:rPr>
            <w:fldChar w:fldCharType="separate"/>
          </w:r>
          <w:r>
            <w:rPr>
              <w:rFonts w:hint="eastAsia"/>
              <w:lang w:val="en-US" w:eastAsia="zh-CN"/>
            </w:rPr>
            <w:t>1.1 工序基本情况</w:t>
          </w:r>
          <w:r>
            <w:tab/>
          </w:r>
          <w:r>
            <w:fldChar w:fldCharType="begin"/>
          </w:r>
          <w:r>
            <w:instrText xml:space="preserve"> PAGEREF _Toc12759 \h </w:instrText>
          </w:r>
          <w:r>
            <w:fldChar w:fldCharType="separate"/>
          </w:r>
          <w:r>
            <w:t>4</w:t>
          </w:r>
          <w:r>
            <w:fldChar w:fldCharType="end"/>
          </w:r>
          <w:r>
            <w:rPr>
              <w:rFonts w:hint="default" w:ascii="Times New Roman" w:hAnsi="Times New Roman" w:eastAsia="仿宋" w:cs="Times New Roman"/>
              <w:szCs w:val="24"/>
            </w:rPr>
            <w:fldChar w:fldCharType="end"/>
          </w:r>
        </w:p>
        <w:p w14:paraId="25709686">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_Toc17409 </w:instrText>
          </w:r>
          <w:r>
            <w:rPr>
              <w:rFonts w:hint="default" w:ascii="Times New Roman" w:hAnsi="Times New Roman" w:eastAsia="仿宋" w:cs="Times New Roman"/>
              <w:szCs w:val="24"/>
            </w:rPr>
            <w:fldChar w:fldCharType="separate"/>
          </w:r>
          <w:r>
            <w:rPr>
              <w:rFonts w:hint="eastAsia"/>
              <w:lang w:val="en-US" w:eastAsia="zh-CN"/>
            </w:rPr>
            <w:t>1.2 结构概况</w:t>
          </w:r>
          <w:r>
            <w:tab/>
          </w:r>
          <w:r>
            <w:fldChar w:fldCharType="begin"/>
          </w:r>
          <w:r>
            <w:instrText xml:space="preserve"> PAGEREF _Toc17409 \h </w:instrText>
          </w:r>
          <w:r>
            <w:fldChar w:fldCharType="separate"/>
          </w:r>
          <w:r>
            <w:t>4</w:t>
          </w:r>
          <w:r>
            <w:fldChar w:fldCharType="end"/>
          </w:r>
          <w:r>
            <w:rPr>
              <w:rFonts w:hint="default" w:ascii="Times New Roman" w:hAnsi="Times New Roman" w:eastAsia="仿宋" w:cs="Times New Roman"/>
              <w:szCs w:val="24"/>
            </w:rPr>
            <w:fldChar w:fldCharType="end"/>
          </w:r>
        </w:p>
        <w:p w14:paraId="539B4DFB">
          <w:pPr>
            <w:pStyle w:val="23"/>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_Toc14709 </w:instrText>
          </w:r>
          <w:r>
            <w:rPr>
              <w:rFonts w:hint="default" w:ascii="Times New Roman" w:hAnsi="Times New Roman" w:eastAsia="仿宋" w:cs="Times New Roman"/>
              <w:szCs w:val="24"/>
            </w:rPr>
            <w:fldChar w:fldCharType="separate"/>
          </w:r>
          <w:r>
            <w:rPr>
              <w:rFonts w:hint="default" w:ascii="宋体" w:hAnsi="宋体" w:eastAsia="宋体"/>
              <w:i w:val="0"/>
              <w:lang w:val="en-US" w:eastAsia="zh-CN"/>
            </w:rPr>
            <w:t xml:space="preserve">2 </w:t>
          </w:r>
          <w:r>
            <w:rPr>
              <w:rFonts w:hint="eastAsia"/>
              <w:lang w:val="en-US" w:eastAsia="zh-CN"/>
            </w:rPr>
            <w:t>施工步骤及要点</w:t>
          </w:r>
          <w:r>
            <w:tab/>
          </w:r>
          <w:r>
            <w:fldChar w:fldCharType="begin"/>
          </w:r>
          <w:r>
            <w:instrText xml:space="preserve"> PAGEREF _Toc14709 \h </w:instrText>
          </w:r>
          <w:r>
            <w:fldChar w:fldCharType="separate"/>
          </w:r>
          <w:r>
            <w:t>8</w:t>
          </w:r>
          <w:r>
            <w:fldChar w:fldCharType="end"/>
          </w:r>
          <w:r>
            <w:rPr>
              <w:rFonts w:hint="default" w:ascii="Times New Roman" w:hAnsi="Times New Roman" w:eastAsia="仿宋" w:cs="Times New Roman"/>
              <w:szCs w:val="24"/>
            </w:rPr>
            <w:fldChar w:fldCharType="end"/>
          </w:r>
        </w:p>
        <w:p w14:paraId="3DDBF25A">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_Toc29555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 </w:t>
          </w:r>
          <w:r>
            <w:rPr>
              <w:rFonts w:hint="eastAsia" w:ascii="宋体" w:hAnsi="宋体" w:eastAsia="宋体" w:cs="宋体"/>
              <w:lang w:val="en-US" w:eastAsia="zh-CN"/>
            </w:rPr>
            <w:t>安装</w:t>
          </w:r>
          <w:r>
            <w:rPr>
              <w:rFonts w:hint="eastAsia" w:cs="宋体"/>
              <w:lang w:val="en-US" w:eastAsia="zh-CN"/>
            </w:rPr>
            <w:t>基础节和一节标准节</w:t>
          </w:r>
          <w:r>
            <w:tab/>
          </w:r>
          <w:r>
            <w:fldChar w:fldCharType="begin"/>
          </w:r>
          <w:r>
            <w:instrText xml:space="preserve"> PAGEREF _Toc29555 \h </w:instrText>
          </w:r>
          <w:r>
            <w:fldChar w:fldCharType="separate"/>
          </w:r>
          <w:r>
            <w:t>9</w:t>
          </w:r>
          <w:r>
            <w:fldChar w:fldCharType="end"/>
          </w:r>
          <w:r>
            <w:rPr>
              <w:rFonts w:hint="default" w:ascii="Times New Roman" w:hAnsi="Times New Roman" w:eastAsia="仿宋" w:cs="Times New Roman"/>
              <w:szCs w:val="24"/>
            </w:rPr>
            <w:fldChar w:fldCharType="end"/>
          </w:r>
        </w:p>
        <w:p w14:paraId="1752DC7A">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_Toc23513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2.2. </w:t>
          </w:r>
          <w:r>
            <w:rPr>
              <w:rFonts w:hint="eastAsia" w:ascii="宋体" w:hAnsi="宋体" w:eastAsia="宋体" w:cs="宋体"/>
              <w:lang w:val="en-US" w:eastAsia="zh-CN"/>
            </w:rPr>
            <w:t>安装装爬升架</w:t>
          </w:r>
          <w:r>
            <w:tab/>
          </w:r>
          <w:r>
            <w:fldChar w:fldCharType="begin"/>
          </w:r>
          <w:r>
            <w:instrText xml:space="preserve"> PAGEREF _Toc23513 \h </w:instrText>
          </w:r>
          <w:r>
            <w:fldChar w:fldCharType="separate"/>
          </w:r>
          <w:r>
            <w:t>10</w:t>
          </w:r>
          <w:r>
            <w:fldChar w:fldCharType="end"/>
          </w:r>
          <w:r>
            <w:rPr>
              <w:rFonts w:hint="default" w:ascii="Times New Roman" w:hAnsi="Times New Roman" w:eastAsia="仿宋" w:cs="Times New Roman"/>
              <w:szCs w:val="24"/>
            </w:rPr>
            <w:fldChar w:fldCharType="end"/>
          </w:r>
        </w:p>
        <w:p w14:paraId="6123A002">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_Toc28469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2.3. </w:t>
          </w:r>
          <w:r>
            <w:rPr>
              <w:rFonts w:hint="eastAsia" w:ascii="宋体" w:hAnsi="宋体" w:eastAsia="宋体" w:cs="宋体"/>
              <w:lang w:val="en-US" w:eastAsia="zh-CN"/>
            </w:rPr>
            <w:t>安装特殊节、回转总成</w:t>
          </w:r>
          <w:r>
            <w:tab/>
          </w:r>
          <w:r>
            <w:fldChar w:fldCharType="begin"/>
          </w:r>
          <w:r>
            <w:instrText xml:space="preserve"> PAGEREF _Toc28469 \h </w:instrText>
          </w:r>
          <w:r>
            <w:fldChar w:fldCharType="separate"/>
          </w:r>
          <w:r>
            <w:t>11</w:t>
          </w:r>
          <w:r>
            <w:fldChar w:fldCharType="end"/>
          </w:r>
          <w:r>
            <w:rPr>
              <w:rFonts w:hint="default" w:ascii="Times New Roman" w:hAnsi="Times New Roman" w:eastAsia="仿宋" w:cs="Times New Roman"/>
              <w:szCs w:val="24"/>
            </w:rPr>
            <w:fldChar w:fldCharType="end"/>
          </w:r>
        </w:p>
        <w:p w14:paraId="6A86FA0A">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_Toc24675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2.4. </w:t>
          </w:r>
          <w:r>
            <w:rPr>
              <w:rFonts w:hint="eastAsia" w:ascii="宋体" w:hAnsi="宋体" w:eastAsia="宋体" w:cs="宋体"/>
              <w:lang w:val="en-US" w:eastAsia="zh-CN"/>
            </w:rPr>
            <w:t>安装臂根节</w:t>
          </w:r>
          <w:r>
            <w:tab/>
          </w:r>
          <w:r>
            <w:fldChar w:fldCharType="begin"/>
          </w:r>
          <w:r>
            <w:instrText xml:space="preserve"> PAGEREF _Toc24675 \h </w:instrText>
          </w:r>
          <w:r>
            <w:fldChar w:fldCharType="separate"/>
          </w:r>
          <w:r>
            <w:t>12</w:t>
          </w:r>
          <w:r>
            <w:fldChar w:fldCharType="end"/>
          </w:r>
          <w:r>
            <w:rPr>
              <w:rFonts w:hint="default" w:ascii="Times New Roman" w:hAnsi="Times New Roman" w:eastAsia="仿宋" w:cs="Times New Roman"/>
              <w:szCs w:val="24"/>
            </w:rPr>
            <w:fldChar w:fldCharType="end"/>
          </w:r>
        </w:p>
        <w:p w14:paraId="08BB78CB">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_Toc6213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2.5. </w:t>
          </w:r>
          <w:r>
            <w:rPr>
              <w:rFonts w:hint="eastAsia" w:ascii="宋体" w:hAnsi="宋体" w:eastAsia="宋体" w:cs="宋体"/>
              <w:lang w:val="en-US" w:eastAsia="zh-CN"/>
            </w:rPr>
            <w:t>安装平衡臂和平衡臂拉杆</w:t>
          </w:r>
          <w:r>
            <w:tab/>
          </w:r>
          <w:r>
            <w:fldChar w:fldCharType="begin"/>
          </w:r>
          <w:r>
            <w:instrText xml:space="preserve"> PAGEREF _Toc6213 \h </w:instrText>
          </w:r>
          <w:r>
            <w:fldChar w:fldCharType="separate"/>
          </w:r>
          <w:r>
            <w:t>13</w:t>
          </w:r>
          <w:r>
            <w:fldChar w:fldCharType="end"/>
          </w:r>
          <w:r>
            <w:rPr>
              <w:rFonts w:hint="default" w:ascii="Times New Roman" w:hAnsi="Times New Roman" w:eastAsia="仿宋" w:cs="Times New Roman"/>
              <w:szCs w:val="24"/>
            </w:rPr>
            <w:fldChar w:fldCharType="end"/>
          </w:r>
        </w:p>
        <w:p w14:paraId="109DCBC8">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_Toc26317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2.6. </w:t>
          </w:r>
          <w:r>
            <w:rPr>
              <w:rFonts w:hint="eastAsia" w:ascii="宋体" w:hAnsi="宋体" w:eastAsia="宋体" w:cs="宋体"/>
              <w:lang w:val="en-US" w:eastAsia="zh-CN"/>
            </w:rPr>
            <w:t>安装</w:t>
          </w:r>
          <w:r>
            <w:rPr>
              <w:rFonts w:hint="eastAsia" w:cs="宋体"/>
              <w:lang w:val="en-US" w:eastAsia="zh-CN"/>
            </w:rPr>
            <w:t>2</w:t>
          </w:r>
          <w:r>
            <w:rPr>
              <w:rFonts w:hint="eastAsia" w:ascii="宋体" w:hAnsi="宋体" w:eastAsia="宋体" w:cs="宋体"/>
              <w:lang w:val="en-US" w:eastAsia="zh-CN"/>
            </w:rPr>
            <w:t>块</w:t>
          </w:r>
          <w:r>
            <w:rPr>
              <w:rFonts w:hint="eastAsia" w:cs="宋体"/>
              <w:lang w:val="en-US" w:eastAsia="zh-CN"/>
            </w:rPr>
            <w:t>2.85</w:t>
          </w:r>
          <w:r>
            <w:rPr>
              <w:rFonts w:hint="eastAsia" w:ascii="宋体" w:hAnsi="宋体" w:eastAsia="宋体" w:cs="宋体"/>
              <w:lang w:val="en-US" w:eastAsia="zh-CN"/>
            </w:rPr>
            <w:t>t平衡重</w:t>
          </w:r>
          <w:r>
            <w:tab/>
          </w:r>
          <w:r>
            <w:fldChar w:fldCharType="begin"/>
          </w:r>
          <w:r>
            <w:instrText xml:space="preserve"> PAGEREF _Toc26317 \h </w:instrText>
          </w:r>
          <w:r>
            <w:fldChar w:fldCharType="separate"/>
          </w:r>
          <w:r>
            <w:t>15</w:t>
          </w:r>
          <w:r>
            <w:fldChar w:fldCharType="end"/>
          </w:r>
          <w:r>
            <w:rPr>
              <w:rFonts w:hint="default" w:ascii="Times New Roman" w:hAnsi="Times New Roman" w:eastAsia="仿宋" w:cs="Times New Roman"/>
              <w:szCs w:val="24"/>
            </w:rPr>
            <w:fldChar w:fldCharType="end"/>
          </w:r>
        </w:p>
        <w:p w14:paraId="303732B0">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_Toc3931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2.7. </w:t>
          </w:r>
          <w:r>
            <w:rPr>
              <w:rFonts w:hint="eastAsia" w:ascii="宋体" w:hAnsi="宋体" w:eastAsia="宋体" w:cs="宋体"/>
              <w:lang w:val="en-US" w:eastAsia="zh-CN"/>
            </w:rPr>
            <w:t>安装剩余起重臂</w:t>
          </w:r>
          <w:r>
            <w:tab/>
          </w:r>
          <w:r>
            <w:fldChar w:fldCharType="begin"/>
          </w:r>
          <w:r>
            <w:instrText xml:space="preserve"> PAGEREF _Toc3931 \h </w:instrText>
          </w:r>
          <w:r>
            <w:fldChar w:fldCharType="separate"/>
          </w:r>
          <w:r>
            <w:t>15</w:t>
          </w:r>
          <w:r>
            <w:fldChar w:fldCharType="end"/>
          </w:r>
          <w:r>
            <w:rPr>
              <w:rFonts w:hint="default" w:ascii="Times New Roman" w:hAnsi="Times New Roman" w:eastAsia="仿宋" w:cs="Times New Roman"/>
              <w:szCs w:val="24"/>
            </w:rPr>
            <w:fldChar w:fldCharType="end"/>
          </w:r>
        </w:p>
        <w:p w14:paraId="74703DCC">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_Toc13614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2.8. </w:t>
          </w:r>
          <w:r>
            <w:rPr>
              <w:rFonts w:hint="eastAsia" w:ascii="宋体" w:hAnsi="宋体" w:eastAsia="宋体" w:cs="宋体"/>
              <w:lang w:val="en-US" w:eastAsia="zh-CN"/>
            </w:rPr>
            <w:t>安装剩余平衡重</w:t>
          </w:r>
          <w:r>
            <w:tab/>
          </w:r>
          <w:r>
            <w:fldChar w:fldCharType="begin"/>
          </w:r>
          <w:r>
            <w:instrText xml:space="preserve"> PAGEREF _Toc13614 \h </w:instrText>
          </w:r>
          <w:r>
            <w:fldChar w:fldCharType="separate"/>
          </w:r>
          <w:r>
            <w:t>18</w:t>
          </w:r>
          <w:r>
            <w:fldChar w:fldCharType="end"/>
          </w:r>
          <w:r>
            <w:rPr>
              <w:rFonts w:hint="default" w:ascii="Times New Roman" w:hAnsi="Times New Roman" w:eastAsia="仿宋" w:cs="Times New Roman"/>
              <w:szCs w:val="24"/>
            </w:rPr>
            <w:fldChar w:fldCharType="end"/>
          </w:r>
        </w:p>
        <w:p w14:paraId="39214DA2">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_Toc4463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2.9. </w:t>
          </w:r>
          <w:r>
            <w:rPr>
              <w:rFonts w:hint="eastAsia" w:ascii="宋体" w:hAnsi="宋体" w:eastAsia="宋体" w:cs="宋体"/>
              <w:lang w:val="en-US" w:eastAsia="zh-CN"/>
            </w:rPr>
            <w:t>穿绕钢丝绳</w:t>
          </w:r>
          <w:r>
            <w:tab/>
          </w:r>
          <w:r>
            <w:fldChar w:fldCharType="begin"/>
          </w:r>
          <w:r>
            <w:instrText xml:space="preserve"> PAGEREF _Toc4463 \h </w:instrText>
          </w:r>
          <w:r>
            <w:fldChar w:fldCharType="separate"/>
          </w:r>
          <w:r>
            <w:t>19</w:t>
          </w:r>
          <w:r>
            <w:fldChar w:fldCharType="end"/>
          </w:r>
          <w:r>
            <w:rPr>
              <w:rFonts w:hint="default" w:ascii="Times New Roman" w:hAnsi="Times New Roman" w:eastAsia="仿宋" w:cs="Times New Roman"/>
              <w:szCs w:val="24"/>
            </w:rPr>
            <w:fldChar w:fldCharType="end"/>
          </w:r>
        </w:p>
        <w:p w14:paraId="1775AFDC">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_Toc20212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2.10. </w:t>
          </w:r>
          <w:r>
            <w:rPr>
              <w:rFonts w:hint="eastAsia" w:ascii="宋体" w:hAnsi="宋体" w:eastAsia="宋体" w:cs="宋体"/>
              <w:lang w:val="en-US" w:eastAsia="zh-CN"/>
            </w:rPr>
            <w:t>电气系统安装及试运转</w:t>
          </w:r>
          <w:r>
            <w:tab/>
          </w:r>
          <w:r>
            <w:fldChar w:fldCharType="begin"/>
          </w:r>
          <w:r>
            <w:instrText xml:space="preserve"> PAGEREF _Toc20212 \h </w:instrText>
          </w:r>
          <w:r>
            <w:fldChar w:fldCharType="separate"/>
          </w:r>
          <w:r>
            <w:t>22</w:t>
          </w:r>
          <w:r>
            <w:fldChar w:fldCharType="end"/>
          </w:r>
          <w:r>
            <w:rPr>
              <w:rFonts w:hint="default" w:ascii="Times New Roman" w:hAnsi="Times New Roman" w:eastAsia="仿宋" w:cs="Times New Roman"/>
              <w:szCs w:val="24"/>
            </w:rPr>
            <w:fldChar w:fldCharType="end"/>
          </w:r>
        </w:p>
        <w:p w14:paraId="0EDFB1DC">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_Toc11580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2.11. </w:t>
          </w:r>
          <w:r>
            <w:rPr>
              <w:rFonts w:hint="eastAsia" w:ascii="宋体" w:hAnsi="宋体" w:eastAsia="宋体" w:cs="宋体"/>
              <w:lang w:val="en-US" w:eastAsia="zh-CN"/>
            </w:rPr>
            <w:t>操作系统的调试</w:t>
          </w:r>
          <w:r>
            <w:tab/>
          </w:r>
          <w:r>
            <w:fldChar w:fldCharType="begin"/>
          </w:r>
          <w:r>
            <w:instrText xml:space="preserve"> PAGEREF _Toc11580 \h </w:instrText>
          </w:r>
          <w:r>
            <w:fldChar w:fldCharType="separate"/>
          </w:r>
          <w:r>
            <w:t>22</w:t>
          </w:r>
          <w:r>
            <w:fldChar w:fldCharType="end"/>
          </w:r>
          <w:r>
            <w:rPr>
              <w:rFonts w:hint="default" w:ascii="Times New Roman" w:hAnsi="Times New Roman" w:eastAsia="仿宋" w:cs="Times New Roman"/>
              <w:szCs w:val="24"/>
            </w:rPr>
            <w:fldChar w:fldCharType="end"/>
          </w:r>
        </w:p>
        <w:p w14:paraId="79863767">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_Toc25800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2.12. </w:t>
          </w:r>
          <w:r>
            <w:rPr>
              <w:rFonts w:hint="eastAsia" w:ascii="宋体" w:hAnsi="宋体" w:eastAsia="宋体" w:cs="宋体"/>
              <w:lang w:val="en-US" w:eastAsia="zh-CN"/>
            </w:rPr>
            <w:t>塔机顶升加节</w:t>
          </w:r>
          <w:r>
            <w:tab/>
          </w:r>
          <w:r>
            <w:fldChar w:fldCharType="begin"/>
          </w:r>
          <w:r>
            <w:instrText xml:space="preserve"> PAGEREF _Toc25800 \h </w:instrText>
          </w:r>
          <w:r>
            <w:fldChar w:fldCharType="separate"/>
          </w:r>
          <w:r>
            <w:t>23</w:t>
          </w:r>
          <w:r>
            <w:fldChar w:fldCharType="end"/>
          </w:r>
          <w:r>
            <w:rPr>
              <w:rFonts w:hint="default" w:ascii="Times New Roman" w:hAnsi="Times New Roman" w:eastAsia="仿宋" w:cs="Times New Roman"/>
              <w:szCs w:val="24"/>
            </w:rPr>
            <w:fldChar w:fldCharType="end"/>
          </w:r>
        </w:p>
        <w:p w14:paraId="552F4535">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_Toc16933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2.13. </w:t>
          </w:r>
          <w:r>
            <w:rPr>
              <w:rFonts w:hint="eastAsia" w:ascii="宋体" w:hAnsi="宋体" w:eastAsia="宋体" w:cs="宋体"/>
              <w:lang w:val="en-US" w:eastAsia="zh-CN"/>
            </w:rPr>
            <w:t>塔机附着</w:t>
          </w:r>
          <w:r>
            <w:tab/>
          </w:r>
          <w:r>
            <w:fldChar w:fldCharType="begin"/>
          </w:r>
          <w:r>
            <w:instrText xml:space="preserve"> PAGEREF _Toc16933 \h </w:instrText>
          </w:r>
          <w:r>
            <w:fldChar w:fldCharType="separate"/>
          </w:r>
          <w:r>
            <w:t>28</w:t>
          </w:r>
          <w:r>
            <w:fldChar w:fldCharType="end"/>
          </w:r>
          <w:r>
            <w:rPr>
              <w:rFonts w:hint="default" w:ascii="Times New Roman" w:hAnsi="Times New Roman" w:eastAsia="仿宋" w:cs="Times New Roman"/>
              <w:szCs w:val="24"/>
            </w:rPr>
            <w:fldChar w:fldCharType="end"/>
          </w:r>
        </w:p>
        <w:p w14:paraId="5D98A3B8">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_Toc27772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2.14. </w:t>
          </w:r>
          <w:r>
            <w:rPr>
              <w:rFonts w:hint="eastAsia" w:ascii="宋体" w:hAnsi="宋体" w:eastAsia="宋体" w:cs="宋体"/>
              <w:lang w:val="en-US" w:eastAsia="zh-CN"/>
            </w:rPr>
            <w:t>安全装置的调试</w:t>
          </w:r>
          <w:r>
            <w:tab/>
          </w:r>
          <w:r>
            <w:fldChar w:fldCharType="begin"/>
          </w:r>
          <w:r>
            <w:instrText xml:space="preserve"> PAGEREF _Toc27772 \h </w:instrText>
          </w:r>
          <w:r>
            <w:fldChar w:fldCharType="separate"/>
          </w:r>
          <w:r>
            <w:t>30</w:t>
          </w:r>
          <w:r>
            <w:fldChar w:fldCharType="end"/>
          </w:r>
          <w:r>
            <w:rPr>
              <w:rFonts w:hint="default" w:ascii="Times New Roman" w:hAnsi="Times New Roman" w:eastAsia="仿宋" w:cs="Times New Roman"/>
              <w:szCs w:val="24"/>
            </w:rPr>
            <w:fldChar w:fldCharType="end"/>
          </w:r>
        </w:p>
        <w:p w14:paraId="7075FB2B">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_Toc31456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2.15. </w:t>
          </w:r>
          <w:r>
            <w:rPr>
              <w:rFonts w:hint="eastAsia" w:ascii="宋体" w:hAnsi="宋体" w:eastAsia="宋体" w:cs="宋体"/>
              <w:highlight w:val="none"/>
              <w:lang w:val="en-US" w:eastAsia="zh-CN"/>
            </w:rPr>
            <w:t>风险与应对措施</w:t>
          </w:r>
          <w:r>
            <w:tab/>
          </w:r>
          <w:r>
            <w:fldChar w:fldCharType="begin"/>
          </w:r>
          <w:r>
            <w:instrText xml:space="preserve"> PAGEREF _Toc31456 \h </w:instrText>
          </w:r>
          <w:r>
            <w:fldChar w:fldCharType="separate"/>
          </w:r>
          <w:r>
            <w:t>31</w:t>
          </w:r>
          <w:r>
            <w:fldChar w:fldCharType="end"/>
          </w:r>
          <w:r>
            <w:rPr>
              <w:rFonts w:hint="default" w:ascii="Times New Roman" w:hAnsi="Times New Roman" w:eastAsia="仿宋" w:cs="Times New Roman"/>
              <w:szCs w:val="24"/>
            </w:rPr>
            <w:fldChar w:fldCharType="end"/>
          </w:r>
        </w:p>
        <w:p w14:paraId="77A4413E">
          <w:pPr>
            <w:pStyle w:val="23"/>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_Toc26987 </w:instrText>
          </w:r>
          <w:r>
            <w:rPr>
              <w:rFonts w:hint="default" w:ascii="Times New Roman" w:hAnsi="Times New Roman" w:eastAsia="仿宋" w:cs="Times New Roman"/>
              <w:szCs w:val="24"/>
            </w:rPr>
            <w:fldChar w:fldCharType="separate"/>
          </w:r>
          <w:r>
            <w:rPr>
              <w:rFonts w:hint="eastAsia"/>
              <w:lang w:val="en-US" w:eastAsia="zh-CN"/>
            </w:rPr>
            <w:t>3 质量安全环保要求</w:t>
          </w:r>
          <w:r>
            <w:tab/>
          </w:r>
          <w:r>
            <w:fldChar w:fldCharType="begin"/>
          </w:r>
          <w:r>
            <w:instrText xml:space="preserve"> PAGEREF _Toc26987 \h </w:instrText>
          </w:r>
          <w:r>
            <w:fldChar w:fldCharType="separate"/>
          </w:r>
          <w:r>
            <w:t>41</w:t>
          </w:r>
          <w:r>
            <w:fldChar w:fldCharType="end"/>
          </w:r>
          <w:r>
            <w:rPr>
              <w:rFonts w:hint="default" w:ascii="Times New Roman" w:hAnsi="Times New Roman" w:eastAsia="仿宋" w:cs="Times New Roman"/>
              <w:szCs w:val="24"/>
            </w:rPr>
            <w:fldChar w:fldCharType="end"/>
          </w:r>
        </w:p>
        <w:p w14:paraId="67147E60">
          <w:pPr>
            <w:pStyle w:val="23"/>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_Toc19152 </w:instrText>
          </w:r>
          <w:r>
            <w:rPr>
              <w:rFonts w:hint="default" w:ascii="Times New Roman" w:hAnsi="Times New Roman" w:eastAsia="仿宋" w:cs="Times New Roman"/>
              <w:szCs w:val="24"/>
            </w:rPr>
            <w:fldChar w:fldCharType="separate"/>
          </w:r>
          <w:r>
            <w:rPr>
              <w:rFonts w:hint="eastAsia"/>
              <w:lang w:val="en-US" w:eastAsia="zh-CN"/>
            </w:rPr>
            <w:t>4 施工管理及作业人员配备和分工</w:t>
          </w:r>
          <w:r>
            <w:tab/>
          </w:r>
          <w:r>
            <w:fldChar w:fldCharType="begin"/>
          </w:r>
          <w:r>
            <w:instrText xml:space="preserve"> PAGEREF _Toc19152 \h </w:instrText>
          </w:r>
          <w:r>
            <w:fldChar w:fldCharType="separate"/>
          </w:r>
          <w:r>
            <w:t>42</w:t>
          </w:r>
          <w:r>
            <w:fldChar w:fldCharType="end"/>
          </w:r>
          <w:r>
            <w:rPr>
              <w:rFonts w:hint="default" w:ascii="Times New Roman" w:hAnsi="Times New Roman" w:eastAsia="仿宋" w:cs="Times New Roman"/>
              <w:szCs w:val="24"/>
            </w:rPr>
            <w:fldChar w:fldCharType="end"/>
          </w:r>
        </w:p>
        <w:p w14:paraId="3FD6336F">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_Toc28929 </w:instrText>
          </w:r>
          <w:r>
            <w:rPr>
              <w:rFonts w:hint="default" w:ascii="Times New Roman" w:hAnsi="Times New Roman" w:eastAsia="仿宋" w:cs="Times New Roman"/>
              <w:szCs w:val="24"/>
            </w:rPr>
            <w:fldChar w:fldCharType="separate"/>
          </w:r>
          <w:r>
            <w:rPr>
              <w:rFonts w:hint="eastAsia"/>
              <w:lang w:val="en-US" w:eastAsia="zh-CN"/>
            </w:rPr>
            <w:t>4.1 施工组织机构</w:t>
          </w:r>
          <w:r>
            <w:tab/>
          </w:r>
          <w:r>
            <w:fldChar w:fldCharType="begin"/>
          </w:r>
          <w:r>
            <w:instrText xml:space="preserve"> PAGEREF _Toc28929 \h </w:instrText>
          </w:r>
          <w:r>
            <w:fldChar w:fldCharType="separate"/>
          </w:r>
          <w:r>
            <w:t>42</w:t>
          </w:r>
          <w:r>
            <w:fldChar w:fldCharType="end"/>
          </w:r>
          <w:r>
            <w:rPr>
              <w:rFonts w:hint="default" w:ascii="Times New Roman" w:hAnsi="Times New Roman" w:eastAsia="仿宋" w:cs="Times New Roman"/>
              <w:szCs w:val="24"/>
            </w:rPr>
            <w:fldChar w:fldCharType="end"/>
          </w:r>
        </w:p>
        <w:p w14:paraId="5487CEB5">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_Toc27393 </w:instrText>
          </w:r>
          <w:r>
            <w:rPr>
              <w:rFonts w:hint="default" w:ascii="Times New Roman" w:hAnsi="Times New Roman" w:eastAsia="仿宋" w:cs="Times New Roman"/>
              <w:szCs w:val="24"/>
            </w:rPr>
            <w:fldChar w:fldCharType="separate"/>
          </w:r>
          <w:r>
            <w:rPr>
              <w:rFonts w:hint="eastAsia"/>
              <w:lang w:val="en-US" w:eastAsia="zh-CN"/>
            </w:rPr>
            <w:t>4.2 人员配置</w:t>
          </w:r>
          <w:r>
            <w:tab/>
          </w:r>
          <w:r>
            <w:fldChar w:fldCharType="begin"/>
          </w:r>
          <w:r>
            <w:instrText xml:space="preserve"> PAGEREF _Toc27393 \h </w:instrText>
          </w:r>
          <w:r>
            <w:fldChar w:fldCharType="separate"/>
          </w:r>
          <w:r>
            <w:t>42</w:t>
          </w:r>
          <w:r>
            <w:fldChar w:fldCharType="end"/>
          </w:r>
          <w:r>
            <w:rPr>
              <w:rFonts w:hint="default" w:ascii="Times New Roman" w:hAnsi="Times New Roman" w:eastAsia="仿宋" w:cs="Times New Roman"/>
              <w:szCs w:val="24"/>
            </w:rPr>
            <w:fldChar w:fldCharType="end"/>
          </w:r>
        </w:p>
        <w:p w14:paraId="01A55680">
          <w:pPr>
            <w:pStyle w:val="23"/>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_Toc5176 </w:instrText>
          </w:r>
          <w:r>
            <w:rPr>
              <w:rFonts w:hint="default" w:ascii="Times New Roman" w:hAnsi="Times New Roman" w:eastAsia="仿宋" w:cs="Times New Roman"/>
              <w:szCs w:val="24"/>
            </w:rPr>
            <w:fldChar w:fldCharType="separate"/>
          </w:r>
          <w:r>
            <w:rPr>
              <w:rFonts w:hint="eastAsia"/>
              <w:lang w:val="en-US" w:eastAsia="zh-CN"/>
            </w:rPr>
            <w:t>5 应急处置及应急救援措施</w:t>
          </w:r>
          <w:r>
            <w:tab/>
          </w:r>
          <w:r>
            <w:fldChar w:fldCharType="begin"/>
          </w:r>
          <w:r>
            <w:instrText xml:space="preserve"> PAGEREF _Toc5176 \h </w:instrText>
          </w:r>
          <w:r>
            <w:fldChar w:fldCharType="separate"/>
          </w:r>
          <w:r>
            <w:t>43</w:t>
          </w:r>
          <w:r>
            <w:fldChar w:fldCharType="end"/>
          </w:r>
          <w:r>
            <w:rPr>
              <w:rFonts w:hint="default" w:ascii="Times New Roman" w:hAnsi="Times New Roman" w:eastAsia="仿宋" w:cs="Times New Roman"/>
              <w:szCs w:val="24"/>
            </w:rPr>
            <w:fldChar w:fldCharType="end"/>
          </w:r>
        </w:p>
        <w:p w14:paraId="5C2C8666">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_Toc31769 </w:instrText>
          </w:r>
          <w:r>
            <w:rPr>
              <w:rFonts w:hint="default" w:ascii="Times New Roman" w:hAnsi="Times New Roman" w:eastAsia="仿宋" w:cs="Times New Roman"/>
              <w:szCs w:val="24"/>
            </w:rPr>
            <w:fldChar w:fldCharType="separate"/>
          </w:r>
          <w:r>
            <w:rPr>
              <w:rFonts w:hint="eastAsia"/>
              <w:lang w:val="en-US" w:eastAsia="zh-CN"/>
            </w:rPr>
            <w:t>5.1应急救援组织机构及职责</w:t>
          </w:r>
          <w:r>
            <w:tab/>
          </w:r>
          <w:r>
            <w:fldChar w:fldCharType="begin"/>
          </w:r>
          <w:r>
            <w:instrText xml:space="preserve"> PAGEREF _Toc31769 \h </w:instrText>
          </w:r>
          <w:r>
            <w:fldChar w:fldCharType="separate"/>
          </w:r>
          <w:r>
            <w:t>43</w:t>
          </w:r>
          <w:r>
            <w:fldChar w:fldCharType="end"/>
          </w:r>
          <w:r>
            <w:rPr>
              <w:rFonts w:hint="default" w:ascii="Times New Roman" w:hAnsi="Times New Roman" w:eastAsia="仿宋" w:cs="Times New Roman"/>
              <w:szCs w:val="24"/>
            </w:rPr>
            <w:fldChar w:fldCharType="end"/>
          </w:r>
        </w:p>
        <w:p w14:paraId="38025915">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_Toc24147 </w:instrText>
          </w:r>
          <w:r>
            <w:rPr>
              <w:rFonts w:hint="default" w:ascii="Times New Roman" w:hAnsi="Times New Roman" w:eastAsia="仿宋" w:cs="Times New Roman"/>
              <w:szCs w:val="24"/>
            </w:rPr>
            <w:fldChar w:fldCharType="separate"/>
          </w:r>
          <w:r>
            <w:rPr>
              <w:rFonts w:hint="eastAsia"/>
              <w:lang w:val="en-US" w:eastAsia="zh-CN"/>
            </w:rPr>
            <w:t>5.2专项应急处置措施</w:t>
          </w:r>
          <w:r>
            <w:tab/>
          </w:r>
          <w:r>
            <w:fldChar w:fldCharType="begin"/>
          </w:r>
          <w:r>
            <w:instrText xml:space="preserve"> PAGEREF _Toc24147 \h </w:instrText>
          </w:r>
          <w:r>
            <w:fldChar w:fldCharType="separate"/>
          </w:r>
          <w:r>
            <w:t>44</w:t>
          </w:r>
          <w:r>
            <w:fldChar w:fldCharType="end"/>
          </w:r>
          <w:r>
            <w:rPr>
              <w:rFonts w:hint="default" w:ascii="Times New Roman" w:hAnsi="Times New Roman" w:eastAsia="仿宋" w:cs="Times New Roman"/>
              <w:szCs w:val="24"/>
            </w:rPr>
            <w:fldChar w:fldCharType="end"/>
          </w:r>
        </w:p>
        <w:p w14:paraId="6EC3A937">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_Toc23743 </w:instrText>
          </w:r>
          <w:r>
            <w:rPr>
              <w:rFonts w:hint="default" w:ascii="Times New Roman" w:hAnsi="Times New Roman" w:eastAsia="仿宋" w:cs="Times New Roman"/>
              <w:szCs w:val="24"/>
            </w:rPr>
            <w:fldChar w:fldCharType="separate"/>
          </w:r>
          <w:r>
            <w:rPr>
              <w:rFonts w:hint="eastAsia"/>
              <w:highlight w:val="none"/>
              <w:lang w:val="en-US" w:eastAsia="zh-CN"/>
            </w:rPr>
            <w:t>5.3紧急救援措施</w:t>
          </w:r>
          <w:r>
            <w:tab/>
          </w:r>
          <w:r>
            <w:fldChar w:fldCharType="begin"/>
          </w:r>
          <w:r>
            <w:instrText xml:space="preserve"> PAGEREF _Toc23743 \h </w:instrText>
          </w:r>
          <w:r>
            <w:fldChar w:fldCharType="separate"/>
          </w:r>
          <w:r>
            <w:t>49</w:t>
          </w:r>
          <w:r>
            <w:fldChar w:fldCharType="end"/>
          </w:r>
          <w:r>
            <w:rPr>
              <w:rFonts w:hint="default" w:ascii="Times New Roman" w:hAnsi="Times New Roman" w:eastAsia="仿宋" w:cs="Times New Roman"/>
              <w:szCs w:val="24"/>
            </w:rPr>
            <w:fldChar w:fldCharType="end"/>
          </w:r>
        </w:p>
        <w:p w14:paraId="0CA61841">
          <w:pPr>
            <w:pStyle w:val="23"/>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_Toc23071 </w:instrText>
          </w:r>
          <w:r>
            <w:rPr>
              <w:rFonts w:hint="default" w:ascii="Times New Roman" w:hAnsi="Times New Roman" w:eastAsia="仿宋" w:cs="Times New Roman"/>
              <w:szCs w:val="24"/>
            </w:rPr>
            <w:fldChar w:fldCharType="separate"/>
          </w:r>
          <w:r>
            <w:rPr>
              <w:rFonts w:hint="eastAsia"/>
              <w:lang w:val="en-US" w:eastAsia="zh-CN"/>
            </w:rPr>
            <w:t>6附件</w:t>
          </w:r>
          <w:r>
            <w:tab/>
          </w:r>
          <w:r>
            <w:fldChar w:fldCharType="begin"/>
          </w:r>
          <w:r>
            <w:instrText xml:space="preserve"> PAGEREF _Toc23071 \h </w:instrText>
          </w:r>
          <w:r>
            <w:fldChar w:fldCharType="separate"/>
          </w:r>
          <w:r>
            <w:t>52</w:t>
          </w:r>
          <w:r>
            <w:fldChar w:fldCharType="end"/>
          </w:r>
          <w:r>
            <w:rPr>
              <w:rFonts w:hint="default" w:ascii="Times New Roman" w:hAnsi="Times New Roman" w:eastAsia="仿宋" w:cs="Times New Roman"/>
              <w:szCs w:val="24"/>
            </w:rPr>
            <w:fldChar w:fldCharType="end"/>
          </w:r>
        </w:p>
        <w:p w14:paraId="46728057">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_Toc68 </w:instrText>
          </w:r>
          <w:r>
            <w:rPr>
              <w:rFonts w:hint="default" w:ascii="Times New Roman" w:hAnsi="Times New Roman" w:eastAsia="仿宋" w:cs="Times New Roman"/>
              <w:szCs w:val="24"/>
            </w:rPr>
            <w:fldChar w:fldCharType="separate"/>
          </w:r>
          <w:r>
            <w:rPr>
              <w:rFonts w:hint="eastAsia"/>
              <w:lang w:val="en-US" w:eastAsia="zh-CN"/>
            </w:rPr>
            <w:t>附件一：工序施工控制要点一览表</w:t>
          </w:r>
          <w:r>
            <w:tab/>
          </w:r>
          <w:r>
            <w:fldChar w:fldCharType="begin"/>
          </w:r>
          <w:r>
            <w:instrText xml:space="preserve"> PAGEREF _Toc68 \h </w:instrText>
          </w:r>
          <w:r>
            <w:fldChar w:fldCharType="separate"/>
          </w:r>
          <w:r>
            <w:t>52</w:t>
          </w:r>
          <w:r>
            <w:fldChar w:fldCharType="end"/>
          </w:r>
          <w:r>
            <w:rPr>
              <w:rFonts w:hint="default" w:ascii="Times New Roman" w:hAnsi="Times New Roman" w:eastAsia="仿宋" w:cs="Times New Roman"/>
              <w:szCs w:val="24"/>
            </w:rPr>
            <w:fldChar w:fldCharType="end"/>
          </w:r>
        </w:p>
        <w:p w14:paraId="6F23CC84">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_Toc23162 </w:instrText>
          </w:r>
          <w:r>
            <w:rPr>
              <w:rFonts w:hint="default" w:ascii="Times New Roman" w:hAnsi="Times New Roman" w:eastAsia="仿宋" w:cs="Times New Roman"/>
              <w:szCs w:val="24"/>
            </w:rPr>
            <w:fldChar w:fldCharType="separate"/>
          </w:r>
          <w:r>
            <w:rPr>
              <w:rFonts w:hint="eastAsia" w:ascii="宋体" w:hAnsi="宋体" w:eastAsia="宋体" w:cs="宋体"/>
              <w:lang w:val="en-US" w:eastAsia="zh-CN"/>
            </w:rPr>
            <w:t>附件二：工序相关设计图表</w:t>
          </w:r>
          <w:r>
            <w:tab/>
          </w:r>
          <w:r>
            <w:fldChar w:fldCharType="begin"/>
          </w:r>
          <w:r>
            <w:instrText xml:space="preserve"> PAGEREF _Toc23162 \h </w:instrText>
          </w:r>
          <w:r>
            <w:fldChar w:fldCharType="separate"/>
          </w:r>
          <w:r>
            <w:t>55</w:t>
          </w:r>
          <w:r>
            <w:fldChar w:fldCharType="end"/>
          </w:r>
          <w:r>
            <w:rPr>
              <w:rFonts w:hint="default" w:ascii="Times New Roman" w:hAnsi="Times New Roman" w:eastAsia="仿宋" w:cs="Times New Roman"/>
              <w:szCs w:val="24"/>
            </w:rPr>
            <w:fldChar w:fldCharType="end"/>
          </w:r>
        </w:p>
        <w:p w14:paraId="6551C968">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_Toc12182 </w:instrText>
          </w:r>
          <w:r>
            <w:rPr>
              <w:rFonts w:hint="default" w:ascii="Times New Roman" w:hAnsi="Times New Roman" w:eastAsia="仿宋" w:cs="Times New Roman"/>
              <w:szCs w:val="24"/>
            </w:rPr>
            <w:fldChar w:fldCharType="separate"/>
          </w:r>
          <w:r>
            <w:rPr>
              <w:rFonts w:hint="eastAsia"/>
              <w:lang w:val="en-US" w:eastAsia="zh-CN"/>
            </w:rPr>
            <w:t>附件三：工序施工记录表</w:t>
          </w:r>
          <w:r>
            <w:tab/>
          </w:r>
          <w:r>
            <w:fldChar w:fldCharType="begin"/>
          </w:r>
          <w:r>
            <w:instrText xml:space="preserve"> PAGEREF _Toc12182 \h </w:instrText>
          </w:r>
          <w:r>
            <w:fldChar w:fldCharType="separate"/>
          </w:r>
          <w:r>
            <w:t>55</w:t>
          </w:r>
          <w:r>
            <w:fldChar w:fldCharType="end"/>
          </w:r>
          <w:r>
            <w:rPr>
              <w:rFonts w:hint="default" w:ascii="Times New Roman" w:hAnsi="Times New Roman" w:eastAsia="仿宋" w:cs="Times New Roman"/>
              <w:szCs w:val="24"/>
            </w:rPr>
            <w:fldChar w:fldCharType="end"/>
          </w:r>
        </w:p>
        <w:p w14:paraId="37EF835E">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_Toc26622 </w:instrText>
          </w:r>
          <w:r>
            <w:rPr>
              <w:rFonts w:hint="default" w:ascii="Times New Roman" w:hAnsi="Times New Roman" w:eastAsia="仿宋" w:cs="Times New Roman"/>
              <w:szCs w:val="24"/>
            </w:rPr>
            <w:fldChar w:fldCharType="separate"/>
          </w:r>
          <w:r>
            <w:rPr>
              <w:rFonts w:hint="eastAsia"/>
              <w:lang w:val="en-US" w:eastAsia="zh-CN"/>
            </w:rPr>
            <w:t>附件四：工序参考工效</w:t>
          </w:r>
          <w:r>
            <w:tab/>
          </w:r>
          <w:r>
            <w:fldChar w:fldCharType="begin"/>
          </w:r>
          <w:r>
            <w:instrText xml:space="preserve"> PAGEREF _Toc26622 \h </w:instrText>
          </w:r>
          <w:r>
            <w:fldChar w:fldCharType="separate"/>
          </w:r>
          <w:r>
            <w:t>61</w:t>
          </w:r>
          <w:r>
            <w:fldChar w:fldCharType="end"/>
          </w:r>
          <w:r>
            <w:rPr>
              <w:rFonts w:hint="default" w:ascii="Times New Roman" w:hAnsi="Times New Roman" w:eastAsia="仿宋" w:cs="Times New Roman"/>
              <w:szCs w:val="24"/>
            </w:rPr>
            <w:fldChar w:fldCharType="end"/>
          </w:r>
        </w:p>
        <w:p w14:paraId="125C6980">
          <w:pPr>
            <w:pStyle w:val="25"/>
            <w:tabs>
              <w:tab w:val="right" w:leader="dot" w:pos="9746"/>
            </w:tabs>
            <w:rPr>
              <w:rFonts w:hint="default" w:ascii="Times New Roman" w:hAnsi="Times New Roman" w:eastAsia="仿宋" w:cs="Times New Roman"/>
              <w:kern w:val="0"/>
              <w:sz w:val="22"/>
              <w:szCs w:val="22"/>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仿宋" w:cs="Times New Roman"/>
              <w:szCs w:val="24"/>
            </w:rPr>
            <w:fldChar w:fldCharType="end"/>
          </w:r>
        </w:p>
      </w:sdtContent>
    </w:sdt>
    <w:p w14:paraId="350DA1D2">
      <w:pPr>
        <w:pStyle w:val="2"/>
        <w:bidi w:val="0"/>
        <w:rPr>
          <w:rFonts w:hint="eastAsia" w:eastAsia="宋体" w:cs="Times New Roman"/>
          <w:lang w:val="en-US" w:eastAsia="zh-CN"/>
        </w:rPr>
      </w:pPr>
      <w:bookmarkStart w:id="2" w:name="_Toc20372"/>
      <w:bookmarkStart w:id="3" w:name="_Toc1686"/>
      <w:bookmarkStart w:id="4" w:name="_Toc23475"/>
      <w:bookmarkStart w:id="5" w:name="_Toc29145"/>
      <w:bookmarkStart w:id="6" w:name="_Toc764"/>
      <w:bookmarkStart w:id="7" w:name="_Toc24508"/>
      <w:bookmarkStart w:id="8" w:name="_Toc16744"/>
      <w:bookmarkStart w:id="9" w:name="_Toc26055"/>
      <w:bookmarkStart w:id="10" w:name="_Toc3102"/>
      <w:r>
        <w:rPr>
          <w:rFonts w:hint="eastAsia"/>
          <w:lang w:val="en-US" w:eastAsia="zh-CN"/>
        </w:rPr>
        <w:t>1概述</w:t>
      </w:r>
      <w:bookmarkEnd w:id="2"/>
      <w:bookmarkEnd w:id="3"/>
      <w:bookmarkEnd w:id="4"/>
      <w:bookmarkEnd w:id="5"/>
      <w:bookmarkEnd w:id="6"/>
      <w:bookmarkEnd w:id="7"/>
      <w:bookmarkEnd w:id="8"/>
      <w:bookmarkEnd w:id="9"/>
      <w:bookmarkEnd w:id="10"/>
    </w:p>
    <w:p w14:paraId="708ADF2B">
      <w:pPr>
        <w:bidi w:val="0"/>
        <w:ind w:firstLine="480" w:firstLineChars="200"/>
        <w:rPr>
          <w:rFonts w:hint="eastAsia" w:eastAsia="宋体" w:cs="Times New Roman"/>
          <w:lang w:val="en-US" w:eastAsia="zh-CN"/>
        </w:rPr>
      </w:pPr>
      <w:r>
        <w:rPr>
          <w:rFonts w:hint="eastAsia" w:eastAsia="宋体" w:cs="Times New Roman"/>
          <w:lang w:val="en-US" w:eastAsia="zh-CN"/>
        </w:rPr>
        <w:t>本次为塔式起重机</w:t>
      </w:r>
      <w:r>
        <w:rPr>
          <w:rFonts w:hint="eastAsia" w:cs="Times New Roman"/>
          <w:lang w:val="en-US" w:eastAsia="zh-CN"/>
        </w:rPr>
        <w:t>安装</w:t>
      </w:r>
      <w:r>
        <w:rPr>
          <w:rFonts w:hint="eastAsia" w:eastAsia="宋体" w:cs="Times New Roman"/>
          <w:lang w:val="en-US" w:eastAsia="zh-CN"/>
        </w:rPr>
        <w:t>施工安全技术交底，塔机型号为</w:t>
      </w:r>
      <w:r>
        <w:rPr>
          <w:rFonts w:hint="eastAsia" w:cs="Times New Roman"/>
          <w:lang w:val="en-US" w:eastAsia="zh-CN"/>
        </w:rPr>
        <w:t>XGT7026-12S1</w:t>
      </w:r>
      <w:r>
        <w:rPr>
          <w:rFonts w:hint="eastAsia" w:eastAsia="宋体" w:cs="Times New Roman"/>
          <w:lang w:val="en-US" w:eastAsia="zh-CN"/>
        </w:rPr>
        <w:t>。</w:t>
      </w:r>
    </w:p>
    <w:p w14:paraId="10296521">
      <w:pPr>
        <w:pStyle w:val="3"/>
        <w:bidi w:val="0"/>
        <w:rPr>
          <w:rFonts w:hint="eastAsia"/>
          <w:lang w:val="en-US" w:eastAsia="zh-CN"/>
        </w:rPr>
      </w:pPr>
      <w:bookmarkStart w:id="11" w:name="_Toc19760"/>
      <w:bookmarkStart w:id="12" w:name="_Toc12759"/>
      <w:r>
        <w:rPr>
          <w:rFonts w:hint="eastAsia"/>
          <w:lang w:val="en-US" w:eastAsia="zh-CN"/>
        </w:rPr>
        <w:t>1.1 工序基本情况</w:t>
      </w:r>
      <w:bookmarkEnd w:id="11"/>
      <w:bookmarkEnd w:id="12"/>
    </w:p>
    <w:p w14:paraId="6745F1F8">
      <w:pPr>
        <w:bidi w:val="0"/>
        <w:ind w:firstLine="480" w:firstLineChars="200"/>
        <w:rPr>
          <w:rFonts w:hint="eastAsia" w:eastAsia="宋体" w:cs="Times New Roman"/>
          <w:lang w:val="en-US" w:eastAsia="zh-CN"/>
        </w:rPr>
      </w:pPr>
      <w:r>
        <w:rPr>
          <w:rFonts w:hint="eastAsia" w:eastAsia="宋体"/>
          <w:lang w:val="en-US" w:eastAsia="zh-CN"/>
        </w:rPr>
        <w:t>（</w:t>
      </w:r>
      <w:r>
        <w:rPr>
          <w:rFonts w:hint="eastAsia" w:eastAsia="宋体" w:cs="Times New Roman"/>
          <w:lang w:val="en-US" w:eastAsia="zh-CN"/>
        </w:rPr>
        <w:t>1）适用范围</w:t>
      </w:r>
    </w:p>
    <w:p w14:paraId="343903A5">
      <w:pPr>
        <w:bidi w:val="0"/>
        <w:ind w:firstLine="480" w:firstLineChars="200"/>
        <w:rPr>
          <w:rFonts w:hint="eastAsia"/>
          <w:lang w:val="en-US" w:eastAsia="zh-CN"/>
        </w:rPr>
      </w:pPr>
      <w:r>
        <w:rPr>
          <w:rFonts w:hint="eastAsia"/>
          <w:lang w:val="en-US" w:eastAsia="zh-CN"/>
        </w:rPr>
        <w:t>本次交底范围为新渡坪大桥左幅3#墩</w:t>
      </w:r>
      <w:r>
        <w:rPr>
          <w:rFonts w:hint="eastAsia" w:cs="Times New Roman"/>
          <w:lang w:val="en-US" w:eastAsia="zh-CN"/>
        </w:rPr>
        <w:t>XGT7026-12S1</w:t>
      </w:r>
      <w:r>
        <w:rPr>
          <w:rFonts w:hint="eastAsia"/>
          <w:lang w:val="en-US" w:eastAsia="zh-CN"/>
        </w:rPr>
        <w:t>塔式起重机安装安全施工作业，具体包括</w:t>
      </w:r>
      <w:r>
        <w:rPr>
          <w:rFonts w:hint="default"/>
          <w:lang w:val="en-US" w:eastAsia="zh-CN"/>
        </w:rPr>
        <w:t>基础施工、部件组装、部件吊装、顶升、调试等</w:t>
      </w:r>
      <w:r>
        <w:rPr>
          <w:rFonts w:hint="eastAsia"/>
          <w:lang w:val="en-US" w:eastAsia="zh-CN"/>
        </w:rPr>
        <w:t>。待现场场地、材料、技术人员到位后，即可开始安装施工。</w:t>
      </w:r>
    </w:p>
    <w:p w14:paraId="16A3EC88">
      <w:pPr>
        <w:bidi w:val="0"/>
        <w:ind w:firstLine="480" w:firstLineChars="200"/>
        <w:rPr>
          <w:rFonts w:hint="eastAsia" w:eastAsia="宋体" w:cs="Times New Roman"/>
          <w:lang w:val="en-US" w:eastAsia="zh-CN"/>
        </w:rPr>
      </w:pPr>
      <w:r>
        <w:rPr>
          <w:rFonts w:hint="eastAsia" w:eastAsia="宋体" w:cs="Times New Roman"/>
          <w:lang w:val="en-US" w:eastAsia="zh-CN"/>
        </w:rPr>
        <w:t>（2）本道工序准备情况</w:t>
      </w:r>
    </w:p>
    <w:p w14:paraId="6521A5AF">
      <w:pPr>
        <w:bidi w:val="0"/>
        <w:ind w:firstLine="480" w:firstLineChars="200"/>
        <w:rPr>
          <w:rFonts w:hint="default" w:eastAsia="宋体" w:cs="Times New Roman"/>
          <w:lang w:val="en-US" w:eastAsia="zh-CN"/>
        </w:rPr>
      </w:pPr>
      <w:r>
        <w:rPr>
          <w:rFonts w:hint="eastAsia"/>
          <w:lang w:val="en-US" w:eastAsia="zh-CN"/>
        </w:rPr>
        <w:t>目前，现场场地已完成平整，具备拼装条件；材料均已运至现场，且经过验收；技术人员已驻场。</w:t>
      </w:r>
      <w:r>
        <w:rPr>
          <w:rFonts w:hint="eastAsia" w:eastAsia="宋体" w:cs="Times New Roman"/>
          <w:lang w:val="en-US" w:eastAsia="zh-CN"/>
        </w:rPr>
        <w:t>已配置一台</w:t>
      </w:r>
      <w:r>
        <w:rPr>
          <w:rFonts w:hint="eastAsia" w:cs="Times New Roman"/>
          <w:lang w:val="en-US" w:eastAsia="zh-CN"/>
        </w:rPr>
        <w:t>50</w:t>
      </w:r>
      <w:r>
        <w:rPr>
          <w:rFonts w:hint="eastAsia" w:eastAsia="宋体" w:cs="Times New Roman"/>
          <w:lang w:val="en-US" w:eastAsia="zh-CN"/>
        </w:rPr>
        <w:t>t汽车吊，满足吊装要求。</w:t>
      </w:r>
    </w:p>
    <w:p w14:paraId="3725FD32">
      <w:pPr>
        <w:bidi w:val="0"/>
        <w:ind w:firstLine="480" w:firstLineChars="200"/>
        <w:rPr>
          <w:rFonts w:hint="eastAsia" w:eastAsia="宋体" w:cs="Times New Roman"/>
          <w:lang w:val="en-US" w:eastAsia="zh-CN"/>
        </w:rPr>
      </w:pPr>
      <w:r>
        <w:rPr>
          <w:rFonts w:hint="eastAsia" w:eastAsia="宋体" w:cs="Times New Roman"/>
          <w:lang w:val="en-US" w:eastAsia="zh-CN"/>
        </w:rPr>
        <w:t>（3）工序衔接及需注意事项</w:t>
      </w:r>
    </w:p>
    <w:p w14:paraId="34652C9A">
      <w:pPr>
        <w:bidi w:val="0"/>
        <w:ind w:firstLine="480" w:firstLineChars="200"/>
        <w:rPr>
          <w:rFonts w:hint="default"/>
          <w:highlight w:val="none"/>
          <w:lang w:val="en-US" w:eastAsia="zh-CN"/>
        </w:rPr>
      </w:pPr>
      <w:bookmarkStart w:id="13" w:name="_Toc25389"/>
      <w:r>
        <w:rPr>
          <w:rFonts w:hint="eastAsia"/>
          <w:lang w:val="en-US" w:eastAsia="zh-CN"/>
        </w:rPr>
        <w:t>塔机安装的上道工序为基础验收</w:t>
      </w:r>
      <w:r>
        <w:rPr>
          <w:rFonts w:hint="eastAsia"/>
          <w:highlight w:val="none"/>
          <w:lang w:val="en-US" w:eastAsia="zh-CN"/>
        </w:rPr>
        <w:t>，工序衔接过程中必须保证基础混凝土强度达标、预埋件位置的准确性。</w:t>
      </w:r>
    </w:p>
    <w:p w14:paraId="0BEE1A87">
      <w:pPr>
        <w:bidi w:val="0"/>
        <w:ind w:firstLine="480" w:firstLineChars="200"/>
        <w:rPr>
          <w:rFonts w:hint="default"/>
          <w:lang w:val="en-US" w:eastAsia="zh-CN"/>
        </w:rPr>
      </w:pPr>
      <w:r>
        <w:rPr>
          <w:rFonts w:hint="eastAsia"/>
          <w:lang w:val="en-US" w:eastAsia="zh-CN"/>
        </w:rPr>
        <w:t>塔机安装的下道工序为设备调试与验收，</w:t>
      </w:r>
      <w:r>
        <w:rPr>
          <w:rFonts w:hint="eastAsia"/>
          <w:highlight w:val="none"/>
          <w:lang w:val="en-US" w:eastAsia="zh-CN"/>
        </w:rPr>
        <w:t>工序衔接过程中必须保证各机构（起升、变幅、回转）运行正常，限位装置敏感度达标，需在空载、额定载荷试验无异常后，由专业机构验收合格后可进入下阶段使用。</w:t>
      </w:r>
    </w:p>
    <w:p w14:paraId="1CC4852C">
      <w:pPr>
        <w:pStyle w:val="3"/>
        <w:bidi w:val="0"/>
        <w:rPr>
          <w:rFonts w:hint="eastAsia"/>
          <w:lang w:val="en-US" w:eastAsia="zh-CN"/>
        </w:rPr>
      </w:pPr>
      <w:bookmarkStart w:id="14" w:name="_Toc17409"/>
      <w:r>
        <w:rPr>
          <w:rFonts w:hint="eastAsia"/>
          <w:lang w:val="en-US" w:eastAsia="zh-CN"/>
        </w:rPr>
        <w:t>1.2 结构概况</w:t>
      </w:r>
      <w:bookmarkEnd w:id="13"/>
      <w:bookmarkEnd w:id="14"/>
    </w:p>
    <w:p w14:paraId="3B43B38C">
      <w:pPr>
        <w:pStyle w:val="4"/>
        <w:rPr>
          <w:rFonts w:hint="eastAsia"/>
          <w:lang w:val="en-US" w:eastAsia="zh-CN"/>
        </w:rPr>
      </w:pPr>
      <w:bookmarkStart w:id="15" w:name="_Toc28464"/>
      <w:bookmarkStart w:id="16" w:name="_Toc18944"/>
      <w:bookmarkStart w:id="17" w:name="_Toc14282"/>
      <w:bookmarkStart w:id="18" w:name="_Toc15503"/>
      <w:bookmarkStart w:id="19" w:name="_Toc21233"/>
      <w:bookmarkStart w:id="20" w:name="_Toc15200"/>
      <w:bookmarkStart w:id="21" w:name="_Toc791"/>
      <w:bookmarkStart w:id="22" w:name="_Toc24739"/>
      <w:r>
        <w:rPr>
          <w:rFonts w:hint="eastAsia"/>
          <w:lang w:val="en-US" w:eastAsia="zh-CN"/>
        </w:rPr>
        <w:t>1.2.1塔式起重机技术参数</w:t>
      </w:r>
    </w:p>
    <w:p w14:paraId="021D184C">
      <w:pPr>
        <w:bidi w:val="0"/>
        <w:spacing w:line="360" w:lineRule="auto"/>
        <w:ind w:firstLine="480" w:firstLineChars="200"/>
        <w:rPr>
          <w:highlight w:val="none"/>
        </w:rPr>
      </w:pPr>
      <w:r>
        <w:rPr>
          <w:rFonts w:hint="eastAsia"/>
          <w:highlight w:val="none"/>
          <w:lang w:val="en-US" w:eastAsia="zh-CN"/>
        </w:rPr>
        <w:t>XGT7026-12S1</w:t>
      </w:r>
      <w:r>
        <w:rPr>
          <w:highlight w:val="none"/>
        </w:rPr>
        <w:t>塔式起重</w:t>
      </w:r>
      <w:r>
        <w:rPr>
          <w:rFonts w:hint="eastAsia"/>
          <w:highlight w:val="none"/>
          <w:lang w:val="en-US" w:eastAsia="zh-CN"/>
        </w:rPr>
        <w:t>机</w:t>
      </w:r>
      <w:r>
        <w:rPr>
          <w:highlight w:val="none"/>
        </w:rPr>
        <w:t>为</w:t>
      </w:r>
      <w:r>
        <w:rPr>
          <w:rFonts w:hint="eastAsia"/>
          <w:highlight w:val="none"/>
          <w:lang w:val="en-US" w:eastAsia="zh-CN"/>
        </w:rPr>
        <w:t>徐工</w:t>
      </w:r>
      <w:r>
        <w:rPr>
          <w:highlight w:val="none"/>
        </w:rPr>
        <w:t>生产的平头塔式起重机，产品最大臂长</w:t>
      </w:r>
      <w:r>
        <w:rPr>
          <w:rFonts w:hint="eastAsia"/>
          <w:highlight w:val="none"/>
          <w:lang w:val="en-US" w:eastAsia="zh-CN"/>
        </w:rPr>
        <w:t>70</w:t>
      </w:r>
      <w:r>
        <w:rPr>
          <w:highlight w:val="none"/>
        </w:rPr>
        <w:t>m,在臂端</w:t>
      </w:r>
      <w:r>
        <w:rPr>
          <w:rFonts w:hint="eastAsia"/>
          <w:highlight w:val="none"/>
          <w:lang w:val="en-US" w:eastAsia="zh-CN"/>
        </w:rPr>
        <w:t>70</w:t>
      </w:r>
      <w:r>
        <w:rPr>
          <w:highlight w:val="none"/>
        </w:rPr>
        <w:t>m幅度处最大起重量为</w:t>
      </w:r>
      <w:r>
        <w:rPr>
          <w:rFonts w:hint="eastAsia"/>
          <w:highlight w:val="none"/>
          <w:lang w:val="en-US" w:eastAsia="zh-CN"/>
        </w:rPr>
        <w:t>2.6</w:t>
      </w:r>
      <w:r>
        <w:rPr>
          <w:highlight w:val="none"/>
        </w:rPr>
        <w:t>t,整机最大起重量为</w:t>
      </w:r>
      <w:r>
        <w:rPr>
          <w:rFonts w:hint="eastAsia"/>
          <w:highlight w:val="none"/>
          <w:lang w:val="en-US" w:eastAsia="zh-CN"/>
        </w:rPr>
        <w:t>12</w:t>
      </w:r>
      <w:r>
        <w:rPr>
          <w:highlight w:val="none"/>
        </w:rPr>
        <w:t>t。</w:t>
      </w:r>
    </w:p>
    <w:p w14:paraId="0911CB70">
      <w:pPr>
        <w:bidi w:val="0"/>
        <w:jc w:val="center"/>
      </w:pPr>
      <w:r>
        <w:drawing>
          <wp:inline distT="0" distB="0" distL="114300" distR="114300">
            <wp:extent cx="5274310" cy="4450080"/>
            <wp:effectExtent l="0" t="0" r="2540" b="762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5274310" cy="4450080"/>
                    </a:xfrm>
                    <a:prstGeom prst="rect">
                      <a:avLst/>
                    </a:prstGeom>
                    <a:noFill/>
                    <a:ln>
                      <a:noFill/>
                    </a:ln>
                  </pic:spPr>
                </pic:pic>
              </a:graphicData>
            </a:graphic>
          </wp:inline>
        </w:drawing>
      </w:r>
      <w:r>
        <w:drawing>
          <wp:inline distT="0" distB="0" distL="114300" distR="114300">
            <wp:extent cx="5272405" cy="2079625"/>
            <wp:effectExtent l="0" t="0" r="4445" b="1587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3"/>
                    <a:stretch>
                      <a:fillRect/>
                    </a:stretch>
                  </pic:blipFill>
                  <pic:spPr>
                    <a:xfrm>
                      <a:off x="0" y="0"/>
                      <a:ext cx="5272405" cy="2079625"/>
                    </a:xfrm>
                    <a:prstGeom prst="rect">
                      <a:avLst/>
                    </a:prstGeom>
                    <a:noFill/>
                    <a:ln>
                      <a:noFill/>
                    </a:ln>
                  </pic:spPr>
                </pic:pic>
              </a:graphicData>
            </a:graphic>
          </wp:inline>
        </w:drawing>
      </w:r>
    </w:p>
    <w:p w14:paraId="476BB767">
      <w:pPr>
        <w:bidi w:val="0"/>
        <w:jc w:val="center"/>
        <w:rPr>
          <w:rFonts w:hint="default"/>
          <w:lang w:val="en-US" w:eastAsia="zh-CN"/>
        </w:rPr>
      </w:pPr>
      <w:r>
        <w:rPr>
          <w:rFonts w:hint="eastAsia"/>
          <w:lang w:val="en-US" w:eastAsia="zh-CN"/>
        </w:rPr>
        <w:t>图1-1 塔机组成示意图</w:t>
      </w:r>
    </w:p>
    <w:p w14:paraId="67B05448">
      <w:pPr>
        <w:pStyle w:val="4"/>
        <w:rPr>
          <w:rFonts w:hint="eastAsia"/>
          <w:lang w:val="en-US" w:eastAsia="zh-CN"/>
        </w:rPr>
      </w:pPr>
      <w:r>
        <w:rPr>
          <w:rFonts w:hint="eastAsia"/>
          <w:lang w:val="en-US" w:eastAsia="zh-CN"/>
        </w:rPr>
        <w:t>1.2.2整机外形尺寸</w:t>
      </w:r>
    </w:p>
    <w:p w14:paraId="108FD2F8">
      <w:pPr>
        <w:bidi w:val="0"/>
        <w:jc w:val="center"/>
        <w:rPr>
          <w:rFonts w:hint="default"/>
          <w:lang w:val="en-US" w:eastAsia="zh-CN"/>
        </w:rPr>
      </w:pPr>
      <w:r>
        <w:drawing>
          <wp:inline distT="0" distB="0" distL="114300" distR="114300">
            <wp:extent cx="5271135" cy="4801235"/>
            <wp:effectExtent l="0" t="0" r="5715" b="1841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4"/>
                    <a:stretch>
                      <a:fillRect/>
                    </a:stretch>
                  </pic:blipFill>
                  <pic:spPr>
                    <a:xfrm>
                      <a:off x="0" y="0"/>
                      <a:ext cx="5271135" cy="4801235"/>
                    </a:xfrm>
                    <a:prstGeom prst="rect">
                      <a:avLst/>
                    </a:prstGeom>
                    <a:noFill/>
                    <a:ln>
                      <a:noFill/>
                    </a:ln>
                  </pic:spPr>
                </pic:pic>
              </a:graphicData>
            </a:graphic>
          </wp:inline>
        </w:drawing>
      </w:r>
      <w:r>
        <w:rPr>
          <w:rFonts w:hint="eastAsia"/>
          <w:lang w:val="en-US" w:eastAsia="zh-CN"/>
        </w:rPr>
        <w:t>图1-2 整机外形示意图</w:t>
      </w:r>
    </w:p>
    <w:p w14:paraId="210278D7">
      <w:pPr>
        <w:pStyle w:val="4"/>
        <w:rPr>
          <w:rFonts w:hint="default"/>
          <w:lang w:val="en-US" w:eastAsia="zh-CN"/>
        </w:rPr>
      </w:pPr>
      <w:r>
        <w:rPr>
          <w:rFonts w:hint="eastAsia"/>
          <w:lang w:val="en-US" w:eastAsia="zh-CN"/>
        </w:rPr>
        <w:t>1.2.3整机主要技术参数</w:t>
      </w:r>
    </w:p>
    <w:p w14:paraId="115C947F">
      <w:pPr>
        <w:pStyle w:val="15"/>
        <w:rPr>
          <w:rFonts w:hint="default"/>
          <w:highlight w:val="none"/>
          <w:lang w:val="en-US" w:eastAsia="zh-CN"/>
        </w:rPr>
      </w:pPr>
      <w:r>
        <w:rPr>
          <w:highlight w:val="none"/>
        </w:rPr>
        <w:t>表</w:t>
      </w:r>
      <w:r>
        <w:rPr>
          <w:rFonts w:hint="eastAsia"/>
          <w:highlight w:val="none"/>
          <w:lang w:val="en-US" w:eastAsia="zh-CN"/>
        </w:rPr>
        <w:t>1</w:t>
      </w:r>
      <w:r>
        <w:rPr>
          <w:highlight w:val="none"/>
        </w:rPr>
        <w:t>-</w:t>
      </w:r>
      <w:r>
        <w:rPr>
          <w:rFonts w:hint="eastAsia"/>
          <w:highlight w:val="none"/>
          <w:lang w:val="en-US" w:eastAsia="zh-CN"/>
        </w:rPr>
        <w:t>1</w:t>
      </w:r>
      <w:r>
        <w:rPr>
          <w:rFonts w:hint="eastAsia"/>
          <w:highlight w:val="none"/>
        </w:rPr>
        <w:t>主机性能参数表</w:t>
      </w:r>
    </w:p>
    <w:p w14:paraId="444B61CB">
      <w:pPr>
        <w:ind w:left="0" w:leftChars="0" w:firstLine="0" w:firstLineChars="0"/>
        <w:jc w:val="center"/>
        <w:rPr>
          <w:highlight w:val="none"/>
        </w:rPr>
      </w:pPr>
      <w:r>
        <w:drawing>
          <wp:inline distT="0" distB="0" distL="114300" distR="114300">
            <wp:extent cx="5273675" cy="6873240"/>
            <wp:effectExtent l="0" t="0" r="3175" b="381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15"/>
                    <a:stretch>
                      <a:fillRect/>
                    </a:stretch>
                  </pic:blipFill>
                  <pic:spPr>
                    <a:xfrm>
                      <a:off x="0" y="0"/>
                      <a:ext cx="5273675" cy="6873240"/>
                    </a:xfrm>
                    <a:prstGeom prst="rect">
                      <a:avLst/>
                    </a:prstGeom>
                    <a:noFill/>
                    <a:ln>
                      <a:noFill/>
                    </a:ln>
                  </pic:spPr>
                </pic:pic>
              </a:graphicData>
            </a:graphic>
          </wp:inline>
        </w:drawing>
      </w:r>
      <w:r>
        <w:drawing>
          <wp:inline distT="0" distB="0" distL="114300" distR="114300">
            <wp:extent cx="4786630" cy="3675380"/>
            <wp:effectExtent l="0" t="0" r="13970" b="127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16"/>
                    <a:stretch>
                      <a:fillRect/>
                    </a:stretch>
                  </pic:blipFill>
                  <pic:spPr>
                    <a:xfrm>
                      <a:off x="0" y="0"/>
                      <a:ext cx="4786630" cy="3675380"/>
                    </a:xfrm>
                    <a:prstGeom prst="rect">
                      <a:avLst/>
                    </a:prstGeom>
                    <a:noFill/>
                    <a:ln>
                      <a:noFill/>
                    </a:ln>
                  </pic:spPr>
                </pic:pic>
              </a:graphicData>
            </a:graphic>
          </wp:inline>
        </w:drawing>
      </w:r>
    </w:p>
    <w:p w14:paraId="67A5DA7B">
      <w:pPr>
        <w:pStyle w:val="15"/>
      </w:pPr>
      <w:r>
        <w:rPr>
          <w:rFonts w:hint="eastAsia"/>
          <w:highlight w:val="none"/>
          <w:lang w:val="en-US" w:eastAsia="zh-CN"/>
        </w:rPr>
        <w:t>表1</w:t>
      </w:r>
      <w:r>
        <w:rPr>
          <w:highlight w:val="none"/>
        </w:rPr>
        <w:t>-</w:t>
      </w:r>
      <w:r>
        <w:rPr>
          <w:rFonts w:hint="eastAsia"/>
          <w:highlight w:val="none"/>
          <w:lang w:val="en-US" w:eastAsia="zh-CN"/>
        </w:rPr>
        <w:t>2起重性能表</w:t>
      </w:r>
    </w:p>
    <w:p w14:paraId="746028F0">
      <w:pPr>
        <w:ind w:left="0" w:leftChars="0" w:firstLine="0" w:firstLineChars="0"/>
        <w:jc w:val="center"/>
        <w:rPr>
          <w:rFonts w:hint="default"/>
          <w:lang w:val="en-US" w:eastAsia="zh-CN"/>
        </w:rPr>
      </w:pPr>
      <w:r>
        <w:drawing>
          <wp:inline distT="0" distB="0" distL="114300" distR="114300">
            <wp:extent cx="4558030" cy="2907665"/>
            <wp:effectExtent l="0" t="0" r="13970" b="698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7"/>
                    <a:srcRect r="11699"/>
                    <a:stretch>
                      <a:fillRect/>
                    </a:stretch>
                  </pic:blipFill>
                  <pic:spPr>
                    <a:xfrm>
                      <a:off x="0" y="0"/>
                      <a:ext cx="4558030" cy="2907665"/>
                    </a:xfrm>
                    <a:prstGeom prst="rect">
                      <a:avLst/>
                    </a:prstGeom>
                    <a:noFill/>
                    <a:ln>
                      <a:noFill/>
                    </a:ln>
                  </pic:spPr>
                </pic:pic>
              </a:graphicData>
            </a:graphic>
          </wp:inline>
        </w:drawing>
      </w:r>
    </w:p>
    <w:p w14:paraId="793EB1B8">
      <w:pPr>
        <w:pStyle w:val="2"/>
        <w:numPr>
          <w:ilvl w:val="0"/>
          <w:numId w:val="3"/>
        </w:numPr>
        <w:bidi w:val="0"/>
        <w:ind w:left="0" w:leftChars="0" w:firstLine="0" w:firstLineChars="0"/>
        <w:rPr>
          <w:rFonts w:hint="eastAsia"/>
          <w:lang w:val="en-US" w:eastAsia="zh-CN"/>
        </w:rPr>
      </w:pPr>
      <w:bookmarkStart w:id="23" w:name="_Toc14709"/>
      <w:r>
        <w:rPr>
          <w:rFonts w:hint="eastAsia"/>
          <w:lang w:val="en-US" w:eastAsia="zh-CN"/>
        </w:rPr>
        <w:t>施工步骤及要点</w:t>
      </w:r>
      <w:bookmarkEnd w:id="23"/>
    </w:p>
    <w:p w14:paraId="23C8ADF6">
      <w:pPr>
        <w:bidi w:val="0"/>
        <w:ind w:firstLine="480" w:firstLineChars="200"/>
        <w:rPr>
          <w:rFonts w:hint="default"/>
          <w:highlight w:val="none"/>
          <w:lang w:val="en-US" w:eastAsia="zh-CN"/>
        </w:rPr>
      </w:pPr>
      <w:r>
        <w:rPr>
          <w:rFonts w:hint="default"/>
          <w:highlight w:val="none"/>
          <w:lang w:val="en-US" w:eastAsia="zh-CN"/>
        </w:rPr>
        <w:t>塔吊安装主要包括基础施工、部件组装、部件吊装、附着安装、顶升、调试等。</w:t>
      </w:r>
      <w:r>
        <w:rPr>
          <w:rFonts w:hint="eastAsia"/>
          <w:highlight w:val="none"/>
          <w:lang w:val="en-US" w:eastAsia="zh-CN"/>
        </w:rPr>
        <w:t>XGT7026-12S1</w:t>
      </w:r>
      <w:r>
        <w:rPr>
          <w:rFonts w:hint="default"/>
          <w:highlight w:val="none"/>
          <w:lang w:val="en-US" w:eastAsia="zh-CN"/>
        </w:rPr>
        <w:t>塔吊安装工艺流程如下：</w:t>
      </w:r>
    </w:p>
    <w:p w14:paraId="56C64246">
      <w:pPr>
        <w:spacing w:line="360" w:lineRule="auto"/>
        <w:ind w:firstLine="480" w:firstLineChars="200"/>
        <w:rPr>
          <w:rFonts w:hint="eastAsia"/>
          <w:lang w:val="en-US" w:eastAsia="zh-CN"/>
        </w:rPr>
      </w:pPr>
      <w:r>
        <w:rPr>
          <w:rFonts w:hint="eastAsia"/>
          <w:highlight w:val="none"/>
          <w:lang w:val="en-US" w:eastAsia="zh-CN"/>
        </w:rPr>
        <w:t>安装基础节→安装一节标准节→安装爬升架→安装特殊节、回转总成→安装起重臂臂节一→安装平衡臂、平衡臂拉杆→安装2块2.85t平衡重→安装剩余起重臂→安装剩余平衡重→穿绕牵引、起升钢丝绳→塔机试运行</w:t>
      </w:r>
    </w:p>
    <w:p w14:paraId="49CFA25E">
      <w:pPr>
        <w:pStyle w:val="3"/>
        <w:numPr>
          <w:ilvl w:val="1"/>
          <w:numId w:val="4"/>
        </w:numPr>
        <w:bidi w:val="0"/>
        <w:ind w:left="567" w:leftChars="0" w:hanging="567" w:firstLineChars="0"/>
        <w:rPr>
          <w:rFonts w:hint="default" w:ascii="宋体" w:hAnsi="宋体" w:eastAsia="宋体" w:cs="宋体"/>
          <w:lang w:val="en-US" w:eastAsia="zh-CN"/>
        </w:rPr>
      </w:pPr>
      <w:bookmarkStart w:id="24" w:name="_Toc29555"/>
      <w:r>
        <w:rPr>
          <w:rFonts w:hint="eastAsia" w:ascii="宋体" w:hAnsi="宋体" w:eastAsia="宋体" w:cs="宋体"/>
          <w:lang w:val="en-US" w:eastAsia="zh-CN"/>
        </w:rPr>
        <w:t>安装</w:t>
      </w:r>
      <w:r>
        <w:rPr>
          <w:rFonts w:hint="eastAsia" w:cs="宋体"/>
          <w:lang w:val="en-US" w:eastAsia="zh-CN"/>
        </w:rPr>
        <w:t>基础节和一节标准节</w:t>
      </w:r>
      <w:bookmarkEnd w:id="24"/>
    </w:p>
    <w:p w14:paraId="1847D641">
      <w:pPr>
        <w:widowControl w:val="0"/>
        <w:adjustRightInd/>
        <w:snapToGrid/>
        <w:ind w:firstLine="480"/>
        <w:rPr>
          <w:rFonts w:ascii="Times New Roman" w:hAnsi="Times New Roman" w:eastAsia="宋体" w:cs="Times New Roman"/>
          <w:szCs w:val="21"/>
          <w:highlight w:val="none"/>
        </w:rPr>
      </w:pP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吊装采用四点吊，</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以顶部四个销轴孔作为吊装孔，采用4根</w:t>
      </w:r>
      <w:r>
        <w:rPr>
          <w:rFonts w:hint="eastAsia" w:ascii="Times New Roman" w:hAnsi="Times New Roman" w:cs="Times New Roman"/>
          <w:szCs w:val="21"/>
          <w:highlight w:val="none"/>
          <w:lang w:eastAsia="zh-CN"/>
        </w:rPr>
        <w:t>24mm6×19W+IWR1870Mpa</w:t>
      </w:r>
      <w:r>
        <w:rPr>
          <w:rFonts w:hint="eastAsia" w:ascii="Times New Roman" w:hAnsi="Times New Roman" w:eastAsia="宋体" w:cs="Times New Roman"/>
          <w:szCs w:val="21"/>
          <w:highlight w:val="none"/>
        </w:rPr>
        <w:t>的钢丝绳配套</w:t>
      </w:r>
      <w:r>
        <w:rPr>
          <w:rFonts w:hint="eastAsia" w:ascii="Times New Roman" w:hAnsi="Times New Roman" w:cs="Times New Roman"/>
          <w:szCs w:val="21"/>
          <w:highlight w:val="none"/>
          <w:lang w:eastAsia="zh-CN"/>
        </w:rPr>
        <w:t>GB/T 25854-6-DW10</w:t>
      </w:r>
      <w:r>
        <w:rPr>
          <w:rFonts w:hint="eastAsia" w:ascii="Times New Roman" w:hAnsi="Times New Roman" w:eastAsia="宋体" w:cs="Times New Roman"/>
          <w:szCs w:val="21"/>
          <w:highlight w:val="none"/>
        </w:rPr>
        <w:t>卸扣进行吊装。</w:t>
      </w:r>
    </w:p>
    <w:p w14:paraId="1DBF3B86">
      <w:pPr>
        <w:ind w:left="0" w:leftChars="0" w:firstLine="420" w:firstLineChars="0"/>
        <w:jc w:val="left"/>
        <w:rPr>
          <w:rFonts w:hint="eastAsia" w:ascii="Times New Roman" w:hAnsi="Times New Roman" w:eastAsia="宋体" w:cs="Times New Roman"/>
          <w:szCs w:val="21"/>
          <w:highlight w:val="none"/>
        </w:rPr>
      </w:pPr>
      <w:r>
        <w:rPr>
          <w:rFonts w:hint="eastAsia" w:ascii="Times New Roman" w:hAnsi="Times New Roman" w:eastAsia="宋体" w:cs="Times New Roman"/>
          <w:szCs w:val="21"/>
          <w:highlight w:val="none"/>
        </w:rPr>
        <w:t>作业人员在地面上先将钢丝绳一端挂在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吊钩，另一端与卸扣连接，卸扣与吊装孔连接，并在</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立杆上栓好2根溜绳。启动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，将</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缓慢提升，用溜绳控制其摆动。起吊</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至塔吊固定支腿上方，</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缓慢落钩，直至</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底部销轴孔与预埋固定支腿轴孔对齐，作业人员插入与预埋固定支腿的连接销轴，完成</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与固定支腿的连接，并在销轴端部插入开口销固定。</w:t>
      </w:r>
      <w:r>
        <w:rPr>
          <w:rFonts w:hint="eastAsia" w:ascii="Times New Roman" w:hAnsi="Times New Roman" w:cs="Times New Roman"/>
          <w:szCs w:val="21"/>
          <w:highlight w:val="none"/>
          <w:lang w:val="en-US" w:eastAsia="zh-CN"/>
        </w:rPr>
        <w:t>采用同样的方法吊装一节标准节，</w:t>
      </w:r>
      <w:r>
        <w:rPr>
          <w:rFonts w:hint="eastAsia" w:ascii="Times New Roman" w:hAnsi="Times New Roman" w:eastAsia="宋体" w:cs="Times New Roman"/>
          <w:szCs w:val="21"/>
          <w:highlight w:val="none"/>
        </w:rPr>
        <w:t>吊装示意如下图所示</w:t>
      </w:r>
    </w:p>
    <w:p w14:paraId="45BF70CB">
      <w:pPr>
        <w:ind w:left="0" w:leftChars="0" w:firstLine="420" w:firstLineChars="0"/>
        <w:jc w:val="center"/>
      </w:pPr>
      <w:r>
        <w:drawing>
          <wp:inline distT="0" distB="0" distL="114300" distR="114300">
            <wp:extent cx="4321810" cy="3478530"/>
            <wp:effectExtent l="0" t="0" r="2540" b="7620"/>
            <wp:docPr id="1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4"/>
                    <pic:cNvPicPr>
                      <a:picLocks noChangeAspect="1"/>
                    </pic:cNvPicPr>
                  </pic:nvPicPr>
                  <pic:blipFill>
                    <a:blip r:embed="rId18"/>
                    <a:stretch>
                      <a:fillRect/>
                    </a:stretch>
                  </pic:blipFill>
                  <pic:spPr>
                    <a:xfrm>
                      <a:off x="0" y="0"/>
                      <a:ext cx="4321810" cy="3478530"/>
                    </a:xfrm>
                    <a:prstGeom prst="rect">
                      <a:avLst/>
                    </a:prstGeom>
                    <a:noFill/>
                    <a:ln>
                      <a:noFill/>
                    </a:ln>
                  </pic:spPr>
                </pic:pic>
              </a:graphicData>
            </a:graphic>
          </wp:inline>
        </w:drawing>
      </w:r>
      <w:r>
        <w:drawing>
          <wp:inline distT="0" distB="0" distL="114300" distR="114300">
            <wp:extent cx="5269230" cy="3507105"/>
            <wp:effectExtent l="0" t="0" r="7620" b="17145"/>
            <wp:docPr id="19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39"/>
                    <pic:cNvPicPr>
                      <a:picLocks noChangeAspect="1"/>
                    </pic:cNvPicPr>
                  </pic:nvPicPr>
                  <pic:blipFill>
                    <a:blip r:embed="rId19"/>
                    <a:stretch>
                      <a:fillRect/>
                    </a:stretch>
                  </pic:blipFill>
                  <pic:spPr>
                    <a:xfrm>
                      <a:off x="0" y="0"/>
                      <a:ext cx="5269230" cy="3507105"/>
                    </a:xfrm>
                    <a:prstGeom prst="rect">
                      <a:avLst/>
                    </a:prstGeom>
                    <a:noFill/>
                    <a:ln>
                      <a:noFill/>
                    </a:ln>
                  </pic:spPr>
                </pic:pic>
              </a:graphicData>
            </a:graphic>
          </wp:inline>
        </w:drawing>
      </w:r>
    </w:p>
    <w:p w14:paraId="743ADBD5">
      <w:pPr>
        <w:pStyle w:val="15"/>
        <w:ind w:left="0" w:leftChars="0" w:firstLine="420" w:firstLineChars="0"/>
        <w:jc w:val="center"/>
      </w:pPr>
      <w:r>
        <w:t xml:space="preserve">图 </w:t>
      </w:r>
      <w:r>
        <w:fldChar w:fldCharType="begin"/>
      </w:r>
      <w:r>
        <w:instrText xml:space="preserve"> STYLEREF 2 \s </w:instrText>
      </w:r>
      <w:r>
        <w:fldChar w:fldCharType="separate"/>
      </w:r>
      <w:r>
        <w:t>2.1</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highlight w:val="none"/>
          <w:lang w:val="en-US" w:eastAsia="zh-CN"/>
        </w:rPr>
        <w:t>基础节吊装示意图</w:t>
      </w:r>
    </w:p>
    <w:p w14:paraId="287F4BEA">
      <w:pPr>
        <w:pStyle w:val="3"/>
        <w:numPr>
          <w:ilvl w:val="1"/>
          <w:numId w:val="4"/>
        </w:numPr>
        <w:bidi w:val="0"/>
        <w:ind w:left="567" w:leftChars="0" w:hanging="567" w:firstLineChars="0"/>
        <w:rPr>
          <w:rFonts w:hint="eastAsia" w:ascii="宋体" w:hAnsi="宋体" w:eastAsia="宋体" w:cs="宋体"/>
          <w:lang w:val="en-US" w:eastAsia="zh-CN"/>
        </w:rPr>
      </w:pPr>
      <w:bookmarkStart w:id="25" w:name="_Toc23513"/>
      <w:r>
        <w:rPr>
          <w:rFonts w:hint="eastAsia" w:ascii="宋体" w:hAnsi="宋体" w:eastAsia="宋体" w:cs="宋体"/>
          <w:lang w:val="en-US" w:eastAsia="zh-CN"/>
        </w:rPr>
        <w:t>安装装爬升架</w:t>
      </w:r>
      <w:bookmarkEnd w:id="25"/>
    </w:p>
    <w:p w14:paraId="4AE0A105">
      <w:pPr>
        <w:widowControl w:val="0"/>
        <w:adjustRightInd/>
        <w:snapToGrid/>
        <w:ind w:firstLine="480"/>
        <w:rPr>
          <w:rFonts w:hint="eastAsia" w:ascii="Times New Roman" w:hAnsi="Times New Roman" w:eastAsia="宋体" w:cs="Times New Roman"/>
          <w:szCs w:val="21"/>
          <w:highlight w:val="none"/>
        </w:rPr>
      </w:pPr>
      <w:r>
        <w:rPr>
          <w:rFonts w:hint="eastAsia" w:ascii="宋体" w:hAnsi="宋体" w:eastAsia="宋体" w:cs="宋体"/>
          <w:szCs w:val="21"/>
          <w:highlight w:val="none"/>
        </w:rPr>
        <w:t>用</w:t>
      </w:r>
      <w:r>
        <w:rPr>
          <w:rFonts w:hint="eastAsia" w:ascii="宋体" w:hAnsi="宋体" w:eastAsia="宋体" w:cs="宋体"/>
          <w:szCs w:val="21"/>
          <w:highlight w:val="none"/>
          <w:lang w:eastAsia="zh-CN"/>
        </w:rPr>
        <w:t>吊机</w:t>
      </w:r>
      <w:r>
        <w:rPr>
          <w:rFonts w:hint="eastAsia" w:ascii="宋体" w:hAnsi="宋体" w:eastAsia="宋体" w:cs="宋体"/>
          <w:szCs w:val="21"/>
          <w:highlight w:val="none"/>
        </w:rPr>
        <w:t>配合人工在地面上将</w:t>
      </w:r>
      <w:r>
        <w:rPr>
          <w:rFonts w:hint="eastAsia" w:ascii="宋体" w:hAnsi="宋体" w:cs="宋体"/>
          <w:szCs w:val="21"/>
          <w:highlight w:val="none"/>
          <w:lang w:eastAsia="zh-CN"/>
        </w:rPr>
        <w:t>套架</w:t>
      </w:r>
      <w:r>
        <w:rPr>
          <w:rFonts w:hint="eastAsia" w:ascii="宋体" w:hAnsi="宋体" w:eastAsia="宋体" w:cs="宋体"/>
          <w:szCs w:val="21"/>
          <w:highlight w:val="none"/>
        </w:rPr>
        <w:t>架体、平台、顶升横梁、油缸及液压站等拼装成整体，</w:t>
      </w:r>
      <w:r>
        <w:rPr>
          <w:rFonts w:hint="eastAsia" w:cs="Times New Roman"/>
          <w:szCs w:val="21"/>
          <w:highlight w:val="none"/>
          <w:lang w:eastAsia="zh-CN"/>
        </w:rPr>
        <w:t>套架</w:t>
      </w:r>
      <w:r>
        <w:rPr>
          <w:rFonts w:hint="eastAsia" w:ascii="Times New Roman" w:hAnsi="Times New Roman" w:eastAsia="宋体" w:cs="Times New Roman"/>
          <w:szCs w:val="21"/>
          <w:highlight w:val="none"/>
        </w:rPr>
        <w:t>吊装采用四点吊，以</w:t>
      </w:r>
      <w:r>
        <w:rPr>
          <w:rFonts w:hint="eastAsia" w:cs="Times New Roman"/>
          <w:szCs w:val="21"/>
          <w:highlight w:val="none"/>
          <w:lang w:eastAsia="zh-CN"/>
        </w:rPr>
        <w:t>套架</w:t>
      </w:r>
      <w:r>
        <w:rPr>
          <w:rFonts w:hint="eastAsia" w:ascii="Times New Roman" w:hAnsi="Times New Roman" w:eastAsia="宋体" w:cs="Times New Roman"/>
          <w:szCs w:val="21"/>
          <w:highlight w:val="none"/>
        </w:rPr>
        <w:t>顶部四个销轴孔作为吊装孔，采用4根</w:t>
      </w:r>
      <w:r>
        <w:rPr>
          <w:rFonts w:hint="eastAsia" w:cs="Times New Roman"/>
          <w:szCs w:val="21"/>
          <w:highlight w:val="none"/>
          <w:lang w:val="en-US" w:eastAsia="zh-CN"/>
        </w:rPr>
        <w:t>24mm6×19W+IWR1870Mpa</w:t>
      </w:r>
      <w:r>
        <w:rPr>
          <w:rFonts w:hint="eastAsia" w:ascii="Times New Roman" w:hAnsi="Times New Roman" w:eastAsia="宋体" w:cs="Times New Roman"/>
          <w:szCs w:val="21"/>
          <w:highlight w:val="none"/>
        </w:rPr>
        <w:t>的钢丝绳配套</w:t>
      </w:r>
      <w:r>
        <w:rPr>
          <w:rFonts w:hint="eastAsia" w:ascii="Times New Roman" w:hAnsi="Times New Roman" w:cs="Times New Roman"/>
          <w:szCs w:val="21"/>
          <w:highlight w:val="none"/>
          <w:lang w:eastAsia="zh-CN"/>
        </w:rPr>
        <w:t>GB/T 25854-6-DW10</w:t>
      </w:r>
      <w:r>
        <w:rPr>
          <w:rFonts w:hint="eastAsia" w:ascii="Times New Roman" w:hAnsi="Times New Roman" w:eastAsia="宋体" w:cs="Times New Roman"/>
          <w:szCs w:val="21"/>
          <w:highlight w:val="none"/>
        </w:rPr>
        <w:t>卸扣进行吊装。</w:t>
      </w:r>
    </w:p>
    <w:p w14:paraId="7F7B4A30">
      <w:pPr>
        <w:widowControl w:val="0"/>
        <w:adjustRightInd/>
        <w:snapToGrid/>
        <w:ind w:firstLine="480"/>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作业人员在地面上先将钢丝绳一端挂在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吊钩，另一端与卸扣连接，卸扣与吊装孔连接，并在</w:t>
      </w:r>
      <w:r>
        <w:rPr>
          <w:rFonts w:hint="eastAsia" w:cs="Times New Roman"/>
          <w:szCs w:val="21"/>
          <w:highlight w:val="none"/>
          <w:lang w:eastAsia="zh-CN"/>
        </w:rPr>
        <w:t>套架</w:t>
      </w:r>
      <w:r>
        <w:rPr>
          <w:rFonts w:hint="eastAsia" w:ascii="Times New Roman" w:hAnsi="Times New Roman" w:eastAsia="宋体" w:cs="Times New Roman"/>
          <w:szCs w:val="21"/>
          <w:highlight w:val="none"/>
        </w:rPr>
        <w:t>立杆上栓好2根溜绳。启动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，将</w:t>
      </w:r>
      <w:r>
        <w:rPr>
          <w:rFonts w:hint="eastAsia" w:cs="Times New Roman"/>
          <w:szCs w:val="21"/>
          <w:highlight w:val="none"/>
          <w:lang w:eastAsia="zh-CN"/>
        </w:rPr>
        <w:t>套架</w:t>
      </w:r>
      <w:r>
        <w:rPr>
          <w:rFonts w:hint="eastAsia" w:ascii="Times New Roman" w:hAnsi="Times New Roman" w:eastAsia="宋体" w:cs="Times New Roman"/>
          <w:szCs w:val="21"/>
          <w:highlight w:val="none"/>
        </w:rPr>
        <w:t>缓慢提升，用溜绳控制其摆动。起吊</w:t>
      </w:r>
      <w:r>
        <w:rPr>
          <w:rFonts w:hint="eastAsia" w:cs="Times New Roman"/>
          <w:szCs w:val="21"/>
          <w:highlight w:val="none"/>
          <w:lang w:eastAsia="zh-CN"/>
        </w:rPr>
        <w:t>套架</w:t>
      </w:r>
      <w:r>
        <w:rPr>
          <w:rFonts w:hint="eastAsia" w:ascii="Times New Roman" w:hAnsi="Times New Roman" w:eastAsia="宋体" w:cs="Times New Roman"/>
          <w:szCs w:val="21"/>
          <w:highlight w:val="none"/>
        </w:rPr>
        <w:t>至</w:t>
      </w:r>
      <w:r>
        <w:rPr>
          <w:rFonts w:hint="eastAsia" w:cs="Times New Roman"/>
          <w:szCs w:val="21"/>
          <w:highlight w:val="none"/>
          <w:lang w:eastAsia="zh-CN"/>
        </w:rPr>
        <w:t>基础节</w:t>
      </w:r>
      <w:r>
        <w:rPr>
          <w:rFonts w:hint="eastAsia" w:ascii="Times New Roman" w:hAnsi="Times New Roman" w:eastAsia="宋体" w:cs="Times New Roman"/>
          <w:szCs w:val="21"/>
          <w:highlight w:val="none"/>
        </w:rPr>
        <w:t>上方，</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缓慢落钩，将</w:t>
      </w:r>
      <w:r>
        <w:rPr>
          <w:rFonts w:hint="eastAsia" w:cs="Times New Roman"/>
          <w:szCs w:val="21"/>
          <w:highlight w:val="none"/>
          <w:lang w:eastAsia="zh-CN"/>
        </w:rPr>
        <w:t>套架</w:t>
      </w:r>
      <w:r>
        <w:rPr>
          <w:rFonts w:hint="eastAsia" w:ascii="Times New Roman" w:hAnsi="Times New Roman" w:eastAsia="宋体" w:cs="Times New Roman"/>
          <w:szCs w:val="21"/>
          <w:highlight w:val="none"/>
        </w:rPr>
        <w:t>套入</w:t>
      </w:r>
      <w:r>
        <w:rPr>
          <w:rFonts w:hint="eastAsia" w:cs="Times New Roman"/>
          <w:szCs w:val="21"/>
          <w:highlight w:val="none"/>
          <w:lang w:eastAsia="zh-CN"/>
        </w:rPr>
        <w:t>基础节</w:t>
      </w:r>
      <w:r>
        <w:rPr>
          <w:rFonts w:hint="eastAsia" w:ascii="Times New Roman" w:hAnsi="Times New Roman" w:eastAsia="宋体" w:cs="Times New Roman"/>
          <w:szCs w:val="21"/>
          <w:highlight w:val="none"/>
        </w:rPr>
        <w:t>，作业人员通过爬梯爬至</w:t>
      </w:r>
      <w:r>
        <w:rPr>
          <w:rFonts w:hint="eastAsia" w:cs="Times New Roman"/>
          <w:szCs w:val="21"/>
          <w:highlight w:val="none"/>
          <w:lang w:eastAsia="zh-CN"/>
        </w:rPr>
        <w:t>基础节</w:t>
      </w:r>
      <w:r>
        <w:rPr>
          <w:rFonts w:hint="eastAsia" w:ascii="Times New Roman" w:hAnsi="Times New Roman" w:eastAsia="宋体" w:cs="Times New Roman"/>
          <w:szCs w:val="21"/>
          <w:highlight w:val="none"/>
        </w:rPr>
        <w:t>对应的</w:t>
      </w:r>
      <w:r>
        <w:rPr>
          <w:rFonts w:hint="eastAsia" w:cs="Times New Roman"/>
          <w:szCs w:val="21"/>
          <w:highlight w:val="none"/>
          <w:lang w:eastAsia="zh-CN"/>
        </w:rPr>
        <w:t>套架</w:t>
      </w:r>
      <w:r>
        <w:rPr>
          <w:rFonts w:hint="eastAsia" w:ascii="Times New Roman" w:hAnsi="Times New Roman" w:eastAsia="宋体" w:cs="Times New Roman"/>
          <w:szCs w:val="21"/>
          <w:highlight w:val="none"/>
        </w:rPr>
        <w:t>爬爪处，将安全带系挂在</w:t>
      </w:r>
      <w:r>
        <w:rPr>
          <w:rFonts w:hint="eastAsia" w:cs="Times New Roman"/>
          <w:szCs w:val="21"/>
          <w:highlight w:val="none"/>
          <w:lang w:eastAsia="zh-CN"/>
        </w:rPr>
        <w:t>基础节</w:t>
      </w:r>
      <w:r>
        <w:rPr>
          <w:rFonts w:hint="eastAsia" w:ascii="Times New Roman" w:hAnsi="Times New Roman" w:eastAsia="宋体" w:cs="Times New Roman"/>
          <w:szCs w:val="21"/>
          <w:highlight w:val="none"/>
        </w:rPr>
        <w:t>横杆上，将爬爪放在</w:t>
      </w:r>
      <w:r>
        <w:rPr>
          <w:rFonts w:hint="eastAsia" w:cs="Times New Roman"/>
          <w:szCs w:val="21"/>
          <w:highlight w:val="none"/>
          <w:lang w:eastAsia="zh-CN"/>
        </w:rPr>
        <w:t>基础节</w:t>
      </w:r>
      <w:r>
        <w:rPr>
          <w:rFonts w:hint="eastAsia" w:ascii="Times New Roman" w:hAnsi="Times New Roman" w:eastAsia="宋体" w:cs="Times New Roman"/>
          <w:szCs w:val="21"/>
          <w:highlight w:val="none"/>
        </w:rPr>
        <w:t>踏步上，并通过安全销固定。</w:t>
      </w:r>
      <w:r>
        <w:rPr>
          <w:rFonts w:hint="eastAsia" w:cs="Times New Roman"/>
          <w:szCs w:val="21"/>
          <w:highlight w:val="none"/>
          <w:lang w:eastAsia="zh-CN"/>
        </w:rPr>
        <w:t>套架</w:t>
      </w:r>
      <w:r>
        <w:rPr>
          <w:rFonts w:hint="eastAsia" w:ascii="Times New Roman" w:hAnsi="Times New Roman" w:eastAsia="宋体" w:cs="Times New Roman"/>
          <w:szCs w:val="21"/>
          <w:highlight w:val="none"/>
        </w:rPr>
        <w:t>吊装示意如下图所示。</w:t>
      </w:r>
    </w:p>
    <w:p w14:paraId="0E5DED57">
      <w:pPr>
        <w:pStyle w:val="15"/>
        <w:bidi w:val="0"/>
        <w:ind w:left="0" w:leftChars="0" w:firstLine="0" w:firstLineChars="0"/>
        <w:jc w:val="center"/>
        <w:rPr>
          <w:rFonts w:hint="eastAsia"/>
          <w:lang w:val="en-US" w:eastAsia="zh-CN"/>
        </w:rPr>
      </w:pPr>
      <w:r>
        <w:drawing>
          <wp:inline distT="0" distB="0" distL="114300" distR="114300">
            <wp:extent cx="3534410" cy="2845435"/>
            <wp:effectExtent l="0" t="0" r="8890" b="12065"/>
            <wp:docPr id="1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4"/>
                    <pic:cNvPicPr>
                      <a:picLocks noChangeAspect="1"/>
                    </pic:cNvPicPr>
                  </pic:nvPicPr>
                  <pic:blipFill>
                    <a:blip r:embed="rId18"/>
                    <a:stretch>
                      <a:fillRect/>
                    </a:stretch>
                  </pic:blipFill>
                  <pic:spPr>
                    <a:xfrm>
                      <a:off x="0" y="0"/>
                      <a:ext cx="3534410" cy="2845435"/>
                    </a:xfrm>
                    <a:prstGeom prst="rect">
                      <a:avLst/>
                    </a:prstGeom>
                    <a:noFill/>
                    <a:ln>
                      <a:noFill/>
                    </a:ln>
                  </pic:spPr>
                </pic:pic>
              </a:graphicData>
            </a:graphic>
          </wp:inline>
        </w:drawing>
      </w:r>
      <w:r>
        <w:drawing>
          <wp:inline distT="0" distB="0" distL="114300" distR="114300">
            <wp:extent cx="1663700" cy="2800985"/>
            <wp:effectExtent l="0" t="0" r="12700" b="18415"/>
            <wp:docPr id="19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38"/>
                    <pic:cNvPicPr>
                      <a:picLocks noChangeAspect="1"/>
                    </pic:cNvPicPr>
                  </pic:nvPicPr>
                  <pic:blipFill>
                    <a:blip r:embed="rId20"/>
                    <a:stretch>
                      <a:fillRect/>
                    </a:stretch>
                  </pic:blipFill>
                  <pic:spPr>
                    <a:xfrm>
                      <a:off x="0" y="0"/>
                      <a:ext cx="1663700" cy="2800985"/>
                    </a:xfrm>
                    <a:prstGeom prst="rect">
                      <a:avLst/>
                    </a:prstGeom>
                    <a:noFill/>
                    <a:ln>
                      <a:noFill/>
                    </a:ln>
                  </pic:spPr>
                </pic:pic>
              </a:graphicData>
            </a:graphic>
          </wp:inline>
        </w:drawing>
      </w:r>
      <w:r>
        <w:t xml:space="preserve">图 </w:t>
      </w:r>
      <w:r>
        <w:fldChar w:fldCharType="begin"/>
      </w:r>
      <w:r>
        <w:instrText xml:space="preserve"> STYLEREF 2 \s </w:instrText>
      </w:r>
      <w:r>
        <w:fldChar w:fldCharType="separate"/>
      </w:r>
      <w:r>
        <w:t>2.2</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 xml:space="preserve"> </w:t>
      </w:r>
      <w:r>
        <w:rPr>
          <w:rFonts w:hint="eastAsia"/>
          <w:highlight w:val="none"/>
          <w:lang w:val="en-US" w:eastAsia="zh-CN"/>
        </w:rPr>
        <w:t>顶升套架总成整体吊装示意图</w:t>
      </w:r>
    </w:p>
    <w:p w14:paraId="5242DB1E">
      <w:pPr>
        <w:pStyle w:val="3"/>
        <w:numPr>
          <w:ilvl w:val="1"/>
          <w:numId w:val="4"/>
        </w:numPr>
        <w:bidi w:val="0"/>
        <w:ind w:left="567" w:leftChars="0" w:hanging="567" w:firstLineChars="0"/>
        <w:rPr>
          <w:rFonts w:hint="eastAsia" w:ascii="宋体" w:hAnsi="宋体" w:eastAsia="宋体" w:cs="宋体"/>
          <w:lang w:val="en-US" w:eastAsia="zh-CN"/>
        </w:rPr>
      </w:pPr>
      <w:bookmarkStart w:id="26" w:name="_Toc7277"/>
      <w:bookmarkStart w:id="27" w:name="_Toc8128"/>
      <w:bookmarkStart w:id="28" w:name="_Toc28469"/>
      <w:r>
        <w:rPr>
          <w:rFonts w:hint="eastAsia" w:ascii="宋体" w:hAnsi="宋体" w:eastAsia="宋体" w:cs="宋体"/>
          <w:lang w:val="en-US" w:eastAsia="zh-CN"/>
        </w:rPr>
        <w:t>安装</w:t>
      </w:r>
      <w:bookmarkEnd w:id="26"/>
      <w:bookmarkEnd w:id="27"/>
      <w:r>
        <w:rPr>
          <w:rFonts w:hint="eastAsia" w:ascii="宋体" w:hAnsi="宋体" w:eastAsia="宋体" w:cs="宋体"/>
          <w:lang w:val="en-US" w:eastAsia="zh-CN"/>
        </w:rPr>
        <w:t>特殊节、回转总成</w:t>
      </w:r>
      <w:bookmarkEnd w:id="28"/>
    </w:p>
    <w:p w14:paraId="4B7E0106">
      <w:pPr>
        <w:widowControl w:val="0"/>
        <w:adjustRightInd/>
        <w:snapToGrid/>
        <w:ind w:firstLine="480"/>
        <w:rPr>
          <w:rFonts w:hint="eastAsia" w:ascii="Times New Roman" w:hAnsi="Times New Roman" w:eastAsia="宋体" w:cs="Times New Roman"/>
          <w:szCs w:val="21"/>
          <w:highlight w:val="none"/>
        </w:rPr>
      </w:pPr>
      <w:r>
        <w:rPr>
          <w:rFonts w:hint="eastAsia"/>
          <w:highlight w:val="none"/>
          <w:lang w:val="en-US" w:eastAsia="zh-CN"/>
        </w:rPr>
        <w:t>特殊节</w:t>
      </w:r>
      <w:r>
        <w:rPr>
          <w:rFonts w:hint="eastAsia" w:ascii="Times New Roman" w:hAnsi="Times New Roman" w:eastAsia="宋体" w:cs="Times New Roman"/>
          <w:szCs w:val="21"/>
          <w:highlight w:val="none"/>
        </w:rPr>
        <w:t>吊装采用四点吊，以</w:t>
      </w:r>
      <w:r>
        <w:rPr>
          <w:rFonts w:hint="eastAsia"/>
          <w:highlight w:val="none"/>
          <w:lang w:val="en-US" w:eastAsia="zh-CN"/>
        </w:rPr>
        <w:t>特殊节</w:t>
      </w:r>
      <w:r>
        <w:rPr>
          <w:rFonts w:hint="eastAsia" w:ascii="Times New Roman" w:hAnsi="Times New Roman" w:eastAsia="宋体" w:cs="Times New Roman"/>
          <w:szCs w:val="21"/>
          <w:highlight w:val="none"/>
        </w:rPr>
        <w:t>顶部四个销轴孔作为吊装孔，采用4根</w:t>
      </w:r>
      <w:r>
        <w:rPr>
          <w:rFonts w:hint="eastAsia" w:cs="Times New Roman"/>
          <w:szCs w:val="21"/>
          <w:highlight w:val="none"/>
          <w:lang w:val="en-US" w:eastAsia="zh-CN"/>
        </w:rPr>
        <w:t>24mm6×19W+IWR1870Mpa</w:t>
      </w:r>
      <w:r>
        <w:rPr>
          <w:rFonts w:hint="eastAsia" w:ascii="Times New Roman" w:hAnsi="Times New Roman" w:eastAsia="宋体" w:cs="Times New Roman"/>
          <w:szCs w:val="21"/>
          <w:highlight w:val="none"/>
        </w:rPr>
        <w:t>的钢丝绳配套</w:t>
      </w:r>
      <w:r>
        <w:rPr>
          <w:rFonts w:hint="eastAsia" w:ascii="Times New Roman" w:hAnsi="Times New Roman" w:cs="Times New Roman"/>
          <w:szCs w:val="21"/>
          <w:highlight w:val="none"/>
          <w:lang w:eastAsia="zh-CN"/>
        </w:rPr>
        <w:t>GB/T 25854-6-DW10</w:t>
      </w:r>
      <w:r>
        <w:rPr>
          <w:rFonts w:hint="eastAsia" w:ascii="Times New Roman" w:hAnsi="Times New Roman" w:eastAsia="宋体" w:cs="Times New Roman"/>
          <w:szCs w:val="21"/>
          <w:highlight w:val="none"/>
        </w:rPr>
        <w:t>卸扣进行吊装。</w:t>
      </w:r>
    </w:p>
    <w:p w14:paraId="2B03BE7F">
      <w:pPr>
        <w:spacing w:line="360" w:lineRule="auto"/>
        <w:ind w:firstLine="480" w:firstLineChars="200"/>
        <w:rPr>
          <w:rFonts w:hint="eastAsia" w:ascii="Times New Roman" w:hAnsi="Times New Roman" w:eastAsia="宋体" w:cs="Times New Roman"/>
          <w:szCs w:val="21"/>
          <w:highlight w:val="none"/>
        </w:rPr>
      </w:pPr>
      <w:r>
        <w:rPr>
          <w:rFonts w:hint="eastAsia" w:ascii="Times New Roman" w:hAnsi="Times New Roman" w:eastAsia="宋体" w:cs="Times New Roman"/>
          <w:szCs w:val="21"/>
          <w:highlight w:val="none"/>
        </w:rPr>
        <w:t>作业人员在地面上先将钢丝绳一端挂在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吊钩，另一端与卸扣连接，卸扣与吊装孔连接，并在</w:t>
      </w:r>
      <w:r>
        <w:rPr>
          <w:rFonts w:hint="eastAsia"/>
          <w:highlight w:val="none"/>
          <w:lang w:val="en-US" w:eastAsia="zh-CN"/>
        </w:rPr>
        <w:t>特殊节</w:t>
      </w:r>
      <w:r>
        <w:rPr>
          <w:rFonts w:hint="eastAsia" w:ascii="Times New Roman" w:hAnsi="Times New Roman" w:eastAsia="宋体" w:cs="Times New Roman"/>
          <w:szCs w:val="21"/>
          <w:highlight w:val="none"/>
        </w:rPr>
        <w:t>上栓好2根溜绳。启动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，将</w:t>
      </w:r>
      <w:r>
        <w:rPr>
          <w:rFonts w:hint="eastAsia"/>
          <w:highlight w:val="none"/>
          <w:lang w:val="en-US" w:eastAsia="zh-CN"/>
        </w:rPr>
        <w:t>特殊节</w:t>
      </w:r>
      <w:r>
        <w:rPr>
          <w:rFonts w:hint="eastAsia" w:ascii="Times New Roman" w:hAnsi="Times New Roman" w:eastAsia="宋体" w:cs="Times New Roman"/>
          <w:szCs w:val="21"/>
          <w:highlight w:val="none"/>
        </w:rPr>
        <w:t>缓慢提升，用溜绳控制其摆动。起吊</w:t>
      </w:r>
      <w:r>
        <w:rPr>
          <w:rFonts w:hint="eastAsia"/>
          <w:highlight w:val="none"/>
          <w:lang w:val="en-US" w:eastAsia="zh-CN"/>
        </w:rPr>
        <w:t>特殊节</w:t>
      </w:r>
      <w:r>
        <w:rPr>
          <w:rFonts w:hint="eastAsia" w:ascii="Times New Roman" w:hAnsi="Times New Roman" w:eastAsia="宋体" w:cs="Times New Roman"/>
          <w:szCs w:val="21"/>
          <w:highlight w:val="none"/>
        </w:rPr>
        <w:t>至</w:t>
      </w:r>
      <w:r>
        <w:rPr>
          <w:rFonts w:hint="eastAsia" w:cs="Times New Roman"/>
          <w:szCs w:val="21"/>
          <w:highlight w:val="none"/>
          <w:lang w:val="en-US" w:eastAsia="zh-CN"/>
        </w:rPr>
        <w:t>标准节</w:t>
      </w:r>
      <w:r>
        <w:rPr>
          <w:rFonts w:hint="eastAsia" w:ascii="Times New Roman" w:hAnsi="Times New Roman" w:eastAsia="宋体" w:cs="Times New Roman"/>
          <w:szCs w:val="21"/>
          <w:highlight w:val="none"/>
        </w:rPr>
        <w:t>上方，</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缓慢落钩，直至</w:t>
      </w:r>
      <w:r>
        <w:rPr>
          <w:rFonts w:hint="eastAsia"/>
          <w:highlight w:val="none"/>
          <w:lang w:val="en-US" w:eastAsia="zh-CN"/>
        </w:rPr>
        <w:t>特殊节</w:t>
      </w:r>
      <w:r>
        <w:rPr>
          <w:rFonts w:hint="eastAsia" w:ascii="Times New Roman" w:hAnsi="Times New Roman" w:eastAsia="宋体" w:cs="Times New Roman"/>
          <w:szCs w:val="21"/>
          <w:highlight w:val="none"/>
        </w:rPr>
        <w:t>销轴孔与</w:t>
      </w:r>
      <w:r>
        <w:rPr>
          <w:rFonts w:hint="eastAsia" w:cs="Times New Roman"/>
          <w:szCs w:val="21"/>
          <w:highlight w:val="none"/>
          <w:lang w:val="en-US" w:eastAsia="zh-CN"/>
        </w:rPr>
        <w:t>标准节</w:t>
      </w:r>
      <w:r>
        <w:rPr>
          <w:rFonts w:hint="eastAsia" w:ascii="Times New Roman" w:hAnsi="Times New Roman" w:eastAsia="宋体" w:cs="Times New Roman"/>
          <w:szCs w:val="21"/>
          <w:highlight w:val="none"/>
        </w:rPr>
        <w:t>销轴孔对齐，将安全带系挂在</w:t>
      </w:r>
      <w:r>
        <w:rPr>
          <w:rFonts w:hint="eastAsia" w:cs="Times New Roman"/>
          <w:szCs w:val="21"/>
          <w:highlight w:val="none"/>
          <w:lang w:eastAsia="zh-CN"/>
        </w:rPr>
        <w:t>套架</w:t>
      </w:r>
      <w:r>
        <w:rPr>
          <w:rFonts w:hint="eastAsia" w:ascii="Times New Roman" w:hAnsi="Times New Roman" w:eastAsia="宋体" w:cs="Times New Roman"/>
          <w:szCs w:val="21"/>
          <w:highlight w:val="none"/>
        </w:rPr>
        <w:t>顶部的横杆上，站立在</w:t>
      </w:r>
      <w:r>
        <w:rPr>
          <w:rFonts w:hint="eastAsia" w:cs="Times New Roman"/>
          <w:szCs w:val="21"/>
          <w:highlight w:val="none"/>
          <w:lang w:val="en-US" w:eastAsia="zh-CN"/>
        </w:rPr>
        <w:t>标准节</w:t>
      </w:r>
      <w:r>
        <w:rPr>
          <w:rFonts w:hint="eastAsia" w:ascii="Times New Roman" w:hAnsi="Times New Roman" w:eastAsia="宋体" w:cs="Times New Roman"/>
          <w:szCs w:val="21"/>
          <w:highlight w:val="none"/>
        </w:rPr>
        <w:t>顶部的平台上，插入</w:t>
      </w:r>
      <w:r>
        <w:rPr>
          <w:rFonts w:hint="eastAsia" w:cs="Times New Roman"/>
          <w:szCs w:val="21"/>
          <w:highlight w:val="none"/>
          <w:lang w:val="en-US" w:eastAsia="zh-CN"/>
        </w:rPr>
        <w:t>标准节</w:t>
      </w:r>
      <w:r>
        <w:rPr>
          <w:rFonts w:hint="eastAsia" w:ascii="Times New Roman" w:hAnsi="Times New Roman" w:eastAsia="宋体" w:cs="Times New Roman"/>
          <w:szCs w:val="21"/>
          <w:highlight w:val="none"/>
        </w:rPr>
        <w:t>与</w:t>
      </w:r>
      <w:r>
        <w:rPr>
          <w:rFonts w:hint="eastAsia"/>
          <w:highlight w:val="none"/>
          <w:lang w:val="en-US" w:eastAsia="zh-CN"/>
        </w:rPr>
        <w:t>特殊节</w:t>
      </w:r>
      <w:r>
        <w:rPr>
          <w:rFonts w:hint="eastAsia" w:ascii="Times New Roman" w:hAnsi="Times New Roman" w:eastAsia="宋体" w:cs="Times New Roman"/>
          <w:szCs w:val="21"/>
          <w:highlight w:val="none"/>
        </w:rPr>
        <w:t>的连接销轴，完成</w:t>
      </w:r>
      <w:r>
        <w:rPr>
          <w:rFonts w:hint="eastAsia"/>
          <w:highlight w:val="none"/>
          <w:lang w:val="en-US" w:eastAsia="zh-CN"/>
        </w:rPr>
        <w:t>特殊节</w:t>
      </w:r>
      <w:r>
        <w:rPr>
          <w:rFonts w:hint="eastAsia" w:ascii="Times New Roman" w:hAnsi="Times New Roman" w:eastAsia="宋体" w:cs="Times New Roman"/>
          <w:szCs w:val="21"/>
          <w:highlight w:val="none"/>
        </w:rPr>
        <w:t>与</w:t>
      </w:r>
      <w:r>
        <w:rPr>
          <w:rFonts w:hint="eastAsia" w:cs="Times New Roman"/>
          <w:szCs w:val="21"/>
          <w:highlight w:val="none"/>
          <w:lang w:val="en-US" w:eastAsia="zh-CN"/>
        </w:rPr>
        <w:t>标准节</w:t>
      </w:r>
      <w:r>
        <w:rPr>
          <w:rFonts w:hint="eastAsia" w:ascii="Times New Roman" w:hAnsi="Times New Roman" w:eastAsia="宋体" w:cs="Times New Roman"/>
          <w:szCs w:val="21"/>
          <w:highlight w:val="none"/>
        </w:rPr>
        <w:t>的连接。</w:t>
      </w:r>
    </w:p>
    <w:p w14:paraId="592640ED">
      <w:pPr>
        <w:spacing w:line="360" w:lineRule="auto"/>
        <w:ind w:firstLine="480" w:firstLineChars="200"/>
        <w:rPr>
          <w:rFonts w:hint="eastAsia" w:cs="宋体"/>
          <w:sz w:val="24"/>
          <w:szCs w:val="24"/>
          <w:highlight w:val="none"/>
          <w:lang w:val="en-US" w:eastAsia="zh-CN"/>
        </w:rPr>
      </w:pPr>
      <w:r>
        <w:rPr>
          <w:rFonts w:hint="eastAsia"/>
          <w:highlight w:val="none"/>
          <w:lang w:val="en-US" w:eastAsia="zh-CN"/>
        </w:rPr>
        <w:t>特殊节</w:t>
      </w:r>
      <w:r>
        <w:rPr>
          <w:rFonts w:hint="eastAsia" w:cs="宋体"/>
          <w:sz w:val="24"/>
          <w:szCs w:val="24"/>
          <w:highlight w:val="none"/>
          <w:lang w:val="en-US" w:eastAsia="zh-CN"/>
        </w:rPr>
        <w:t>的安装示意图如下</w:t>
      </w:r>
    </w:p>
    <w:p w14:paraId="754F3EF8">
      <w:pPr>
        <w:spacing w:line="360" w:lineRule="auto"/>
        <w:ind w:firstLine="480" w:firstLineChars="200"/>
        <w:jc w:val="center"/>
      </w:pPr>
      <w:r>
        <w:drawing>
          <wp:inline distT="0" distB="0" distL="114300" distR="114300">
            <wp:extent cx="3360420" cy="2708275"/>
            <wp:effectExtent l="0" t="0" r="11430" b="15875"/>
            <wp:docPr id="1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4"/>
                    <pic:cNvPicPr>
                      <a:picLocks noChangeAspect="1"/>
                    </pic:cNvPicPr>
                  </pic:nvPicPr>
                  <pic:blipFill>
                    <a:blip r:embed="rId18"/>
                    <a:stretch>
                      <a:fillRect/>
                    </a:stretch>
                  </pic:blipFill>
                  <pic:spPr>
                    <a:xfrm>
                      <a:off x="0" y="0"/>
                      <a:ext cx="3360420" cy="2708275"/>
                    </a:xfrm>
                    <a:prstGeom prst="rect">
                      <a:avLst/>
                    </a:prstGeom>
                    <a:noFill/>
                    <a:ln>
                      <a:noFill/>
                    </a:ln>
                  </pic:spPr>
                </pic:pic>
              </a:graphicData>
            </a:graphic>
          </wp:inline>
        </w:drawing>
      </w:r>
      <w:r>
        <w:drawing>
          <wp:inline distT="0" distB="0" distL="114300" distR="114300">
            <wp:extent cx="1520190" cy="2559050"/>
            <wp:effectExtent l="0" t="0" r="3810" b="12700"/>
            <wp:docPr id="19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37"/>
                    <pic:cNvPicPr>
                      <a:picLocks noChangeAspect="1"/>
                    </pic:cNvPicPr>
                  </pic:nvPicPr>
                  <pic:blipFill>
                    <a:blip r:embed="rId21"/>
                    <a:srcRect l="5196" r="1352" b="4587"/>
                    <a:stretch>
                      <a:fillRect/>
                    </a:stretch>
                  </pic:blipFill>
                  <pic:spPr>
                    <a:xfrm>
                      <a:off x="0" y="0"/>
                      <a:ext cx="1520190" cy="2559050"/>
                    </a:xfrm>
                    <a:prstGeom prst="rect">
                      <a:avLst/>
                    </a:prstGeom>
                    <a:noFill/>
                    <a:ln>
                      <a:noFill/>
                    </a:ln>
                  </pic:spPr>
                </pic:pic>
              </a:graphicData>
            </a:graphic>
          </wp:inline>
        </w:drawing>
      </w:r>
    </w:p>
    <w:p w14:paraId="089AD60E">
      <w:pPr>
        <w:pStyle w:val="15"/>
        <w:spacing w:line="360" w:lineRule="auto"/>
        <w:ind w:firstLine="420" w:firstLineChars="200"/>
        <w:jc w:val="center"/>
      </w:pPr>
      <w:r>
        <w:t xml:space="preserve">图 </w:t>
      </w:r>
      <w:r>
        <w:fldChar w:fldCharType="begin"/>
      </w:r>
      <w:r>
        <w:instrText xml:space="preserve"> STYLEREF 2 \s </w:instrText>
      </w:r>
      <w:r>
        <w:fldChar w:fldCharType="separate"/>
      </w:r>
      <w:r>
        <w:t>2.3</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 xml:space="preserve"> </w:t>
      </w:r>
      <w:r>
        <w:rPr>
          <w:rFonts w:hint="eastAsia"/>
          <w:highlight w:val="none"/>
          <w:lang w:val="en-US" w:eastAsia="zh-CN"/>
        </w:rPr>
        <w:t>特殊节整体吊装示意图</w:t>
      </w:r>
    </w:p>
    <w:p w14:paraId="04F6944F">
      <w:pPr>
        <w:keepNext w:val="0"/>
        <w:keepLines w:val="0"/>
        <w:widowControl/>
        <w:suppressLineNumbers w:val="0"/>
        <w:ind w:firstLine="420" w:firstLineChars="0"/>
        <w:jc w:val="left"/>
        <w:rPr>
          <w:rFonts w:hint="eastAsia" w:ascii="宋体" w:hAnsi="宋体" w:eastAsia="宋体" w:cs="宋体"/>
          <w:szCs w:val="21"/>
          <w:highlight w:val="none"/>
          <w:lang w:val="en-US" w:eastAsia="zh-CN"/>
        </w:rPr>
      </w:pPr>
      <w:r>
        <w:rPr>
          <w:rFonts w:hint="eastAsia" w:cs="宋体"/>
          <w:szCs w:val="21"/>
          <w:highlight w:val="none"/>
          <w:lang w:val="en-US" w:eastAsia="zh-CN"/>
        </w:rPr>
        <w:t>采用吊机</w:t>
      </w:r>
      <w:r>
        <w:rPr>
          <w:rFonts w:hint="eastAsia" w:ascii="宋体" w:hAnsi="宋体" w:eastAsia="宋体" w:cs="宋体"/>
          <w:szCs w:val="21"/>
          <w:highlight w:val="none"/>
        </w:rPr>
        <w:t>配合人工</w:t>
      </w:r>
      <w:r>
        <w:rPr>
          <w:rFonts w:hint="eastAsia" w:ascii="宋体" w:hAnsi="宋体" w:eastAsia="宋体" w:cs="宋体"/>
          <w:szCs w:val="21"/>
          <w:highlight w:val="none"/>
          <w:lang w:val="en-US" w:eastAsia="zh-CN"/>
        </w:rPr>
        <w:t>在地面上</w:t>
      </w:r>
      <w:r>
        <w:rPr>
          <w:rFonts w:hint="eastAsia" w:cs="宋体"/>
          <w:szCs w:val="21"/>
          <w:highlight w:val="none"/>
          <w:lang w:val="en-US" w:eastAsia="zh-CN"/>
        </w:rPr>
        <w:t xml:space="preserve"> </w:t>
      </w:r>
      <w:r>
        <w:rPr>
          <w:rFonts w:hint="eastAsia" w:ascii="宋体" w:hAnsi="宋体" w:eastAsia="宋体" w:cs="宋体"/>
          <w:szCs w:val="21"/>
          <w:highlight w:val="none"/>
          <w:lang w:val="en-US" w:eastAsia="zh-CN"/>
        </w:rPr>
        <w:t>，先将</w:t>
      </w:r>
      <w:r>
        <w:rPr>
          <w:rFonts w:hint="eastAsia" w:ascii="宋体" w:hAnsi="宋体" w:eastAsia="宋体" w:cs="宋体"/>
          <w:color w:val="000000"/>
          <w:kern w:val="0"/>
          <w:sz w:val="24"/>
          <w:szCs w:val="24"/>
          <w:lang w:val="en-US" w:eastAsia="zh-CN" w:bidi="ar"/>
        </w:rPr>
        <w:t>下支座、回转支承、上支座、回转机构及司机室</w:t>
      </w:r>
      <w:r>
        <w:rPr>
          <w:rFonts w:hint="eastAsia" w:ascii="宋体" w:hAnsi="宋体" w:eastAsia="宋体" w:cs="宋体"/>
          <w:szCs w:val="21"/>
          <w:highlight w:val="none"/>
          <w:lang w:val="en-US" w:eastAsia="zh-CN"/>
        </w:rPr>
        <w:t>等装为一体</w:t>
      </w:r>
      <w:r>
        <w:rPr>
          <w:rFonts w:hint="eastAsia" w:cs="宋体"/>
          <w:szCs w:val="21"/>
          <w:highlight w:val="none"/>
          <w:lang w:val="en-US" w:eastAsia="zh-CN"/>
        </w:rPr>
        <w:t>，</w:t>
      </w:r>
      <w:r>
        <w:rPr>
          <w:rFonts w:hint="eastAsia" w:ascii="宋体" w:hAnsi="宋体" w:eastAsia="宋体" w:cs="宋体"/>
          <w:color w:val="000000"/>
          <w:kern w:val="0"/>
          <w:sz w:val="24"/>
          <w:szCs w:val="24"/>
          <w:lang w:val="en-US" w:eastAsia="zh-CN" w:bidi="ar"/>
        </w:rPr>
        <w:t>同时检查回转支承上的高强螺栓的预紧力矩是否达</w:t>
      </w:r>
      <w:r>
        <w:rPr>
          <w:rFonts w:hint="eastAsia" w:ascii="Times New Roman" w:hAnsi="Times New Roman" w:eastAsia="宋体" w:cs="Times New Roman"/>
          <w:color w:val="000000"/>
          <w:kern w:val="0"/>
          <w:sz w:val="24"/>
          <w:szCs w:val="24"/>
          <w:lang w:val="en-US" w:eastAsia="zh-CN" w:bidi="ar"/>
        </w:rPr>
        <w:t>1350</w:t>
      </w:r>
      <w:r>
        <w:rPr>
          <w:rFonts w:hint="default" w:ascii="Times New Roman" w:hAnsi="Times New Roman" w:eastAsia="宋体" w:cs="Times New Roman"/>
          <w:color w:val="000000"/>
          <w:kern w:val="0"/>
          <w:sz w:val="24"/>
          <w:szCs w:val="24"/>
          <w:lang w:val="en-US" w:eastAsia="zh-CN" w:bidi="ar"/>
        </w:rPr>
        <w:t>N·m</w:t>
      </w:r>
      <w:r>
        <w:rPr>
          <w:rFonts w:hint="eastAsia"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且防松螺母的预紧力矩稍大于</w:t>
      </w:r>
      <w:r>
        <w:rPr>
          <w:rFonts w:hint="default" w:ascii="Times New Roman" w:hAnsi="Times New Roman" w:eastAsia="宋体" w:cs="Times New Roman"/>
          <w:color w:val="000000"/>
          <w:kern w:val="0"/>
          <w:sz w:val="24"/>
          <w:szCs w:val="24"/>
          <w:lang w:val="en-US" w:eastAsia="zh-CN" w:bidi="ar"/>
        </w:rPr>
        <w:t>1350N·m</w:t>
      </w:r>
      <w:r>
        <w:rPr>
          <w:rFonts w:hint="eastAsia" w:ascii="宋体" w:hAnsi="宋体" w:eastAsia="宋体" w:cs="宋体"/>
          <w:szCs w:val="21"/>
          <w:highlight w:val="none"/>
          <w:lang w:val="en-US" w:eastAsia="zh-CN"/>
        </w:rPr>
        <w:t>，</w:t>
      </w:r>
      <w:r>
        <w:rPr>
          <w:rFonts w:hint="eastAsia" w:cs="宋体"/>
          <w:szCs w:val="21"/>
          <w:highlight w:val="none"/>
          <w:lang w:val="en-US" w:eastAsia="zh-CN"/>
        </w:rPr>
        <w:t>然后</w:t>
      </w:r>
      <w:r>
        <w:rPr>
          <w:rFonts w:hint="eastAsia" w:ascii="宋体" w:hAnsi="宋体" w:eastAsia="宋体" w:cs="宋体"/>
          <w:szCs w:val="21"/>
          <w:highlight w:val="none"/>
          <w:lang w:val="en-US" w:eastAsia="zh-CN"/>
        </w:rPr>
        <w:t>安装到特殊节上。</w:t>
      </w:r>
    </w:p>
    <w:p w14:paraId="3D948623">
      <w:pPr>
        <w:pStyle w:val="15"/>
        <w:bidi w:val="0"/>
      </w:pPr>
      <w:r>
        <w:drawing>
          <wp:inline distT="0" distB="0" distL="114300" distR="114300">
            <wp:extent cx="2905760" cy="3106420"/>
            <wp:effectExtent l="0" t="0" r="8890" b="17780"/>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22"/>
                    <a:stretch>
                      <a:fillRect/>
                    </a:stretch>
                  </pic:blipFill>
                  <pic:spPr>
                    <a:xfrm>
                      <a:off x="0" y="0"/>
                      <a:ext cx="2905760" cy="3106420"/>
                    </a:xfrm>
                    <a:prstGeom prst="rect">
                      <a:avLst/>
                    </a:prstGeom>
                    <a:noFill/>
                    <a:ln>
                      <a:noFill/>
                    </a:ln>
                  </pic:spPr>
                </pic:pic>
              </a:graphicData>
            </a:graphic>
          </wp:inline>
        </w:drawing>
      </w:r>
    </w:p>
    <w:p w14:paraId="71A4B27E">
      <w:pPr>
        <w:pStyle w:val="15"/>
      </w:pPr>
      <w:r>
        <w:t xml:space="preserve">图 </w:t>
      </w:r>
      <w:r>
        <w:fldChar w:fldCharType="begin"/>
      </w:r>
      <w:r>
        <w:instrText xml:space="preserve"> STYLEREF 2 \s </w:instrText>
      </w:r>
      <w:r>
        <w:fldChar w:fldCharType="separate"/>
      </w:r>
      <w:r>
        <w:t>2.3</w:t>
      </w:r>
      <w:r>
        <w:fldChar w:fldCharType="end"/>
      </w:r>
      <w:r>
        <w:rPr>
          <w:rFonts w:hint="eastAsia"/>
          <w:lang w:eastAsia="zh-CN"/>
        </w:rPr>
        <w:t>-</w:t>
      </w:r>
      <w:r>
        <w:fldChar w:fldCharType="begin"/>
      </w:r>
      <w:r>
        <w:instrText xml:space="preserve"> SEQ 图 \* ARABIC \s 2 </w:instrText>
      </w:r>
      <w:r>
        <w:fldChar w:fldCharType="separate"/>
      </w:r>
      <w:r>
        <w:t>2</w:t>
      </w:r>
      <w:r>
        <w:fldChar w:fldCharType="end"/>
      </w:r>
      <w:r>
        <w:rPr>
          <w:rFonts w:hint="eastAsia"/>
          <w:highlight w:val="none"/>
          <w:lang w:val="en-US" w:eastAsia="zh-CN"/>
        </w:rPr>
        <w:t xml:space="preserve"> 回转总成吊装示意图</w:t>
      </w:r>
    </w:p>
    <w:p w14:paraId="68DC4224">
      <w:pPr>
        <w:pStyle w:val="3"/>
        <w:numPr>
          <w:ilvl w:val="1"/>
          <w:numId w:val="4"/>
        </w:numPr>
        <w:bidi w:val="0"/>
        <w:ind w:left="567" w:leftChars="0" w:hanging="567" w:firstLineChars="0"/>
        <w:rPr>
          <w:rFonts w:hint="default" w:ascii="宋体" w:hAnsi="宋体" w:eastAsia="宋体" w:cs="宋体"/>
          <w:lang w:val="en-US" w:eastAsia="zh-CN"/>
        </w:rPr>
      </w:pPr>
      <w:bookmarkStart w:id="29" w:name="_Toc24675"/>
      <w:r>
        <w:rPr>
          <w:rFonts w:hint="eastAsia" w:ascii="宋体" w:hAnsi="宋体" w:eastAsia="宋体" w:cs="宋体"/>
          <w:lang w:val="en-US" w:eastAsia="zh-CN"/>
        </w:rPr>
        <w:t>安装臂根节</w:t>
      </w:r>
      <w:bookmarkEnd w:id="29"/>
    </w:p>
    <w:p w14:paraId="05ADD2BF">
      <w:pPr>
        <w:ind w:firstLine="480"/>
        <w:rPr>
          <w:highlight w:val="green"/>
        </w:rPr>
      </w:pPr>
      <w:r>
        <w:rPr>
          <w:rFonts w:hint="eastAsia"/>
          <w:highlight w:val="none"/>
        </w:rPr>
        <w:t>采用吊机配合人工在地面上将臂根节拼装完成，臂根节吊装采用四点吊，以臂根节顶部四个销轴孔作为吊装孔，采用4根</w:t>
      </w:r>
      <w:r>
        <w:rPr>
          <w:rFonts w:hint="eastAsia"/>
          <w:highlight w:val="none"/>
          <w:lang w:eastAsia="zh-CN"/>
        </w:rPr>
        <w:t>24mm6×19W+IWR1870Mpa</w:t>
      </w:r>
      <w:r>
        <w:rPr>
          <w:rFonts w:hint="eastAsia"/>
          <w:highlight w:val="none"/>
        </w:rPr>
        <w:t>的钢丝绳配套</w:t>
      </w:r>
      <w:r>
        <w:rPr>
          <w:highlight w:val="none"/>
        </w:rPr>
        <w:t>GB/T 25854-6-DW</w:t>
      </w:r>
      <w:r>
        <w:rPr>
          <w:rFonts w:hint="eastAsia"/>
          <w:highlight w:val="none"/>
          <w:lang w:val="en-US" w:eastAsia="zh-CN"/>
        </w:rPr>
        <w:t>10</w:t>
      </w:r>
      <w:r>
        <w:rPr>
          <w:rFonts w:hint="eastAsia"/>
          <w:highlight w:val="none"/>
        </w:rPr>
        <w:t>卸扣进行吊装</w:t>
      </w:r>
      <w:r>
        <w:rPr>
          <w:rFonts w:hint="eastAsia"/>
        </w:rPr>
        <w:t>。</w:t>
      </w:r>
    </w:p>
    <w:p w14:paraId="1040B167">
      <w:pPr>
        <w:ind w:firstLine="480"/>
      </w:pPr>
      <w:r>
        <w:rPr>
          <w:rFonts w:hint="eastAsia"/>
        </w:rPr>
        <w:t>作业人员在地面上先将钢丝绳一端挂在吊机吊钩，另一端与卸扣连接，卸扣与吊装孔连接，并在臂根节上栓好2根溜绳。启动吊机，将臂根节缓慢提升，用溜绳控制其摆动。起吊臂根节至回转总成上方，吊机缓慢落钩，直至回转总成上支座销轴孔与臂根节销轴孔对齐，将安全带系挂在臂根节顶部的横杆上，插入臂根节与回转总成上支座的连接销轴，完成回转总成与臂根节的连接。臂根节的安装示意图如下：</w:t>
      </w:r>
    </w:p>
    <w:p w14:paraId="6ED01F16">
      <w:pPr>
        <w:rPr>
          <w:highlight w:val="none"/>
        </w:rPr>
      </w:pPr>
    </w:p>
    <w:p w14:paraId="4115EED0">
      <w:pPr>
        <w:bidi w:val="0"/>
        <w:ind w:left="0" w:leftChars="0" w:firstLine="0" w:firstLineChars="0"/>
        <w:jc w:val="center"/>
      </w:pPr>
      <w:r>
        <w:drawing>
          <wp:inline distT="0" distB="0" distL="114300" distR="114300">
            <wp:extent cx="3117850" cy="2804160"/>
            <wp:effectExtent l="0" t="0" r="6350" b="15240"/>
            <wp:docPr id="1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8"/>
                    <pic:cNvPicPr>
                      <a:picLocks noChangeAspect="1"/>
                    </pic:cNvPicPr>
                  </pic:nvPicPr>
                  <pic:blipFill>
                    <a:blip r:embed="rId23"/>
                    <a:stretch>
                      <a:fillRect/>
                    </a:stretch>
                  </pic:blipFill>
                  <pic:spPr>
                    <a:xfrm>
                      <a:off x="0" y="0"/>
                      <a:ext cx="3117850" cy="2804160"/>
                    </a:xfrm>
                    <a:prstGeom prst="rect">
                      <a:avLst/>
                    </a:prstGeom>
                    <a:noFill/>
                    <a:ln>
                      <a:noFill/>
                    </a:ln>
                  </pic:spPr>
                </pic:pic>
              </a:graphicData>
            </a:graphic>
          </wp:inline>
        </w:drawing>
      </w:r>
      <w:r>
        <w:drawing>
          <wp:inline distT="0" distB="0" distL="114300" distR="114300">
            <wp:extent cx="1523365" cy="2196465"/>
            <wp:effectExtent l="0" t="0" r="635" b="13335"/>
            <wp:docPr id="19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35"/>
                    <pic:cNvPicPr>
                      <a:picLocks noChangeAspect="1"/>
                    </pic:cNvPicPr>
                  </pic:nvPicPr>
                  <pic:blipFill>
                    <a:blip r:embed="rId24"/>
                    <a:stretch>
                      <a:fillRect/>
                    </a:stretch>
                  </pic:blipFill>
                  <pic:spPr>
                    <a:xfrm>
                      <a:off x="0" y="0"/>
                      <a:ext cx="1523365" cy="2196465"/>
                    </a:xfrm>
                    <a:prstGeom prst="rect">
                      <a:avLst/>
                    </a:prstGeom>
                    <a:noFill/>
                    <a:ln>
                      <a:noFill/>
                    </a:ln>
                  </pic:spPr>
                </pic:pic>
              </a:graphicData>
            </a:graphic>
          </wp:inline>
        </w:drawing>
      </w:r>
    </w:p>
    <w:p w14:paraId="10856DA1">
      <w:pPr>
        <w:pStyle w:val="15"/>
        <w:bidi w:val="0"/>
        <w:ind w:left="0" w:leftChars="0" w:firstLine="0" w:firstLineChars="0"/>
        <w:jc w:val="center"/>
      </w:pPr>
      <w:r>
        <w:t xml:space="preserve">图 </w:t>
      </w:r>
      <w:r>
        <w:fldChar w:fldCharType="begin"/>
      </w:r>
      <w:r>
        <w:instrText xml:space="preserve"> STYLEREF 2 \s </w:instrText>
      </w:r>
      <w:r>
        <w:fldChar w:fldCharType="separate"/>
      </w:r>
      <w:r>
        <w:t>2.4</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ascii="Times New Roman" w:hAnsi="Times New Roman" w:cs="Times New Roman"/>
          <w:highlight w:val="none"/>
          <w:lang w:val="en-US" w:eastAsia="zh-CN"/>
        </w:rPr>
        <w:t xml:space="preserve"> 安装臂根节吊装示意图</w:t>
      </w:r>
    </w:p>
    <w:p w14:paraId="7587E44A">
      <w:pPr>
        <w:pStyle w:val="3"/>
        <w:numPr>
          <w:ilvl w:val="1"/>
          <w:numId w:val="4"/>
        </w:numPr>
        <w:bidi w:val="0"/>
        <w:ind w:left="567" w:leftChars="0" w:hanging="567" w:firstLineChars="0"/>
        <w:rPr>
          <w:rFonts w:hint="eastAsia" w:ascii="宋体" w:hAnsi="宋体" w:eastAsia="宋体" w:cs="宋体"/>
          <w:lang w:val="en-US" w:eastAsia="zh-CN"/>
        </w:rPr>
      </w:pPr>
      <w:bookmarkStart w:id="30" w:name="_Toc6213"/>
      <w:bookmarkStart w:id="31" w:name="_Toc11593"/>
      <w:bookmarkStart w:id="32" w:name="_Toc25574"/>
      <w:r>
        <w:rPr>
          <w:rFonts w:hint="eastAsia" w:ascii="宋体" w:hAnsi="宋体" w:eastAsia="宋体" w:cs="宋体"/>
          <w:lang w:val="en-US" w:eastAsia="zh-CN"/>
        </w:rPr>
        <w:t>安装平衡臂和平衡臂拉杆</w:t>
      </w:r>
      <w:bookmarkEnd w:id="30"/>
    </w:p>
    <w:p w14:paraId="4851B15F">
      <w:pPr>
        <w:ind w:firstLine="420" w:firstLineChars="0"/>
        <w:rPr>
          <w:rFonts w:ascii="宋体" w:hAnsi="宋体" w:eastAsia="宋体" w:cs="宋体"/>
          <w:szCs w:val="21"/>
          <w:highlight w:val="none"/>
        </w:rPr>
      </w:pP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采用</w:t>
      </w:r>
      <w:r>
        <w:rPr>
          <w:rFonts w:hint="eastAsia" w:ascii="宋体" w:hAnsi="宋体" w:eastAsia="宋体" w:cs="宋体"/>
          <w:szCs w:val="21"/>
          <w:highlight w:val="none"/>
          <w:lang w:eastAsia="zh-CN"/>
        </w:rPr>
        <w:t>吊机</w:t>
      </w:r>
      <w:r>
        <w:rPr>
          <w:rFonts w:hint="eastAsia" w:ascii="宋体" w:hAnsi="宋体" w:eastAsia="宋体" w:cs="宋体"/>
          <w:szCs w:val="21"/>
          <w:highlight w:val="none"/>
        </w:rPr>
        <w:t>配合人工在地面上</w:t>
      </w:r>
      <w:r>
        <w:rPr>
          <w:rFonts w:hint="eastAsia"/>
          <w:highlight w:val="none"/>
          <w:lang w:val="en-US" w:eastAsia="zh-CN"/>
        </w:rPr>
        <w:t>将平衡臂组装好（含走台及栏杆），</w:t>
      </w:r>
      <w:r>
        <w:rPr>
          <w:rFonts w:hint="eastAsia" w:ascii="Times New Roman" w:hAnsi="Times New Roman" w:eastAsia="宋体" w:cs="Times New Roman"/>
          <w:szCs w:val="21"/>
          <w:highlight w:val="none"/>
        </w:rPr>
        <w:t>吊装采用四点吊，以</w:t>
      </w:r>
      <w:r>
        <w:rPr>
          <w:rFonts w:hint="eastAsia"/>
          <w:highlight w:val="none"/>
          <w:lang w:val="en-US" w:eastAsia="zh-CN"/>
        </w:rPr>
        <w:t>平衡臂臂节3</w:t>
      </w:r>
      <w:r>
        <w:rPr>
          <w:rFonts w:hint="eastAsia" w:ascii="Times New Roman" w:hAnsi="Times New Roman" w:eastAsia="宋体" w:cs="Times New Roman"/>
          <w:szCs w:val="21"/>
          <w:highlight w:val="none"/>
        </w:rPr>
        <w:t>上弦杆吊耳作为吊装孔，采用4根</w:t>
      </w:r>
      <w:r>
        <w:rPr>
          <w:rFonts w:hint="eastAsia" w:cs="Times New Roman"/>
          <w:szCs w:val="21"/>
          <w:highlight w:val="none"/>
          <w:lang w:val="en-US" w:eastAsia="zh-CN"/>
        </w:rPr>
        <w:t>24mm6×19W+IWR1870Mpa</w:t>
      </w:r>
      <w:r>
        <w:rPr>
          <w:rFonts w:hint="eastAsia" w:ascii="Times New Roman" w:hAnsi="Times New Roman" w:eastAsia="宋体" w:cs="Times New Roman"/>
          <w:szCs w:val="21"/>
          <w:highlight w:val="none"/>
        </w:rPr>
        <w:t>的钢丝绳配套</w:t>
      </w:r>
      <w:r>
        <w:rPr>
          <w:rFonts w:hint="eastAsia" w:ascii="Times New Roman" w:hAnsi="Times New Roman" w:cs="Times New Roman"/>
          <w:szCs w:val="21"/>
          <w:highlight w:val="none"/>
          <w:lang w:eastAsia="zh-CN"/>
        </w:rPr>
        <w:t>GB/T 25854-6-DW10</w:t>
      </w:r>
      <w:r>
        <w:rPr>
          <w:rFonts w:hint="eastAsia" w:ascii="Times New Roman" w:hAnsi="Times New Roman" w:eastAsia="宋体" w:cs="Times New Roman"/>
          <w:szCs w:val="21"/>
          <w:highlight w:val="none"/>
        </w:rPr>
        <w:t>卸扣进行吊装。</w:t>
      </w:r>
    </w:p>
    <w:p w14:paraId="461CC823">
      <w:pPr>
        <w:widowControl w:val="0"/>
        <w:adjustRightInd/>
        <w:snapToGrid/>
        <w:ind w:firstLine="480"/>
        <w:rPr>
          <w:rFonts w:hint="eastAsia"/>
          <w:highlight w:val="none"/>
          <w:lang w:val="en-US" w:eastAsia="zh-CN"/>
        </w:rPr>
      </w:pPr>
      <w:r>
        <w:rPr>
          <w:rFonts w:hint="eastAsia" w:cs="Times New Roman"/>
          <w:szCs w:val="21"/>
          <w:highlight w:val="none"/>
          <w:lang w:eastAsia="zh-CN"/>
        </w:rPr>
        <w:t>（</w:t>
      </w:r>
      <w:r>
        <w:rPr>
          <w:rFonts w:hint="eastAsia" w:cs="Times New Roman"/>
          <w:szCs w:val="21"/>
          <w:highlight w:val="none"/>
          <w:lang w:val="en-US" w:eastAsia="zh-CN"/>
        </w:rPr>
        <w:t>2</w:t>
      </w:r>
      <w:r>
        <w:rPr>
          <w:rFonts w:hint="eastAsia" w:cs="Times New Roman"/>
          <w:szCs w:val="21"/>
          <w:highlight w:val="none"/>
          <w:lang w:eastAsia="zh-CN"/>
        </w:rPr>
        <w:t>）</w:t>
      </w:r>
      <w:r>
        <w:rPr>
          <w:rFonts w:hint="eastAsia" w:ascii="Times New Roman" w:hAnsi="Times New Roman" w:eastAsia="宋体" w:cs="Times New Roman"/>
          <w:szCs w:val="21"/>
          <w:highlight w:val="none"/>
        </w:rPr>
        <w:t>作业人员在地面上先将钢丝绳一端挂在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吊钩，另一端与卸扣连接，卸扣与吊装孔连接，并在</w:t>
      </w:r>
      <w:r>
        <w:rPr>
          <w:rFonts w:hint="eastAsia"/>
          <w:highlight w:val="none"/>
          <w:lang w:val="en-US" w:eastAsia="zh-CN"/>
        </w:rPr>
        <w:t>平衡臂臂节3</w:t>
      </w:r>
      <w:r>
        <w:rPr>
          <w:rFonts w:hint="eastAsia" w:ascii="Times New Roman" w:hAnsi="Times New Roman" w:eastAsia="宋体" w:cs="Times New Roman"/>
          <w:szCs w:val="21"/>
          <w:highlight w:val="none"/>
        </w:rPr>
        <w:t>上栓好2根溜绳。启动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，将</w:t>
      </w:r>
      <w:r>
        <w:rPr>
          <w:rFonts w:hint="eastAsia"/>
          <w:highlight w:val="none"/>
          <w:lang w:val="en-US" w:eastAsia="zh-CN"/>
        </w:rPr>
        <w:t>平衡臂</w:t>
      </w:r>
      <w:r>
        <w:rPr>
          <w:rFonts w:hint="eastAsia" w:ascii="Times New Roman" w:hAnsi="Times New Roman" w:eastAsia="宋体" w:cs="Times New Roman"/>
          <w:szCs w:val="21"/>
          <w:highlight w:val="none"/>
        </w:rPr>
        <w:t>缓慢提升，用溜绳控制其摆动。起吊</w:t>
      </w:r>
      <w:r>
        <w:rPr>
          <w:rFonts w:hint="eastAsia"/>
          <w:highlight w:val="none"/>
          <w:lang w:val="en-US" w:eastAsia="zh-CN"/>
        </w:rPr>
        <w:t>平衡臂臂节3</w:t>
      </w:r>
      <w:r>
        <w:rPr>
          <w:rFonts w:hint="eastAsia" w:ascii="Times New Roman" w:hAnsi="Times New Roman" w:eastAsia="宋体" w:cs="Times New Roman"/>
          <w:szCs w:val="21"/>
          <w:highlight w:val="none"/>
        </w:rPr>
        <w:t>至</w:t>
      </w:r>
      <w:r>
        <w:rPr>
          <w:rFonts w:hint="eastAsia"/>
          <w:highlight w:val="none"/>
          <w:lang w:val="en-US" w:eastAsia="zh-CN"/>
        </w:rPr>
        <w:t>平衡臂臂节1</w:t>
      </w:r>
      <w:r>
        <w:rPr>
          <w:rFonts w:hint="eastAsia" w:ascii="Times New Roman" w:hAnsi="Times New Roman" w:eastAsia="宋体" w:cs="Times New Roman"/>
          <w:szCs w:val="21"/>
          <w:highlight w:val="none"/>
        </w:rPr>
        <w:t>上</w:t>
      </w:r>
      <w:r>
        <w:rPr>
          <w:rFonts w:hint="eastAsia" w:cs="Times New Roman"/>
          <w:szCs w:val="21"/>
          <w:highlight w:val="none"/>
          <w:lang w:val="en-US" w:eastAsia="zh-CN"/>
        </w:rPr>
        <w:t>后</w:t>
      </w:r>
      <w:r>
        <w:rPr>
          <w:rFonts w:hint="eastAsia" w:ascii="Times New Roman" w:hAnsi="Times New Roman" w:eastAsia="宋体" w:cs="Times New Roman"/>
          <w:szCs w:val="21"/>
          <w:highlight w:val="none"/>
        </w:rPr>
        <w:t>方，</w:t>
      </w:r>
      <w:r>
        <w:rPr>
          <w:rFonts w:hint="eastAsia" w:eastAsia="宋体" w:cs="Times New Roman"/>
          <w:szCs w:val="21"/>
          <w:highlight w:val="none"/>
          <w:lang w:eastAsia="zh-CN"/>
        </w:rPr>
        <w:t>将组装好的平衡臂</w:t>
      </w:r>
      <w:r>
        <w:rPr>
          <w:rFonts w:hint="eastAsia" w:eastAsia="宋体" w:cs="Times New Roman"/>
          <w:szCs w:val="21"/>
          <w:highlight w:val="none"/>
          <w:lang w:val="en-US" w:eastAsia="zh-CN"/>
        </w:rPr>
        <w:t>臂节3</w:t>
      </w:r>
      <w:r>
        <w:rPr>
          <w:rFonts w:hint="eastAsia" w:eastAsia="宋体" w:cs="Times New Roman"/>
          <w:szCs w:val="21"/>
          <w:highlight w:val="none"/>
          <w:lang w:eastAsia="zh-CN"/>
        </w:rPr>
        <w:t>吊起，对接</w:t>
      </w:r>
      <w:r>
        <w:rPr>
          <w:rFonts w:hint="eastAsia"/>
          <w:highlight w:val="none"/>
          <w:lang w:val="en-US" w:eastAsia="zh-CN"/>
        </w:rPr>
        <w:t>平衡臂臂节1</w:t>
      </w:r>
      <w:r>
        <w:rPr>
          <w:rFonts w:hint="eastAsia" w:eastAsia="宋体" w:cs="Times New Roman"/>
          <w:szCs w:val="21"/>
          <w:highlight w:val="none"/>
          <w:lang w:eastAsia="zh-CN"/>
        </w:rPr>
        <w:t>连接耳板，插入销轴、及R形销，缓慢放下。将平衡臂</w:t>
      </w:r>
      <w:r>
        <w:rPr>
          <w:rFonts w:hint="eastAsia" w:eastAsia="宋体" w:cs="Times New Roman"/>
          <w:szCs w:val="21"/>
          <w:highlight w:val="none"/>
          <w:lang w:val="en-US" w:eastAsia="zh-CN"/>
        </w:rPr>
        <w:t>臂节3</w:t>
      </w:r>
      <w:r>
        <w:rPr>
          <w:rFonts w:hint="eastAsia" w:eastAsia="宋体" w:cs="Times New Roman"/>
          <w:szCs w:val="21"/>
          <w:highlight w:val="none"/>
          <w:lang w:eastAsia="zh-CN"/>
        </w:rPr>
        <w:t>放置一定程度，把安装在</w:t>
      </w:r>
      <w:r>
        <w:rPr>
          <w:rFonts w:hint="eastAsia"/>
          <w:highlight w:val="none"/>
          <w:lang w:val="en-US" w:eastAsia="zh-CN"/>
        </w:rPr>
        <w:t>平衡臂臂节1</w:t>
      </w:r>
      <w:r>
        <w:rPr>
          <w:rFonts w:hint="eastAsia" w:eastAsia="宋体" w:cs="Times New Roman"/>
          <w:szCs w:val="21"/>
          <w:highlight w:val="none"/>
          <w:lang w:eastAsia="zh-CN"/>
        </w:rPr>
        <w:t>的短拉杆和平衡臂</w:t>
      </w:r>
      <w:r>
        <w:rPr>
          <w:rFonts w:hint="eastAsia" w:eastAsia="宋体" w:cs="Times New Roman"/>
          <w:szCs w:val="21"/>
          <w:highlight w:val="none"/>
          <w:lang w:val="en-US" w:eastAsia="zh-CN"/>
        </w:rPr>
        <w:t>臂节3</w:t>
      </w:r>
      <w:r>
        <w:rPr>
          <w:rFonts w:hint="eastAsia" w:eastAsia="宋体" w:cs="Times New Roman"/>
          <w:szCs w:val="21"/>
          <w:highlight w:val="none"/>
          <w:lang w:eastAsia="zh-CN"/>
        </w:rPr>
        <w:t>上的长拉杆对接好后，插入销轴及开口销缓慢放下，直到拉绷紧，平衡水平。</w:t>
      </w:r>
      <w:r>
        <w:rPr>
          <w:rFonts w:hint="eastAsia" w:cs="Times New Roman"/>
          <w:szCs w:val="21"/>
          <w:highlight w:val="none"/>
          <w:lang w:val="en-US" w:eastAsia="zh-CN"/>
        </w:rPr>
        <w:t>安装示意图如下：</w:t>
      </w:r>
    </w:p>
    <w:p w14:paraId="7733F96C">
      <w:pPr>
        <w:jc w:val="center"/>
        <w:rPr>
          <w:highlight w:val="none"/>
        </w:rPr>
      </w:pPr>
      <w:r>
        <w:drawing>
          <wp:inline distT="0" distB="0" distL="114300" distR="114300">
            <wp:extent cx="3632200" cy="2905125"/>
            <wp:effectExtent l="0" t="0" r="6350" b="9525"/>
            <wp:docPr id="1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1"/>
                    <pic:cNvPicPr>
                      <a:picLocks noChangeAspect="1"/>
                    </pic:cNvPicPr>
                  </pic:nvPicPr>
                  <pic:blipFill>
                    <a:blip r:embed="rId25"/>
                    <a:stretch>
                      <a:fillRect/>
                    </a:stretch>
                  </pic:blipFill>
                  <pic:spPr>
                    <a:xfrm>
                      <a:off x="0" y="0"/>
                      <a:ext cx="3632200" cy="2905125"/>
                    </a:xfrm>
                    <a:prstGeom prst="rect">
                      <a:avLst/>
                    </a:prstGeom>
                    <a:noFill/>
                    <a:ln>
                      <a:noFill/>
                    </a:ln>
                  </pic:spPr>
                </pic:pic>
              </a:graphicData>
            </a:graphic>
          </wp:inline>
        </w:drawing>
      </w:r>
      <w:r>
        <w:drawing>
          <wp:inline distT="0" distB="0" distL="114300" distR="114300">
            <wp:extent cx="3829050" cy="3409950"/>
            <wp:effectExtent l="0" t="0" r="0" b="0"/>
            <wp:docPr id="19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34"/>
                    <pic:cNvPicPr>
                      <a:picLocks noChangeAspect="1"/>
                    </pic:cNvPicPr>
                  </pic:nvPicPr>
                  <pic:blipFill>
                    <a:blip r:embed="rId26"/>
                    <a:stretch>
                      <a:fillRect/>
                    </a:stretch>
                  </pic:blipFill>
                  <pic:spPr>
                    <a:xfrm>
                      <a:off x="0" y="0"/>
                      <a:ext cx="3829050" cy="3409950"/>
                    </a:xfrm>
                    <a:prstGeom prst="rect">
                      <a:avLst/>
                    </a:prstGeom>
                    <a:noFill/>
                    <a:ln>
                      <a:noFill/>
                    </a:ln>
                  </pic:spPr>
                </pic:pic>
              </a:graphicData>
            </a:graphic>
          </wp:inline>
        </w:drawing>
      </w:r>
    </w:p>
    <w:p w14:paraId="7AD7A28C">
      <w:pPr>
        <w:jc w:val="center"/>
      </w:pPr>
    </w:p>
    <w:p w14:paraId="489FFD44">
      <w:pPr>
        <w:pStyle w:val="15"/>
        <w:jc w:val="center"/>
      </w:pPr>
      <w:r>
        <w:t xml:space="preserve">图 </w:t>
      </w:r>
      <w:r>
        <w:fldChar w:fldCharType="begin"/>
      </w:r>
      <w:r>
        <w:instrText xml:space="preserve"> STYLEREF 2 \s </w:instrText>
      </w:r>
      <w:r>
        <w:fldChar w:fldCharType="separate"/>
      </w:r>
      <w:r>
        <w:t>2.5</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 xml:space="preserve"> </w:t>
      </w:r>
      <w:r>
        <w:rPr>
          <w:rFonts w:hint="eastAsia"/>
          <w:highlight w:val="none"/>
          <w:lang w:val="en-US" w:eastAsia="zh-CN"/>
        </w:rPr>
        <w:t>安装平衡臂和平衡臂拉杆</w:t>
      </w:r>
    </w:p>
    <w:p w14:paraId="211B457D">
      <w:pPr>
        <w:widowControl w:val="0"/>
        <w:adjustRightInd/>
        <w:snapToGrid/>
        <w:ind w:firstLine="480"/>
        <w:rPr>
          <w:rFonts w:ascii="Times New Roman" w:hAnsi="Times New Roman" w:eastAsia="宋体" w:cs="Times New Roman"/>
          <w:szCs w:val="21"/>
          <w:highlight w:val="none"/>
        </w:rPr>
      </w:pPr>
      <w:r>
        <w:rPr>
          <w:rFonts w:hint="eastAsia" w:ascii="宋体" w:hAnsi="宋体" w:eastAsia="宋体" w:cs="宋体"/>
          <w:szCs w:val="21"/>
          <w:highlight w:val="none"/>
        </w:rPr>
        <w:t>（</w:t>
      </w:r>
      <w:r>
        <w:rPr>
          <w:rFonts w:hint="eastAsia" w:ascii="宋体" w:hAnsi="宋体" w:cs="宋体"/>
          <w:szCs w:val="21"/>
          <w:highlight w:val="none"/>
          <w:lang w:val="en-US" w:eastAsia="zh-CN"/>
        </w:rPr>
        <w:t>3</w:t>
      </w:r>
      <w:r>
        <w:rPr>
          <w:rFonts w:hint="eastAsia" w:ascii="宋体" w:hAnsi="宋体" w:eastAsia="宋体" w:cs="宋体"/>
          <w:szCs w:val="21"/>
          <w:highlight w:val="none"/>
        </w:rPr>
        <w:t>）</w:t>
      </w:r>
      <w:r>
        <w:rPr>
          <w:rFonts w:hint="eastAsia" w:ascii="Times New Roman" w:hAnsi="Times New Roman" w:eastAsia="宋体" w:cs="Times New Roman"/>
          <w:szCs w:val="21"/>
          <w:highlight w:val="none"/>
        </w:rPr>
        <w:t>作业人员通过爬梯爬至</w:t>
      </w:r>
      <w:r>
        <w:rPr>
          <w:rFonts w:hint="eastAsia" w:cs="Times New Roman"/>
          <w:szCs w:val="21"/>
          <w:highlight w:val="none"/>
          <w:lang w:val="en-US" w:eastAsia="zh-CN"/>
        </w:rPr>
        <w:t>平衡臂</w:t>
      </w:r>
      <w:r>
        <w:rPr>
          <w:rFonts w:hint="eastAsia" w:ascii="Times New Roman" w:hAnsi="Times New Roman" w:eastAsia="宋体" w:cs="Times New Roman"/>
          <w:szCs w:val="21"/>
          <w:highlight w:val="none"/>
        </w:rPr>
        <w:t>，将安全带交替系挂在</w:t>
      </w:r>
      <w:r>
        <w:rPr>
          <w:rFonts w:hint="eastAsia" w:cs="Times New Roman"/>
          <w:szCs w:val="21"/>
          <w:highlight w:val="none"/>
          <w:lang w:val="en-US" w:eastAsia="zh-CN"/>
        </w:rPr>
        <w:t>平衡臂</w:t>
      </w:r>
      <w:r>
        <w:rPr>
          <w:rFonts w:hint="eastAsia" w:ascii="Times New Roman" w:hAnsi="Times New Roman" w:eastAsia="宋体" w:cs="Times New Roman"/>
          <w:szCs w:val="21"/>
          <w:highlight w:val="none"/>
        </w:rPr>
        <w:t>臂节</w:t>
      </w:r>
      <w:r>
        <w:rPr>
          <w:rFonts w:hint="eastAsia" w:cs="Times New Roman"/>
          <w:szCs w:val="21"/>
          <w:highlight w:val="none"/>
          <w:lang w:val="en-US" w:eastAsia="zh-CN"/>
        </w:rPr>
        <w:t>护栏</w:t>
      </w:r>
      <w:r>
        <w:rPr>
          <w:rFonts w:hint="eastAsia" w:ascii="Times New Roman" w:hAnsi="Times New Roman" w:eastAsia="宋体" w:cs="Times New Roman"/>
          <w:szCs w:val="21"/>
          <w:highlight w:val="none"/>
        </w:rPr>
        <w:t>，沿</w:t>
      </w:r>
      <w:r>
        <w:rPr>
          <w:rFonts w:hint="eastAsia" w:cs="Times New Roman"/>
          <w:szCs w:val="21"/>
          <w:highlight w:val="none"/>
          <w:lang w:val="en-US" w:eastAsia="zh-CN"/>
        </w:rPr>
        <w:t>走道</w:t>
      </w:r>
      <w:r>
        <w:rPr>
          <w:rFonts w:hint="eastAsia" w:ascii="Times New Roman" w:hAnsi="Times New Roman" w:eastAsia="宋体" w:cs="Times New Roman"/>
          <w:szCs w:val="21"/>
          <w:highlight w:val="none"/>
        </w:rPr>
        <w:t>走行至</w:t>
      </w:r>
      <w:r>
        <w:rPr>
          <w:rFonts w:hint="eastAsia" w:cs="Times New Roman"/>
          <w:szCs w:val="21"/>
          <w:highlight w:val="none"/>
          <w:lang w:val="en-US" w:eastAsia="zh-CN"/>
        </w:rPr>
        <w:t>平衡臂</w:t>
      </w:r>
      <w:r>
        <w:rPr>
          <w:rFonts w:hint="eastAsia" w:ascii="Times New Roman" w:hAnsi="Times New Roman" w:eastAsia="宋体" w:cs="Times New Roman"/>
          <w:szCs w:val="21"/>
          <w:highlight w:val="none"/>
        </w:rPr>
        <w:t>臂节吊点位置，</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放松吊钩，作业人员解除钢丝绳与</w:t>
      </w:r>
      <w:r>
        <w:rPr>
          <w:rFonts w:hint="eastAsia" w:cs="Times New Roman"/>
          <w:szCs w:val="21"/>
          <w:highlight w:val="none"/>
          <w:lang w:val="en-US" w:eastAsia="zh-CN"/>
        </w:rPr>
        <w:t>平衡臂</w:t>
      </w:r>
      <w:r>
        <w:rPr>
          <w:rFonts w:hint="eastAsia" w:ascii="Times New Roman" w:hAnsi="Times New Roman" w:eastAsia="宋体" w:cs="Times New Roman"/>
          <w:szCs w:val="21"/>
          <w:highlight w:val="none"/>
        </w:rPr>
        <w:t>臂节吊点的连接。</w:t>
      </w:r>
    </w:p>
    <w:p w14:paraId="1E64D8D9">
      <w:pPr>
        <w:widowControl w:val="0"/>
        <w:adjustRightInd/>
        <w:snapToGrid/>
        <w:ind w:firstLine="480"/>
        <w:rPr>
          <w:rFonts w:hint="default"/>
          <w:highlight w:val="none"/>
          <w:lang w:val="en-US" w:eastAsia="zh-CN"/>
        </w:rPr>
      </w:pPr>
      <w:r>
        <w:rPr>
          <w:rFonts w:hint="eastAsia" w:ascii="宋体" w:hAnsi="宋体" w:eastAsia="宋体" w:cs="宋体"/>
          <w:szCs w:val="21"/>
          <w:highlight w:val="none"/>
        </w:rPr>
        <w:t>（</w:t>
      </w:r>
      <w:r>
        <w:rPr>
          <w:rFonts w:hint="eastAsia" w:ascii="宋体" w:hAnsi="宋体" w:cs="宋体"/>
          <w:szCs w:val="21"/>
          <w:highlight w:val="none"/>
          <w:lang w:val="en-US" w:eastAsia="zh-CN"/>
        </w:rPr>
        <w:t>4</w:t>
      </w:r>
      <w:r>
        <w:rPr>
          <w:rFonts w:hint="eastAsia" w:ascii="宋体" w:hAnsi="宋体" w:eastAsia="宋体" w:cs="宋体"/>
          <w:szCs w:val="21"/>
          <w:highlight w:val="none"/>
        </w:rPr>
        <w:t>）</w:t>
      </w:r>
      <w:r>
        <w:rPr>
          <w:rFonts w:hint="eastAsia" w:cs="Times New Roman"/>
          <w:szCs w:val="21"/>
          <w:highlight w:val="none"/>
          <w:lang w:val="en-US" w:eastAsia="zh-CN"/>
        </w:rPr>
        <w:t>平衡臂</w:t>
      </w:r>
      <w:r>
        <w:rPr>
          <w:rFonts w:hint="eastAsia" w:ascii="Times New Roman" w:hAnsi="Times New Roman" w:eastAsia="宋体" w:cs="Times New Roman"/>
          <w:szCs w:val="21"/>
          <w:highlight w:val="none"/>
        </w:rPr>
        <w:t>安装时设置警戒区，起吊安排专人负责指挥，专人操作，严禁无关人员进入起重作业范围内。</w:t>
      </w:r>
    </w:p>
    <w:p w14:paraId="5F8112AC">
      <w:pPr>
        <w:pStyle w:val="3"/>
        <w:numPr>
          <w:ilvl w:val="1"/>
          <w:numId w:val="4"/>
        </w:numPr>
        <w:bidi w:val="0"/>
        <w:ind w:left="567" w:leftChars="0" w:hanging="567" w:firstLineChars="0"/>
        <w:rPr>
          <w:rFonts w:hint="eastAsia" w:ascii="宋体" w:hAnsi="宋体" w:eastAsia="宋体" w:cs="宋体"/>
          <w:lang w:val="en-US" w:eastAsia="zh-CN"/>
        </w:rPr>
      </w:pPr>
      <w:bookmarkStart w:id="33" w:name="_Toc26317"/>
      <w:r>
        <w:rPr>
          <w:rFonts w:hint="eastAsia" w:ascii="宋体" w:hAnsi="宋体" w:eastAsia="宋体" w:cs="宋体"/>
          <w:lang w:val="en-US" w:eastAsia="zh-CN"/>
        </w:rPr>
        <w:t>安装</w:t>
      </w:r>
      <w:r>
        <w:rPr>
          <w:rFonts w:hint="eastAsia" w:cs="宋体"/>
          <w:lang w:val="en-US" w:eastAsia="zh-CN"/>
        </w:rPr>
        <w:t>2</w:t>
      </w:r>
      <w:r>
        <w:rPr>
          <w:rFonts w:hint="eastAsia" w:ascii="宋体" w:hAnsi="宋体" w:eastAsia="宋体" w:cs="宋体"/>
          <w:lang w:val="en-US" w:eastAsia="zh-CN"/>
        </w:rPr>
        <w:t>块</w:t>
      </w:r>
      <w:r>
        <w:rPr>
          <w:rFonts w:hint="eastAsia" w:cs="宋体"/>
          <w:lang w:val="en-US" w:eastAsia="zh-CN"/>
        </w:rPr>
        <w:t>2.85</w:t>
      </w:r>
      <w:r>
        <w:rPr>
          <w:rFonts w:hint="eastAsia" w:ascii="宋体" w:hAnsi="宋体" w:eastAsia="宋体" w:cs="宋体"/>
          <w:lang w:val="en-US" w:eastAsia="zh-CN"/>
        </w:rPr>
        <w:t>t平衡重</w:t>
      </w:r>
      <w:bookmarkEnd w:id="31"/>
      <w:bookmarkEnd w:id="32"/>
      <w:bookmarkEnd w:id="33"/>
    </w:p>
    <w:p w14:paraId="6EA89438">
      <w:pPr>
        <w:bidi w:val="0"/>
        <w:ind w:firstLine="480" w:firstLineChars="200"/>
        <w:rPr>
          <w:rFonts w:hint="eastAsia"/>
          <w:lang w:val="en-US" w:eastAsia="zh-CN"/>
        </w:rPr>
      </w:pPr>
      <w:r>
        <w:rPr>
          <w:rFonts w:hint="eastAsia" w:ascii="宋体" w:hAnsi="宋体" w:eastAsia="宋体" w:cs="Times New Roman"/>
          <w:highlight w:val="none"/>
          <w:lang w:val="en-US" w:eastAsia="zh-CN"/>
        </w:rPr>
        <w:t>作业人员在地面上先将钢丝绳一端挂在吊机吊钩上，另一端与卸扣连接，启动吊机，将卸扣缓慢提升至平衡重上方时，缓慢放松吊钩，作业人员通过平衡臂走道走行至平衡臂尾部，将安全带</w:t>
      </w:r>
      <w:r>
        <w:rPr>
          <w:rFonts w:hint="eastAsia" w:ascii="Times New Roman" w:hAnsi="Times New Roman" w:eastAsia="宋体" w:cs="Times New Roman"/>
          <w:color w:val="auto"/>
          <w:szCs w:val="21"/>
          <w:highlight w:val="none"/>
        </w:rPr>
        <w:t>系挂在平衡臂横杆上，</w:t>
      </w:r>
      <w:r>
        <w:rPr>
          <w:rFonts w:hint="eastAsia" w:eastAsia="宋体" w:cs="Times New Roman"/>
          <w:color w:val="auto"/>
          <w:szCs w:val="21"/>
          <w:highlight w:val="none"/>
          <w:lang w:val="en-US" w:eastAsia="zh-CN"/>
        </w:rPr>
        <w:t>将配重吊起放置于平衡臂的配重槽上时，穿入平衡重销孔轴，然后平稳地将平衡重落于配重槽内。解除吊装钢丝绳</w:t>
      </w:r>
      <w:r>
        <w:rPr>
          <w:rFonts w:hint="eastAsia" w:ascii="Times New Roman" w:hAnsi="Times New Roman" w:eastAsia="宋体" w:cs="Times New Roman"/>
          <w:color w:val="auto"/>
          <w:szCs w:val="21"/>
          <w:highlight w:val="none"/>
        </w:rPr>
        <w:t>。</w:t>
      </w:r>
    </w:p>
    <w:p w14:paraId="129236A9">
      <w:pPr>
        <w:bidi w:val="0"/>
        <w:ind w:left="0" w:leftChars="0" w:firstLine="0" w:firstLineChars="0"/>
        <w:jc w:val="center"/>
        <w:rPr>
          <w:rFonts w:hint="eastAsia"/>
          <w:highlight w:val="none"/>
          <w:lang w:val="en-US" w:eastAsia="zh-CN"/>
        </w:rPr>
      </w:pPr>
      <w:r>
        <w:drawing>
          <wp:inline distT="0" distB="0" distL="114300" distR="114300">
            <wp:extent cx="3632200" cy="2905125"/>
            <wp:effectExtent l="0" t="0" r="6350" b="9525"/>
            <wp:docPr id="13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1"/>
                    <pic:cNvPicPr>
                      <a:picLocks noChangeAspect="1"/>
                    </pic:cNvPicPr>
                  </pic:nvPicPr>
                  <pic:blipFill>
                    <a:blip r:embed="rId25"/>
                    <a:stretch>
                      <a:fillRect/>
                    </a:stretch>
                  </pic:blipFill>
                  <pic:spPr>
                    <a:xfrm>
                      <a:off x="0" y="0"/>
                      <a:ext cx="3632200" cy="2905125"/>
                    </a:xfrm>
                    <a:prstGeom prst="rect">
                      <a:avLst/>
                    </a:prstGeom>
                    <a:noFill/>
                    <a:ln>
                      <a:noFill/>
                    </a:ln>
                  </pic:spPr>
                </pic:pic>
              </a:graphicData>
            </a:graphic>
          </wp:inline>
        </w:drawing>
      </w:r>
      <w:r>
        <w:drawing>
          <wp:inline distT="0" distB="0" distL="114300" distR="114300">
            <wp:extent cx="3848100" cy="3352800"/>
            <wp:effectExtent l="0" t="0" r="0" b="0"/>
            <wp:docPr id="18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33"/>
                    <pic:cNvPicPr>
                      <a:picLocks noChangeAspect="1"/>
                    </pic:cNvPicPr>
                  </pic:nvPicPr>
                  <pic:blipFill>
                    <a:blip r:embed="rId27"/>
                    <a:stretch>
                      <a:fillRect/>
                    </a:stretch>
                  </pic:blipFill>
                  <pic:spPr>
                    <a:xfrm>
                      <a:off x="0" y="0"/>
                      <a:ext cx="3848100" cy="3352800"/>
                    </a:xfrm>
                    <a:prstGeom prst="rect">
                      <a:avLst/>
                    </a:prstGeom>
                    <a:noFill/>
                    <a:ln>
                      <a:noFill/>
                    </a:ln>
                  </pic:spPr>
                </pic:pic>
              </a:graphicData>
            </a:graphic>
          </wp:inline>
        </w:drawing>
      </w:r>
    </w:p>
    <w:p w14:paraId="2485C9BD">
      <w:pPr>
        <w:pStyle w:val="15"/>
        <w:bidi w:val="0"/>
        <w:ind w:left="0" w:leftChars="0" w:firstLine="0" w:firstLineChars="0"/>
        <w:jc w:val="center"/>
        <w:rPr>
          <w:rFonts w:hint="default"/>
          <w:lang w:val="en-US" w:eastAsia="zh-CN"/>
        </w:rPr>
      </w:pPr>
      <w:r>
        <w:t xml:space="preserve">图 </w:t>
      </w:r>
      <w:r>
        <w:fldChar w:fldCharType="begin"/>
      </w:r>
      <w:r>
        <w:instrText xml:space="preserve"> STYLEREF 2 \s </w:instrText>
      </w:r>
      <w:r>
        <w:fldChar w:fldCharType="separate"/>
      </w:r>
      <w:r>
        <w:t>2.6</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 xml:space="preserve"> </w:t>
      </w:r>
      <w:r>
        <w:rPr>
          <w:rFonts w:hint="eastAsia"/>
          <w:highlight w:val="none"/>
          <w:lang w:val="en-US" w:eastAsia="zh-CN"/>
        </w:rPr>
        <w:t>平衡重吊装示意图</w:t>
      </w:r>
    </w:p>
    <w:p w14:paraId="1658A5B0">
      <w:pPr>
        <w:pStyle w:val="3"/>
        <w:numPr>
          <w:ilvl w:val="1"/>
          <w:numId w:val="4"/>
        </w:numPr>
        <w:bidi w:val="0"/>
        <w:ind w:left="567" w:leftChars="0" w:hanging="567" w:firstLineChars="0"/>
        <w:rPr>
          <w:rFonts w:hint="eastAsia" w:ascii="宋体" w:hAnsi="宋体" w:eastAsia="宋体" w:cs="宋体"/>
          <w:lang w:val="en-US" w:eastAsia="zh-CN"/>
        </w:rPr>
      </w:pPr>
      <w:bookmarkStart w:id="34" w:name="_Toc3931"/>
      <w:bookmarkStart w:id="35" w:name="_Toc23299"/>
      <w:bookmarkStart w:id="36" w:name="_Toc21892"/>
      <w:r>
        <w:rPr>
          <w:rFonts w:hint="eastAsia" w:ascii="宋体" w:hAnsi="宋体" w:eastAsia="宋体" w:cs="宋体"/>
          <w:lang w:val="en-US" w:eastAsia="zh-CN"/>
        </w:rPr>
        <w:t>安装剩余起重臂</w:t>
      </w:r>
      <w:bookmarkEnd w:id="34"/>
      <w:bookmarkEnd w:id="35"/>
      <w:bookmarkEnd w:id="36"/>
    </w:p>
    <w:p w14:paraId="213E65E4">
      <w:pPr>
        <w:rPr>
          <w:rFonts w:hint="eastAsia"/>
          <w:lang w:val="en-US" w:eastAsia="zh-CN"/>
        </w:rPr>
      </w:pPr>
      <w:r>
        <w:rPr>
          <w:rFonts w:hint="eastAsia"/>
          <w:lang w:val="en-US" w:eastAsia="zh-CN"/>
        </w:rPr>
        <w:t>1、起重臂组装</w:t>
      </w:r>
    </w:p>
    <w:p w14:paraId="39BE8D8E">
      <w:pPr>
        <w:ind w:firstLine="420" w:firstLineChars="0"/>
        <w:rPr>
          <w:rFonts w:hint="eastAsia"/>
          <w:lang w:val="en-US" w:eastAsia="zh-CN"/>
        </w:rPr>
      </w:pPr>
      <w:r>
        <w:rPr>
          <w:rFonts w:hint="eastAsia"/>
          <w:lang w:val="en-US" w:eastAsia="zh-CN"/>
        </w:rPr>
        <w:t>起重臂组装时，必须严格按照每节臂上的序号标记组装，不允许错位或随意组装。根据施工要求可以将起重臂组装成如下图起重臂臂长组合所示组合。</w:t>
      </w:r>
    </w:p>
    <w:p w14:paraId="39B6E0A1">
      <w:pPr>
        <w:rPr>
          <w:highlight w:val="none"/>
        </w:rPr>
      </w:pPr>
      <w:r>
        <w:drawing>
          <wp:inline distT="0" distB="0" distL="114300" distR="114300">
            <wp:extent cx="5273675" cy="3869690"/>
            <wp:effectExtent l="0" t="0" r="3175" b="16510"/>
            <wp:docPr id="16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23"/>
                    <pic:cNvPicPr>
                      <a:picLocks noChangeAspect="1"/>
                    </pic:cNvPicPr>
                  </pic:nvPicPr>
                  <pic:blipFill>
                    <a:blip r:embed="rId28"/>
                    <a:stretch>
                      <a:fillRect/>
                    </a:stretch>
                  </pic:blipFill>
                  <pic:spPr>
                    <a:xfrm>
                      <a:off x="0" y="0"/>
                      <a:ext cx="5273675" cy="3869690"/>
                    </a:xfrm>
                    <a:prstGeom prst="rect">
                      <a:avLst/>
                    </a:prstGeom>
                    <a:noFill/>
                    <a:ln>
                      <a:noFill/>
                    </a:ln>
                  </pic:spPr>
                </pic:pic>
              </a:graphicData>
            </a:graphic>
          </wp:inline>
        </w:drawing>
      </w:r>
    </w:p>
    <w:p w14:paraId="6BB0E7DE">
      <w:pPr>
        <w:pStyle w:val="15"/>
        <w:bidi w:val="0"/>
        <w:rPr>
          <w:rFonts w:hint="eastAsia" w:ascii="Times New Roman" w:hAnsi="Times New Roman" w:cs="Times New Roman"/>
          <w:highlight w:val="none"/>
          <w:lang w:val="en-US" w:eastAsia="zh-CN"/>
        </w:rPr>
      </w:pPr>
      <w:r>
        <w:rPr>
          <w:rFonts w:ascii="Times New Roman" w:hAnsi="Times New Roman" w:cs="Times New Roman"/>
          <w:highlight w:val="none"/>
        </w:rPr>
        <w:t>图</w:t>
      </w:r>
      <w:r>
        <w:fldChar w:fldCharType="begin"/>
      </w:r>
      <w:r>
        <w:instrText xml:space="preserve"> STYLEREF 2 \s </w:instrText>
      </w:r>
      <w:r>
        <w:fldChar w:fldCharType="separate"/>
      </w:r>
      <w:r>
        <w:t>2.7</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ascii="Times New Roman" w:hAnsi="Times New Roman" w:cs="Times New Roman"/>
          <w:highlight w:val="none"/>
          <w:lang w:val="en-US" w:eastAsia="zh-CN"/>
        </w:rPr>
        <w:t xml:space="preserve"> 起重臂组合图</w:t>
      </w:r>
    </w:p>
    <w:p w14:paraId="4D11F15E">
      <w:pPr>
        <w:bidi w:val="0"/>
        <w:rPr>
          <w:rFonts w:hint="eastAsia"/>
          <w:b/>
          <w:bCs/>
          <w:lang w:val="en-US" w:eastAsia="zh-CN"/>
        </w:rPr>
      </w:pPr>
      <w:r>
        <w:rPr>
          <w:rFonts w:hint="eastAsia"/>
          <w:b/>
          <w:bCs/>
          <w:lang w:val="en-US" w:eastAsia="zh-CN"/>
        </w:rPr>
        <w:t>2、起重臂吊装</w:t>
      </w:r>
    </w:p>
    <w:p w14:paraId="412DFF2D">
      <w:pPr>
        <w:bidi w:val="0"/>
        <w:rPr>
          <w:rFonts w:hint="eastAsia"/>
          <w:lang w:val="en-US" w:eastAsia="zh-CN"/>
        </w:rPr>
      </w:pPr>
      <w:r>
        <w:rPr>
          <w:rFonts w:hint="eastAsia"/>
          <w:lang w:val="en-US" w:eastAsia="zh-CN"/>
        </w:rPr>
        <w:t>（1）操纵回转机构转动或者使用回转机构摇把，将塔机上部结构回转至方便安装起重臂的方位。</w:t>
      </w:r>
    </w:p>
    <w:p w14:paraId="4C0D1925">
      <w:pPr>
        <w:bidi w:val="0"/>
        <w:rPr>
          <w:rFonts w:hint="eastAsia"/>
          <w:lang w:val="en-US" w:eastAsia="zh-CN"/>
        </w:rPr>
      </w:pPr>
      <w:r>
        <w:rPr>
          <w:rFonts w:hint="eastAsia"/>
          <w:lang w:val="en-US" w:eastAsia="zh-CN"/>
        </w:rPr>
        <w:t>（2）按各种臂长的起重臂总成重心位置进行挂绳，如下图和下表所示，试吊是否平衡，否则可适当移动挂绳位置，吊装时两吊点距离10m≤d≤25m。</w:t>
      </w:r>
    </w:p>
    <w:p w14:paraId="785310F1">
      <w:pPr>
        <w:bidi w:val="0"/>
        <w:ind w:left="0" w:leftChars="0" w:firstLine="0" w:firstLineChars="0"/>
        <w:jc w:val="center"/>
        <w:rPr>
          <w:highlight w:val="none"/>
        </w:rPr>
      </w:pPr>
    </w:p>
    <w:p w14:paraId="170A8A9F">
      <w:pPr>
        <w:bidi w:val="0"/>
        <w:ind w:left="0" w:leftChars="0" w:firstLine="0" w:firstLineChars="0"/>
        <w:jc w:val="center"/>
        <w:rPr>
          <w:highlight w:val="none"/>
        </w:rPr>
      </w:pPr>
      <w:r>
        <w:drawing>
          <wp:inline distT="0" distB="0" distL="114300" distR="114300">
            <wp:extent cx="5271770" cy="1266190"/>
            <wp:effectExtent l="0" t="0" r="5080" b="10160"/>
            <wp:docPr id="16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24"/>
                    <pic:cNvPicPr>
                      <a:picLocks noChangeAspect="1"/>
                    </pic:cNvPicPr>
                  </pic:nvPicPr>
                  <pic:blipFill>
                    <a:blip r:embed="rId29"/>
                    <a:stretch>
                      <a:fillRect/>
                    </a:stretch>
                  </pic:blipFill>
                  <pic:spPr>
                    <a:xfrm>
                      <a:off x="0" y="0"/>
                      <a:ext cx="5271770" cy="1266190"/>
                    </a:xfrm>
                    <a:prstGeom prst="rect">
                      <a:avLst/>
                    </a:prstGeom>
                    <a:noFill/>
                    <a:ln>
                      <a:noFill/>
                    </a:ln>
                  </pic:spPr>
                </pic:pic>
              </a:graphicData>
            </a:graphic>
          </wp:inline>
        </w:drawing>
      </w:r>
    </w:p>
    <w:p w14:paraId="2BF10551">
      <w:pPr>
        <w:bidi w:val="0"/>
        <w:ind w:left="0" w:leftChars="0" w:firstLine="0" w:firstLineChars="0"/>
        <w:jc w:val="center"/>
        <w:rPr>
          <w:highlight w:val="none"/>
        </w:rPr>
      </w:pPr>
      <w:r>
        <w:drawing>
          <wp:inline distT="0" distB="0" distL="114300" distR="114300">
            <wp:extent cx="5270500" cy="2838450"/>
            <wp:effectExtent l="0" t="0" r="6350" b="0"/>
            <wp:docPr id="16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26"/>
                    <pic:cNvPicPr>
                      <a:picLocks noChangeAspect="1"/>
                    </pic:cNvPicPr>
                  </pic:nvPicPr>
                  <pic:blipFill>
                    <a:blip r:embed="rId30"/>
                    <a:stretch>
                      <a:fillRect/>
                    </a:stretch>
                  </pic:blipFill>
                  <pic:spPr>
                    <a:xfrm>
                      <a:off x="0" y="0"/>
                      <a:ext cx="5270500" cy="2838450"/>
                    </a:xfrm>
                    <a:prstGeom prst="rect">
                      <a:avLst/>
                    </a:prstGeom>
                    <a:noFill/>
                    <a:ln>
                      <a:noFill/>
                    </a:ln>
                  </pic:spPr>
                </pic:pic>
              </a:graphicData>
            </a:graphic>
          </wp:inline>
        </w:drawing>
      </w:r>
    </w:p>
    <w:p w14:paraId="6840CAE9">
      <w:pPr>
        <w:pStyle w:val="15"/>
        <w:bidi w:val="0"/>
        <w:rPr>
          <w:rFonts w:hint="eastAsia" w:ascii="Times New Roman" w:hAnsi="Times New Roman" w:cs="Times New Roman"/>
          <w:highlight w:val="none"/>
          <w:lang w:val="en-US" w:eastAsia="zh-CN"/>
        </w:rPr>
      </w:pPr>
      <w:r>
        <w:rPr>
          <w:rFonts w:ascii="Times New Roman" w:hAnsi="Times New Roman" w:cs="Times New Roman"/>
          <w:highlight w:val="none"/>
        </w:rPr>
        <w:t>图</w:t>
      </w:r>
      <w:r>
        <w:fldChar w:fldCharType="begin"/>
      </w:r>
      <w:r>
        <w:instrText xml:space="preserve"> STYLEREF 2 \s </w:instrText>
      </w:r>
      <w:r>
        <w:fldChar w:fldCharType="separate"/>
      </w:r>
      <w:r>
        <w:t>2.7</w:t>
      </w:r>
      <w:r>
        <w:fldChar w:fldCharType="end"/>
      </w:r>
      <w:r>
        <w:rPr>
          <w:rFonts w:hint="eastAsia"/>
          <w:lang w:eastAsia="zh-CN"/>
        </w:rPr>
        <w:t>-</w:t>
      </w:r>
      <w:r>
        <w:fldChar w:fldCharType="begin"/>
      </w:r>
      <w:r>
        <w:instrText xml:space="preserve"> SEQ 图 \* ARABIC \s 2 </w:instrText>
      </w:r>
      <w:r>
        <w:fldChar w:fldCharType="separate"/>
      </w:r>
      <w:r>
        <w:t>2</w:t>
      </w:r>
      <w:r>
        <w:fldChar w:fldCharType="end"/>
      </w:r>
      <w:r>
        <w:rPr>
          <w:rFonts w:hint="eastAsia" w:ascii="Times New Roman" w:hAnsi="Times New Roman" w:cs="Times New Roman"/>
          <w:highlight w:val="none"/>
          <w:lang w:val="en-US" w:eastAsia="zh-CN"/>
        </w:rPr>
        <w:t xml:space="preserve"> 起重臂参考重心位置</w:t>
      </w:r>
    </w:p>
    <w:p w14:paraId="28DFCCC2">
      <w:pPr>
        <w:pStyle w:val="15"/>
      </w:pPr>
      <w:r>
        <w:drawing>
          <wp:inline distT="0" distB="0" distL="114300" distR="114300">
            <wp:extent cx="4234180" cy="4192905"/>
            <wp:effectExtent l="0" t="0" r="13970" b="17145"/>
            <wp:docPr id="16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29"/>
                    <pic:cNvPicPr>
                      <a:picLocks noChangeAspect="1"/>
                    </pic:cNvPicPr>
                  </pic:nvPicPr>
                  <pic:blipFill>
                    <a:blip r:embed="rId31"/>
                    <a:srcRect t="8761" r="16452"/>
                    <a:stretch>
                      <a:fillRect/>
                    </a:stretch>
                  </pic:blipFill>
                  <pic:spPr>
                    <a:xfrm>
                      <a:off x="0" y="0"/>
                      <a:ext cx="4234180" cy="4192905"/>
                    </a:xfrm>
                    <a:prstGeom prst="rect">
                      <a:avLst/>
                    </a:prstGeom>
                    <a:noFill/>
                    <a:ln>
                      <a:noFill/>
                    </a:ln>
                  </pic:spPr>
                </pic:pic>
              </a:graphicData>
            </a:graphic>
          </wp:inline>
        </w:drawing>
      </w:r>
      <w:r>
        <w:drawing>
          <wp:inline distT="0" distB="0" distL="114300" distR="114300">
            <wp:extent cx="5270500" cy="3492500"/>
            <wp:effectExtent l="0" t="0" r="6350" b="12700"/>
            <wp:docPr id="18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32"/>
                    <pic:cNvPicPr>
                      <a:picLocks noChangeAspect="1"/>
                    </pic:cNvPicPr>
                  </pic:nvPicPr>
                  <pic:blipFill>
                    <a:blip r:embed="rId32"/>
                    <a:stretch>
                      <a:fillRect/>
                    </a:stretch>
                  </pic:blipFill>
                  <pic:spPr>
                    <a:xfrm>
                      <a:off x="0" y="0"/>
                      <a:ext cx="5270500" cy="3492500"/>
                    </a:xfrm>
                    <a:prstGeom prst="rect">
                      <a:avLst/>
                    </a:prstGeom>
                    <a:noFill/>
                    <a:ln>
                      <a:noFill/>
                    </a:ln>
                  </pic:spPr>
                </pic:pic>
              </a:graphicData>
            </a:graphic>
          </wp:inline>
        </w:drawing>
      </w:r>
      <w:r>
        <w:t xml:space="preserve">图 </w:t>
      </w:r>
      <w:r>
        <w:fldChar w:fldCharType="begin"/>
      </w:r>
      <w:r>
        <w:instrText xml:space="preserve"> STYLEREF 2 \s </w:instrText>
      </w:r>
      <w:r>
        <w:fldChar w:fldCharType="separate"/>
      </w:r>
      <w:r>
        <w:t>2.7</w:t>
      </w:r>
      <w:r>
        <w:fldChar w:fldCharType="end"/>
      </w:r>
      <w:r>
        <w:rPr>
          <w:rFonts w:hint="eastAsia"/>
          <w:lang w:eastAsia="zh-CN"/>
        </w:rPr>
        <w:t>-</w:t>
      </w:r>
      <w:r>
        <w:fldChar w:fldCharType="begin"/>
      </w:r>
      <w:r>
        <w:instrText xml:space="preserve"> SEQ 图 \* ARABIC \s 2 </w:instrText>
      </w:r>
      <w:r>
        <w:fldChar w:fldCharType="separate"/>
      </w:r>
      <w:r>
        <w:t>4</w:t>
      </w:r>
      <w:r>
        <w:fldChar w:fldCharType="end"/>
      </w:r>
      <w:r>
        <w:rPr>
          <w:rFonts w:hint="eastAsia"/>
          <w:lang w:val="en-US" w:eastAsia="zh-CN"/>
        </w:rPr>
        <w:t xml:space="preserve"> </w:t>
      </w:r>
      <w:r>
        <w:rPr>
          <w:rFonts w:hint="eastAsia" w:ascii="Times New Roman" w:hAnsi="Times New Roman" w:cs="Times New Roman"/>
          <w:highlight w:val="none"/>
          <w:lang w:val="en-US" w:eastAsia="zh-CN"/>
        </w:rPr>
        <w:t>起重臂</w:t>
      </w:r>
      <w:r>
        <w:rPr>
          <w:rFonts w:hint="eastAsia" w:cs="Times New Roman"/>
          <w:highlight w:val="none"/>
          <w:lang w:val="en-US" w:eastAsia="zh-CN"/>
        </w:rPr>
        <w:t>臂节三</w:t>
      </w:r>
      <w:r>
        <w:rPr>
          <w:rFonts w:hint="eastAsia" w:ascii="Times New Roman" w:hAnsi="Times New Roman" w:cs="Times New Roman"/>
          <w:highlight w:val="none"/>
          <w:lang w:val="en-US" w:eastAsia="zh-CN"/>
        </w:rPr>
        <w:t>吊装示意图</w:t>
      </w:r>
    </w:p>
    <w:p w14:paraId="570E76F2">
      <w:pPr>
        <w:pStyle w:val="3"/>
        <w:numPr>
          <w:ilvl w:val="1"/>
          <w:numId w:val="4"/>
        </w:numPr>
        <w:bidi w:val="0"/>
        <w:ind w:left="567" w:leftChars="0" w:hanging="567" w:firstLineChars="0"/>
        <w:rPr>
          <w:rFonts w:hint="eastAsia" w:ascii="宋体" w:hAnsi="宋体" w:eastAsia="宋体" w:cs="宋体"/>
          <w:lang w:val="en-US" w:eastAsia="zh-CN"/>
        </w:rPr>
      </w:pPr>
      <w:bookmarkStart w:id="37" w:name="_Toc13614"/>
      <w:r>
        <w:rPr>
          <w:rFonts w:hint="eastAsia" w:ascii="宋体" w:hAnsi="宋体" w:eastAsia="宋体" w:cs="宋体"/>
          <w:lang w:val="en-US" w:eastAsia="zh-CN"/>
        </w:rPr>
        <w:t>安装剩余平衡重</w:t>
      </w:r>
      <w:bookmarkEnd w:id="37"/>
    </w:p>
    <w:p w14:paraId="52D3C0A5">
      <w:pPr>
        <w:bidi w:val="0"/>
        <w:ind w:firstLine="480" w:firstLineChars="200"/>
        <w:rPr>
          <w:rFonts w:hint="eastAsia"/>
          <w:highlight w:val="none"/>
          <w:lang w:val="en-US" w:eastAsia="zh-CN"/>
        </w:rPr>
      </w:pPr>
      <w:r>
        <w:rPr>
          <w:rFonts w:hint="eastAsia"/>
          <w:highlight w:val="none"/>
          <w:lang w:val="en-US" w:eastAsia="zh-CN"/>
        </w:rPr>
        <w:t>平衡重的重量随起重臂长度、平衡臂长度的改变而改变，根据所使用的起重臂及相应平衡臂长度吊装平衡臂。</w:t>
      </w:r>
    </w:p>
    <w:p w14:paraId="208C695C">
      <w:pPr>
        <w:pStyle w:val="15"/>
        <w:rPr>
          <w:rFonts w:hint="eastAsia" w:eastAsia="黑体"/>
          <w:highlight w:val="none"/>
          <w:lang w:val="en-US" w:eastAsia="zh-CN"/>
        </w:rPr>
      </w:pPr>
      <w:r>
        <w:rPr>
          <w:highlight w:val="none"/>
        </w:rPr>
        <w:t>表</w:t>
      </w:r>
      <w:r>
        <w:fldChar w:fldCharType="begin"/>
      </w:r>
      <w:r>
        <w:instrText xml:space="preserve"> STYLEREF 2 \s </w:instrText>
      </w:r>
      <w:r>
        <w:fldChar w:fldCharType="separate"/>
      </w:r>
      <w:r>
        <w:t>2.8</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highlight w:val="none"/>
        </w:rPr>
        <w:t>平衡重安装</w:t>
      </w:r>
      <w:r>
        <w:rPr>
          <w:rFonts w:hint="eastAsia"/>
          <w:highlight w:val="none"/>
          <w:lang w:val="en-US" w:eastAsia="zh-CN"/>
        </w:rPr>
        <w:t>表</w:t>
      </w:r>
    </w:p>
    <w:p w14:paraId="1AABFA85">
      <w:pPr>
        <w:bidi w:val="0"/>
        <w:ind w:left="0" w:leftChars="0" w:firstLine="0" w:firstLineChars="0"/>
        <w:jc w:val="center"/>
        <w:rPr>
          <w:highlight w:val="none"/>
        </w:rPr>
      </w:pPr>
      <w:r>
        <w:drawing>
          <wp:inline distT="0" distB="0" distL="114300" distR="114300">
            <wp:extent cx="5274310" cy="946785"/>
            <wp:effectExtent l="0" t="0" r="2540" b="5715"/>
            <wp:docPr id="16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27"/>
                    <pic:cNvPicPr>
                      <a:picLocks noChangeAspect="1"/>
                    </pic:cNvPicPr>
                  </pic:nvPicPr>
                  <pic:blipFill>
                    <a:blip r:embed="rId33"/>
                    <a:stretch>
                      <a:fillRect/>
                    </a:stretch>
                  </pic:blipFill>
                  <pic:spPr>
                    <a:xfrm>
                      <a:off x="0" y="0"/>
                      <a:ext cx="5274310" cy="946785"/>
                    </a:xfrm>
                    <a:prstGeom prst="rect">
                      <a:avLst/>
                    </a:prstGeom>
                    <a:noFill/>
                    <a:ln>
                      <a:noFill/>
                    </a:ln>
                  </pic:spPr>
                </pic:pic>
              </a:graphicData>
            </a:graphic>
          </wp:inline>
        </w:drawing>
      </w:r>
    </w:p>
    <w:p w14:paraId="48CA81E8">
      <w:pPr>
        <w:widowControl w:val="0"/>
        <w:adjustRightInd/>
        <w:snapToGrid/>
        <w:ind w:firstLine="480"/>
        <w:rPr>
          <w:rFonts w:hint="eastAsia" w:ascii="Times New Roman" w:hAnsi="Times New Roman" w:eastAsia="宋体" w:cs="Times New Roman"/>
          <w:szCs w:val="21"/>
          <w:highlight w:val="none"/>
        </w:rPr>
      </w:pPr>
      <w:r>
        <w:rPr>
          <w:rFonts w:hint="eastAsia" w:ascii="Times New Roman" w:hAnsi="Times New Roman" w:eastAsia="宋体" w:cs="Times New Roman"/>
          <w:szCs w:val="21"/>
          <w:highlight w:val="none"/>
        </w:rPr>
        <w:t>剩余平衡重吊装方</w:t>
      </w:r>
      <w:r>
        <w:rPr>
          <w:rFonts w:hint="eastAsia" w:ascii="Times New Roman" w:hAnsi="Times New Roman" w:eastAsia="宋体" w:cs="Times New Roman"/>
          <w:color w:val="auto"/>
          <w:szCs w:val="21"/>
          <w:highlight w:val="none"/>
        </w:rPr>
        <w:t>法同安装第1块平衡重。吊装完成后检查并确</w:t>
      </w:r>
      <w:r>
        <w:rPr>
          <w:rFonts w:hint="eastAsia" w:ascii="Times New Roman" w:hAnsi="Times New Roman" w:eastAsia="宋体" w:cs="Times New Roman"/>
          <w:szCs w:val="21"/>
          <w:highlight w:val="none"/>
        </w:rPr>
        <w:t>认相邻平衡重块的整个表面是否贴紧。</w:t>
      </w:r>
    </w:p>
    <w:p w14:paraId="2D0BF6A9">
      <w:pPr>
        <w:bidi w:val="0"/>
        <w:ind w:firstLine="480" w:firstLineChars="200"/>
        <w:rPr>
          <w:rFonts w:hint="eastAsia" w:ascii="宋体" w:hAnsi="宋体" w:eastAsia="宋体" w:cs="Times New Roman"/>
          <w:highlight w:val="none"/>
          <w:lang w:val="en-US" w:eastAsia="zh-CN"/>
        </w:rPr>
      </w:pPr>
      <w:r>
        <w:rPr>
          <w:rFonts w:hint="eastAsia" w:ascii="宋体" w:hAnsi="宋体" w:eastAsia="宋体" w:cs="Times New Roman"/>
          <w:highlight w:val="none"/>
          <w:lang w:val="en-US" w:eastAsia="zh-CN"/>
        </w:rPr>
        <w:t>按从起升机构侧向塔身侧依次吊装平衡重。</w:t>
      </w:r>
    </w:p>
    <w:p w14:paraId="68A290AB">
      <w:pPr>
        <w:bidi w:val="0"/>
        <w:ind w:firstLine="480" w:firstLineChars="200"/>
        <w:rPr>
          <w:rFonts w:ascii="Times New Roman" w:hAnsi="Times New Roman" w:eastAsia="宋体" w:cs="Times New Roman"/>
          <w:color w:val="auto"/>
          <w:szCs w:val="21"/>
          <w:highlight w:val="none"/>
        </w:rPr>
      </w:pPr>
      <w:r>
        <w:rPr>
          <w:rFonts w:hint="eastAsia" w:ascii="宋体" w:hAnsi="宋体" w:eastAsia="宋体" w:cs="Times New Roman"/>
          <w:highlight w:val="none"/>
          <w:lang w:val="en-US" w:eastAsia="zh-CN"/>
        </w:rPr>
        <w:t>作业人员在地面上先将钢丝绳一端挂在吊机吊钩上，另一端与卸扣连接，启动吊机，将卸扣缓慢提升至平衡重上方时，缓慢放松吊钩，作业人员通过平衡臂走道走行至平衡臂尾部，将安全带</w:t>
      </w:r>
      <w:r>
        <w:rPr>
          <w:rFonts w:hint="eastAsia" w:ascii="Times New Roman" w:hAnsi="Times New Roman" w:eastAsia="宋体" w:cs="Times New Roman"/>
          <w:color w:val="auto"/>
          <w:szCs w:val="21"/>
          <w:highlight w:val="none"/>
        </w:rPr>
        <w:t>系挂在平衡臂横杆上，</w:t>
      </w:r>
      <w:r>
        <w:rPr>
          <w:rFonts w:hint="eastAsia" w:eastAsia="宋体" w:cs="Times New Roman"/>
          <w:color w:val="auto"/>
          <w:szCs w:val="21"/>
          <w:highlight w:val="none"/>
          <w:lang w:val="en-US" w:eastAsia="zh-CN"/>
        </w:rPr>
        <w:t>将配重吊起放置于平衡臂的配重槽上时，穿入平衡重销孔轴，然后平稳地将平衡重落于配重槽内。解除吊装钢丝绳</w:t>
      </w:r>
      <w:r>
        <w:rPr>
          <w:rFonts w:hint="eastAsia" w:ascii="Times New Roman" w:hAnsi="Times New Roman" w:eastAsia="宋体" w:cs="Times New Roman"/>
          <w:color w:val="auto"/>
          <w:szCs w:val="21"/>
          <w:highlight w:val="none"/>
        </w:rPr>
        <w:t>。</w:t>
      </w:r>
    </w:p>
    <w:p w14:paraId="07186231">
      <w:pPr>
        <w:widowControl w:val="0"/>
        <w:adjustRightInd/>
        <w:snapToGrid/>
        <w:ind w:firstLine="480"/>
        <w:rPr>
          <w:rFonts w:hint="eastAsia" w:ascii="Times New Roman" w:hAnsi="Times New Roman" w:eastAsia="宋体" w:cs="Times New Roman"/>
          <w:szCs w:val="21"/>
          <w:highlight w:val="none"/>
        </w:rPr>
      </w:pPr>
      <w:r>
        <w:rPr>
          <w:rFonts w:hint="eastAsia" w:ascii="Times New Roman" w:hAnsi="Times New Roman" w:eastAsia="宋体" w:cs="Times New Roman"/>
          <w:color w:val="auto"/>
          <w:szCs w:val="21"/>
          <w:highlight w:val="none"/>
        </w:rPr>
        <w:t>塔吊平衡重</w:t>
      </w:r>
      <w:r>
        <w:rPr>
          <w:rFonts w:hint="eastAsia" w:eastAsia="宋体" w:cs="Times New Roman"/>
          <w:color w:val="auto"/>
          <w:szCs w:val="21"/>
          <w:highlight w:val="none"/>
          <w:lang w:val="en-US" w:eastAsia="zh-CN"/>
        </w:rPr>
        <w:t>安装</w:t>
      </w:r>
      <w:r>
        <w:rPr>
          <w:rFonts w:hint="eastAsia" w:ascii="Times New Roman" w:hAnsi="Times New Roman" w:eastAsia="宋体" w:cs="Times New Roman"/>
          <w:color w:val="auto"/>
          <w:szCs w:val="21"/>
          <w:highlight w:val="none"/>
        </w:rPr>
        <w:t>时设置警戒区，起吊安排专人负责指挥，专人操作，严禁无关人员进入起重作业范围内。</w:t>
      </w:r>
    </w:p>
    <w:p w14:paraId="74C715E8">
      <w:pPr>
        <w:bidi w:val="0"/>
        <w:ind w:left="0" w:leftChars="0" w:firstLine="0" w:firstLineChars="0"/>
        <w:jc w:val="center"/>
        <w:rPr>
          <w:highlight w:val="none"/>
        </w:rPr>
      </w:pPr>
    </w:p>
    <w:p w14:paraId="18374B06">
      <w:pPr>
        <w:pStyle w:val="15"/>
        <w:rPr>
          <w:rFonts w:hint="eastAsia" w:ascii="Times New Roman" w:hAnsi="Times New Roman" w:cs="Times New Roman"/>
          <w:highlight w:val="none"/>
          <w:lang w:val="en-US" w:eastAsia="zh-CN"/>
        </w:rPr>
      </w:pPr>
      <w:r>
        <w:drawing>
          <wp:inline distT="0" distB="0" distL="114300" distR="114300">
            <wp:extent cx="4251325" cy="3542665"/>
            <wp:effectExtent l="0" t="0" r="15875" b="635"/>
            <wp:docPr id="17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30"/>
                    <pic:cNvPicPr>
                      <a:picLocks noChangeAspect="1"/>
                    </pic:cNvPicPr>
                  </pic:nvPicPr>
                  <pic:blipFill>
                    <a:blip r:embed="rId34"/>
                    <a:stretch>
                      <a:fillRect/>
                    </a:stretch>
                  </pic:blipFill>
                  <pic:spPr>
                    <a:xfrm>
                      <a:off x="0" y="0"/>
                      <a:ext cx="4251325" cy="3542665"/>
                    </a:xfrm>
                    <a:prstGeom prst="rect">
                      <a:avLst/>
                    </a:prstGeom>
                    <a:noFill/>
                    <a:ln>
                      <a:noFill/>
                    </a:ln>
                  </pic:spPr>
                </pic:pic>
              </a:graphicData>
            </a:graphic>
          </wp:inline>
        </w:drawing>
      </w:r>
      <w:r>
        <w:drawing>
          <wp:inline distT="0" distB="0" distL="114300" distR="114300">
            <wp:extent cx="4365625" cy="2590165"/>
            <wp:effectExtent l="0" t="0" r="15875" b="635"/>
            <wp:docPr id="18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31"/>
                    <pic:cNvPicPr>
                      <a:picLocks noChangeAspect="1"/>
                    </pic:cNvPicPr>
                  </pic:nvPicPr>
                  <pic:blipFill>
                    <a:blip r:embed="rId35"/>
                    <a:stretch>
                      <a:fillRect/>
                    </a:stretch>
                  </pic:blipFill>
                  <pic:spPr>
                    <a:xfrm>
                      <a:off x="0" y="0"/>
                      <a:ext cx="4365625" cy="2590165"/>
                    </a:xfrm>
                    <a:prstGeom prst="rect">
                      <a:avLst/>
                    </a:prstGeom>
                    <a:noFill/>
                    <a:ln>
                      <a:noFill/>
                    </a:ln>
                  </pic:spPr>
                </pic:pic>
              </a:graphicData>
            </a:graphic>
          </wp:inline>
        </w:drawing>
      </w:r>
      <w:r>
        <w:t xml:space="preserve">图 </w:t>
      </w:r>
      <w:r>
        <w:fldChar w:fldCharType="begin"/>
      </w:r>
      <w:r>
        <w:instrText xml:space="preserve"> STYLEREF 2 \s </w:instrText>
      </w:r>
      <w:r>
        <w:fldChar w:fldCharType="separate"/>
      </w:r>
      <w:r>
        <w:t>2.8</w:t>
      </w:r>
      <w:r>
        <w:fldChar w:fldCharType="end"/>
      </w:r>
      <w:r>
        <w:rPr>
          <w:rFonts w:hint="eastAsia"/>
          <w:lang w:eastAsia="zh-CN"/>
        </w:rPr>
        <w:t>-</w:t>
      </w:r>
      <w:r>
        <w:fldChar w:fldCharType="begin"/>
      </w:r>
      <w:r>
        <w:instrText xml:space="preserve"> SEQ 图 \* ARABIC \s 2 </w:instrText>
      </w:r>
      <w:r>
        <w:fldChar w:fldCharType="separate"/>
      </w:r>
      <w:r>
        <w:t>2</w:t>
      </w:r>
      <w:r>
        <w:fldChar w:fldCharType="end"/>
      </w:r>
      <w:r>
        <w:rPr>
          <w:rFonts w:hint="eastAsia"/>
          <w:lang w:val="en-US" w:eastAsia="zh-CN"/>
        </w:rPr>
        <w:t xml:space="preserve"> </w:t>
      </w:r>
      <w:r>
        <w:rPr>
          <w:rFonts w:hint="eastAsia" w:ascii="Times New Roman" w:hAnsi="Times New Roman" w:cs="Times New Roman"/>
          <w:highlight w:val="none"/>
          <w:lang w:val="en-US" w:eastAsia="zh-CN"/>
        </w:rPr>
        <w:t>剩余平衡重吊装示意图</w:t>
      </w:r>
    </w:p>
    <w:p w14:paraId="5378DC40">
      <w:pPr>
        <w:pStyle w:val="3"/>
        <w:numPr>
          <w:ilvl w:val="1"/>
          <w:numId w:val="4"/>
        </w:numPr>
        <w:bidi w:val="0"/>
        <w:ind w:left="567" w:leftChars="0" w:hanging="567" w:firstLineChars="0"/>
        <w:rPr>
          <w:rFonts w:hint="eastAsia" w:ascii="宋体" w:hAnsi="宋体" w:eastAsia="宋体" w:cs="宋体"/>
          <w:lang w:val="en-US" w:eastAsia="zh-CN"/>
        </w:rPr>
      </w:pPr>
      <w:bookmarkStart w:id="38" w:name="_Toc4463"/>
      <w:bookmarkStart w:id="39" w:name="_Toc18449"/>
      <w:bookmarkStart w:id="40" w:name="_Toc1846"/>
      <w:bookmarkStart w:id="41" w:name="_Toc32421"/>
      <w:r>
        <w:rPr>
          <w:rFonts w:hint="eastAsia" w:ascii="宋体" w:hAnsi="宋体" w:eastAsia="宋体" w:cs="宋体"/>
          <w:lang w:val="en-US" w:eastAsia="zh-CN"/>
        </w:rPr>
        <w:t>穿绕钢丝绳</w:t>
      </w:r>
      <w:bookmarkEnd w:id="38"/>
    </w:p>
    <w:p w14:paraId="55CB4564">
      <w:pPr>
        <w:bidi w:val="0"/>
      </w:pPr>
      <w:r>
        <w:rPr>
          <w:rFonts w:hint="eastAsia"/>
          <w:lang w:val="en-US" w:eastAsia="zh-CN"/>
        </w:rPr>
        <w:t>1.</w:t>
      </w:r>
      <w:r>
        <w:rPr>
          <w:rFonts w:hint="eastAsia"/>
        </w:rPr>
        <w:t>穿绕变幅钢丝绳</w:t>
      </w:r>
    </w:p>
    <w:p w14:paraId="17A4658D">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1）将变幅小车临时锁定，作业人员通过爬梯爬至回转总成平台上，将安全带交替系挂在起重臂臂根节上弦杆，沿下弦杆走行至变幅卷筒处，启动变幅卷筒放出后变幅钢丝绳，人工牵引变幅钢丝绳穿过起重臂根部滑轮，使用销轴将后变幅钢丝绳上的楔形接头固定在小车上。</w:t>
      </w:r>
    </w:p>
    <w:p w14:paraId="0C1E7F74">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（2）启动变幅卷扬机收紧后变幅钢丝绳，并将后变幅钢丝绳缓慢卷绕至变幅卷筒上。</w:t>
      </w:r>
    </w:p>
    <w:p w14:paraId="769B9781">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3）从变幅卷筒内放出前变幅钢丝绳，作业人员安全带交替系挂在起重臂安全绳上，沿下弦杆牵引前变幅钢丝绳至起重臂臂端滑轮处，将变幅钢丝绳穿过起重臂臂端滑轮，再将前变幅钢丝绳牵引至小车处进行固定，并用小车上的张紧卷筒张紧钢丝绳。</w:t>
      </w:r>
    </w:p>
    <w:p w14:paraId="1DBB0DDD">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变幅钢丝绳绕绳总体示意如下图所示。</w:t>
      </w:r>
    </w:p>
    <w:p w14:paraId="2C2AD591">
      <w:pPr>
        <w:keepNext w:val="0"/>
        <w:keepLines w:val="0"/>
        <w:pageBreakBefore w:val="0"/>
        <w:widowControl w:val="0"/>
        <w:kinsoku/>
        <w:wordWrap/>
        <w:overflowPunct/>
        <w:topLinePunct w:val="0"/>
        <w:autoSpaceDE/>
        <w:autoSpaceDN/>
        <w:bidi w:val="0"/>
        <w:adjustRightInd/>
        <w:snapToGrid/>
        <w:ind w:firstLine="0"/>
        <w:jc w:val="center"/>
        <w:textAlignment w:val="auto"/>
      </w:pPr>
      <w:r>
        <w:drawing>
          <wp:inline distT="0" distB="0" distL="114300" distR="114300">
            <wp:extent cx="5118735" cy="2020570"/>
            <wp:effectExtent l="0" t="0" r="5715" b="17780"/>
            <wp:docPr id="20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41"/>
                    <pic:cNvPicPr>
                      <a:picLocks noChangeAspect="1"/>
                    </pic:cNvPicPr>
                  </pic:nvPicPr>
                  <pic:blipFill>
                    <a:blip r:embed="rId36"/>
                    <a:stretch>
                      <a:fillRect/>
                    </a:stretch>
                  </pic:blipFill>
                  <pic:spPr>
                    <a:xfrm>
                      <a:off x="0" y="0"/>
                      <a:ext cx="5118735" cy="2020570"/>
                    </a:xfrm>
                    <a:prstGeom prst="rect">
                      <a:avLst/>
                    </a:prstGeom>
                    <a:noFill/>
                    <a:ln>
                      <a:noFill/>
                    </a:ln>
                  </pic:spPr>
                </pic:pic>
              </a:graphicData>
            </a:graphic>
          </wp:inline>
        </w:drawing>
      </w:r>
    </w:p>
    <w:p w14:paraId="7F5AD3A4">
      <w:pPr>
        <w:widowControl w:val="0"/>
        <w:adjustRightInd/>
        <w:snapToGrid/>
        <w:ind w:firstLine="480"/>
        <w:jc w:val="center"/>
        <w:rPr>
          <w:rFonts w:hint="eastAsia" w:ascii="Times New Roman" w:hAnsi="Times New Roman" w:eastAsia="黑体" w:cs="Times New Roman"/>
          <w:kern w:val="2"/>
          <w:sz w:val="21"/>
          <w:szCs w:val="21"/>
          <w:highlight w:val="none"/>
          <w:lang w:val="en-US" w:eastAsia="zh-CN" w:bidi="ar-SA"/>
        </w:rPr>
      </w:pPr>
      <w:r>
        <w:t xml:space="preserve">图 </w:t>
      </w:r>
      <w:r>
        <w:fldChar w:fldCharType="begin"/>
      </w:r>
      <w:r>
        <w:instrText xml:space="preserve"> STYLEREF 2 \s </w:instrText>
      </w:r>
      <w:r>
        <w:fldChar w:fldCharType="separate"/>
      </w:r>
      <w:r>
        <w:t>2.9</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ascii="Times New Roman" w:hAnsi="Times New Roman" w:eastAsia="黑体" w:cs="Times New Roman"/>
          <w:kern w:val="2"/>
          <w:sz w:val="21"/>
          <w:szCs w:val="21"/>
          <w:highlight w:val="none"/>
          <w:lang w:val="en-US" w:eastAsia="zh-CN" w:bidi="ar-SA"/>
        </w:rPr>
        <w:t xml:space="preserve"> 变幅钢丝绳穿绕示意图</w:t>
      </w:r>
    </w:p>
    <w:p w14:paraId="26C76F1D">
      <w:pPr>
        <w:bidi w:val="0"/>
      </w:pPr>
      <w:r>
        <w:rPr>
          <w:rFonts w:hint="eastAsia"/>
          <w:lang w:val="en-US" w:eastAsia="zh-CN"/>
        </w:rPr>
        <w:t>2.</w:t>
      </w:r>
      <w:r>
        <w:rPr>
          <w:rFonts w:hint="eastAsia"/>
        </w:rPr>
        <w:t>穿绕起升钢丝绳</w:t>
      </w:r>
    </w:p>
    <w:p w14:paraId="485C73AC">
      <w:pPr>
        <w:keepNext w:val="0"/>
        <w:keepLines w:val="0"/>
        <w:widowControl w:val="0"/>
        <w:suppressLineNumbers w:val="0"/>
        <w:tabs>
          <w:tab w:val="left" w:pos="404"/>
        </w:tabs>
        <w:ind w:firstLine="480"/>
        <w:jc w:val="left"/>
        <w:rPr>
          <w:rFonts w:hint="eastAsia"/>
        </w:rPr>
      </w:pPr>
      <w:r>
        <w:rPr>
          <w:rFonts w:hint="eastAsia" w:ascii="Times New Roman" w:hAnsi="Times New Roman" w:eastAsia="宋体" w:cs="Times New Roman"/>
          <w:color w:val="auto"/>
          <w:kern w:val="2"/>
          <w:sz w:val="24"/>
          <w:szCs w:val="21"/>
          <w:lang w:val="en-US" w:eastAsia="zh-CN" w:bidi="ar"/>
        </w:rPr>
        <w:t>钢丝绳从起升机构（1）卷筒上端出绳，穿过起重臂臂根节上托绳轮（2），再穿过起重臂臂根节上起重量限制器滑轮（3），再穿过起重臂臂根部滑轮（4），然后钢丝绳伸出连接小车。</w:t>
      </w:r>
    </w:p>
    <w:p w14:paraId="2799682D">
      <w:pPr>
        <w:keepNext w:val="0"/>
        <w:keepLines w:val="0"/>
        <w:pageBreakBefore w:val="0"/>
        <w:widowControl w:val="0"/>
        <w:kinsoku/>
        <w:wordWrap/>
        <w:overflowPunct/>
        <w:topLinePunct w:val="0"/>
        <w:autoSpaceDE/>
        <w:autoSpaceDN/>
        <w:bidi w:val="0"/>
        <w:adjustRightInd/>
        <w:snapToGrid/>
        <w:ind w:firstLine="0"/>
        <w:textAlignment w:val="auto"/>
        <w:rPr>
          <w:rFonts w:hint="eastAsia" w:ascii="Times New Roman" w:hAnsi="Times New Roman" w:eastAsia="宋体" w:cs="Times New Roman"/>
          <w:szCs w:val="21"/>
          <w:lang w:eastAsia="zh-CN"/>
        </w:rPr>
      </w:pPr>
      <w:r>
        <w:drawing>
          <wp:inline distT="0" distB="0" distL="114300" distR="114300">
            <wp:extent cx="5034915" cy="2881630"/>
            <wp:effectExtent l="0" t="0" r="13335" b="13970"/>
            <wp:docPr id="20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42"/>
                    <pic:cNvPicPr>
                      <a:picLocks noChangeAspect="1"/>
                    </pic:cNvPicPr>
                  </pic:nvPicPr>
                  <pic:blipFill>
                    <a:blip r:embed="rId37"/>
                    <a:stretch>
                      <a:fillRect/>
                    </a:stretch>
                  </pic:blipFill>
                  <pic:spPr>
                    <a:xfrm>
                      <a:off x="0" y="0"/>
                      <a:ext cx="5034915" cy="2881630"/>
                    </a:xfrm>
                    <a:prstGeom prst="rect">
                      <a:avLst/>
                    </a:prstGeom>
                    <a:noFill/>
                    <a:ln>
                      <a:noFill/>
                    </a:ln>
                  </pic:spPr>
                </pic:pic>
              </a:graphicData>
            </a:graphic>
          </wp:inline>
        </w:drawing>
      </w:r>
    </w:p>
    <w:p w14:paraId="7DB8D777">
      <w:pPr>
        <w:keepNext w:val="0"/>
        <w:keepLines w:val="0"/>
        <w:widowControl w:val="0"/>
        <w:suppressLineNumbers w:val="0"/>
        <w:ind w:firstLine="480"/>
        <w:jc w:val="left"/>
        <w:rPr>
          <w:rFonts w:hint="eastAsia" w:ascii="Times New Roman" w:hAnsi="Times New Roman" w:eastAsia="宋体" w:cs="Times New Roman"/>
          <w:kern w:val="2"/>
          <w:sz w:val="24"/>
          <w:szCs w:val="21"/>
          <w:lang w:val="en-US" w:eastAsia="zh-CN" w:bidi="ar"/>
        </w:rPr>
      </w:pPr>
      <w:r>
        <w:rPr>
          <w:rFonts w:hint="eastAsia" w:ascii="Times New Roman" w:hAnsi="Times New Roman" w:eastAsia="宋体" w:cs="Times New Roman"/>
          <w:color w:val="auto"/>
          <w:kern w:val="2"/>
          <w:sz w:val="24"/>
          <w:szCs w:val="21"/>
          <w:lang w:val="en-US" w:eastAsia="zh-CN" w:bidi="ar"/>
        </w:rPr>
        <w:t>穿绕变幅小车上起升钢丝绳。由于本小车和吊钩为自动变倍率方式，变倍率时通过吊 钩上上下滑轮组自动断开方式实现，因此起升钢丝绳的绕绳方式不变。</w:t>
      </w:r>
    </w:p>
    <w:p w14:paraId="50F44EFA">
      <w:pPr>
        <w:keepNext w:val="0"/>
        <w:keepLines w:val="0"/>
        <w:widowControl w:val="0"/>
        <w:suppressLineNumbers w:val="0"/>
        <w:ind w:firstLine="0" w:firstLineChars="0"/>
        <w:jc w:val="center"/>
      </w:pPr>
      <w:r>
        <w:drawing>
          <wp:inline distT="0" distB="0" distL="114300" distR="114300">
            <wp:extent cx="3038475" cy="2628900"/>
            <wp:effectExtent l="0" t="0" r="9525" b="0"/>
            <wp:docPr id="20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43"/>
                    <pic:cNvPicPr>
                      <a:picLocks noChangeAspect="1"/>
                    </pic:cNvPicPr>
                  </pic:nvPicPr>
                  <pic:blipFill>
                    <a:blip r:embed="rId38"/>
                    <a:stretch>
                      <a:fillRect/>
                    </a:stretch>
                  </pic:blipFill>
                  <pic:spPr>
                    <a:xfrm>
                      <a:off x="0" y="0"/>
                      <a:ext cx="3038475" cy="2628900"/>
                    </a:xfrm>
                    <a:prstGeom prst="rect">
                      <a:avLst/>
                    </a:prstGeom>
                    <a:noFill/>
                    <a:ln>
                      <a:noFill/>
                    </a:ln>
                  </pic:spPr>
                </pic:pic>
              </a:graphicData>
            </a:graphic>
          </wp:inline>
        </w:drawing>
      </w:r>
    </w:p>
    <w:p w14:paraId="6B61EE40">
      <w:pPr>
        <w:keepNext w:val="0"/>
        <w:keepLines w:val="0"/>
        <w:widowControl/>
        <w:suppressLineNumbers w:val="0"/>
        <w:ind w:firstLine="480"/>
        <w:jc w:val="left"/>
        <w:rPr>
          <w:rFonts w:hint="default" w:ascii="Times New Roman" w:hAnsi="Times New Roman" w:eastAsia="宋体" w:cs="Times New Roman"/>
          <w:kern w:val="2"/>
          <w:sz w:val="24"/>
          <w:szCs w:val="21"/>
          <w:lang w:val="en-US" w:eastAsia="zh-CN" w:bidi="ar"/>
        </w:rPr>
      </w:pPr>
      <w:r>
        <w:rPr>
          <w:rFonts w:hint="default" w:ascii="Times New Roman" w:hAnsi="Times New Roman" w:eastAsia="宋体" w:cs="Times New Roman"/>
          <w:color w:val="auto"/>
          <w:kern w:val="2"/>
          <w:sz w:val="24"/>
          <w:szCs w:val="21"/>
          <w:lang w:val="en-US" w:eastAsia="zh-CN" w:bidi="ar"/>
        </w:rPr>
        <w:t>起升钢丝绳从小车绕出之后进入起重臂臂头防扭装置。用楔块（3）锁住钢丝绳（1） 至楔套（2），并在钢丝绳末端装上一个绳夹（4）。用销轴（6）和开口销（7）安装楔套（2） 至钢丝绳防扭器（5）。安装完毕后检查防扭器是否旋转自如。</w:t>
      </w:r>
    </w:p>
    <w:p w14:paraId="27C1700D">
      <w:pPr>
        <w:keepNext w:val="0"/>
        <w:keepLines w:val="0"/>
        <w:widowControl/>
        <w:suppressLineNumbers w:val="0"/>
        <w:ind w:firstLine="0" w:firstLineChars="0"/>
        <w:jc w:val="center"/>
        <w:rPr>
          <w:rFonts w:hint="eastAsia"/>
          <w:lang w:bidi="ar"/>
        </w:rPr>
      </w:pPr>
      <w:r>
        <w:drawing>
          <wp:inline distT="0" distB="0" distL="114300" distR="114300">
            <wp:extent cx="5758815" cy="2462530"/>
            <wp:effectExtent l="0" t="0" r="13335" b="13970"/>
            <wp:docPr id="20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44"/>
                    <pic:cNvPicPr>
                      <a:picLocks noChangeAspect="1"/>
                    </pic:cNvPicPr>
                  </pic:nvPicPr>
                  <pic:blipFill>
                    <a:blip r:embed="rId39"/>
                    <a:stretch>
                      <a:fillRect/>
                    </a:stretch>
                  </pic:blipFill>
                  <pic:spPr>
                    <a:xfrm>
                      <a:off x="0" y="0"/>
                      <a:ext cx="5758815" cy="2462530"/>
                    </a:xfrm>
                    <a:prstGeom prst="rect">
                      <a:avLst/>
                    </a:prstGeom>
                    <a:noFill/>
                    <a:ln>
                      <a:noFill/>
                    </a:ln>
                  </pic:spPr>
                </pic:pic>
              </a:graphicData>
            </a:graphic>
          </wp:inline>
        </w:drawing>
      </w:r>
    </w:p>
    <w:p w14:paraId="0685FCE0">
      <w:pPr>
        <w:pStyle w:val="3"/>
        <w:numPr>
          <w:ilvl w:val="1"/>
          <w:numId w:val="4"/>
        </w:numPr>
        <w:bidi w:val="0"/>
        <w:ind w:left="567" w:leftChars="0" w:hanging="567" w:firstLineChars="0"/>
        <w:rPr>
          <w:rFonts w:hint="eastAsia" w:ascii="宋体" w:hAnsi="宋体" w:eastAsia="宋体" w:cs="宋体"/>
          <w:lang w:val="en-US" w:eastAsia="zh-CN"/>
        </w:rPr>
      </w:pPr>
      <w:bookmarkStart w:id="42" w:name="_Toc20212"/>
      <w:r>
        <w:rPr>
          <w:rFonts w:hint="eastAsia" w:ascii="宋体" w:hAnsi="宋体" w:eastAsia="宋体" w:cs="宋体"/>
          <w:lang w:val="en-US" w:eastAsia="zh-CN"/>
        </w:rPr>
        <w:t>电气系统安装及试运转</w:t>
      </w:r>
      <w:bookmarkEnd w:id="42"/>
    </w:p>
    <w:p w14:paraId="01D6AF25">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（1）起重臂安装完成后，按照说明书的要求，进行</w:t>
      </w:r>
      <w:r>
        <w:rPr>
          <w:rFonts w:ascii="Times New Roman" w:hAnsi="Times New Roman" w:eastAsia="宋体" w:cs="Times New Roman"/>
          <w:szCs w:val="21"/>
        </w:rPr>
        <w:t>驾配箱、主控柜</w:t>
      </w:r>
      <w:r>
        <w:rPr>
          <w:rFonts w:hint="eastAsia" w:ascii="Times New Roman" w:hAnsi="Times New Roman" w:eastAsia="宋体" w:cs="Times New Roman"/>
          <w:szCs w:val="21"/>
        </w:rPr>
        <w:t>、</w:t>
      </w:r>
      <w:r>
        <w:rPr>
          <w:rFonts w:ascii="Times New Roman" w:hAnsi="Times New Roman" w:eastAsia="宋体" w:cs="Times New Roman"/>
          <w:szCs w:val="21"/>
        </w:rPr>
        <w:t>重量限制器、力矩限制器、起升限位器、回转限位器、变幅限位器、行走限位器</w:t>
      </w:r>
      <w:r>
        <w:rPr>
          <w:rFonts w:hint="eastAsia" w:ascii="Times New Roman" w:hAnsi="Times New Roman" w:eastAsia="宋体" w:cs="Times New Roman"/>
          <w:szCs w:val="21"/>
        </w:rPr>
        <w:t>等的安装。</w:t>
      </w:r>
    </w:p>
    <w:p w14:paraId="29A753CB">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（2）在塔头顶部安装风速仪，平衡臂尾部以及起重臂前端部各安装一个警示灯。</w:t>
      </w:r>
    </w:p>
    <w:p w14:paraId="25403921">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（3）在风速不大于3m/s且空载状态下，检查塔身轴线的垂直度，允许偏差为 4/1000。</w:t>
      </w:r>
    </w:p>
    <w:p w14:paraId="056CEEC1">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（4）侧向垂直度在使用高度、空载状态，臂架相当于塔身0°和90°时分别沿臂架方向测量，标尺贴靠在塔身结构中心的最低处和最高处，用全站仪读出两处的偏位值。</w:t>
      </w:r>
    </w:p>
    <w:p w14:paraId="6A2EA18F">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（5）</w:t>
      </w:r>
      <w:r>
        <w:rPr>
          <w:rFonts w:hint="eastAsia" w:ascii="Times New Roman" w:hAnsi="Times New Roman" w:cs="Times New Roman"/>
          <w:szCs w:val="21"/>
          <w:lang w:eastAsia="zh-CN"/>
        </w:rPr>
        <w:t>塔机</w:t>
      </w:r>
      <w:r>
        <w:rPr>
          <w:rFonts w:hint="eastAsia" w:ascii="Times New Roman" w:hAnsi="Times New Roman" w:eastAsia="宋体" w:cs="Times New Roman"/>
          <w:szCs w:val="21"/>
        </w:rPr>
        <w:t>接通电源，试运转各机构，检查各机构运转是否正常，同时检查各钢丝绳是否处于正常工作状态，是否与各机构有干扰。</w:t>
      </w:r>
    </w:p>
    <w:p w14:paraId="703DDC1C">
      <w:pPr>
        <w:pStyle w:val="3"/>
        <w:numPr>
          <w:ilvl w:val="1"/>
          <w:numId w:val="4"/>
        </w:numPr>
        <w:bidi w:val="0"/>
        <w:ind w:left="567" w:leftChars="0" w:hanging="567" w:firstLineChars="0"/>
        <w:rPr>
          <w:rFonts w:hint="eastAsia" w:ascii="宋体" w:hAnsi="宋体" w:eastAsia="宋体" w:cs="宋体"/>
          <w:lang w:val="en-US" w:eastAsia="zh-CN"/>
        </w:rPr>
      </w:pPr>
      <w:bookmarkStart w:id="43" w:name="_Toc11580"/>
      <w:r>
        <w:rPr>
          <w:rFonts w:hint="eastAsia" w:ascii="宋体" w:hAnsi="宋体" w:eastAsia="宋体" w:cs="宋体"/>
          <w:lang w:val="en-US" w:eastAsia="zh-CN"/>
        </w:rPr>
        <w:t>操作系统的调试</w:t>
      </w:r>
      <w:bookmarkEnd w:id="43"/>
    </w:p>
    <w:p w14:paraId="056B1EC5">
      <w:pPr>
        <w:widowControl w:val="0"/>
        <w:adjustRightInd/>
        <w:snapToGrid/>
        <w:ind w:firstLine="480"/>
        <w:rPr>
          <w:rFonts w:ascii="Times New Roman" w:hAnsi="Times New Roman" w:eastAsia="宋体" w:cs="Times New Roman"/>
          <w:szCs w:val="21"/>
        </w:rPr>
      </w:pPr>
      <w:r>
        <w:rPr>
          <w:rFonts w:ascii="宋体" w:hAnsi="宋体" w:eastAsia="宋体" w:cs="宋体"/>
          <w:szCs w:val="21"/>
        </w:rPr>
        <w:t>①</w:t>
      </w:r>
      <w:r>
        <w:rPr>
          <w:rFonts w:hint="eastAsia" w:ascii="Times New Roman" w:hAnsi="Times New Roman" w:eastAsia="宋体" w:cs="Times New Roman"/>
          <w:szCs w:val="21"/>
        </w:rPr>
        <w:t>电源检查：</w:t>
      </w:r>
    </w:p>
    <w:p w14:paraId="121E7B36">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连通电源，检查三相电源的相序是否正确，电压是否满足要求（380V±5%）。</w:t>
      </w:r>
    </w:p>
    <w:p w14:paraId="5C30AC99">
      <w:pPr>
        <w:widowControl w:val="0"/>
        <w:adjustRightInd/>
        <w:snapToGrid/>
        <w:ind w:firstLine="480"/>
        <w:rPr>
          <w:rFonts w:ascii="Times New Roman" w:hAnsi="Times New Roman" w:eastAsia="宋体" w:cs="Times New Roman"/>
          <w:szCs w:val="21"/>
        </w:rPr>
      </w:pPr>
      <w:r>
        <w:rPr>
          <w:rFonts w:hint="eastAsia" w:ascii="宋体" w:hAnsi="宋体" w:eastAsia="宋体" w:cs="宋体"/>
          <w:szCs w:val="21"/>
        </w:rPr>
        <w:t>②</w:t>
      </w:r>
      <w:r>
        <w:rPr>
          <w:rFonts w:hint="eastAsia" w:ascii="Times New Roman" w:hAnsi="Times New Roman" w:eastAsia="宋体" w:cs="Times New Roman"/>
          <w:szCs w:val="21"/>
        </w:rPr>
        <w:t>操作系统逻辑关系检查：</w:t>
      </w:r>
    </w:p>
    <w:p w14:paraId="384726DA">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操作起升手柄，观察吊钩起升运转情况，当起升手柄向内拉时，吊钩应向上运动；当起升手柄向外推时，吊钩应向下运动，否则应调整起升电机电源的相序。</w:t>
      </w:r>
    </w:p>
    <w:p w14:paraId="1F7686AB">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操作回转手柄，当回转手柄向左推时，起重臂应向左转；当回转手柄向右推时，起重臂应向右转，否则应调整回转电机电源的相序。</w:t>
      </w:r>
    </w:p>
    <w:p w14:paraId="338FE2B0">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操作变幅手柄，当变幅手柄向内拉时，变幅小车应该向内行走；当变幅手柄向外推时，变幅小车应该向外行走，否则应调整变幅小车电机电源的相序。</w:t>
      </w:r>
    </w:p>
    <w:p w14:paraId="39A034AD">
      <w:pPr>
        <w:pStyle w:val="3"/>
        <w:numPr>
          <w:ilvl w:val="1"/>
          <w:numId w:val="4"/>
        </w:numPr>
        <w:bidi w:val="0"/>
        <w:ind w:left="567" w:leftChars="0" w:hanging="567" w:firstLineChars="0"/>
        <w:rPr>
          <w:rFonts w:hint="eastAsia" w:ascii="宋体" w:hAnsi="宋体" w:eastAsia="宋体" w:cs="宋体"/>
          <w:lang w:val="en-US" w:eastAsia="zh-CN"/>
        </w:rPr>
      </w:pPr>
      <w:bookmarkStart w:id="44" w:name="_Toc25800"/>
      <w:r>
        <w:rPr>
          <w:rFonts w:hint="eastAsia" w:ascii="宋体" w:hAnsi="宋体" w:eastAsia="宋体" w:cs="宋体"/>
          <w:lang w:val="en-US" w:eastAsia="zh-CN"/>
        </w:rPr>
        <w:t>塔机顶升加节</w:t>
      </w:r>
      <w:bookmarkEnd w:id="44"/>
    </w:p>
    <w:p w14:paraId="50DAA9ED">
      <w:pPr>
        <w:pStyle w:val="4"/>
        <w:numPr>
          <w:ilvl w:val="2"/>
          <w:numId w:val="4"/>
        </w:numPr>
        <w:bidi w:val="0"/>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顶升前准备工作</w:t>
      </w:r>
    </w:p>
    <w:p w14:paraId="75E07A3F">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按液压泵站要求给其油箱加油，顶升横梁防脱装置的销轴退出踏步的圆孔； </w:t>
      </w:r>
    </w:p>
    <w:p w14:paraId="4C698BEB">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清理好各个塔身节，在塔身节连接套内涂上黄油，将待顶升加高用的标准节在顶升位 置时的起重臂下排成一排，这样能使塔机在整个顶升加节过程中不用回转机构，能使顶升加节过程所用时间最短； </w:t>
      </w:r>
    </w:p>
    <w:p w14:paraId="513D20B6">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放松电缆长度略大于总的顶升高度，并紧固好电缆； </w:t>
      </w:r>
    </w:p>
    <w:p w14:paraId="7BD3D8B7">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将起重臂旋转至爬升架前方，平衡臂处于爬升架的后方（顶升油缸必须位于平衡臂下方）； </w:t>
      </w:r>
    </w:p>
    <w:p w14:paraId="131662F2">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爬升架平台上准备好塔身高强度螺栓； </w:t>
      </w:r>
    </w:p>
    <w:p w14:paraId="02E16413">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检查、调试并确认顶升机构工作正确、可靠，保证爬升架能按塔机爬升规定的程序上 升、下降、可靠停止；运行过程中应平稳，无爬行、振动现象； </w:t>
      </w:r>
    </w:p>
    <w:p w14:paraId="3B018187">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检查爬升架支承系统，确保各部分运动灵活，承重可靠； </w:t>
      </w:r>
    </w:p>
    <w:p w14:paraId="73A95796">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液压顶升机构应保证安全，溢流阀的调整压力不得大于系统额定工作压力的 </w:t>
      </w:r>
      <w:r>
        <w:rPr>
          <w:rFonts w:hint="default" w:ascii="Times New Roman" w:hAnsi="Times New Roman" w:eastAsia="宋体" w:cs="Times New Roman"/>
          <w:color w:val="000000"/>
          <w:kern w:val="0"/>
          <w:sz w:val="24"/>
          <w:szCs w:val="24"/>
          <w:lang w:val="en-US" w:eastAsia="zh-CN" w:bidi="ar"/>
        </w:rPr>
        <w:t>110%</w:t>
      </w:r>
      <w:r>
        <w:rPr>
          <w:rFonts w:hint="eastAsia" w:ascii="宋体" w:hAnsi="宋体" w:eastAsia="宋体" w:cs="宋体"/>
          <w:color w:val="000000"/>
          <w:kern w:val="0"/>
          <w:sz w:val="24"/>
          <w:szCs w:val="24"/>
          <w:lang w:val="en-US" w:eastAsia="zh-CN" w:bidi="ar"/>
        </w:rPr>
        <w:t>。</w:t>
      </w:r>
    </w:p>
    <w:p w14:paraId="78796074">
      <w:pPr>
        <w:pStyle w:val="4"/>
        <w:numPr>
          <w:ilvl w:val="2"/>
          <w:numId w:val="4"/>
        </w:numPr>
        <w:bidi w:val="0"/>
        <w:ind w:left="0" w:leftChars="0" w:firstLine="0" w:firstLineChars="0"/>
        <w:rPr>
          <w:rFonts w:hint="default" w:ascii="宋体" w:hAnsi="宋体" w:eastAsia="宋体" w:cs="宋体"/>
          <w:lang w:val="en-US" w:eastAsia="zh-CN"/>
        </w:rPr>
      </w:pPr>
      <w:r>
        <w:rPr>
          <w:rFonts w:hint="eastAsia" w:ascii="宋体" w:hAnsi="宋体" w:eastAsia="宋体" w:cs="宋体"/>
          <w:lang w:val="en-US" w:eastAsia="zh-CN"/>
        </w:rPr>
        <w:t>顶升作业注意事项</w:t>
      </w:r>
    </w:p>
    <w:p w14:paraId="7B36177A">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塔机最高处风速大于 </w:t>
      </w:r>
      <w:r>
        <w:rPr>
          <w:rFonts w:hint="default" w:ascii="Times New Roman" w:hAnsi="Times New Roman" w:eastAsia="宋体" w:cs="Times New Roman"/>
          <w:color w:val="000000"/>
          <w:kern w:val="0"/>
          <w:sz w:val="24"/>
          <w:szCs w:val="24"/>
          <w:lang w:val="en-US" w:eastAsia="zh-CN" w:bidi="ar"/>
        </w:rPr>
        <w:t xml:space="preserve">12m/s </w:t>
      </w:r>
      <w:r>
        <w:rPr>
          <w:rFonts w:hint="eastAsia" w:ascii="宋体" w:hAnsi="宋体" w:eastAsia="宋体" w:cs="宋体"/>
          <w:color w:val="000000"/>
          <w:kern w:val="0"/>
          <w:sz w:val="24"/>
          <w:szCs w:val="24"/>
          <w:lang w:val="en-US" w:eastAsia="zh-CN" w:bidi="ar"/>
        </w:rPr>
        <w:t xml:space="preserve">时，不得进行顶升作业； </w:t>
      </w:r>
    </w:p>
    <w:p w14:paraId="0080B10C">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塔机的爬升机构，其爬升作业时应确保爬升架上支承在塔身上的受力部位与塔身顶升 支承部位应可靠定位和结合。并应及时查看顶升支承部位焊缝情况，若有异常情况应排除后才能继续进行爬升作业； </w:t>
      </w:r>
    </w:p>
    <w:p w14:paraId="7ABCA8D5">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顶升过程中必须保证起重臂与引入标准节方向一致，并利用回转机构制动器将起重臂 制动住，载重小车必须停靠在顶升配平位置； </w:t>
      </w:r>
    </w:p>
    <w:p w14:paraId="2E4DB185">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若要连续加高几节标准节，则每加完一节后，用塔机自身起吊下一节标准节前，塔身 </w:t>
      </w:r>
      <w:r>
        <w:rPr>
          <w:rFonts w:hint="default" w:ascii="Times New Roman" w:hAnsi="Times New Roman" w:eastAsia="宋体" w:cs="Times New Roman"/>
          <w:color w:val="000000"/>
          <w:kern w:val="0"/>
          <w:sz w:val="24"/>
          <w:szCs w:val="24"/>
          <w:lang w:val="en-US" w:eastAsia="zh-CN" w:bidi="ar"/>
        </w:rPr>
        <w:t xml:space="preserve">4 </w:t>
      </w:r>
      <w:r>
        <w:rPr>
          <w:rFonts w:hint="eastAsia" w:ascii="宋体" w:hAnsi="宋体" w:eastAsia="宋体" w:cs="宋体"/>
          <w:color w:val="000000"/>
          <w:kern w:val="0"/>
          <w:sz w:val="24"/>
          <w:szCs w:val="24"/>
          <w:lang w:val="en-US" w:eastAsia="zh-CN" w:bidi="ar"/>
        </w:rPr>
        <w:t xml:space="preserve">个主弦杆和特殊节必须有 </w:t>
      </w:r>
      <w:r>
        <w:rPr>
          <w:rFonts w:hint="default" w:ascii="Times New Roman" w:hAnsi="Times New Roman" w:eastAsia="宋体" w:cs="Times New Roman"/>
          <w:color w:val="000000"/>
          <w:kern w:val="0"/>
          <w:sz w:val="24"/>
          <w:szCs w:val="24"/>
          <w:lang w:val="en-US" w:eastAsia="zh-CN" w:bidi="ar"/>
        </w:rPr>
        <w:t xml:space="preserve">8 </w:t>
      </w:r>
      <w:r>
        <w:rPr>
          <w:rFonts w:hint="eastAsia" w:ascii="宋体" w:hAnsi="宋体" w:eastAsia="宋体" w:cs="宋体"/>
          <w:color w:val="000000"/>
          <w:kern w:val="0"/>
          <w:sz w:val="24"/>
          <w:szCs w:val="24"/>
          <w:lang w:val="en-US" w:eastAsia="zh-CN" w:bidi="ar"/>
        </w:rPr>
        <w:t xml:space="preserve">个安全销轴连接； </w:t>
      </w:r>
    </w:p>
    <w:p w14:paraId="7AE7CFD9">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所加标准节上的踏步，必须与已有塔身节对正； </w:t>
      </w:r>
    </w:p>
    <w:p w14:paraId="79FA2AA9">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在特殊节与塔身没有用销轴连接好之前，严禁起重臂回转、载重小车变幅和吊装作业； </w:t>
      </w:r>
    </w:p>
    <w:p w14:paraId="0221706B">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在顶升过程中，若液压顶升系统出现异常，应立即停止顶升，收回油缸，将特殊节落在塔身顶部，并用 </w:t>
      </w:r>
      <w:r>
        <w:rPr>
          <w:rFonts w:hint="default" w:ascii="Times New Roman" w:hAnsi="Times New Roman" w:eastAsia="宋体" w:cs="Times New Roman"/>
          <w:color w:val="000000"/>
          <w:kern w:val="0"/>
          <w:sz w:val="24"/>
          <w:szCs w:val="24"/>
          <w:lang w:val="en-US" w:eastAsia="zh-CN" w:bidi="ar"/>
        </w:rPr>
        <w:t xml:space="preserve">8 </w:t>
      </w:r>
      <w:r>
        <w:rPr>
          <w:rFonts w:hint="eastAsia" w:ascii="宋体" w:hAnsi="宋体" w:eastAsia="宋体" w:cs="宋体"/>
          <w:color w:val="000000"/>
          <w:kern w:val="0"/>
          <w:sz w:val="24"/>
          <w:szCs w:val="24"/>
          <w:lang w:val="en-US" w:eastAsia="zh-CN" w:bidi="ar"/>
        </w:rPr>
        <w:t>根销轴将特殊节与塔身连接牢靠后，再排除液压系统的故障；</w:t>
      </w:r>
    </w:p>
    <w:p w14:paraId="2A87BE75">
      <w:pPr>
        <w:bidi w:val="0"/>
        <w:ind w:firstLine="420" w:firstLineChars="0"/>
        <w:rPr>
          <w:rFonts w:hint="eastAsia"/>
        </w:rPr>
      </w:pPr>
      <w:r>
        <w:rPr>
          <w:rFonts w:hint="eastAsia" w:ascii="宋体" w:hAnsi="宋体" w:eastAsia="宋体" w:cs="宋体"/>
          <w:color w:val="000000"/>
          <w:kern w:val="0"/>
          <w:sz w:val="24"/>
          <w:szCs w:val="24"/>
          <w:lang w:val="en-US" w:eastAsia="zh-CN" w:bidi="ar"/>
        </w:rPr>
        <w:t>塔机加节达到所需工作高度（但不超过独立高度）后，应旋转起重臂至不同的角度， 检查塔身各接头处销轴的装配、基础支脚处螺栓的拧紧问题。</w:t>
      </w:r>
      <w:r>
        <w:rPr>
          <w:rFonts w:hint="eastAsia"/>
          <w:lang w:val="en-US" w:eastAsia="zh-CN"/>
        </w:rPr>
        <w:t xml:space="preserve">钢丝绳防脱装置 </w:t>
      </w:r>
    </w:p>
    <w:p w14:paraId="4A0C8F9C">
      <w:pPr>
        <w:keepNext w:val="0"/>
        <w:keepLines w:val="0"/>
        <w:widowControl/>
        <w:suppressLineNumbers w:val="0"/>
        <w:ind w:firstLine="420" w:firstLineChars="0"/>
        <w:jc w:val="left"/>
        <w:rPr>
          <w:rFonts w:hint="eastAsia"/>
          <w:b/>
          <w:bCs/>
          <w:color w:val="FF0000"/>
          <w:kern w:val="44"/>
          <w:sz w:val="28"/>
          <w:szCs w:val="44"/>
          <w:lang w:val="en-US" w:eastAsia="zh-CN"/>
        </w:rPr>
      </w:pPr>
      <w:r>
        <w:rPr>
          <w:rFonts w:hint="eastAsia" w:ascii="宋体" w:hAnsi="宋体" w:eastAsia="宋体" w:cs="宋体"/>
          <w:b w:val="0"/>
          <w:bCs w:val="0"/>
          <w:color w:val="000000"/>
          <w:kern w:val="0"/>
          <w:sz w:val="24"/>
          <w:szCs w:val="24"/>
          <w:lang w:val="en-US" w:eastAsia="zh-CN" w:bidi="ar"/>
        </w:rPr>
        <w:t>该塔机的滑轮、起升卷筒均设有钢丝绳防脱装置，该装置表面与滑轮或卷筒侧板外缘间的间隙不超过钢丝绳直径的 20% ,该装置可能与钢丝绳接触的表面没有棱角，目测检验防脱是否有效。</w:t>
      </w:r>
    </w:p>
    <w:p w14:paraId="3078A9E6">
      <w:pPr>
        <w:pStyle w:val="4"/>
        <w:numPr>
          <w:ilvl w:val="2"/>
          <w:numId w:val="4"/>
        </w:numPr>
        <w:bidi w:val="0"/>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顶升时的配平</w:t>
      </w:r>
    </w:p>
    <w:p w14:paraId="7A841E28">
      <w:pPr>
        <w:spacing w:line="240" w:lineRule="auto"/>
        <w:jc w:val="left"/>
        <w:rPr>
          <w:rFonts w:hint="eastAsia"/>
          <w:lang w:eastAsia="zh-CN"/>
        </w:rPr>
      </w:pPr>
      <w:r>
        <w:rPr>
          <w:rFonts w:hint="eastAsia" w:eastAsia="宋体"/>
          <w:b/>
          <w:sz w:val="21"/>
          <w:lang w:eastAsia="zh-CN"/>
        </w:rPr>
        <w:drawing>
          <wp:inline distT="0" distB="0" distL="114300" distR="114300">
            <wp:extent cx="2578100" cy="2991485"/>
            <wp:effectExtent l="0" t="0" r="12700" b="18415"/>
            <wp:docPr id="84" name="图片 84" descr="172067932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1720679320783"/>
                    <pic:cNvPicPr>
                      <a:picLocks noChangeAspect="1"/>
                    </pic:cNvPicPr>
                  </pic:nvPicPr>
                  <pic:blipFill>
                    <a:blip r:embed="rId40"/>
                    <a:stretch>
                      <a:fillRect/>
                    </a:stretch>
                  </pic:blipFill>
                  <pic:spPr>
                    <a:xfrm>
                      <a:off x="0" y="0"/>
                      <a:ext cx="2578100" cy="2991485"/>
                    </a:xfrm>
                    <a:prstGeom prst="rect">
                      <a:avLst/>
                    </a:prstGeom>
                  </pic:spPr>
                </pic:pic>
              </a:graphicData>
            </a:graphic>
          </wp:inline>
        </w:drawing>
      </w:r>
      <w:r>
        <w:rPr>
          <w:rFonts w:hint="eastAsia"/>
          <w:lang w:eastAsia="zh-CN"/>
        </w:rPr>
        <w:drawing>
          <wp:inline distT="0" distB="0" distL="114300" distR="114300">
            <wp:extent cx="1999615" cy="3013075"/>
            <wp:effectExtent l="0" t="0" r="635" b="15875"/>
            <wp:docPr id="205" name="图片 205" descr="172067941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1720679417501"/>
                    <pic:cNvPicPr>
                      <a:picLocks noChangeAspect="1"/>
                    </pic:cNvPicPr>
                  </pic:nvPicPr>
                  <pic:blipFill>
                    <a:blip r:embed="rId41"/>
                    <a:stretch>
                      <a:fillRect/>
                    </a:stretch>
                  </pic:blipFill>
                  <pic:spPr>
                    <a:xfrm>
                      <a:off x="0" y="0"/>
                      <a:ext cx="1999615" cy="3013075"/>
                    </a:xfrm>
                    <a:prstGeom prst="rect">
                      <a:avLst/>
                    </a:prstGeom>
                  </pic:spPr>
                </pic:pic>
              </a:graphicData>
            </a:graphic>
          </wp:inline>
        </w:drawing>
      </w:r>
    </w:p>
    <w:p w14:paraId="6157CCAA">
      <w:pPr>
        <w:pStyle w:val="15"/>
        <w:bidi w:val="0"/>
        <w:rPr>
          <w:rFonts w:hint="eastAsia" w:ascii="Times New Roman" w:hAnsi="Times New Roman" w:cs="Times New Roman"/>
          <w:highlight w:val="none"/>
          <w:lang w:val="en-US" w:eastAsia="zh-CN"/>
        </w:rPr>
      </w:pPr>
      <w:r>
        <w:t xml:space="preserve">图 </w:t>
      </w:r>
      <w:r>
        <w:fldChar w:fldCharType="begin"/>
      </w:r>
      <w:r>
        <w:instrText xml:space="preserve"> STYLEREF 2 \s </w:instrText>
      </w:r>
      <w:r>
        <w:fldChar w:fldCharType="separate"/>
      </w:r>
      <w:r>
        <w:t>2.12</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ascii="Times New Roman" w:hAnsi="Times New Roman" w:cs="Times New Roman"/>
          <w:highlight w:val="none"/>
          <w:lang w:val="en-US" w:eastAsia="zh-CN"/>
        </w:rPr>
        <w:t xml:space="preserve"> 标准节引进示意图</w:t>
      </w:r>
    </w:p>
    <w:p w14:paraId="3F3524F0">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（1）塔机配平前，必须先吊一节标准节放在下支座的引进横梁上（标准节的平台、平台栏杆和爬梯要固定好），钢丝绳挂在标准节的对角吊耳上，再将载重小车吊一节标准节运行到配平参考位置见表-</w:t>
      </w:r>
      <w:r>
        <w:rPr>
          <w:rFonts w:hint="eastAsia" w:ascii="宋体" w:hAnsi="宋体" w:cs="宋体"/>
          <w:b w:val="0"/>
          <w:bCs w:val="0"/>
          <w:color w:val="000000"/>
          <w:kern w:val="0"/>
          <w:sz w:val="24"/>
          <w:szCs w:val="24"/>
          <w:lang w:val="en-US" w:eastAsia="zh-CN" w:bidi="ar"/>
        </w:rPr>
        <w:t>3</w:t>
      </w:r>
      <w:r>
        <w:rPr>
          <w:rFonts w:hint="eastAsia" w:ascii="宋体" w:hAnsi="宋体" w:eastAsia="宋体" w:cs="宋体"/>
          <w:b w:val="0"/>
          <w:bCs w:val="0"/>
          <w:color w:val="000000"/>
          <w:kern w:val="0"/>
          <w:sz w:val="24"/>
          <w:szCs w:val="24"/>
          <w:lang w:val="en-US" w:eastAsia="zh-CN" w:bidi="ar"/>
        </w:rPr>
        <w:t>，然后拆除</w:t>
      </w:r>
      <w:r>
        <w:rPr>
          <w:rFonts w:hint="eastAsia" w:ascii="宋体" w:hAnsi="宋体" w:cs="宋体"/>
          <w:b w:val="0"/>
          <w:bCs w:val="0"/>
          <w:color w:val="000000"/>
          <w:kern w:val="0"/>
          <w:sz w:val="24"/>
          <w:szCs w:val="24"/>
          <w:lang w:val="en-US" w:eastAsia="zh-CN" w:bidi="ar"/>
        </w:rPr>
        <w:t>特殊节</w:t>
      </w:r>
      <w:r>
        <w:rPr>
          <w:rFonts w:hint="eastAsia" w:ascii="宋体" w:hAnsi="宋体" w:eastAsia="宋体" w:cs="宋体"/>
          <w:b w:val="0"/>
          <w:bCs w:val="0"/>
          <w:color w:val="000000"/>
          <w:kern w:val="0"/>
          <w:sz w:val="24"/>
          <w:szCs w:val="24"/>
          <w:lang w:val="en-US" w:eastAsia="zh-CN" w:bidi="ar"/>
        </w:rPr>
        <w:t xml:space="preserve"> 4 个支腿与标准节连接的 8 个销轴。</w:t>
      </w:r>
    </w:p>
    <w:p w14:paraId="218BD96F">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（2）将液压顶升系统操纵杆推至“顶升”方向，使套架顶升至</w:t>
      </w:r>
      <w:r>
        <w:rPr>
          <w:rFonts w:hint="eastAsia" w:ascii="宋体" w:hAnsi="宋体" w:cs="宋体"/>
          <w:b w:val="0"/>
          <w:bCs w:val="0"/>
          <w:color w:val="000000"/>
          <w:kern w:val="0"/>
          <w:sz w:val="24"/>
          <w:szCs w:val="24"/>
          <w:lang w:val="en-US" w:eastAsia="zh-CN" w:bidi="ar"/>
        </w:rPr>
        <w:t>特殊节</w:t>
      </w:r>
      <w:r>
        <w:rPr>
          <w:rFonts w:hint="eastAsia" w:ascii="宋体" w:hAnsi="宋体" w:eastAsia="宋体" w:cs="宋体"/>
          <w:b w:val="0"/>
          <w:bCs w:val="0"/>
          <w:color w:val="000000"/>
          <w:kern w:val="0"/>
          <w:sz w:val="24"/>
          <w:szCs w:val="24"/>
          <w:lang w:val="en-US" w:eastAsia="zh-CN" w:bidi="ar"/>
        </w:rPr>
        <w:t>支腿刚刚脱离塔身的主弦杆的位置。</w:t>
      </w:r>
    </w:p>
    <w:p w14:paraId="324FB0D4">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（3）通过检验</w:t>
      </w:r>
      <w:r>
        <w:rPr>
          <w:rFonts w:hint="eastAsia" w:ascii="宋体" w:hAnsi="宋体" w:cs="宋体"/>
          <w:b w:val="0"/>
          <w:bCs w:val="0"/>
          <w:color w:val="000000"/>
          <w:kern w:val="0"/>
          <w:sz w:val="24"/>
          <w:szCs w:val="24"/>
          <w:lang w:val="en-US" w:eastAsia="zh-CN" w:bidi="ar"/>
        </w:rPr>
        <w:t>特殊节</w:t>
      </w:r>
      <w:r>
        <w:rPr>
          <w:rFonts w:hint="eastAsia" w:ascii="宋体" w:hAnsi="宋体" w:eastAsia="宋体" w:cs="宋体"/>
          <w:b w:val="0"/>
          <w:bCs w:val="0"/>
          <w:color w:val="000000"/>
          <w:kern w:val="0"/>
          <w:sz w:val="24"/>
          <w:szCs w:val="24"/>
          <w:lang w:val="en-US" w:eastAsia="zh-CN" w:bidi="ar"/>
        </w:rPr>
        <w:t>支腿与塔身主弦杆是否在一条垂直线上，并观察套架 8 个导轮与塔身主弦杆间隙是否基本相同来检查塔机是否平衡。略微调整载重小车的配平位置，直至平衡。记录实际配平位置，以后顶升或降节时使用。 必须使得塔机上部重心落在顶升油缸梁的位置上。</w:t>
      </w:r>
    </w:p>
    <w:p w14:paraId="309B96B3">
      <w:pPr>
        <w:pStyle w:val="15"/>
        <w:bidi w:val="0"/>
      </w:pPr>
      <w:r>
        <w:drawing>
          <wp:inline distT="0" distB="0" distL="114300" distR="114300">
            <wp:extent cx="5157470" cy="1424940"/>
            <wp:effectExtent l="0" t="0" r="5080" b="3810"/>
            <wp:docPr id="1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0"/>
                    <pic:cNvPicPr>
                      <a:picLocks noChangeAspect="1"/>
                    </pic:cNvPicPr>
                  </pic:nvPicPr>
                  <pic:blipFill>
                    <a:blip r:embed="rId42"/>
                    <a:stretch>
                      <a:fillRect/>
                    </a:stretch>
                  </pic:blipFill>
                  <pic:spPr>
                    <a:xfrm>
                      <a:off x="0" y="0"/>
                      <a:ext cx="5157470" cy="1424940"/>
                    </a:xfrm>
                    <a:prstGeom prst="rect">
                      <a:avLst/>
                    </a:prstGeom>
                    <a:noFill/>
                    <a:ln>
                      <a:noFill/>
                    </a:ln>
                  </pic:spPr>
                </pic:pic>
              </a:graphicData>
            </a:graphic>
          </wp:inline>
        </w:drawing>
      </w:r>
      <w:r>
        <w:drawing>
          <wp:inline distT="0" distB="0" distL="114300" distR="114300">
            <wp:extent cx="5268595" cy="3154680"/>
            <wp:effectExtent l="0" t="0" r="8255" b="7620"/>
            <wp:docPr id="21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46"/>
                    <pic:cNvPicPr>
                      <a:picLocks noChangeAspect="1"/>
                    </pic:cNvPicPr>
                  </pic:nvPicPr>
                  <pic:blipFill>
                    <a:blip r:embed="rId43"/>
                    <a:stretch>
                      <a:fillRect/>
                    </a:stretch>
                  </pic:blipFill>
                  <pic:spPr>
                    <a:xfrm>
                      <a:off x="0" y="0"/>
                      <a:ext cx="5268595" cy="3154680"/>
                    </a:xfrm>
                    <a:prstGeom prst="rect">
                      <a:avLst/>
                    </a:prstGeom>
                    <a:noFill/>
                    <a:ln>
                      <a:noFill/>
                    </a:ln>
                  </pic:spPr>
                </pic:pic>
              </a:graphicData>
            </a:graphic>
          </wp:inline>
        </w:drawing>
      </w:r>
    </w:p>
    <w:p w14:paraId="5579FAF9">
      <w:pPr>
        <w:pStyle w:val="15"/>
        <w:bidi w:val="0"/>
        <w:rPr>
          <w:rFonts w:hint="default" w:ascii="Times New Roman" w:hAnsi="Times New Roman" w:cs="Times New Roman"/>
          <w:highlight w:val="none"/>
          <w:lang w:val="en-US" w:eastAsia="zh-CN"/>
        </w:rPr>
      </w:pPr>
      <w:r>
        <w:t xml:space="preserve">图 </w:t>
      </w:r>
      <w:r>
        <w:fldChar w:fldCharType="begin"/>
      </w:r>
      <w:r>
        <w:instrText xml:space="preserve"> STYLEREF 2 \s </w:instrText>
      </w:r>
      <w:r>
        <w:fldChar w:fldCharType="separate"/>
      </w:r>
      <w:r>
        <w:t>2.12</w:t>
      </w:r>
      <w:r>
        <w:fldChar w:fldCharType="end"/>
      </w:r>
      <w:r>
        <w:rPr>
          <w:rFonts w:hint="eastAsia"/>
          <w:lang w:eastAsia="zh-CN"/>
        </w:rPr>
        <w:t>-</w:t>
      </w:r>
      <w:r>
        <w:fldChar w:fldCharType="begin"/>
      </w:r>
      <w:r>
        <w:instrText xml:space="preserve"> SEQ 图 \* ARABIC \s 2 </w:instrText>
      </w:r>
      <w:r>
        <w:fldChar w:fldCharType="separate"/>
      </w:r>
      <w:r>
        <w:t>2</w:t>
      </w:r>
      <w:r>
        <w:fldChar w:fldCharType="end"/>
      </w:r>
      <w:r>
        <w:rPr>
          <w:rFonts w:hint="eastAsia" w:ascii="Times New Roman" w:hAnsi="Times New Roman" w:cs="Times New Roman"/>
          <w:highlight w:val="none"/>
          <w:lang w:val="en-US" w:eastAsia="zh-CN"/>
        </w:rPr>
        <w:t xml:space="preserve"> 顶升前配平示意图</w:t>
      </w:r>
    </w:p>
    <w:p w14:paraId="3D7961C4">
      <w:pPr>
        <w:pStyle w:val="4"/>
        <w:numPr>
          <w:ilvl w:val="2"/>
          <w:numId w:val="4"/>
        </w:numPr>
        <w:bidi w:val="0"/>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顶升作业</w:t>
      </w:r>
    </w:p>
    <w:p w14:paraId="0D508CB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顶升作业为多人配合作业，专人负责操作泵站、其余人负责操作标准节及销轴。</w:t>
      </w:r>
    </w:p>
    <w:p w14:paraId="0CD142E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（1）按在引进梁上吊挂标准节的方法将一节标准节吊挂在引进梁上，并保证标准节上端面与引进小车下端面的距离在 100～250mm 之间。</w:t>
      </w:r>
    </w:p>
    <w:p w14:paraId="2BA70BF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 再吊配平标准节，将载重小车开至顶升平衡位置，塔机处于配平状态。</w:t>
      </w:r>
    </w:p>
    <w:p w14:paraId="046C20BA">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（3） 使用回转机构上的回转制动器，将塔机上部机构处于制动状态；</w:t>
      </w:r>
    </w:p>
    <w:p w14:paraId="608D961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（4）卸下塔身顶部与下支座连接的顶升用临时销轴。</w:t>
      </w:r>
    </w:p>
    <w:p w14:paraId="62C3F913">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（5） 开动液压顶升系统，使油缸活塞杆伸出，将顶升横梁两端的止动靴挂在距顶升横梁最近的塔身节踏步上（要设专人负责观察顶升横梁两端止动靴都必须落入踏步圆弧槽内）；</w:t>
      </w:r>
    </w:p>
    <w:p w14:paraId="4E5CAB2A">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（6）打开套架上止动靴操纵杆，使套架止动靴与塔身分开，继续顶升，将套架及以上部分顶起 ~m 时停止。</w:t>
      </w:r>
    </w:p>
    <w:p w14:paraId="26CDBCC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（7） 当液压油缸活塞接近下止点位置时，推动套架止动靴操纵杆使上止动靴挂入踏步上的圆弧槽内，使塔机套架以上部分临时固定在顶升踏步上。</w:t>
      </w:r>
    </w:p>
    <w:p w14:paraId="5D66067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（8）将顶升横梁上的止动靴从塔身节踏步上脱开。</w:t>
      </w:r>
    </w:p>
    <w:p w14:paraId="5F8FF20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（9） 液压泵站操纵杆搬向“向下”位置，使顶升横梁收回。在收回的过程中，注意不要使顶升梁与塔身上螺栓或鱼尾板卡住，防止造成事故。</w:t>
      </w:r>
    </w:p>
    <w:p w14:paraId="6CFDB62F">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（10）当顶升横梁止动靴开口与上一级顶升踏步对齐时，搬动顶升横梁止动靴使其挂入顶升踏步上。</w:t>
      </w:r>
    </w:p>
    <w:p w14:paraId="0BA5673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（11） 打开顶升套架上止动靴操纵杆，使套架止动靴与塔身分开，液压泵站操纵杆搬向“向上”位置，继续顶升。</w:t>
      </w:r>
    </w:p>
    <w:p w14:paraId="1B7D588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该过程要重复三次方能形成可将一节标准节放进顶升套架内的空间。</w:t>
      </w:r>
    </w:p>
    <w:p w14:paraId="4FBE2034">
      <w:pPr>
        <w:pStyle w:val="4"/>
        <w:numPr>
          <w:ilvl w:val="2"/>
          <w:numId w:val="4"/>
        </w:numPr>
        <w:bidi w:val="0"/>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引进标准节作业</w:t>
      </w:r>
    </w:p>
    <w:p w14:paraId="407BF838">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 当顶升第三循环接近完成、顶升套架内空间可以容纳标准节时，将挂在引进梁上的标准节轻轻推向塔身、引入套架内；</w:t>
      </w:r>
    </w:p>
    <w:p w14:paraId="2CE0158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 液压泵站操纵杆搬向“向下”位置，引进的标准节下端与塔身原标准节上端鱼尾板对齐相联，打入 8 个标准节联接销轴，并用锁销固定。在联接标准节时注意使两标准节上爬梯对正，上下插接在一起。</w:t>
      </w:r>
    </w:p>
    <w:p w14:paraId="561964EF">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（3） 拆下引进小车上 4 根固定标准节的螺栓，将螺栓装在引进小车吊环内。向外推出引进小车至标准节以外位置；</w:t>
      </w:r>
    </w:p>
    <w:p w14:paraId="793ED7D4">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（4） 继续下降顶升套架使下支座 4 个支腿落在新安装好的标准节上端鱼尾板内。用顶升套架上附带的四个临时固定销轴将下支座与标准节联接起来；</w:t>
      </w:r>
    </w:p>
    <w:p w14:paraId="638B7E9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（5） 重复上述顶升程序，直到塔机顶升作业完成为止。</w:t>
      </w:r>
    </w:p>
    <w:p w14:paraId="7C463D73">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注意： 在 4 个临时销轴没有安装以前， 塔机不能做任何动作 （包括小车、 起升和回转）。否则有可能造成塔机倾翻的事故。</w:t>
      </w:r>
    </w:p>
    <w:p w14:paraId="180732B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关于顶升用临时销轴的说明：</w:t>
      </w:r>
    </w:p>
    <w:p w14:paraId="5E9D1DDA">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为方便顶升作业，配有 4 个临时销轴，此销轴直径比标准节销轴小 2mm 。此销轴只做顶升时联接下支座与塔身用， 塔机正式作业时不允许用此销轴替代标准节销轴。</w:t>
      </w:r>
    </w:p>
    <w:p w14:paraId="09392587">
      <w:pPr>
        <w:pStyle w:val="4"/>
        <w:numPr>
          <w:ilvl w:val="2"/>
          <w:numId w:val="4"/>
        </w:numPr>
        <w:bidi w:val="0"/>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顶升过程的注意事项</w:t>
      </w:r>
    </w:p>
    <w:p w14:paraId="41B0DEC9">
      <w:pPr>
        <w:spacing w:after="120"/>
        <w:ind w:firstLine="480"/>
      </w:pPr>
      <w:r>
        <w:rPr>
          <w:rFonts w:hint="eastAsia"/>
          <w:lang w:eastAsia="zh-CN"/>
        </w:rPr>
        <w:t>（</w:t>
      </w:r>
      <w:r>
        <w:rPr>
          <w:rFonts w:hint="eastAsia"/>
          <w:lang w:val="en-US" w:eastAsia="zh-CN"/>
        </w:rPr>
        <w:t>1</w:t>
      </w:r>
      <w:r>
        <w:rPr>
          <w:rFonts w:hint="eastAsia"/>
          <w:lang w:eastAsia="zh-CN"/>
        </w:rPr>
        <w:t>）</w:t>
      </w:r>
      <w:r>
        <w:rPr>
          <w:rFonts w:hint="eastAsia"/>
        </w:rPr>
        <w:t xml:space="preserve"> 塔机最高处风速大于 12m/s 时，不得进行顶升作业；</w:t>
      </w:r>
    </w:p>
    <w:p w14:paraId="35351AEA">
      <w:pPr>
        <w:spacing w:after="120"/>
        <w:ind w:firstLine="480"/>
      </w:pPr>
      <w:r>
        <w:rPr>
          <w:rFonts w:hint="eastAsia"/>
          <w:lang w:eastAsia="zh-CN"/>
        </w:rPr>
        <w:t>（</w:t>
      </w:r>
      <w:r>
        <w:rPr>
          <w:rFonts w:hint="eastAsia"/>
          <w:lang w:val="en-US" w:eastAsia="zh-CN"/>
        </w:rPr>
        <w:t>2</w:t>
      </w:r>
      <w:r>
        <w:rPr>
          <w:rFonts w:hint="eastAsia"/>
          <w:lang w:eastAsia="zh-CN"/>
        </w:rPr>
        <w:t>）</w:t>
      </w:r>
      <w:r>
        <w:rPr>
          <w:rFonts w:hint="eastAsia"/>
        </w:rPr>
        <w:t>塔机的爬升机构，其爬升作业时应确保套架上支承在塔身上的受力部位与塔身顶升支承部位应可靠定位和结合。并应及时查看顶升支承部位焊缝情况，若有异常情况应排除后才能继续进行爬升作业。</w:t>
      </w:r>
    </w:p>
    <w:p w14:paraId="75371B6A">
      <w:pPr>
        <w:spacing w:after="120"/>
        <w:ind w:firstLine="480"/>
      </w:pPr>
      <w:r>
        <w:rPr>
          <w:rFonts w:hint="eastAsia"/>
          <w:lang w:eastAsia="zh-CN"/>
        </w:rPr>
        <w:t>（</w:t>
      </w:r>
      <w:r>
        <w:rPr>
          <w:rFonts w:hint="eastAsia"/>
          <w:lang w:val="en-US" w:eastAsia="zh-CN"/>
        </w:rPr>
        <w:t>3</w:t>
      </w:r>
      <w:r>
        <w:rPr>
          <w:rFonts w:hint="eastAsia"/>
          <w:lang w:eastAsia="zh-CN"/>
        </w:rPr>
        <w:t>）</w:t>
      </w:r>
      <w:r>
        <w:rPr>
          <w:rFonts w:hint="eastAsia"/>
        </w:rPr>
        <w:t xml:space="preserve"> 顶升过程中必须保证起重臂与引入标准节方向一致，并利用回转机构制动器将起重臂制动住，载重小车必须停靠在顶升配平位置；</w:t>
      </w:r>
    </w:p>
    <w:p w14:paraId="66DE1647">
      <w:pPr>
        <w:spacing w:after="120"/>
        <w:ind w:firstLine="480"/>
      </w:pPr>
      <w:r>
        <w:rPr>
          <w:rFonts w:hint="eastAsia"/>
          <w:lang w:eastAsia="zh-CN"/>
        </w:rPr>
        <w:t>（</w:t>
      </w:r>
      <w:r>
        <w:rPr>
          <w:rFonts w:hint="eastAsia"/>
          <w:lang w:val="en-US" w:eastAsia="zh-CN"/>
        </w:rPr>
        <w:t>4</w:t>
      </w:r>
      <w:r>
        <w:rPr>
          <w:rFonts w:hint="eastAsia"/>
          <w:lang w:eastAsia="zh-CN"/>
        </w:rPr>
        <w:t>）</w:t>
      </w:r>
      <w:r>
        <w:rPr>
          <w:rFonts w:hint="eastAsia"/>
        </w:rPr>
        <w:t>所加标准节上的踏步，必须与已有塔身节对正；</w:t>
      </w:r>
    </w:p>
    <w:p w14:paraId="120E0C34">
      <w:pPr>
        <w:spacing w:after="120"/>
        <w:ind w:firstLine="480"/>
      </w:pPr>
      <w:r>
        <w:rPr>
          <w:rFonts w:hint="eastAsia"/>
          <w:lang w:eastAsia="zh-CN"/>
        </w:rPr>
        <w:t>（</w:t>
      </w:r>
      <w:r>
        <w:rPr>
          <w:rFonts w:hint="eastAsia"/>
          <w:lang w:val="en-US" w:eastAsia="zh-CN"/>
        </w:rPr>
        <w:t>5</w:t>
      </w:r>
      <w:r>
        <w:rPr>
          <w:rFonts w:hint="eastAsia"/>
          <w:lang w:eastAsia="zh-CN"/>
        </w:rPr>
        <w:t>）</w:t>
      </w:r>
      <w:r>
        <w:rPr>
          <w:rFonts w:hint="eastAsia"/>
        </w:rPr>
        <w:t xml:space="preserve"> 在下支座与塔身没有用销轴连接好之前，严禁起重臂回转、载重小车变幅和吊装作业；</w:t>
      </w:r>
    </w:p>
    <w:p w14:paraId="1E769B32">
      <w:pPr>
        <w:spacing w:after="120"/>
        <w:ind w:firstLine="480"/>
      </w:pPr>
      <w:r>
        <w:rPr>
          <w:rFonts w:hint="eastAsia"/>
          <w:lang w:eastAsia="zh-CN"/>
        </w:rPr>
        <w:t>（</w:t>
      </w:r>
      <w:r>
        <w:rPr>
          <w:rFonts w:hint="eastAsia"/>
          <w:lang w:val="en-US" w:eastAsia="zh-CN"/>
        </w:rPr>
        <w:t>6</w:t>
      </w:r>
      <w:r>
        <w:rPr>
          <w:rFonts w:hint="eastAsia"/>
          <w:lang w:eastAsia="zh-CN"/>
        </w:rPr>
        <w:t>）</w:t>
      </w:r>
      <w:r>
        <w:rPr>
          <w:rFonts w:hint="eastAsia"/>
        </w:rPr>
        <w:t>在顶升过程中，若液压顶升系统出现异常，应立即停止顶升，收回油缸，将下支座落在塔身顶部，并用 8 个销轴将下支座与塔身连接牢靠后，再排除液压系统的故障；</w:t>
      </w:r>
    </w:p>
    <w:p w14:paraId="2C6DECAE">
      <w:pPr>
        <w:pStyle w:val="4"/>
        <w:numPr>
          <w:ilvl w:val="2"/>
          <w:numId w:val="4"/>
        </w:numPr>
        <w:bidi w:val="0"/>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顶升作业完成后注意事项</w:t>
      </w:r>
    </w:p>
    <w:p w14:paraId="6629786F">
      <w:pPr>
        <w:spacing w:after="120"/>
        <w:ind w:firstLine="480"/>
      </w:pPr>
      <w:r>
        <w:rPr>
          <w:rFonts w:hint="eastAsia"/>
          <w:lang w:eastAsia="zh-CN"/>
        </w:rPr>
        <w:t>（</w:t>
      </w:r>
      <w:r>
        <w:rPr>
          <w:rFonts w:hint="eastAsia"/>
          <w:lang w:val="en-US" w:eastAsia="zh-CN"/>
        </w:rPr>
        <w:t>1</w:t>
      </w:r>
      <w:r>
        <w:rPr>
          <w:rFonts w:hint="eastAsia"/>
          <w:lang w:eastAsia="zh-CN"/>
        </w:rPr>
        <w:t>）</w:t>
      </w:r>
      <w:r>
        <w:rPr>
          <w:rFonts w:hint="eastAsia"/>
        </w:rPr>
        <w:t>引进小车不要放在塔身内；</w:t>
      </w:r>
    </w:p>
    <w:p w14:paraId="22756E23">
      <w:pPr>
        <w:spacing w:after="120"/>
        <w:ind w:firstLine="480"/>
      </w:pPr>
      <w:r>
        <w:rPr>
          <w:rFonts w:hint="eastAsia"/>
          <w:lang w:eastAsia="zh-CN"/>
        </w:rPr>
        <w:t>（</w:t>
      </w:r>
      <w:r>
        <w:rPr>
          <w:rFonts w:hint="eastAsia"/>
          <w:lang w:val="en-US" w:eastAsia="zh-CN"/>
        </w:rPr>
        <w:t>2</w:t>
      </w:r>
      <w:r>
        <w:rPr>
          <w:rFonts w:hint="eastAsia"/>
          <w:lang w:eastAsia="zh-CN"/>
        </w:rPr>
        <w:t>）</w:t>
      </w:r>
      <w:r>
        <w:rPr>
          <w:rFonts w:hint="eastAsia"/>
        </w:rPr>
        <w:t>必要时可以放下引进梁；</w:t>
      </w:r>
    </w:p>
    <w:p w14:paraId="57FF5F85">
      <w:pPr>
        <w:spacing w:after="120"/>
        <w:ind w:firstLine="480"/>
      </w:pPr>
      <w:r>
        <w:rPr>
          <w:rFonts w:hint="eastAsia"/>
          <w:lang w:eastAsia="zh-CN"/>
        </w:rPr>
        <w:t>（</w:t>
      </w:r>
      <w:r>
        <w:rPr>
          <w:rFonts w:hint="eastAsia"/>
          <w:lang w:val="en-US" w:eastAsia="zh-CN"/>
        </w:rPr>
        <w:t>3</w:t>
      </w:r>
      <w:r>
        <w:rPr>
          <w:rFonts w:hint="eastAsia"/>
          <w:lang w:eastAsia="zh-CN"/>
        </w:rPr>
        <w:t>）</w:t>
      </w:r>
      <w:r>
        <w:rPr>
          <w:rFonts w:hint="eastAsia"/>
        </w:rPr>
        <w:t>下支座与塔身必须用 8 个标准节销轴联接好并用锁销固定；</w:t>
      </w:r>
    </w:p>
    <w:p w14:paraId="3585E0E1">
      <w:pPr>
        <w:spacing w:after="120"/>
        <w:ind w:firstLine="480"/>
      </w:pPr>
      <w:r>
        <w:rPr>
          <w:rFonts w:hint="eastAsia"/>
          <w:lang w:eastAsia="zh-CN"/>
        </w:rPr>
        <w:t>（</w:t>
      </w:r>
      <w:r>
        <w:rPr>
          <w:rFonts w:hint="eastAsia"/>
          <w:lang w:val="en-US" w:eastAsia="zh-CN"/>
        </w:rPr>
        <w:t>4</w:t>
      </w:r>
      <w:r>
        <w:rPr>
          <w:rFonts w:hint="eastAsia"/>
          <w:lang w:eastAsia="zh-CN"/>
        </w:rPr>
        <w:t>）</w:t>
      </w:r>
      <w:r>
        <w:rPr>
          <w:rFonts w:hint="eastAsia"/>
        </w:rPr>
        <w:t>顶升梁必须轻挂在最后一级顶升踏步上，注意要使液压油缸卸荷；</w:t>
      </w:r>
    </w:p>
    <w:p w14:paraId="64E56198">
      <w:pPr>
        <w:spacing w:after="120"/>
        <w:ind w:firstLine="480"/>
      </w:pPr>
      <w:r>
        <w:rPr>
          <w:rFonts w:hint="eastAsia"/>
          <w:lang w:eastAsia="zh-CN"/>
        </w:rPr>
        <w:t>（</w:t>
      </w:r>
      <w:r>
        <w:rPr>
          <w:rFonts w:hint="eastAsia"/>
          <w:lang w:val="en-US" w:eastAsia="zh-CN"/>
        </w:rPr>
        <w:t>5</w:t>
      </w:r>
      <w:r>
        <w:rPr>
          <w:rFonts w:hint="eastAsia"/>
          <w:lang w:eastAsia="zh-CN"/>
        </w:rPr>
        <w:t>）</w:t>
      </w:r>
      <w:r>
        <w:rPr>
          <w:rFonts w:hint="eastAsia"/>
        </w:rPr>
        <w:t>拆掉液压泵站的电源线，整理好塔机电源随线；</w:t>
      </w:r>
    </w:p>
    <w:p w14:paraId="5BC75AF9">
      <w:pPr>
        <w:spacing w:after="120"/>
        <w:ind w:firstLine="480"/>
      </w:pPr>
      <w:r>
        <w:rPr>
          <w:rFonts w:hint="eastAsia"/>
          <w:lang w:eastAsia="zh-CN"/>
        </w:rPr>
        <w:t>（</w:t>
      </w:r>
      <w:r>
        <w:rPr>
          <w:rFonts w:hint="eastAsia"/>
          <w:lang w:val="en-US" w:eastAsia="zh-CN"/>
        </w:rPr>
        <w:t>6</w:t>
      </w:r>
      <w:r>
        <w:rPr>
          <w:rFonts w:hint="eastAsia"/>
          <w:lang w:eastAsia="zh-CN"/>
        </w:rPr>
        <w:t>）</w:t>
      </w:r>
      <w:r>
        <w:rPr>
          <w:rFonts w:hint="eastAsia"/>
        </w:rPr>
        <w:t>整个塔机安装完毕后，将套架降到塔身最底部，固定牢固，以降低风载；</w:t>
      </w:r>
    </w:p>
    <w:p w14:paraId="6417378F">
      <w:pPr>
        <w:pStyle w:val="3"/>
        <w:numPr>
          <w:ilvl w:val="1"/>
          <w:numId w:val="4"/>
        </w:numPr>
        <w:bidi w:val="0"/>
        <w:ind w:left="567" w:leftChars="0" w:hanging="567" w:firstLineChars="0"/>
        <w:rPr>
          <w:rFonts w:hint="eastAsia" w:ascii="宋体" w:hAnsi="宋体" w:eastAsia="宋体" w:cs="宋体"/>
          <w:lang w:val="en-US" w:eastAsia="zh-CN"/>
        </w:rPr>
      </w:pPr>
      <w:bookmarkStart w:id="45" w:name="_Toc16933"/>
      <w:r>
        <w:rPr>
          <w:rFonts w:hint="eastAsia" w:ascii="宋体" w:hAnsi="宋体" w:eastAsia="宋体" w:cs="宋体"/>
          <w:lang w:val="en-US" w:eastAsia="zh-CN"/>
        </w:rPr>
        <w:t>塔机附着</w:t>
      </w:r>
      <w:bookmarkEnd w:id="45"/>
    </w:p>
    <w:p w14:paraId="5A2B8296">
      <w:pPr>
        <w:pStyle w:val="4"/>
        <w:numPr>
          <w:ilvl w:val="2"/>
          <w:numId w:val="4"/>
        </w:numPr>
        <w:bidi w:val="0"/>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塔机附着布置</w:t>
      </w:r>
    </w:p>
    <w:p w14:paraId="6DF6C49D">
      <w:pPr>
        <w:ind w:firstLine="480"/>
        <w:rPr>
          <w:rFonts w:hint="eastAsia" w:ascii="Times New Roman" w:hAnsi="Times New Roman" w:eastAsia="宋体" w:cs="Times New Roman"/>
          <w:color w:val="000000"/>
        </w:rPr>
      </w:pPr>
      <w:r>
        <w:rPr>
          <w:rFonts w:hint="eastAsia" w:ascii="Times New Roman" w:hAnsi="Times New Roman" w:eastAsia="宋体" w:cs="Times New Roman"/>
          <w:color w:val="000000"/>
          <w:lang w:val="en-US" w:eastAsia="zh-CN"/>
        </w:rPr>
        <w:t>塔机</w:t>
      </w:r>
      <w:r>
        <w:rPr>
          <w:rFonts w:hint="eastAsia" w:ascii="Times New Roman" w:hAnsi="Times New Roman" w:eastAsia="宋体" w:cs="Times New Roman"/>
          <w:color w:val="000000"/>
        </w:rPr>
        <w:t>设置</w:t>
      </w:r>
      <w:r>
        <w:rPr>
          <w:rFonts w:hint="eastAsia" w:ascii="Times New Roman" w:hAnsi="Times New Roman" w:cs="Times New Roman"/>
          <w:color w:val="000000"/>
          <w:lang w:val="en-US" w:eastAsia="zh-CN"/>
        </w:rPr>
        <w:t>1</w:t>
      </w:r>
      <w:r>
        <w:rPr>
          <w:rFonts w:hint="eastAsia" w:ascii="Times New Roman" w:hAnsi="Times New Roman" w:eastAsia="宋体" w:cs="Times New Roman"/>
          <w:color w:val="000000"/>
        </w:rPr>
        <w:t>道附着，附着平面布置见下图所示。</w:t>
      </w:r>
    </w:p>
    <w:p w14:paraId="0CC78A3C">
      <w:pPr>
        <w:pStyle w:val="13"/>
        <w:jc w:val="center"/>
      </w:pPr>
      <w:r>
        <w:drawing>
          <wp:inline distT="0" distB="0" distL="114300" distR="114300">
            <wp:extent cx="3155315" cy="2279650"/>
            <wp:effectExtent l="0" t="0" r="6985" b="6350"/>
            <wp:docPr id="20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44"/>
                    <pic:cNvPicPr>
                      <a:picLocks noChangeAspect="1"/>
                    </pic:cNvPicPr>
                  </pic:nvPicPr>
                  <pic:blipFill>
                    <a:blip r:embed="rId44"/>
                    <a:srcRect b="4491"/>
                    <a:stretch>
                      <a:fillRect/>
                    </a:stretch>
                  </pic:blipFill>
                  <pic:spPr>
                    <a:xfrm>
                      <a:off x="0" y="0"/>
                      <a:ext cx="3155315" cy="2279650"/>
                    </a:xfrm>
                    <a:prstGeom prst="rect">
                      <a:avLst/>
                    </a:prstGeom>
                    <a:noFill/>
                    <a:ln>
                      <a:noFill/>
                    </a:ln>
                  </pic:spPr>
                </pic:pic>
              </a:graphicData>
            </a:graphic>
          </wp:inline>
        </w:drawing>
      </w:r>
    </w:p>
    <w:p w14:paraId="759FB08B">
      <w:pPr>
        <w:pStyle w:val="15"/>
      </w:pPr>
      <w:r>
        <w:t xml:space="preserve">图 </w:t>
      </w:r>
      <w:r>
        <w:fldChar w:fldCharType="begin"/>
      </w:r>
      <w:r>
        <w:instrText xml:space="preserve"> STYLEREF 2 \s </w:instrText>
      </w:r>
      <w:r>
        <w:fldChar w:fldCharType="separate"/>
      </w:r>
      <w:r>
        <w:t>2.14</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 xml:space="preserve"> </w:t>
      </w:r>
      <w:r>
        <w:rPr>
          <w:rFonts w:hint="eastAsia" w:ascii="Times New Roman" w:hAnsi="Times New Roman" w:eastAsia="黑体" w:cs="Times New Roman"/>
          <w:kern w:val="2"/>
          <w:sz w:val="21"/>
          <w:szCs w:val="21"/>
          <w:lang w:val="en-US" w:eastAsia="zh-CN" w:bidi="ar-SA"/>
        </w:rPr>
        <w:t>塔机附着平面布置图</w:t>
      </w:r>
    </w:p>
    <w:p w14:paraId="3EB99F11">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pPr>
      <w:r>
        <w:drawing>
          <wp:inline distT="0" distB="0" distL="114300" distR="114300">
            <wp:extent cx="3559810" cy="4260215"/>
            <wp:effectExtent l="0" t="0" r="2540" b="6985"/>
            <wp:docPr id="20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45"/>
                    <pic:cNvPicPr>
                      <a:picLocks noChangeAspect="1"/>
                    </pic:cNvPicPr>
                  </pic:nvPicPr>
                  <pic:blipFill>
                    <a:blip r:embed="rId45"/>
                    <a:stretch>
                      <a:fillRect/>
                    </a:stretch>
                  </pic:blipFill>
                  <pic:spPr>
                    <a:xfrm>
                      <a:off x="0" y="0"/>
                      <a:ext cx="3559810" cy="4260215"/>
                    </a:xfrm>
                    <a:prstGeom prst="rect">
                      <a:avLst/>
                    </a:prstGeom>
                    <a:noFill/>
                    <a:ln>
                      <a:noFill/>
                    </a:ln>
                  </pic:spPr>
                </pic:pic>
              </a:graphicData>
            </a:graphic>
          </wp:inline>
        </w:drawing>
      </w:r>
    </w:p>
    <w:p w14:paraId="1B7D4995">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pPr>
      <w:r>
        <w:t xml:space="preserve">图 </w:t>
      </w:r>
      <w:r>
        <w:fldChar w:fldCharType="begin"/>
      </w:r>
      <w:r>
        <w:instrText xml:space="preserve"> STYLEREF 2 \s </w:instrText>
      </w:r>
      <w:r>
        <w:fldChar w:fldCharType="separate"/>
      </w:r>
      <w:r>
        <w:t>2.14</w:t>
      </w:r>
      <w:r>
        <w:fldChar w:fldCharType="end"/>
      </w:r>
      <w:r>
        <w:rPr>
          <w:rFonts w:hint="eastAsia"/>
          <w:lang w:eastAsia="zh-CN"/>
        </w:rPr>
        <w:t>-</w:t>
      </w:r>
      <w:r>
        <w:fldChar w:fldCharType="begin"/>
      </w:r>
      <w:r>
        <w:instrText xml:space="preserve"> SEQ 图 \* ARABIC \s 2 </w:instrText>
      </w:r>
      <w:r>
        <w:fldChar w:fldCharType="separate"/>
      </w:r>
      <w:r>
        <w:t>2</w:t>
      </w:r>
      <w:r>
        <w:fldChar w:fldCharType="end"/>
      </w:r>
      <w:r>
        <w:rPr>
          <w:rFonts w:hint="eastAsia" w:ascii="Times New Roman" w:hAnsi="Times New Roman" w:eastAsia="黑体" w:cs="Times New Roman"/>
          <w:kern w:val="2"/>
          <w:sz w:val="21"/>
          <w:szCs w:val="21"/>
          <w:lang w:val="en-US" w:eastAsia="zh-CN" w:bidi="ar-SA"/>
        </w:rPr>
        <w:t xml:space="preserve"> 塔机附着立面布置图</w:t>
      </w:r>
    </w:p>
    <w:p w14:paraId="7A2F0197">
      <w:pPr>
        <w:pStyle w:val="4"/>
        <w:numPr>
          <w:ilvl w:val="2"/>
          <w:numId w:val="4"/>
        </w:numPr>
        <w:bidi w:val="0"/>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附着安装</w:t>
      </w:r>
    </w:p>
    <w:p w14:paraId="2B801046">
      <w:pPr>
        <w:ind w:firstLine="480"/>
        <w:rPr>
          <w:rFonts w:ascii="Times New Roman" w:hAnsi="Times New Roman" w:eastAsia="宋体" w:cs="Times New Roman"/>
          <w:color w:val="000000"/>
        </w:rPr>
      </w:pPr>
      <w:r>
        <w:rPr>
          <w:rFonts w:hint="eastAsia" w:ascii="Times New Roman" w:hAnsi="Times New Roman" w:eastAsia="宋体" w:cs="Times New Roman"/>
          <w:color w:val="000000"/>
        </w:rPr>
        <w:t>塔吊附着安装步骤如下：</w:t>
      </w:r>
    </w:p>
    <w:p w14:paraId="4229A429">
      <w:pPr>
        <w:ind w:firstLine="480"/>
        <w:rPr>
          <w:rFonts w:ascii="Times New Roman" w:hAnsi="Times New Roman" w:eastAsia="宋体" w:cs="Times New Roman"/>
          <w:color w:val="000000"/>
        </w:rPr>
      </w:pPr>
      <w:r>
        <w:rPr>
          <w:rFonts w:hint="eastAsia" w:ascii="Times New Roman" w:hAnsi="Times New Roman" w:eastAsia="宋体" w:cs="Times New Roman"/>
          <w:color w:val="000000"/>
        </w:rPr>
        <w:t>1）作业人员通过塔身内爬梯，爬升到附着安装位置对应的标准节处，将安全带在上方横杆上系挂牢固，站在下方合适高度的横杆上，将附着安装操作平台吊装至对应高度后，作业人员采用螺栓将附着安装操作平台固定在塔身上。</w:t>
      </w:r>
    </w:p>
    <w:p w14:paraId="2E78A9F0">
      <w:pPr>
        <w:ind w:firstLine="480"/>
        <w:rPr>
          <w:rFonts w:ascii="Times New Roman" w:hAnsi="Times New Roman" w:eastAsia="宋体" w:cs="Times New Roman"/>
          <w:color w:val="000000"/>
        </w:rPr>
      </w:pPr>
      <w:r>
        <w:rPr>
          <w:rFonts w:hint="eastAsia" w:ascii="Times New Roman" w:hAnsi="Times New Roman" w:cs="Times New Roman"/>
          <w:color w:val="000000"/>
          <w:lang w:val="en-US" w:eastAsia="zh-CN"/>
        </w:rPr>
        <w:t>2</w:t>
      </w:r>
      <w:r>
        <w:rPr>
          <w:rFonts w:hint="eastAsia" w:ascii="Times New Roman" w:hAnsi="Times New Roman" w:eastAsia="宋体" w:cs="Times New Roman"/>
          <w:color w:val="000000"/>
        </w:rPr>
        <w:t>）附着杆件采用两点吊，以附着杆件上4个固定吊耳孔为吊装孔，采用2根</w:t>
      </w:r>
      <w:r>
        <w:rPr>
          <w:rFonts w:hint="eastAsia" w:ascii="Times New Roman" w:hAnsi="Times New Roman" w:eastAsia="宋体" w:cs="Times New Roman"/>
          <w:color w:val="000000"/>
          <w:lang w:val="en-US" w:eastAsia="zh-CN"/>
        </w:rPr>
        <w:t>24mm6×19W+IWR1870Mpa</w:t>
      </w:r>
      <w:r>
        <w:rPr>
          <w:rFonts w:ascii="Times New Roman" w:hAnsi="Times New Roman" w:eastAsia="宋体" w:cs="Times New Roman"/>
          <w:color w:val="000000"/>
        </w:rPr>
        <w:t>的钢丝绳配套GB/T 25854-6-</w:t>
      </w:r>
      <w:r>
        <w:rPr>
          <w:rFonts w:hint="eastAsia" w:ascii="Times New Roman" w:hAnsi="Times New Roman" w:cs="Times New Roman"/>
          <w:color w:val="000000"/>
          <w:lang w:val="en-US" w:eastAsia="zh-CN"/>
        </w:rPr>
        <w:t>D</w:t>
      </w:r>
      <w:r>
        <w:rPr>
          <w:rFonts w:ascii="Times New Roman" w:hAnsi="Times New Roman" w:eastAsia="宋体" w:cs="Times New Roman"/>
          <w:color w:val="000000"/>
        </w:rPr>
        <w:t>W</w:t>
      </w:r>
      <w:r>
        <w:rPr>
          <w:rFonts w:hint="eastAsia" w:cs="Times New Roman"/>
          <w:color w:val="000000"/>
          <w:lang w:val="en-US" w:eastAsia="zh-CN"/>
        </w:rPr>
        <w:t>10</w:t>
      </w:r>
      <w:r>
        <w:rPr>
          <w:rFonts w:ascii="Times New Roman" w:hAnsi="Times New Roman" w:eastAsia="宋体" w:cs="Times New Roman"/>
          <w:color w:val="000000"/>
        </w:rPr>
        <w:t>卸扣进行吊装。</w:t>
      </w:r>
    </w:p>
    <w:p w14:paraId="261F1D4A">
      <w:pPr>
        <w:ind w:firstLine="480"/>
        <w:rPr>
          <w:rFonts w:ascii="Times New Roman" w:hAnsi="Times New Roman" w:eastAsia="宋体" w:cs="Times New Roman"/>
          <w:color w:val="000000"/>
        </w:rPr>
      </w:pPr>
      <w:r>
        <w:rPr>
          <w:rFonts w:hint="eastAsia" w:ascii="Times New Roman" w:hAnsi="Times New Roman" w:cs="Times New Roman"/>
          <w:color w:val="000000"/>
          <w:lang w:val="en-US" w:eastAsia="zh-CN"/>
        </w:rPr>
        <w:t>3</w:t>
      </w:r>
      <w:r>
        <w:rPr>
          <w:rFonts w:hint="eastAsia" w:ascii="Times New Roman" w:hAnsi="Times New Roman" w:eastAsia="宋体" w:cs="Times New Roman"/>
          <w:color w:val="000000"/>
        </w:rPr>
        <w:t>）作业人员先在地面上将钢丝绳一端与吊环连接，另一端与卸扣连接，卸扣与吊装孔连接，并在附着杆上拴好两根溜绳。启动起升机构，将附着杆件缓慢提升，用溜绳控制其摆动。起吊附着杆件至对应高度，溜绳辅助附着杆件就位，两侧的作业人员通过销轴将附着杆件分别与塔吊附着框和主墩预埋件连接固定。</w:t>
      </w:r>
    </w:p>
    <w:p w14:paraId="7CF4A377">
      <w:pPr>
        <w:ind w:firstLine="480"/>
        <w:rPr>
          <w:rFonts w:ascii="Times New Roman" w:hAnsi="Times New Roman" w:eastAsia="宋体" w:cs="Times New Roman"/>
          <w:color w:val="000000"/>
        </w:rPr>
      </w:pPr>
      <w:r>
        <w:rPr>
          <w:rFonts w:hint="eastAsia" w:ascii="Times New Roman" w:hAnsi="Times New Roman" w:cs="Times New Roman"/>
          <w:color w:val="000000"/>
          <w:lang w:val="en-US" w:eastAsia="zh-CN"/>
        </w:rPr>
        <w:t>4</w:t>
      </w:r>
      <w:r>
        <w:rPr>
          <w:rFonts w:hint="eastAsia" w:ascii="Times New Roman" w:hAnsi="Times New Roman" w:eastAsia="宋体" w:cs="Times New Roman"/>
          <w:color w:val="000000"/>
        </w:rPr>
        <w:t>）重复以上步骤，安装4根附着杆件。安装完成后，主墩侧平台上的作业人员通过爬梯上到筑塔机平台，再通过电梯下至地面；塔吊塔身侧作业人员通过塔身内爬梯下到地面。</w:t>
      </w:r>
    </w:p>
    <w:p w14:paraId="421CC456">
      <w:pPr>
        <w:ind w:firstLine="480"/>
        <w:rPr>
          <w:rFonts w:ascii="Times New Roman" w:hAnsi="Times New Roman" w:eastAsia="宋体" w:cs="Times New Roman"/>
          <w:color w:val="000000"/>
        </w:rPr>
      </w:pPr>
      <w:r>
        <w:rPr>
          <w:rFonts w:ascii="Times New Roman" w:hAnsi="Times New Roman" w:eastAsia="宋体" w:cs="Times New Roman"/>
          <w:color w:val="000000"/>
        </w:rPr>
        <w:t>塔吊附着安装要求如下：</w:t>
      </w:r>
    </w:p>
    <w:p w14:paraId="5D885C42">
      <w:pPr>
        <w:ind w:firstLine="480"/>
        <w:rPr>
          <w:rFonts w:ascii="Times New Roman" w:hAnsi="Times New Roman" w:eastAsia="宋体" w:cs="Times New Roman"/>
          <w:color w:val="000000"/>
        </w:rPr>
      </w:pPr>
      <w:r>
        <w:rPr>
          <w:rFonts w:ascii="Times New Roman" w:hAnsi="Times New Roman" w:eastAsia="宋体" w:cs="Times New Roman"/>
          <w:color w:val="000000"/>
        </w:rPr>
        <w:t>（1）先将附着外框梁套在塔身上，并通过楔块和斜撑将塔身的四根主弦杆顶紧；通过销轴将附着撑杆的一端与附着框架连接，另一端与固定在主墩上的耳座连接。</w:t>
      </w:r>
    </w:p>
    <w:p w14:paraId="175AD54A">
      <w:pPr>
        <w:ind w:firstLine="480"/>
        <w:rPr>
          <w:rFonts w:ascii="Times New Roman" w:hAnsi="Times New Roman" w:eastAsia="宋体" w:cs="Times New Roman"/>
          <w:color w:val="000000"/>
        </w:rPr>
      </w:pPr>
      <w:r>
        <w:rPr>
          <w:rFonts w:ascii="Times New Roman" w:hAnsi="Times New Roman" w:eastAsia="宋体" w:cs="Times New Roman"/>
          <w:color w:val="000000"/>
        </w:rPr>
        <w:t>（2）每道附着架的4组附着撑杆应尽量处于同一水平面上。但在安装附着框架时，若与塔身标准节的某些部位发生干涉，可适当升高或降低附着框架的安装高度。允许附着框架与耳座高度差不大于0.01L（L为下图中撑杆的长度）</w:t>
      </w:r>
    </w:p>
    <w:p w14:paraId="10B68C01">
      <w:pPr>
        <w:ind w:firstLine="480"/>
        <w:rPr>
          <w:rFonts w:ascii="Times New Roman" w:hAnsi="Times New Roman" w:eastAsia="宋体" w:cs="Times New Roman"/>
          <w:color w:val="000000"/>
        </w:rPr>
      </w:pPr>
      <w:r>
        <w:rPr>
          <w:rFonts w:ascii="Times New Roman" w:hAnsi="Times New Roman" w:eastAsia="宋体" w:cs="Times New Roman"/>
          <w:color w:val="000000"/>
        </w:rPr>
        <w:t>（3）附着撑杆上允许搭设供人从建筑物通向塔机的通道，但严禁堆放重物。</w:t>
      </w:r>
    </w:p>
    <w:p w14:paraId="6E005F76">
      <w:pPr>
        <w:ind w:firstLine="480"/>
        <w:rPr>
          <w:rFonts w:ascii="Times New Roman" w:hAnsi="Times New Roman" w:eastAsia="宋体" w:cs="Times New Roman"/>
          <w:color w:val="000000"/>
        </w:rPr>
      </w:pPr>
      <w:r>
        <w:rPr>
          <w:rFonts w:ascii="Times New Roman" w:hAnsi="Times New Roman" w:eastAsia="宋体" w:cs="Times New Roman"/>
          <w:color w:val="000000"/>
        </w:rPr>
        <w:t>（4）安装塔机前，应对建筑物附着点（耳座固定处）的承载能力以及影响附着点强度的钢筋混凝土骨架的施工日期等因素预先估计。</w:t>
      </w:r>
    </w:p>
    <w:p w14:paraId="0C311D83">
      <w:pPr>
        <w:ind w:firstLine="480"/>
        <w:rPr>
          <w:rFonts w:ascii="Times New Roman" w:hAnsi="Times New Roman" w:eastAsia="宋体" w:cs="Times New Roman"/>
          <w:color w:val="000000"/>
        </w:rPr>
      </w:pPr>
      <w:r>
        <w:rPr>
          <w:rFonts w:ascii="Times New Roman" w:hAnsi="Times New Roman" w:eastAsia="宋体" w:cs="Times New Roman"/>
          <w:color w:val="000000"/>
        </w:rPr>
        <w:t>（</w:t>
      </w:r>
      <w:r>
        <w:rPr>
          <w:rFonts w:hint="eastAsia" w:cs="Times New Roman"/>
          <w:color w:val="000000"/>
          <w:lang w:val="en-US" w:eastAsia="zh-CN"/>
        </w:rPr>
        <w:t>5</w:t>
      </w:r>
      <w:r>
        <w:rPr>
          <w:rFonts w:ascii="Times New Roman" w:hAnsi="Times New Roman" w:eastAsia="宋体" w:cs="Times New Roman"/>
          <w:color w:val="000000"/>
        </w:rPr>
        <w:t>）安装附着装置时，应当用全站仪检查塔身轴心线的垂直度，最上一道附着架以上塔身轴心线的侧向垂直度允差为4/1000，最上一道附着架以下塔身轴心线的垂直度允差为2/1000，可通过调节附着撑杆的长度来控制塔身垂直度。</w:t>
      </w:r>
    </w:p>
    <w:p w14:paraId="0F90AE4B">
      <w:pPr>
        <w:bidi w:val="0"/>
        <w:ind w:firstLine="420" w:firstLineChars="0"/>
        <w:rPr>
          <w:rFonts w:hint="eastAsia" w:ascii="Times New Roman" w:hAnsi="Times New Roman" w:eastAsia="宋体" w:cstheme="majorBidi"/>
          <w:b/>
          <w:bCs w:val="0"/>
          <w:kern w:val="2"/>
          <w:szCs w:val="28"/>
          <w:lang w:val="en-US" w:eastAsia="zh-CN" w:bidi="ar-SA"/>
        </w:rPr>
      </w:pPr>
      <w:r>
        <w:t>（</w:t>
      </w:r>
      <w:r>
        <w:rPr>
          <w:rFonts w:hint="eastAsia"/>
          <w:lang w:val="en-US" w:eastAsia="zh-CN"/>
        </w:rPr>
        <w:t>6</w:t>
      </w:r>
      <w:r>
        <w:t>）附着撑杆与附着框架，连接耳座，以及附着框架与塔身、内撑杆的连接必须可靠。内撑杆应可靠地将塔身主弦杆顶紧，并与塔身的主弦夹紧，各连接螺栓应紧固好。各调节螺栓调整好后，应将螺母可靠地</w:t>
      </w:r>
      <w:r>
        <w:rPr>
          <w:rFonts w:hint="eastAsia"/>
        </w:rPr>
        <w:t>拧</w:t>
      </w:r>
      <w:r>
        <w:t>紧。开口销应按规定张开，运行后应经常检查是否发生松动，并及时进行调整。</w:t>
      </w:r>
    </w:p>
    <w:p w14:paraId="3B050524">
      <w:pPr>
        <w:pStyle w:val="3"/>
        <w:numPr>
          <w:ilvl w:val="1"/>
          <w:numId w:val="4"/>
        </w:numPr>
        <w:bidi w:val="0"/>
        <w:ind w:left="567" w:leftChars="0" w:hanging="567" w:firstLineChars="0"/>
        <w:rPr>
          <w:rFonts w:hint="eastAsia" w:ascii="宋体" w:hAnsi="宋体" w:eastAsia="宋体" w:cs="宋体"/>
          <w:lang w:val="en-US" w:eastAsia="zh-CN"/>
        </w:rPr>
      </w:pPr>
      <w:bookmarkStart w:id="46" w:name="_Toc27772"/>
      <w:r>
        <w:rPr>
          <w:rFonts w:hint="eastAsia" w:ascii="宋体" w:hAnsi="宋体" w:eastAsia="宋体" w:cs="宋体"/>
          <w:lang w:val="en-US" w:eastAsia="zh-CN"/>
        </w:rPr>
        <w:t>安全装置的调试</w:t>
      </w:r>
      <w:bookmarkEnd w:id="39"/>
      <w:bookmarkEnd w:id="40"/>
      <w:bookmarkEnd w:id="41"/>
      <w:bookmarkEnd w:id="46"/>
    </w:p>
    <w:p w14:paraId="1A761D97">
      <w:pPr>
        <w:ind w:firstLine="482" w:firstLineChars="200"/>
        <w:rPr>
          <w:rFonts w:hint="eastAsia"/>
          <w:b/>
          <w:bCs/>
          <w:highlight w:val="none"/>
          <w:lang w:val="en-US" w:eastAsia="zh-CN"/>
        </w:rPr>
      </w:pPr>
      <w:r>
        <w:rPr>
          <w:rFonts w:hint="eastAsia"/>
          <w:b/>
          <w:bCs/>
          <w:highlight w:val="none"/>
          <w:lang w:val="en-US" w:eastAsia="zh-CN"/>
        </w:rPr>
        <w:t>1、起升高度限位器</w:t>
      </w:r>
    </w:p>
    <w:p w14:paraId="3EB76D12">
      <w:pPr>
        <w:ind w:firstLine="480" w:firstLineChars="200"/>
        <w:rPr>
          <w:rFonts w:hint="eastAsia"/>
          <w:highlight w:val="none"/>
          <w:lang w:val="en-US" w:eastAsia="zh-CN"/>
        </w:rPr>
      </w:pPr>
      <w:r>
        <w:rPr>
          <w:rFonts w:hint="eastAsia"/>
          <w:highlight w:val="none"/>
          <w:lang w:val="en-US" w:eastAsia="zh-CN"/>
        </w:rPr>
        <w:t>起升高度限位器是通过装在起升卷筒轴一端的减速机构和限位开关来实现的。起升机构运行时，轴端减速机构随着转动，当吊钩超过设定的起升高度时，限位开关被触发，切断起升机构电机的电源并制动，向上不能提升。</w:t>
      </w:r>
    </w:p>
    <w:p w14:paraId="151DD539">
      <w:pPr>
        <w:ind w:firstLine="482" w:firstLineChars="200"/>
        <w:rPr>
          <w:rFonts w:hint="eastAsia"/>
          <w:b/>
          <w:bCs/>
          <w:highlight w:val="none"/>
          <w:lang w:val="en-US" w:eastAsia="zh-CN"/>
        </w:rPr>
      </w:pPr>
      <w:r>
        <w:rPr>
          <w:rFonts w:hint="eastAsia"/>
          <w:b/>
          <w:bCs/>
          <w:highlight w:val="none"/>
          <w:lang w:val="en-US" w:eastAsia="zh-CN"/>
        </w:rPr>
        <w:t>2、回转限位器</w:t>
      </w:r>
    </w:p>
    <w:p w14:paraId="1960605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回转限位器是通过装在回转上支座前方并与回转支承外齿圈相啮合的一套机构和限位开关来实现的。塔机回转时，回转限位机构随之转动，当塔机起重臂向左（或向右）回转超过540°时，限位开关被触发，从而切断回转电机电源，使之不能再向左（或向右）回转，只能向右（或向左）回转。</w:t>
      </w:r>
    </w:p>
    <w:p w14:paraId="27FD6073">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highlight w:val="none"/>
          <w:lang w:val="en-US" w:eastAsia="zh-CN"/>
        </w:rPr>
      </w:pPr>
      <w:r>
        <w:rPr>
          <w:rFonts w:hint="eastAsia"/>
          <w:b/>
          <w:bCs/>
          <w:highlight w:val="none"/>
          <w:lang w:val="en-US" w:eastAsia="zh-CN"/>
        </w:rPr>
        <w:t>3、变幅限位器</w:t>
      </w:r>
    </w:p>
    <w:p w14:paraId="0CD5CFB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变幅限位器是通过装在变幅卷筒轴一端的减速装置和限位开关来实现的。当小车在变幅运行中将超过最大幅度50m或超出最小幅度0m时，限位开关分别被触发，切断变幅电机电源，使小车不能再向外（或向内）运行，只能向内（或向外）变幅。</w:t>
      </w:r>
    </w:p>
    <w:p w14:paraId="27561F1B">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highlight w:val="none"/>
          <w:lang w:val="en-US" w:eastAsia="zh-CN"/>
        </w:rPr>
      </w:pPr>
      <w:r>
        <w:rPr>
          <w:rFonts w:hint="eastAsia"/>
          <w:b/>
          <w:bCs/>
          <w:highlight w:val="none"/>
          <w:lang w:val="en-US" w:eastAsia="zh-CN"/>
        </w:rPr>
        <w:t>4、起重量限位器</w:t>
      </w:r>
    </w:p>
    <w:p w14:paraId="01575D7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（1）当起重量达50%额定值时，限制起升高速上升，自动转换为中速提升运行，下降则容许以任意档速度运行。</w:t>
      </w:r>
    </w:p>
    <w:p w14:paraId="431D66B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（2）当起重量达90%额定值时，司机室联动台上闪光蜂鸣器发讯。</w:t>
      </w:r>
    </w:p>
    <w:p w14:paraId="0601CAF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（3）当起重量达100%额定值时，限制提升运行，容许下降运行，变幅小车停止向外运行。司机室联动台上起重红色信号灯亮。</w:t>
      </w:r>
    </w:p>
    <w:p w14:paraId="2612DE74">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highlight w:val="none"/>
          <w:lang w:val="en-US" w:eastAsia="zh-CN"/>
        </w:rPr>
      </w:pPr>
      <w:r>
        <w:rPr>
          <w:rFonts w:hint="eastAsia"/>
          <w:b/>
          <w:bCs/>
          <w:highlight w:val="none"/>
          <w:lang w:val="en-US" w:eastAsia="zh-CN"/>
        </w:rPr>
        <w:t>5、起重力矩限位器</w:t>
      </w:r>
    </w:p>
    <w:p w14:paraId="47AEBF7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在塔机的回转塔身后侧主弦杆上装有起重力矩限位器。起重力矩限位器由变形装置和两个行程开关组成。当力矩达到额定力矩的90%时，其中一个行程开关被触发，发出音响警告，提示司机注意，同时限制小车高速档向外，自动转换为低速向外运行，当达到额定力矩的100%时，另一个行程开发被触发，切断起升电机和变幅电机电源。吊钩不能起升，小车不能向外变幅，只能下降和向内变幅。</w:t>
      </w:r>
    </w:p>
    <w:p w14:paraId="53860D0C">
      <w:pPr>
        <w:pStyle w:val="3"/>
        <w:numPr>
          <w:ilvl w:val="1"/>
          <w:numId w:val="4"/>
        </w:numPr>
        <w:bidi w:val="0"/>
        <w:ind w:left="567" w:leftChars="0" w:hanging="567" w:firstLineChars="0"/>
        <w:rPr>
          <w:rFonts w:hint="default" w:ascii="宋体" w:hAnsi="宋体" w:eastAsia="宋体" w:cs="宋体"/>
          <w:highlight w:val="none"/>
          <w:lang w:val="en-US" w:eastAsia="zh-CN"/>
        </w:rPr>
      </w:pPr>
      <w:bookmarkStart w:id="47" w:name="_Toc31456"/>
      <w:r>
        <w:rPr>
          <w:rFonts w:hint="eastAsia" w:ascii="宋体" w:hAnsi="宋体" w:eastAsia="宋体" w:cs="宋体"/>
          <w:highlight w:val="none"/>
          <w:lang w:val="en-US" w:eastAsia="zh-CN"/>
        </w:rPr>
        <w:t>风险与应对措施</w:t>
      </w:r>
      <w:bookmarkEnd w:id="47"/>
    </w:p>
    <w:p w14:paraId="21C6C25E">
      <w:pPr>
        <w:pStyle w:val="4"/>
        <w:numPr>
          <w:ilvl w:val="2"/>
          <w:numId w:val="4"/>
        </w:numPr>
        <w:bidi w:val="0"/>
        <w:ind w:left="0" w:leftChars="0" w:firstLine="0" w:firstLineChars="0"/>
        <w:rPr>
          <w:rFonts w:hint="default" w:ascii="宋体" w:hAnsi="宋体" w:eastAsia="宋体" w:cs="宋体"/>
          <w:lang w:val="en-US" w:eastAsia="zh-CN"/>
        </w:rPr>
      </w:pPr>
      <w:r>
        <w:rPr>
          <w:rFonts w:hint="eastAsia" w:ascii="宋体" w:hAnsi="宋体" w:eastAsia="宋体" w:cs="宋体"/>
          <w:lang w:val="en-US" w:eastAsia="zh-CN"/>
        </w:rPr>
        <w:t>危险源评价方法</w:t>
      </w:r>
    </w:p>
    <w:p w14:paraId="352FA482">
      <w:pPr>
        <w:spacing w:line="360" w:lineRule="auto"/>
        <w:ind w:firstLine="480" w:firstLineChars="200"/>
        <w:rPr>
          <w:rFonts w:hint="eastAsia"/>
          <w:highlight w:val="none"/>
          <w:lang w:val="en-US" w:eastAsia="zh-CN"/>
        </w:rPr>
      </w:pPr>
      <w:r>
        <w:rPr>
          <w:rFonts w:hint="eastAsia"/>
          <w:highlight w:val="none"/>
          <w:lang w:val="en-US" w:eastAsia="zh-CN"/>
        </w:rPr>
        <w:t>1、</w:t>
      </w:r>
      <w:r>
        <w:rPr>
          <w:rFonts w:hint="eastAsia"/>
          <w:highlight w:val="none"/>
        </w:rPr>
        <w:t>危险源辨识</w:t>
      </w:r>
    </w:p>
    <w:p w14:paraId="0AFD2525">
      <w:pPr>
        <w:spacing w:line="360" w:lineRule="auto"/>
        <w:ind w:firstLine="480" w:firstLineChars="200"/>
        <w:rPr>
          <w:rFonts w:asciiTheme="minorEastAsia" w:hAnsiTheme="minorEastAsia"/>
          <w:sz w:val="24"/>
          <w:szCs w:val="24"/>
          <w:highlight w:val="none"/>
        </w:rPr>
      </w:pPr>
      <w:r>
        <w:rPr>
          <w:rFonts w:hint="eastAsia" w:asciiTheme="minorEastAsia" w:hAnsiTheme="minorEastAsia"/>
          <w:sz w:val="24"/>
          <w:szCs w:val="24"/>
          <w:highlight w:val="none"/>
        </w:rPr>
        <w:t>危险源是指一个系统中具有潜在能量和物质，释放危险的、可造成人员伤害、财产损失或环境破坏的、在一定的触发因素作用下可转化为事故的部位、区域、场所、空间、岗位、设备及其位置。</w:t>
      </w:r>
    </w:p>
    <w:p w14:paraId="48ADD7E3">
      <w:pPr>
        <w:bidi w:val="0"/>
        <w:ind w:firstLine="480" w:firstLineChars="200"/>
        <w:rPr>
          <w:rFonts w:hint="default"/>
          <w:highlight w:val="none"/>
          <w:lang w:val="en-US" w:eastAsia="zh-CN"/>
        </w:rPr>
      </w:pPr>
      <w:r>
        <w:rPr>
          <w:rFonts w:hint="eastAsia"/>
          <w:highlight w:val="none"/>
          <w:lang w:val="en-US" w:eastAsia="zh-CN"/>
        </w:rPr>
        <w:t>2、</w:t>
      </w:r>
      <w:r>
        <w:rPr>
          <w:rFonts w:hint="eastAsia"/>
          <w:highlight w:val="none"/>
        </w:rPr>
        <w:t>危险因素评价</w:t>
      </w:r>
    </w:p>
    <w:p w14:paraId="32A673F2">
      <w:pPr>
        <w:pStyle w:val="51"/>
        <w:ind w:firstLine="480"/>
        <w:rPr>
          <w:rFonts w:ascii="宋体" w:hAnsi="宋体"/>
          <w:highlight w:val="none"/>
        </w:rPr>
      </w:pPr>
      <w:r>
        <w:rPr>
          <w:rFonts w:ascii="宋体" w:hAnsi="宋体"/>
          <w:highlight w:val="none"/>
        </w:rPr>
        <w:t>（1）风险估测方法选择</w:t>
      </w:r>
    </w:p>
    <w:p w14:paraId="739D2572">
      <w:pPr>
        <w:pStyle w:val="51"/>
        <w:ind w:firstLine="480"/>
        <w:rPr>
          <w:rFonts w:ascii="宋体" w:hAnsi="宋体"/>
          <w:highlight w:val="none"/>
        </w:rPr>
      </w:pPr>
      <w:r>
        <w:rPr>
          <w:rFonts w:ascii="宋体" w:hAnsi="宋体"/>
          <w:highlight w:val="none"/>
        </w:rPr>
        <w:t>风险估测是采用定性或定量的方法对风险事故发生的可能性及严重程度进行数量估算。采用LEC法对该合同段工程进行风险估测。风险分值D=LEC。D值越大，说明该系统危险性大。</w:t>
      </w:r>
    </w:p>
    <w:p w14:paraId="0BD7B585">
      <w:pPr>
        <w:pStyle w:val="51"/>
        <w:ind w:firstLine="480"/>
        <w:rPr>
          <w:rFonts w:ascii="宋体" w:hAnsi="宋体"/>
          <w:highlight w:val="none"/>
        </w:rPr>
      </w:pPr>
      <w:r>
        <w:rPr>
          <w:rFonts w:ascii="宋体" w:hAnsi="宋体"/>
          <w:highlight w:val="none"/>
        </w:rPr>
        <w:t>（2）量化分值标准</w:t>
      </w:r>
    </w:p>
    <w:p w14:paraId="4BD18095">
      <w:pPr>
        <w:pStyle w:val="51"/>
        <w:ind w:firstLine="480"/>
        <w:rPr>
          <w:rFonts w:ascii="宋体" w:hAnsi="宋体"/>
          <w:highlight w:val="none"/>
        </w:rPr>
      </w:pPr>
      <w:r>
        <w:rPr>
          <w:rFonts w:ascii="宋体" w:hAnsi="宋体"/>
          <w:highlight w:val="none"/>
        </w:rPr>
        <w:t>为了简化计算，将事故发生的可能性、施工人员暴露事件、事故发生后果划分不同的等级并赋值。</w:t>
      </w:r>
    </w:p>
    <w:p w14:paraId="2F5A90AC">
      <w:pPr>
        <w:pStyle w:val="51"/>
        <w:ind w:firstLine="480"/>
        <w:rPr>
          <w:rFonts w:ascii="宋体" w:hAnsi="宋体"/>
          <w:highlight w:val="none"/>
        </w:rPr>
      </w:pPr>
      <w:r>
        <w:rPr>
          <w:rFonts w:ascii="宋体" w:hAnsi="宋体"/>
          <w:highlight w:val="none"/>
        </w:rPr>
        <w:t>其中：D一风险值；L一发生事故的可能性；E一暴露于危险环境的频繁程度；</w:t>
      </w:r>
    </w:p>
    <w:p w14:paraId="0922FA54">
      <w:pPr>
        <w:pStyle w:val="51"/>
        <w:ind w:firstLine="480"/>
        <w:rPr>
          <w:rFonts w:ascii="宋体" w:hAnsi="宋体"/>
          <w:highlight w:val="none"/>
        </w:rPr>
      </w:pPr>
      <w:r>
        <w:rPr>
          <w:rFonts w:ascii="宋体" w:hAnsi="宋体"/>
          <w:highlight w:val="none"/>
        </w:rPr>
        <w:t>C一发生事故造成的后果。</w:t>
      </w:r>
    </w:p>
    <w:p w14:paraId="547723C5">
      <w:pPr>
        <w:pStyle w:val="51"/>
        <w:ind w:firstLine="480"/>
        <w:rPr>
          <w:rFonts w:ascii="宋体" w:hAnsi="宋体"/>
          <w:highlight w:val="none"/>
        </w:rPr>
      </w:pPr>
      <w:r>
        <w:rPr>
          <w:rFonts w:ascii="宋体" w:hAnsi="宋体"/>
          <w:highlight w:val="none"/>
        </w:rPr>
        <w:t>发生事故的可能性（</w:t>
      </w:r>
      <w:r>
        <w:rPr>
          <w:rFonts w:hint="eastAsia" w:ascii="宋体" w:hAnsi="宋体"/>
          <w:highlight w:val="none"/>
        </w:rPr>
        <w:t>L</w:t>
      </w:r>
      <w:r>
        <w:rPr>
          <w:rFonts w:ascii="宋体" w:hAnsi="宋体"/>
          <w:highlight w:val="none"/>
        </w:rPr>
        <w:t>）</w:t>
      </w:r>
    </w:p>
    <w:p w14:paraId="09A3453E">
      <w:pPr>
        <w:pStyle w:val="51"/>
        <w:ind w:firstLine="480"/>
        <w:rPr>
          <w:rFonts w:ascii="宋体" w:hAnsi="宋体"/>
          <w:highlight w:val="none"/>
        </w:rPr>
      </w:pPr>
      <w:r>
        <w:rPr>
          <w:rFonts w:ascii="宋体" w:hAnsi="宋体"/>
          <w:highlight w:val="none"/>
        </w:rPr>
        <w:t>从系统安全角度考虑将</w:t>
      </w:r>
      <w:r>
        <w:rPr>
          <w:rFonts w:hint="eastAsia" w:ascii="宋体" w:hAnsi="宋体"/>
          <w:highlight w:val="none"/>
        </w:rPr>
        <w:t>“</w:t>
      </w:r>
      <w:r>
        <w:rPr>
          <w:rFonts w:ascii="宋体" w:hAnsi="宋体"/>
          <w:highlight w:val="none"/>
        </w:rPr>
        <w:t>发生事故可能性极小</w:t>
      </w:r>
      <w:r>
        <w:rPr>
          <w:rFonts w:hint="eastAsia" w:ascii="宋体" w:hAnsi="宋体"/>
          <w:highlight w:val="none"/>
        </w:rPr>
        <w:t>”</w:t>
      </w:r>
      <w:r>
        <w:rPr>
          <w:rFonts w:ascii="宋体" w:hAnsi="宋体"/>
          <w:highlight w:val="none"/>
        </w:rPr>
        <w:t>的分数定为，而必然要发生的事故的分数定为10，介于这两种情况之间的情况</w:t>
      </w:r>
      <w:r>
        <w:rPr>
          <w:rFonts w:hint="eastAsia" w:ascii="宋体" w:hAnsi="宋体"/>
          <w:highlight w:val="none"/>
          <w:lang w:eastAsia="zh-CN"/>
        </w:rPr>
        <w:t>制定</w:t>
      </w:r>
      <w:r>
        <w:rPr>
          <w:rFonts w:ascii="宋体" w:hAnsi="宋体"/>
          <w:highlight w:val="none"/>
        </w:rPr>
        <w:t>了若干个中间值，如表</w:t>
      </w:r>
      <w:r>
        <w:rPr>
          <w:rFonts w:hint="eastAsia"/>
          <w:highlight w:val="none"/>
          <w:lang w:val="en-US" w:eastAsia="zh-CN"/>
        </w:rPr>
        <w:t>-1</w:t>
      </w:r>
      <w:r>
        <w:rPr>
          <w:rFonts w:ascii="宋体" w:hAnsi="宋体"/>
          <w:highlight w:val="none"/>
        </w:rPr>
        <w:t>所示：</w:t>
      </w:r>
    </w:p>
    <w:p w14:paraId="3ACE3AB5">
      <w:pPr>
        <w:pStyle w:val="15"/>
        <w:bidi w:val="0"/>
      </w:pPr>
      <w:r>
        <w:t xml:space="preserve">表 </w:t>
      </w:r>
      <w:r>
        <w:fldChar w:fldCharType="begin"/>
      </w:r>
      <w:r>
        <w:instrText xml:space="preserve"> STYLEREF 2 \s </w:instrText>
      </w:r>
      <w:r>
        <w:fldChar w:fldCharType="separate"/>
      </w:r>
      <w:r>
        <w:t>2.16</w:t>
      </w:r>
      <w:r>
        <w:fldChar w:fldCharType="end"/>
      </w:r>
      <w:r>
        <w:rPr>
          <w:rFonts w:hint="eastAsia"/>
          <w:lang w:eastAsia="zh-CN"/>
        </w:rPr>
        <w:t>-</w:t>
      </w:r>
      <w:r>
        <w:fldChar w:fldCharType="begin"/>
      </w:r>
      <w:r>
        <w:instrText xml:space="preserve"> SEQ 表 \* ARABIC \s 2 </w:instrText>
      </w:r>
      <w:r>
        <w:fldChar w:fldCharType="separate"/>
      </w:r>
      <w:r>
        <w:t>1</w:t>
      </w:r>
      <w:r>
        <w:fldChar w:fldCharType="end"/>
      </w:r>
      <w:r>
        <w:rPr>
          <w:rFonts w:hint="eastAsia"/>
          <w:lang w:val="en-US" w:eastAsia="zh-CN"/>
        </w:rPr>
        <w:t xml:space="preserve"> </w:t>
      </w:r>
      <w:r>
        <w:t>发生事故的可能性（L）</w:t>
      </w:r>
    </w:p>
    <w:tbl>
      <w:tblPr>
        <w:tblStyle w:val="28"/>
        <w:tblW w:w="4998"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Layout w:type="autofit"/>
        <w:tblCellMar>
          <w:top w:w="0" w:type="dxa"/>
          <w:left w:w="108" w:type="dxa"/>
          <w:bottom w:w="0" w:type="dxa"/>
          <w:right w:w="108" w:type="dxa"/>
        </w:tblCellMar>
      </w:tblPr>
      <w:tblGrid>
        <w:gridCol w:w="1221"/>
        <w:gridCol w:w="3039"/>
        <w:gridCol w:w="1220"/>
        <w:gridCol w:w="3039"/>
      </w:tblGrid>
      <w:tr w14:paraId="6E818C92">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4D3F7805">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分数值</w:t>
            </w:r>
          </w:p>
        </w:tc>
        <w:tc>
          <w:tcPr>
            <w:tcW w:w="1783" w:type="pct"/>
            <w:shd w:val="clear" w:color="auto" w:fill="FFFFFF" w:themeFill="background1"/>
            <w:noWrap w:val="0"/>
            <w:vAlign w:val="center"/>
          </w:tcPr>
          <w:p w14:paraId="1735C7D2">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事故发生的可能性</w:t>
            </w:r>
          </w:p>
        </w:tc>
        <w:tc>
          <w:tcPr>
            <w:tcW w:w="716" w:type="pct"/>
            <w:shd w:val="clear" w:color="auto" w:fill="FFFFFF" w:themeFill="background1"/>
            <w:noWrap w:val="0"/>
            <w:vAlign w:val="center"/>
          </w:tcPr>
          <w:p w14:paraId="04650F51">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分数值</w:t>
            </w:r>
          </w:p>
        </w:tc>
        <w:tc>
          <w:tcPr>
            <w:tcW w:w="1783" w:type="pct"/>
            <w:shd w:val="clear" w:color="auto" w:fill="FFFFFF" w:themeFill="background1"/>
            <w:noWrap w:val="0"/>
            <w:vAlign w:val="center"/>
          </w:tcPr>
          <w:p w14:paraId="30C9EC61">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事故发生的可能性</w:t>
            </w:r>
          </w:p>
        </w:tc>
      </w:tr>
      <w:tr w14:paraId="76F0D3F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7C9BE5C9">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10</w:t>
            </w:r>
          </w:p>
        </w:tc>
        <w:tc>
          <w:tcPr>
            <w:tcW w:w="1783" w:type="pct"/>
            <w:shd w:val="clear" w:color="auto" w:fill="FFFFFF" w:themeFill="background1"/>
            <w:noWrap w:val="0"/>
            <w:vAlign w:val="center"/>
          </w:tcPr>
          <w:p w14:paraId="3FE3466B">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完全可能预料</w:t>
            </w:r>
          </w:p>
        </w:tc>
        <w:tc>
          <w:tcPr>
            <w:tcW w:w="716" w:type="pct"/>
            <w:shd w:val="clear" w:color="auto" w:fill="FFFFFF" w:themeFill="background1"/>
            <w:noWrap w:val="0"/>
            <w:vAlign w:val="center"/>
          </w:tcPr>
          <w:p w14:paraId="3FDCDDC7">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宋体"/>
                <w:highlight w:val="none"/>
                <w:lang w:eastAsia="zh-CN"/>
              </w:rPr>
            </w:pPr>
          </w:p>
        </w:tc>
        <w:tc>
          <w:tcPr>
            <w:tcW w:w="1783" w:type="pct"/>
            <w:shd w:val="clear" w:color="auto" w:fill="FFFFFF" w:themeFill="background1"/>
            <w:noWrap w:val="0"/>
            <w:vAlign w:val="center"/>
          </w:tcPr>
          <w:p w14:paraId="4DCE0752">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很不可能，可以设想</w:t>
            </w:r>
          </w:p>
        </w:tc>
      </w:tr>
      <w:tr w14:paraId="737968D6">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69856412">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6</w:t>
            </w:r>
          </w:p>
        </w:tc>
        <w:tc>
          <w:tcPr>
            <w:tcW w:w="1783" w:type="pct"/>
            <w:shd w:val="clear" w:color="auto" w:fill="FFFFFF" w:themeFill="background1"/>
            <w:noWrap w:val="0"/>
            <w:vAlign w:val="center"/>
          </w:tcPr>
          <w:p w14:paraId="61CF6C81">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相当可能</w:t>
            </w:r>
          </w:p>
        </w:tc>
        <w:tc>
          <w:tcPr>
            <w:tcW w:w="716" w:type="pct"/>
            <w:shd w:val="clear" w:color="auto" w:fill="FFFFFF" w:themeFill="background1"/>
            <w:noWrap w:val="0"/>
            <w:vAlign w:val="center"/>
          </w:tcPr>
          <w:p w14:paraId="1BBB974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宋体"/>
                <w:highlight w:val="none"/>
                <w:lang w:eastAsia="zh-CN"/>
              </w:rPr>
            </w:pPr>
          </w:p>
        </w:tc>
        <w:tc>
          <w:tcPr>
            <w:tcW w:w="1783" w:type="pct"/>
            <w:shd w:val="clear" w:color="auto" w:fill="FFFFFF" w:themeFill="background1"/>
            <w:noWrap w:val="0"/>
            <w:vAlign w:val="center"/>
          </w:tcPr>
          <w:p w14:paraId="22A0A0CC">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极不可能</w:t>
            </w:r>
          </w:p>
        </w:tc>
      </w:tr>
      <w:tr w14:paraId="051EC7F0">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1761B536">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3</w:t>
            </w:r>
          </w:p>
        </w:tc>
        <w:tc>
          <w:tcPr>
            <w:tcW w:w="1783" w:type="pct"/>
            <w:shd w:val="clear" w:color="auto" w:fill="FFFFFF" w:themeFill="background1"/>
            <w:noWrap w:val="0"/>
            <w:vAlign w:val="center"/>
          </w:tcPr>
          <w:p w14:paraId="59F5B48F">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可能，但不经常</w:t>
            </w:r>
          </w:p>
        </w:tc>
        <w:tc>
          <w:tcPr>
            <w:tcW w:w="716" w:type="pct"/>
            <w:shd w:val="clear" w:color="auto" w:fill="FFFFFF" w:themeFill="background1"/>
            <w:noWrap w:val="0"/>
            <w:vAlign w:val="center"/>
          </w:tcPr>
          <w:p w14:paraId="056E2236">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宋体"/>
                <w:highlight w:val="none"/>
                <w:lang w:eastAsia="zh-CN"/>
              </w:rPr>
            </w:pPr>
          </w:p>
        </w:tc>
        <w:tc>
          <w:tcPr>
            <w:tcW w:w="1783" w:type="pct"/>
            <w:shd w:val="clear" w:color="auto" w:fill="FFFFFF" w:themeFill="background1"/>
            <w:noWrap w:val="0"/>
            <w:vAlign w:val="center"/>
          </w:tcPr>
          <w:p w14:paraId="185678A9">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实际不可能</w:t>
            </w:r>
          </w:p>
        </w:tc>
      </w:tr>
      <w:tr w14:paraId="799967C1">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5301BA8E">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1</w:t>
            </w:r>
          </w:p>
        </w:tc>
        <w:tc>
          <w:tcPr>
            <w:tcW w:w="1783" w:type="pct"/>
            <w:shd w:val="clear" w:color="auto" w:fill="FFFFFF" w:themeFill="background1"/>
            <w:noWrap w:val="0"/>
            <w:vAlign w:val="center"/>
          </w:tcPr>
          <w:p w14:paraId="1DBD952F">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可能性小，完全意外</w:t>
            </w:r>
          </w:p>
        </w:tc>
        <w:tc>
          <w:tcPr>
            <w:tcW w:w="716" w:type="pct"/>
            <w:shd w:val="clear" w:color="auto" w:fill="FFFFFF" w:themeFill="background1"/>
            <w:noWrap w:val="0"/>
            <w:vAlign w:val="center"/>
          </w:tcPr>
          <w:p w14:paraId="02A72980">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p>
        </w:tc>
        <w:tc>
          <w:tcPr>
            <w:tcW w:w="1783" w:type="pct"/>
            <w:shd w:val="clear" w:color="auto" w:fill="FFFFFF" w:themeFill="background1"/>
            <w:noWrap w:val="0"/>
            <w:vAlign w:val="center"/>
          </w:tcPr>
          <w:p w14:paraId="3593BD6E">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p>
        </w:tc>
      </w:tr>
    </w:tbl>
    <w:p w14:paraId="63FF950A">
      <w:pPr>
        <w:pStyle w:val="51"/>
        <w:ind w:firstLine="480"/>
        <w:rPr>
          <w:rFonts w:ascii="宋体" w:hAnsi="宋体"/>
          <w:highlight w:val="none"/>
        </w:rPr>
      </w:pPr>
      <w:r>
        <w:rPr>
          <w:rFonts w:hint="eastAsia" w:ascii="宋体" w:hAnsi="宋体"/>
          <w:highlight w:val="none"/>
        </w:rPr>
        <w:t>②</w:t>
      </w:r>
      <w:r>
        <w:rPr>
          <w:rFonts w:ascii="宋体" w:hAnsi="宋体"/>
          <w:highlight w:val="none"/>
        </w:rPr>
        <w:t>暴露于危险环境的频繁程度（E）</w:t>
      </w:r>
    </w:p>
    <w:p w14:paraId="02B26BF6">
      <w:pPr>
        <w:pStyle w:val="51"/>
        <w:ind w:firstLine="480"/>
        <w:rPr>
          <w:rFonts w:ascii="宋体" w:hAnsi="宋体"/>
          <w:highlight w:val="none"/>
        </w:rPr>
      </w:pPr>
      <w:r>
        <w:rPr>
          <w:rFonts w:ascii="宋体" w:hAnsi="宋体"/>
          <w:highlight w:val="none"/>
        </w:rPr>
        <w:t>人员出现在危险环境中的时间越多，则危险性越大规定连续出现在危险环境的情况分数定为10，而非常罕见地出现在危险环境中分数定为，将介于两者之间的各种情况规定若干个中间值，如</w:t>
      </w:r>
      <w:r>
        <w:rPr>
          <w:rFonts w:hint="eastAsia" w:ascii="宋体" w:hAnsi="宋体"/>
          <w:highlight w:val="none"/>
        </w:rPr>
        <w:t>下表</w:t>
      </w:r>
      <w:r>
        <w:rPr>
          <w:rFonts w:ascii="宋体" w:hAnsi="宋体"/>
          <w:highlight w:val="none"/>
        </w:rPr>
        <w:t>所示：</w:t>
      </w:r>
    </w:p>
    <w:p w14:paraId="258AC15A">
      <w:pPr>
        <w:pStyle w:val="15"/>
        <w:bidi w:val="0"/>
      </w:pPr>
      <w:r>
        <w:t xml:space="preserve">表 </w:t>
      </w:r>
      <w:r>
        <w:fldChar w:fldCharType="begin"/>
      </w:r>
      <w:r>
        <w:instrText xml:space="preserve"> STYLEREF 2 \s </w:instrText>
      </w:r>
      <w:r>
        <w:fldChar w:fldCharType="separate"/>
      </w:r>
      <w:r>
        <w:t>2.16</w:t>
      </w:r>
      <w:r>
        <w:fldChar w:fldCharType="end"/>
      </w:r>
      <w:r>
        <w:rPr>
          <w:rFonts w:hint="eastAsia"/>
          <w:lang w:eastAsia="zh-CN"/>
        </w:rPr>
        <w:t>-</w:t>
      </w:r>
      <w:r>
        <w:fldChar w:fldCharType="begin"/>
      </w:r>
      <w:r>
        <w:instrText xml:space="preserve"> SEQ 表 \* ARABIC \s 2 </w:instrText>
      </w:r>
      <w:r>
        <w:fldChar w:fldCharType="separate"/>
      </w:r>
      <w:r>
        <w:t>2</w:t>
      </w:r>
      <w:r>
        <w:fldChar w:fldCharType="end"/>
      </w:r>
      <w:r>
        <w:rPr>
          <w:rFonts w:hint="eastAsia"/>
          <w:lang w:val="en-US" w:eastAsia="zh-CN"/>
        </w:rPr>
        <w:t xml:space="preserve"> </w:t>
      </w:r>
      <w:r>
        <w:t>暴露于危险环境的频繁程度（E）</w:t>
      </w:r>
    </w:p>
    <w:tbl>
      <w:tblPr>
        <w:tblStyle w:val="28"/>
        <w:tblW w:w="4999"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Layout w:type="autofit"/>
        <w:tblCellMar>
          <w:top w:w="0" w:type="dxa"/>
          <w:left w:w="108" w:type="dxa"/>
          <w:bottom w:w="0" w:type="dxa"/>
          <w:right w:w="108" w:type="dxa"/>
        </w:tblCellMar>
      </w:tblPr>
      <w:tblGrid>
        <w:gridCol w:w="2473"/>
        <w:gridCol w:w="6047"/>
      </w:tblGrid>
      <w:tr w14:paraId="39B8FB4E">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7C8A9808">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b/>
                <w:highlight w:val="none"/>
              </w:rPr>
            </w:pPr>
            <w:r>
              <w:rPr>
                <w:rFonts w:ascii="宋体" w:hAnsi="宋体"/>
                <w:b/>
                <w:highlight w:val="none"/>
              </w:rPr>
              <w:t>分数值</w:t>
            </w:r>
          </w:p>
        </w:tc>
        <w:tc>
          <w:tcPr>
            <w:tcW w:w="3548" w:type="pct"/>
            <w:shd w:val="clear" w:color="auto" w:fill="FFFFFF" w:themeFill="background1"/>
            <w:noWrap w:val="0"/>
            <w:vAlign w:val="center"/>
          </w:tcPr>
          <w:p w14:paraId="30C17C81">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b/>
                <w:highlight w:val="none"/>
              </w:rPr>
            </w:pPr>
            <w:r>
              <w:rPr>
                <w:rFonts w:ascii="宋体" w:hAnsi="宋体"/>
                <w:b/>
                <w:highlight w:val="none"/>
              </w:rPr>
              <w:t>暴露于危险环境的频繁程度</w:t>
            </w:r>
          </w:p>
        </w:tc>
      </w:tr>
      <w:tr w14:paraId="26E9611D">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1DED646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10</w:t>
            </w:r>
          </w:p>
        </w:tc>
        <w:tc>
          <w:tcPr>
            <w:tcW w:w="3548" w:type="pct"/>
            <w:shd w:val="clear" w:color="auto" w:fill="FFFFFF" w:themeFill="background1"/>
            <w:noWrap w:val="0"/>
            <w:vAlign w:val="center"/>
          </w:tcPr>
          <w:p w14:paraId="0BC0294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连续暴露</w:t>
            </w:r>
          </w:p>
        </w:tc>
      </w:tr>
      <w:tr w14:paraId="334ED1C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2F7DB7E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6</w:t>
            </w:r>
          </w:p>
        </w:tc>
        <w:tc>
          <w:tcPr>
            <w:tcW w:w="3548" w:type="pct"/>
            <w:shd w:val="clear" w:color="auto" w:fill="FFFFFF" w:themeFill="background1"/>
            <w:noWrap w:val="0"/>
            <w:vAlign w:val="center"/>
          </w:tcPr>
          <w:p w14:paraId="06A2211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每天工作时间内暴露</w:t>
            </w:r>
          </w:p>
        </w:tc>
      </w:tr>
      <w:tr w14:paraId="2CD8D3A9">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2E814CF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3</w:t>
            </w:r>
          </w:p>
        </w:tc>
        <w:tc>
          <w:tcPr>
            <w:tcW w:w="3548" w:type="pct"/>
            <w:shd w:val="clear" w:color="auto" w:fill="FFFFFF" w:themeFill="background1"/>
            <w:noWrap w:val="0"/>
            <w:vAlign w:val="center"/>
          </w:tcPr>
          <w:p w14:paraId="161219C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每周一次，或偶然暴露</w:t>
            </w:r>
          </w:p>
        </w:tc>
      </w:tr>
      <w:tr w14:paraId="4671B84F">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5BB3DA4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2</w:t>
            </w:r>
          </w:p>
        </w:tc>
        <w:tc>
          <w:tcPr>
            <w:tcW w:w="3548" w:type="pct"/>
            <w:shd w:val="clear" w:color="auto" w:fill="FFFFFF" w:themeFill="background1"/>
            <w:noWrap w:val="0"/>
            <w:vAlign w:val="center"/>
          </w:tcPr>
          <w:p w14:paraId="49EAF14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每月一次暴露</w:t>
            </w:r>
          </w:p>
        </w:tc>
      </w:tr>
      <w:tr w14:paraId="01670431">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0C59F00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1</w:t>
            </w:r>
          </w:p>
        </w:tc>
        <w:tc>
          <w:tcPr>
            <w:tcW w:w="3548" w:type="pct"/>
            <w:shd w:val="clear" w:color="auto" w:fill="FFFFFF" w:themeFill="background1"/>
            <w:noWrap w:val="0"/>
            <w:vAlign w:val="center"/>
          </w:tcPr>
          <w:p w14:paraId="6242205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每年几次暴露</w:t>
            </w:r>
          </w:p>
        </w:tc>
      </w:tr>
      <w:tr w14:paraId="19AF8FFB">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2B9828B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highlight w:val="none"/>
                <w:lang w:eastAsia="zh-CN"/>
              </w:rPr>
            </w:pPr>
          </w:p>
        </w:tc>
        <w:tc>
          <w:tcPr>
            <w:tcW w:w="3548" w:type="pct"/>
            <w:shd w:val="clear" w:color="auto" w:fill="FFFFFF" w:themeFill="background1"/>
            <w:noWrap w:val="0"/>
            <w:vAlign w:val="center"/>
          </w:tcPr>
          <w:p w14:paraId="189D7BB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非常罕见地暴露</w:t>
            </w:r>
          </w:p>
        </w:tc>
      </w:tr>
    </w:tbl>
    <w:p w14:paraId="2012A8D8">
      <w:pPr>
        <w:pStyle w:val="51"/>
        <w:ind w:firstLine="480"/>
        <w:rPr>
          <w:rFonts w:ascii="宋体" w:hAnsi="宋体"/>
          <w:highlight w:val="none"/>
        </w:rPr>
      </w:pPr>
      <w:r>
        <w:rPr>
          <w:rFonts w:hint="eastAsia" w:ascii="宋体" w:hAnsi="宋体"/>
          <w:highlight w:val="none"/>
        </w:rPr>
        <w:t>③</w:t>
      </w:r>
      <w:r>
        <w:rPr>
          <w:rFonts w:ascii="宋体" w:hAnsi="宋体"/>
          <w:highlight w:val="none"/>
        </w:rPr>
        <w:t>发生事故造成的后果（C）</w:t>
      </w:r>
    </w:p>
    <w:p w14:paraId="46012F71">
      <w:pPr>
        <w:pStyle w:val="51"/>
        <w:ind w:firstLine="480"/>
        <w:rPr>
          <w:rFonts w:ascii="宋体" w:hAnsi="宋体"/>
          <w:highlight w:val="none"/>
        </w:rPr>
      </w:pPr>
      <w:r>
        <w:rPr>
          <w:rFonts w:ascii="宋体" w:hAnsi="宋体"/>
          <w:highlight w:val="none"/>
        </w:rPr>
        <w:t>事故造成的人身伤害与财产损失变化范围很大，对伤亡事故来说，可从极小的轻伤直到多人死亡的严重后果。由于范围广阔，所以规定的分数值为1～100，轻伤规定分数值1，把造成十人以上死亡的可能性分数规定为100，</w:t>
      </w:r>
      <w:r>
        <w:rPr>
          <w:rFonts w:hint="eastAsia" w:ascii="宋体" w:hAnsi="宋体"/>
          <w:highlight w:val="none"/>
          <w:lang w:eastAsia="zh-CN"/>
        </w:rPr>
        <w:t>其他情况的</w:t>
      </w:r>
      <w:r>
        <w:rPr>
          <w:rFonts w:ascii="宋体" w:hAnsi="宋体"/>
          <w:highlight w:val="none"/>
        </w:rPr>
        <w:t>数值在1～100之间，如</w:t>
      </w:r>
      <w:r>
        <w:rPr>
          <w:rFonts w:hint="eastAsia" w:ascii="宋体" w:hAnsi="宋体"/>
          <w:highlight w:val="none"/>
        </w:rPr>
        <w:t>下表</w:t>
      </w:r>
      <w:r>
        <w:rPr>
          <w:rFonts w:ascii="宋体" w:hAnsi="宋体"/>
          <w:highlight w:val="none"/>
        </w:rPr>
        <w:t>所示：</w:t>
      </w:r>
    </w:p>
    <w:p w14:paraId="521215D2">
      <w:pPr>
        <w:pStyle w:val="15"/>
        <w:bidi w:val="0"/>
      </w:pPr>
      <w:r>
        <w:t xml:space="preserve">表 </w:t>
      </w:r>
      <w:r>
        <w:fldChar w:fldCharType="begin"/>
      </w:r>
      <w:r>
        <w:instrText xml:space="preserve"> STYLEREF 2 \s </w:instrText>
      </w:r>
      <w:r>
        <w:fldChar w:fldCharType="separate"/>
      </w:r>
      <w:r>
        <w:t>2.16</w:t>
      </w:r>
      <w:r>
        <w:fldChar w:fldCharType="end"/>
      </w:r>
      <w:r>
        <w:rPr>
          <w:rFonts w:hint="eastAsia"/>
          <w:lang w:eastAsia="zh-CN"/>
        </w:rPr>
        <w:t>-</w:t>
      </w:r>
      <w:r>
        <w:fldChar w:fldCharType="begin"/>
      </w:r>
      <w:r>
        <w:instrText xml:space="preserve"> SEQ 表 \* ARABIC \s 2 </w:instrText>
      </w:r>
      <w:r>
        <w:fldChar w:fldCharType="separate"/>
      </w:r>
      <w:r>
        <w:t>3</w:t>
      </w:r>
      <w:r>
        <w:fldChar w:fldCharType="end"/>
      </w:r>
      <w:r>
        <w:t>发生事故造成的后果（C）</w:t>
      </w:r>
    </w:p>
    <w:tbl>
      <w:tblPr>
        <w:tblStyle w:val="28"/>
        <w:tblW w:w="4999"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Layout w:type="autofit"/>
        <w:tblCellMar>
          <w:top w:w="0" w:type="dxa"/>
          <w:left w:w="108" w:type="dxa"/>
          <w:bottom w:w="0" w:type="dxa"/>
          <w:right w:w="108" w:type="dxa"/>
        </w:tblCellMar>
      </w:tblPr>
      <w:tblGrid>
        <w:gridCol w:w="2055"/>
        <w:gridCol w:w="6465"/>
      </w:tblGrid>
      <w:tr w14:paraId="5F80CC9E">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68D5CDE4">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b/>
                <w:highlight w:val="none"/>
              </w:rPr>
            </w:pPr>
            <w:r>
              <w:rPr>
                <w:rFonts w:ascii="宋体" w:hAnsi="宋体"/>
                <w:b/>
                <w:highlight w:val="none"/>
              </w:rPr>
              <w:t>分数值</w:t>
            </w:r>
          </w:p>
        </w:tc>
        <w:tc>
          <w:tcPr>
            <w:tcW w:w="3793" w:type="pct"/>
            <w:tcBorders>
              <w:tl2br w:val="nil"/>
              <w:tr2bl w:val="nil"/>
            </w:tcBorders>
            <w:shd w:val="clear" w:color="auto" w:fill="FFFFFF" w:themeFill="background1"/>
            <w:noWrap w:val="0"/>
            <w:vAlign w:val="center"/>
          </w:tcPr>
          <w:p w14:paraId="5AE8D794">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b/>
                <w:highlight w:val="none"/>
              </w:rPr>
            </w:pPr>
            <w:r>
              <w:rPr>
                <w:rFonts w:ascii="宋体" w:hAnsi="宋体"/>
                <w:b/>
                <w:highlight w:val="none"/>
              </w:rPr>
              <w:t>事故发生的可能性</w:t>
            </w:r>
          </w:p>
        </w:tc>
      </w:tr>
      <w:tr w14:paraId="620C478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0125FCE7">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100</w:t>
            </w:r>
          </w:p>
        </w:tc>
        <w:tc>
          <w:tcPr>
            <w:tcW w:w="3793" w:type="pct"/>
            <w:tcBorders>
              <w:tl2br w:val="nil"/>
              <w:tr2bl w:val="nil"/>
            </w:tcBorders>
            <w:shd w:val="clear" w:color="auto" w:fill="FFFFFF" w:themeFill="background1"/>
            <w:noWrap w:val="0"/>
            <w:vAlign w:val="center"/>
          </w:tcPr>
          <w:p w14:paraId="5E5761C5">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10人以上死亡</w:t>
            </w:r>
          </w:p>
        </w:tc>
      </w:tr>
      <w:tr w14:paraId="08E140EE">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25A9AEA5">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40</w:t>
            </w:r>
          </w:p>
        </w:tc>
        <w:tc>
          <w:tcPr>
            <w:tcW w:w="3793" w:type="pct"/>
            <w:tcBorders>
              <w:tl2br w:val="nil"/>
              <w:tr2bl w:val="nil"/>
            </w:tcBorders>
            <w:shd w:val="clear" w:color="auto" w:fill="FFFFFF" w:themeFill="background1"/>
            <w:noWrap w:val="0"/>
            <w:vAlign w:val="center"/>
          </w:tcPr>
          <w:p w14:paraId="4CE0A59A">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3～9人死亡</w:t>
            </w:r>
          </w:p>
        </w:tc>
      </w:tr>
      <w:tr w14:paraId="63F28813">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0A7318B6">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15</w:t>
            </w:r>
          </w:p>
        </w:tc>
        <w:tc>
          <w:tcPr>
            <w:tcW w:w="3793" w:type="pct"/>
            <w:tcBorders>
              <w:tl2br w:val="nil"/>
              <w:tr2bl w:val="nil"/>
            </w:tcBorders>
            <w:shd w:val="clear" w:color="auto" w:fill="FFFFFF" w:themeFill="background1"/>
            <w:noWrap w:val="0"/>
            <w:vAlign w:val="center"/>
          </w:tcPr>
          <w:p w14:paraId="189606DA">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1～2人死亡</w:t>
            </w:r>
          </w:p>
        </w:tc>
      </w:tr>
      <w:tr w14:paraId="6DF38AF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53EA6165">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7</w:t>
            </w:r>
          </w:p>
        </w:tc>
        <w:tc>
          <w:tcPr>
            <w:tcW w:w="3793" w:type="pct"/>
            <w:tcBorders>
              <w:tl2br w:val="nil"/>
              <w:tr2bl w:val="nil"/>
            </w:tcBorders>
            <w:shd w:val="clear" w:color="auto" w:fill="FFFFFF" w:themeFill="background1"/>
            <w:noWrap w:val="0"/>
            <w:vAlign w:val="center"/>
          </w:tcPr>
          <w:p w14:paraId="1AA44955">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致残</w:t>
            </w:r>
          </w:p>
        </w:tc>
      </w:tr>
      <w:tr w14:paraId="24B2C5B1">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3E299EB4">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3</w:t>
            </w:r>
          </w:p>
        </w:tc>
        <w:tc>
          <w:tcPr>
            <w:tcW w:w="3793" w:type="pct"/>
            <w:tcBorders>
              <w:tl2br w:val="nil"/>
              <w:tr2bl w:val="nil"/>
            </w:tcBorders>
            <w:shd w:val="clear" w:color="auto" w:fill="FFFFFF" w:themeFill="background1"/>
            <w:noWrap w:val="0"/>
            <w:vAlign w:val="center"/>
          </w:tcPr>
          <w:p w14:paraId="37C54C1D">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重伤</w:t>
            </w:r>
          </w:p>
        </w:tc>
      </w:tr>
      <w:tr w14:paraId="1BD0E776">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78B7FD51">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w:t>
            </w:r>
          </w:p>
        </w:tc>
        <w:tc>
          <w:tcPr>
            <w:tcW w:w="3793" w:type="pct"/>
            <w:tcBorders>
              <w:tl2br w:val="nil"/>
              <w:tr2bl w:val="nil"/>
            </w:tcBorders>
            <w:shd w:val="clear" w:color="auto" w:fill="FFFFFF" w:themeFill="background1"/>
            <w:noWrap w:val="0"/>
            <w:vAlign w:val="center"/>
          </w:tcPr>
          <w:p w14:paraId="211DFC3A">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轻伤</w:t>
            </w:r>
          </w:p>
        </w:tc>
      </w:tr>
    </w:tbl>
    <w:p w14:paraId="0A0A8819">
      <w:pPr>
        <w:pStyle w:val="51"/>
        <w:ind w:firstLine="480"/>
        <w:rPr>
          <w:rFonts w:ascii="宋体" w:hAnsi="宋体"/>
          <w:highlight w:val="none"/>
        </w:rPr>
      </w:pPr>
      <w:r>
        <w:rPr>
          <w:rFonts w:hint="eastAsia" w:ascii="宋体" w:hAnsi="宋体"/>
          <w:highlight w:val="none"/>
        </w:rPr>
        <w:t>④</w:t>
      </w:r>
      <w:r>
        <w:rPr>
          <w:rFonts w:ascii="宋体" w:hAnsi="宋体"/>
          <w:highlight w:val="none"/>
        </w:rPr>
        <w:t>风险值（D）</w:t>
      </w:r>
    </w:p>
    <w:p w14:paraId="4B8F394A">
      <w:pPr>
        <w:pStyle w:val="51"/>
        <w:ind w:firstLine="480"/>
        <w:rPr>
          <w:rFonts w:ascii="宋体" w:hAnsi="宋体"/>
          <w:highlight w:val="none"/>
        </w:rPr>
      </w:pPr>
      <w:r>
        <w:rPr>
          <w:rFonts w:ascii="宋体" w:hAnsi="宋体"/>
          <w:highlight w:val="none"/>
        </w:rPr>
        <w:t>根据公式D＝LEC，求出风险值D。风险等级的划分是凭经验判断，难免带有局限性，不能认为是普遍适用的，风险等级的界限值并不是长期固定不变的，在不同时期，组织应根据具体情况来确定风险等级的界限值，以符合持续改进的要求。风险等级划分如</w:t>
      </w:r>
      <w:r>
        <w:rPr>
          <w:rFonts w:hint="eastAsia" w:ascii="宋体" w:hAnsi="宋体"/>
          <w:highlight w:val="none"/>
        </w:rPr>
        <w:t>下表</w:t>
      </w:r>
      <w:r>
        <w:rPr>
          <w:rFonts w:ascii="宋体" w:hAnsi="宋体"/>
          <w:highlight w:val="none"/>
        </w:rPr>
        <w:t>所示：</w:t>
      </w:r>
    </w:p>
    <w:p w14:paraId="6B62CA24">
      <w:pPr>
        <w:pStyle w:val="15"/>
        <w:bidi w:val="0"/>
        <w:rPr>
          <w:highlight w:val="none"/>
        </w:rPr>
      </w:pPr>
      <w:r>
        <w:t xml:space="preserve">表 </w:t>
      </w:r>
      <w:r>
        <w:fldChar w:fldCharType="begin"/>
      </w:r>
      <w:r>
        <w:instrText xml:space="preserve"> STYLEREF 2 \s </w:instrText>
      </w:r>
      <w:r>
        <w:fldChar w:fldCharType="separate"/>
      </w:r>
      <w:r>
        <w:t>2.16</w:t>
      </w:r>
      <w:r>
        <w:fldChar w:fldCharType="end"/>
      </w:r>
      <w:r>
        <w:rPr>
          <w:rFonts w:hint="eastAsia"/>
          <w:lang w:eastAsia="zh-CN"/>
        </w:rPr>
        <w:t>-</w:t>
      </w:r>
      <w:r>
        <w:fldChar w:fldCharType="begin"/>
      </w:r>
      <w:r>
        <w:instrText xml:space="preserve"> SEQ 表 \* ARABIC \s 2 </w:instrText>
      </w:r>
      <w:r>
        <w:fldChar w:fldCharType="separate"/>
      </w:r>
      <w:r>
        <w:t>4</w:t>
      </w:r>
      <w:r>
        <w:fldChar w:fldCharType="end"/>
      </w:r>
      <w:r>
        <w:t>风险等级划分（D）</w:t>
      </w:r>
    </w:p>
    <w:tbl>
      <w:tblPr>
        <w:tblStyle w:val="28"/>
        <w:tblW w:w="4998"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Layout w:type="autofit"/>
        <w:tblCellMar>
          <w:top w:w="0" w:type="dxa"/>
          <w:left w:w="108" w:type="dxa"/>
          <w:bottom w:w="0" w:type="dxa"/>
          <w:right w:w="108" w:type="dxa"/>
        </w:tblCellMar>
      </w:tblPr>
      <w:tblGrid>
        <w:gridCol w:w="2017"/>
        <w:gridCol w:w="3673"/>
        <w:gridCol w:w="2829"/>
      </w:tblGrid>
      <w:tr w14:paraId="4BE038C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243C3F44">
            <w:pPr>
              <w:pStyle w:val="52"/>
              <w:rPr>
                <w:rFonts w:ascii="宋体" w:hAnsi="宋体"/>
                <w:b/>
                <w:highlight w:val="none"/>
              </w:rPr>
            </w:pPr>
            <w:r>
              <w:rPr>
                <w:rFonts w:ascii="宋体" w:hAnsi="宋体"/>
                <w:b/>
                <w:highlight w:val="none"/>
              </w:rPr>
              <w:t>D值</w:t>
            </w:r>
          </w:p>
        </w:tc>
        <w:tc>
          <w:tcPr>
            <w:tcW w:w="2155" w:type="pct"/>
            <w:shd w:val="clear" w:color="auto" w:fill="FFFFFF" w:themeFill="background1"/>
            <w:noWrap w:val="0"/>
            <w:vAlign w:val="center"/>
          </w:tcPr>
          <w:p w14:paraId="6BDAC51C">
            <w:pPr>
              <w:pStyle w:val="52"/>
              <w:rPr>
                <w:rFonts w:ascii="宋体" w:hAnsi="宋体"/>
                <w:b/>
                <w:highlight w:val="none"/>
              </w:rPr>
            </w:pPr>
            <w:r>
              <w:rPr>
                <w:rFonts w:ascii="宋体" w:hAnsi="宋体"/>
                <w:b/>
                <w:highlight w:val="none"/>
              </w:rPr>
              <w:t>危险程度</w:t>
            </w:r>
          </w:p>
        </w:tc>
        <w:tc>
          <w:tcPr>
            <w:tcW w:w="1660" w:type="pct"/>
            <w:shd w:val="clear" w:color="auto" w:fill="FFFFFF" w:themeFill="background1"/>
            <w:noWrap w:val="0"/>
            <w:vAlign w:val="center"/>
          </w:tcPr>
          <w:p w14:paraId="2865B375">
            <w:pPr>
              <w:pStyle w:val="52"/>
              <w:rPr>
                <w:rFonts w:ascii="宋体" w:hAnsi="宋体"/>
                <w:b/>
                <w:highlight w:val="none"/>
              </w:rPr>
            </w:pPr>
            <w:r>
              <w:rPr>
                <w:rFonts w:ascii="宋体" w:hAnsi="宋体"/>
                <w:b/>
                <w:highlight w:val="none"/>
              </w:rPr>
              <w:t>风险等级</w:t>
            </w:r>
          </w:p>
        </w:tc>
      </w:tr>
      <w:tr w14:paraId="6F01209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6822F589">
            <w:pPr>
              <w:pStyle w:val="52"/>
              <w:rPr>
                <w:rFonts w:ascii="宋体" w:hAnsi="宋体"/>
                <w:highlight w:val="none"/>
              </w:rPr>
            </w:pPr>
            <w:r>
              <w:rPr>
                <w:rFonts w:ascii="宋体" w:hAnsi="宋体"/>
                <w:highlight w:val="none"/>
              </w:rPr>
              <w:t>D</w:t>
            </w:r>
            <w:r>
              <w:rPr>
                <w:rFonts w:hint="eastAsia" w:ascii="宋体" w:hAnsi="宋体"/>
                <w:highlight w:val="none"/>
              </w:rPr>
              <w:t>＞</w:t>
            </w:r>
            <w:r>
              <w:rPr>
                <w:rFonts w:ascii="宋体" w:hAnsi="宋体"/>
                <w:highlight w:val="none"/>
              </w:rPr>
              <w:t>320</w:t>
            </w:r>
          </w:p>
        </w:tc>
        <w:tc>
          <w:tcPr>
            <w:tcW w:w="2155" w:type="pct"/>
            <w:shd w:val="clear" w:color="auto" w:fill="FFFFFF" w:themeFill="background1"/>
            <w:noWrap w:val="0"/>
            <w:vAlign w:val="center"/>
          </w:tcPr>
          <w:p w14:paraId="15DD1857">
            <w:pPr>
              <w:pStyle w:val="52"/>
              <w:rPr>
                <w:rFonts w:hint="eastAsia" w:ascii="宋体" w:hAnsi="宋体" w:eastAsia="黑体"/>
                <w:highlight w:val="none"/>
                <w:lang w:eastAsia="zh-CN"/>
              </w:rPr>
            </w:pPr>
            <w:r>
              <w:rPr>
                <w:rFonts w:hint="eastAsia" w:ascii="宋体" w:hAnsi="宋体"/>
                <w:highlight w:val="none"/>
                <w:lang w:val="en-US" w:eastAsia="zh-CN"/>
              </w:rPr>
              <w:t>重大风险</w:t>
            </w:r>
          </w:p>
        </w:tc>
        <w:tc>
          <w:tcPr>
            <w:tcW w:w="1660" w:type="pct"/>
            <w:shd w:val="clear" w:color="auto" w:fill="FFFFFF" w:themeFill="background1"/>
            <w:noWrap w:val="0"/>
            <w:vAlign w:val="center"/>
          </w:tcPr>
          <w:p w14:paraId="4092DFF4">
            <w:pPr>
              <w:pStyle w:val="52"/>
              <w:rPr>
                <w:rFonts w:hint="eastAsia" w:ascii="宋体" w:hAnsi="宋体" w:eastAsia="黑体"/>
                <w:highlight w:val="none"/>
                <w:lang w:eastAsia="zh-CN"/>
              </w:rPr>
            </w:pPr>
            <w:r>
              <w:rPr>
                <w:rFonts w:hint="eastAsia" w:ascii="宋体" w:hAnsi="宋体"/>
                <w:highlight w:val="none"/>
                <w:lang w:val="en-US" w:eastAsia="zh-CN"/>
              </w:rPr>
              <w:t>Ⅳ</w:t>
            </w:r>
          </w:p>
        </w:tc>
      </w:tr>
      <w:tr w14:paraId="5A15CF58">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1CEB3543">
            <w:pPr>
              <w:pStyle w:val="52"/>
              <w:rPr>
                <w:rFonts w:ascii="宋体" w:hAnsi="宋体"/>
                <w:highlight w:val="none"/>
              </w:rPr>
            </w:pPr>
            <w:r>
              <w:rPr>
                <w:rFonts w:ascii="宋体" w:hAnsi="宋体"/>
                <w:highlight w:val="none"/>
              </w:rPr>
              <w:t>320</w:t>
            </w:r>
            <w:r>
              <w:rPr>
                <w:rFonts w:hint="eastAsia" w:ascii="宋体" w:hAnsi="宋体"/>
                <w:highlight w:val="none"/>
              </w:rPr>
              <w:t>≥</w:t>
            </w:r>
            <w:r>
              <w:rPr>
                <w:rFonts w:ascii="宋体" w:hAnsi="宋体"/>
                <w:highlight w:val="none"/>
              </w:rPr>
              <w:t>D</w:t>
            </w:r>
            <w:r>
              <w:rPr>
                <w:rFonts w:hint="eastAsia" w:ascii="宋体" w:hAnsi="宋体"/>
                <w:highlight w:val="none"/>
              </w:rPr>
              <w:t>＞</w:t>
            </w:r>
            <w:r>
              <w:rPr>
                <w:rFonts w:ascii="宋体" w:hAnsi="宋体"/>
                <w:highlight w:val="none"/>
              </w:rPr>
              <w:t>160</w:t>
            </w:r>
          </w:p>
        </w:tc>
        <w:tc>
          <w:tcPr>
            <w:tcW w:w="2155" w:type="pct"/>
            <w:shd w:val="clear" w:color="auto" w:fill="FFFFFF" w:themeFill="background1"/>
            <w:noWrap w:val="0"/>
            <w:vAlign w:val="center"/>
          </w:tcPr>
          <w:p w14:paraId="06F3064D">
            <w:pPr>
              <w:pStyle w:val="52"/>
              <w:rPr>
                <w:rFonts w:hint="default" w:ascii="宋体" w:hAnsi="宋体" w:eastAsia="黑体"/>
                <w:highlight w:val="none"/>
                <w:lang w:val="en-US" w:eastAsia="zh-CN"/>
              </w:rPr>
            </w:pPr>
            <w:r>
              <w:rPr>
                <w:rFonts w:hint="eastAsia" w:ascii="宋体" w:hAnsi="宋体"/>
                <w:highlight w:val="none"/>
                <w:lang w:val="en-US" w:eastAsia="zh-CN"/>
              </w:rPr>
              <w:t>较大风险</w:t>
            </w:r>
          </w:p>
        </w:tc>
        <w:tc>
          <w:tcPr>
            <w:tcW w:w="1660" w:type="pct"/>
            <w:shd w:val="clear" w:color="auto" w:fill="FFFFFF" w:themeFill="background1"/>
            <w:noWrap w:val="0"/>
            <w:vAlign w:val="center"/>
          </w:tcPr>
          <w:p w14:paraId="3BA671D9">
            <w:pPr>
              <w:pStyle w:val="52"/>
              <w:rPr>
                <w:rFonts w:hint="default" w:ascii="宋体" w:hAnsi="宋体" w:eastAsia="黑体"/>
                <w:highlight w:val="none"/>
                <w:lang w:val="en-US" w:eastAsia="zh-CN"/>
              </w:rPr>
            </w:pPr>
            <w:r>
              <w:rPr>
                <w:rFonts w:hint="eastAsia" w:ascii="宋体" w:hAnsi="宋体"/>
                <w:highlight w:val="none"/>
                <w:lang w:val="en-US" w:eastAsia="zh-CN"/>
              </w:rPr>
              <w:t>Ⅲ</w:t>
            </w:r>
          </w:p>
        </w:tc>
      </w:tr>
      <w:tr w14:paraId="14295C95">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056B73FB">
            <w:pPr>
              <w:pStyle w:val="52"/>
              <w:rPr>
                <w:rFonts w:ascii="宋体" w:hAnsi="宋体"/>
                <w:highlight w:val="none"/>
              </w:rPr>
            </w:pPr>
            <w:r>
              <w:rPr>
                <w:rFonts w:ascii="宋体" w:hAnsi="宋体"/>
                <w:highlight w:val="none"/>
              </w:rPr>
              <w:t>160</w:t>
            </w:r>
            <w:r>
              <w:rPr>
                <w:rFonts w:hint="eastAsia" w:ascii="宋体" w:hAnsi="宋体"/>
                <w:highlight w:val="none"/>
              </w:rPr>
              <w:t>≥</w:t>
            </w:r>
            <w:r>
              <w:rPr>
                <w:rFonts w:ascii="宋体" w:hAnsi="宋体"/>
                <w:highlight w:val="none"/>
              </w:rPr>
              <w:t>D</w:t>
            </w:r>
            <w:r>
              <w:rPr>
                <w:rFonts w:hint="eastAsia" w:ascii="宋体" w:hAnsi="宋体"/>
                <w:highlight w:val="none"/>
              </w:rPr>
              <w:t>＞</w:t>
            </w:r>
            <w:r>
              <w:rPr>
                <w:rFonts w:ascii="宋体" w:hAnsi="宋体"/>
                <w:highlight w:val="none"/>
              </w:rPr>
              <w:t>70</w:t>
            </w:r>
          </w:p>
        </w:tc>
        <w:tc>
          <w:tcPr>
            <w:tcW w:w="2155" w:type="pct"/>
            <w:shd w:val="clear" w:color="auto" w:fill="FFFFFF" w:themeFill="background1"/>
            <w:noWrap w:val="0"/>
            <w:vAlign w:val="center"/>
          </w:tcPr>
          <w:p w14:paraId="34E9D889">
            <w:pPr>
              <w:pStyle w:val="52"/>
              <w:rPr>
                <w:rFonts w:hint="eastAsia" w:ascii="宋体" w:hAnsi="宋体" w:eastAsia="黑体"/>
                <w:highlight w:val="none"/>
                <w:lang w:eastAsia="zh-CN"/>
              </w:rPr>
            </w:pPr>
            <w:r>
              <w:rPr>
                <w:rFonts w:hint="eastAsia" w:ascii="宋体" w:hAnsi="宋体"/>
                <w:highlight w:val="none"/>
                <w:lang w:val="en-US" w:eastAsia="zh-CN"/>
              </w:rPr>
              <w:t>一般风险</w:t>
            </w:r>
          </w:p>
        </w:tc>
        <w:tc>
          <w:tcPr>
            <w:tcW w:w="1660" w:type="pct"/>
            <w:shd w:val="clear" w:color="auto" w:fill="FFFFFF" w:themeFill="background1"/>
            <w:noWrap w:val="0"/>
            <w:vAlign w:val="center"/>
          </w:tcPr>
          <w:p w14:paraId="12AE5853">
            <w:pPr>
              <w:pStyle w:val="52"/>
              <w:rPr>
                <w:rFonts w:hint="eastAsia" w:ascii="宋体" w:hAnsi="宋体" w:eastAsia="黑体"/>
                <w:highlight w:val="none"/>
                <w:lang w:eastAsia="zh-CN"/>
              </w:rPr>
            </w:pPr>
            <w:r>
              <w:rPr>
                <w:rFonts w:hint="eastAsia" w:ascii="宋体" w:hAnsi="宋体"/>
                <w:highlight w:val="none"/>
                <w:lang w:val="en-US" w:eastAsia="zh-CN"/>
              </w:rPr>
              <w:t>Ⅱ</w:t>
            </w:r>
          </w:p>
        </w:tc>
      </w:tr>
      <w:tr w14:paraId="5443FA5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537823B4">
            <w:pPr>
              <w:pStyle w:val="52"/>
              <w:rPr>
                <w:rFonts w:hint="default" w:ascii="宋体" w:hAnsi="宋体" w:eastAsia="黑体"/>
                <w:highlight w:val="none"/>
                <w:lang w:val="en-US" w:eastAsia="zh-CN"/>
              </w:rPr>
            </w:pPr>
            <w:r>
              <w:rPr>
                <w:rFonts w:ascii="宋体" w:hAnsi="宋体"/>
                <w:highlight w:val="none"/>
              </w:rPr>
              <w:t>D</w:t>
            </w:r>
            <w:r>
              <w:rPr>
                <w:rFonts w:hint="eastAsia" w:ascii="宋体" w:hAnsi="宋体"/>
                <w:highlight w:val="none"/>
                <w:lang w:val="en-US" w:eastAsia="zh-CN"/>
              </w:rPr>
              <w:t>≤70</w:t>
            </w:r>
          </w:p>
        </w:tc>
        <w:tc>
          <w:tcPr>
            <w:tcW w:w="2155" w:type="pct"/>
            <w:shd w:val="clear" w:color="auto" w:fill="FFFFFF" w:themeFill="background1"/>
            <w:noWrap w:val="0"/>
            <w:vAlign w:val="center"/>
          </w:tcPr>
          <w:p w14:paraId="51980FBC">
            <w:pPr>
              <w:pStyle w:val="52"/>
              <w:rPr>
                <w:rFonts w:hint="default" w:ascii="宋体" w:hAnsi="宋体" w:eastAsia="黑体"/>
                <w:highlight w:val="none"/>
                <w:lang w:val="en-US" w:eastAsia="zh-CN"/>
              </w:rPr>
            </w:pPr>
            <w:r>
              <w:rPr>
                <w:rFonts w:hint="eastAsia" w:ascii="宋体" w:hAnsi="宋体"/>
                <w:highlight w:val="none"/>
                <w:lang w:val="en-US" w:eastAsia="zh-CN"/>
              </w:rPr>
              <w:t>较小风险</w:t>
            </w:r>
          </w:p>
        </w:tc>
        <w:tc>
          <w:tcPr>
            <w:tcW w:w="1660" w:type="pct"/>
            <w:shd w:val="clear" w:color="auto" w:fill="FFFFFF" w:themeFill="background1"/>
            <w:noWrap w:val="0"/>
            <w:vAlign w:val="center"/>
          </w:tcPr>
          <w:p w14:paraId="699E8176">
            <w:pPr>
              <w:pStyle w:val="52"/>
              <w:rPr>
                <w:rFonts w:hint="eastAsia" w:ascii="宋体" w:hAnsi="宋体" w:eastAsia="黑体"/>
                <w:highlight w:val="none"/>
                <w:lang w:eastAsia="zh-CN"/>
              </w:rPr>
            </w:pPr>
            <w:r>
              <w:rPr>
                <w:rFonts w:hint="eastAsia" w:ascii="宋体" w:hAnsi="宋体"/>
                <w:highlight w:val="none"/>
                <w:lang w:val="en-US" w:eastAsia="zh-CN"/>
              </w:rPr>
              <w:t>Ⅰ</w:t>
            </w:r>
          </w:p>
        </w:tc>
      </w:tr>
    </w:tbl>
    <w:p w14:paraId="1B61E0A9">
      <w:pPr>
        <w:pStyle w:val="4"/>
        <w:numPr>
          <w:ilvl w:val="2"/>
          <w:numId w:val="4"/>
        </w:numPr>
        <w:bidi w:val="0"/>
        <w:ind w:left="0" w:leftChars="0" w:firstLine="0" w:firstLineChars="0"/>
        <w:rPr>
          <w:rFonts w:hint="default" w:ascii="宋体" w:hAnsi="宋体" w:eastAsia="宋体" w:cs="宋体"/>
          <w:lang w:val="en-US" w:eastAsia="zh-CN"/>
        </w:rPr>
      </w:pPr>
      <w:r>
        <w:rPr>
          <w:rFonts w:hint="eastAsia" w:ascii="宋体" w:hAnsi="宋体" w:eastAsia="宋体" w:cs="宋体"/>
          <w:lang w:val="en-US" w:eastAsia="zh-CN"/>
        </w:rPr>
        <w:t>危险源辨识与评价</w:t>
      </w:r>
    </w:p>
    <w:p w14:paraId="1013EA33">
      <w:pPr>
        <w:pStyle w:val="15"/>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lang w:val="en-US" w:eastAsia="zh-CN"/>
        </w:rPr>
        <w:sectPr>
          <w:headerReference r:id="rId7" w:type="default"/>
          <w:pgSz w:w="11906" w:h="16838"/>
          <w:pgMar w:top="1440" w:right="1800" w:bottom="1440" w:left="1800" w:header="1304" w:footer="907" w:gutter="0"/>
          <w:pgBorders>
            <w:top w:val="none" w:sz="0" w:space="0"/>
            <w:left w:val="none" w:sz="0" w:space="0"/>
            <w:bottom w:val="none" w:sz="0" w:space="0"/>
            <w:right w:val="none" w:sz="0" w:space="0"/>
          </w:pgBorders>
          <w:pgNumType w:fmt="decimal"/>
          <w:cols w:space="425" w:num="1"/>
          <w:docGrid w:type="lines" w:linePitch="312" w:charSpace="0"/>
        </w:sectPr>
      </w:pPr>
      <w:r>
        <w:rPr>
          <w:rFonts w:ascii="宋体" w:hAnsi="宋体" w:eastAsia="宋体" w:cs="Times New Roman"/>
          <w:kern w:val="2"/>
          <w:sz w:val="24"/>
          <w:szCs w:val="22"/>
          <w:highlight w:val="none"/>
          <w:lang w:val="en-US" w:eastAsia="zh-CN" w:bidi="ar-SA"/>
        </w:rPr>
        <w:t>根据以上风险估测方法，对</w:t>
      </w:r>
      <w:r>
        <w:rPr>
          <w:rFonts w:hint="eastAsia" w:ascii="宋体" w:hAnsi="宋体" w:eastAsia="宋体" w:cs="Times New Roman"/>
          <w:kern w:val="2"/>
          <w:sz w:val="24"/>
          <w:szCs w:val="22"/>
          <w:highlight w:val="none"/>
          <w:lang w:val="en-US" w:eastAsia="zh-CN" w:bidi="ar-SA"/>
        </w:rPr>
        <w:t>塔机安拆</w:t>
      </w:r>
      <w:r>
        <w:rPr>
          <w:rFonts w:ascii="宋体" w:hAnsi="宋体" w:eastAsia="宋体" w:cs="Times New Roman"/>
          <w:kern w:val="2"/>
          <w:sz w:val="24"/>
          <w:szCs w:val="22"/>
          <w:highlight w:val="none"/>
          <w:lang w:val="en-US" w:eastAsia="zh-CN" w:bidi="ar-SA"/>
        </w:rPr>
        <w:t>施工过程主要危险源进行分析和估算，从而得出相关估测结果见</w:t>
      </w:r>
      <w:r>
        <w:rPr>
          <w:rFonts w:hint="eastAsia" w:ascii="宋体" w:hAnsi="宋体" w:eastAsia="宋体" w:cs="Times New Roman"/>
          <w:kern w:val="2"/>
          <w:sz w:val="24"/>
          <w:szCs w:val="22"/>
          <w:highlight w:val="none"/>
          <w:lang w:val="en-US" w:eastAsia="zh-CN" w:bidi="ar-SA"/>
        </w:rPr>
        <w:t>下表</w:t>
      </w:r>
      <w:r>
        <w:rPr>
          <w:rFonts w:hint="eastAsia"/>
          <w:lang w:val="en-US" w:eastAsia="zh-CN"/>
        </w:rPr>
        <w:t xml:space="preserve">    </w:t>
      </w:r>
    </w:p>
    <w:p w14:paraId="73348C4E">
      <w:pPr>
        <w:pStyle w:val="16"/>
        <w:rPr>
          <w:rFonts w:hint="default"/>
          <w:lang w:val="en-US" w:eastAsia="zh-CN"/>
        </w:rPr>
      </w:pPr>
    </w:p>
    <w:tbl>
      <w:tblPr>
        <w:tblStyle w:val="28"/>
        <w:tblW w:w="4997" w:type="pct"/>
        <w:tblInd w:w="0" w:type="dxa"/>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Layout w:type="autofit"/>
        <w:tblCellMar>
          <w:top w:w="0" w:type="dxa"/>
          <w:left w:w="108" w:type="dxa"/>
          <w:bottom w:w="0" w:type="dxa"/>
          <w:right w:w="108" w:type="dxa"/>
        </w:tblCellMar>
      </w:tblPr>
      <w:tblGrid>
        <w:gridCol w:w="397"/>
        <w:gridCol w:w="397"/>
        <w:gridCol w:w="397"/>
        <w:gridCol w:w="2995"/>
        <w:gridCol w:w="521"/>
        <w:gridCol w:w="396"/>
        <w:gridCol w:w="396"/>
        <w:gridCol w:w="396"/>
        <w:gridCol w:w="486"/>
        <w:gridCol w:w="397"/>
        <w:gridCol w:w="888"/>
        <w:gridCol w:w="851"/>
      </w:tblGrid>
      <w:tr w14:paraId="2FB75A16">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vMerge w:val="restart"/>
            <w:tcBorders>
              <w:tl2br w:val="nil"/>
              <w:tr2bl w:val="nil"/>
            </w:tcBorders>
            <w:shd w:val="clear" w:color="auto" w:fill="auto"/>
            <w:vAlign w:val="center"/>
          </w:tcPr>
          <w:p w14:paraId="40FE16C6">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序号</w:t>
            </w:r>
          </w:p>
        </w:tc>
        <w:tc>
          <w:tcPr>
            <w:tcW w:w="164" w:type="pct"/>
            <w:vMerge w:val="restart"/>
            <w:tcBorders>
              <w:tl2br w:val="nil"/>
              <w:tr2bl w:val="nil"/>
            </w:tcBorders>
            <w:shd w:val="clear" w:color="auto" w:fill="auto"/>
            <w:vAlign w:val="center"/>
          </w:tcPr>
          <w:p w14:paraId="1B7139D9">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作业活动单元</w:t>
            </w:r>
          </w:p>
        </w:tc>
        <w:tc>
          <w:tcPr>
            <w:tcW w:w="242" w:type="pct"/>
            <w:vMerge w:val="restart"/>
            <w:tcBorders>
              <w:tl2br w:val="nil"/>
              <w:tr2bl w:val="nil"/>
            </w:tcBorders>
            <w:shd w:val="clear" w:color="auto" w:fill="auto"/>
            <w:vAlign w:val="center"/>
          </w:tcPr>
          <w:p w14:paraId="3B2D9D82">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活动</w:t>
            </w:r>
          </w:p>
          <w:p w14:paraId="52CDA5C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内容</w:t>
            </w:r>
          </w:p>
        </w:tc>
        <w:tc>
          <w:tcPr>
            <w:tcW w:w="1907" w:type="pct"/>
            <w:vMerge w:val="restart"/>
            <w:tcBorders>
              <w:tl2br w:val="nil"/>
              <w:tr2bl w:val="nil"/>
            </w:tcBorders>
            <w:shd w:val="clear" w:color="auto" w:fill="auto"/>
            <w:vAlign w:val="center"/>
          </w:tcPr>
          <w:p w14:paraId="17E482C6">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 xml:space="preserve"> 可能存在的隐患</w:t>
            </w:r>
          </w:p>
        </w:tc>
        <w:tc>
          <w:tcPr>
            <w:tcW w:w="386" w:type="pct"/>
            <w:vMerge w:val="restart"/>
            <w:tcBorders>
              <w:tl2br w:val="nil"/>
              <w:tr2bl w:val="nil"/>
            </w:tcBorders>
            <w:shd w:val="clear" w:color="auto" w:fill="auto"/>
            <w:vAlign w:val="center"/>
          </w:tcPr>
          <w:p w14:paraId="1258CEE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潜在事故</w:t>
            </w:r>
          </w:p>
          <w:p w14:paraId="6FB05D44">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类型</w:t>
            </w:r>
          </w:p>
        </w:tc>
        <w:tc>
          <w:tcPr>
            <w:tcW w:w="714" w:type="pct"/>
            <w:gridSpan w:val="4"/>
            <w:tcBorders>
              <w:tl2br w:val="nil"/>
              <w:tr2bl w:val="nil"/>
            </w:tcBorders>
            <w:shd w:val="clear" w:color="auto" w:fill="auto"/>
            <w:vAlign w:val="center"/>
          </w:tcPr>
          <w:p w14:paraId="7F84DA3A">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危险、有害因素评价</w:t>
            </w:r>
          </w:p>
        </w:tc>
        <w:tc>
          <w:tcPr>
            <w:tcW w:w="222" w:type="pct"/>
            <w:vMerge w:val="restart"/>
            <w:tcBorders>
              <w:tl2br w:val="nil"/>
              <w:tr2bl w:val="nil"/>
            </w:tcBorders>
            <w:shd w:val="clear" w:color="auto" w:fill="auto"/>
            <w:vAlign w:val="center"/>
          </w:tcPr>
          <w:p w14:paraId="79CD3AED">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危害</w:t>
            </w:r>
          </w:p>
          <w:p w14:paraId="7F39677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级别</w:t>
            </w:r>
          </w:p>
        </w:tc>
        <w:tc>
          <w:tcPr>
            <w:tcW w:w="601" w:type="pct"/>
            <w:vMerge w:val="restart"/>
            <w:tcBorders>
              <w:tl2br w:val="nil"/>
              <w:tr2bl w:val="nil"/>
            </w:tcBorders>
            <w:shd w:val="clear" w:color="auto" w:fill="auto"/>
            <w:vAlign w:val="center"/>
          </w:tcPr>
          <w:p w14:paraId="1155779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现行法律法规</w:t>
            </w:r>
          </w:p>
        </w:tc>
        <w:tc>
          <w:tcPr>
            <w:tcW w:w="579" w:type="pct"/>
            <w:vMerge w:val="restart"/>
            <w:tcBorders>
              <w:tl2br w:val="nil"/>
              <w:tr2bl w:val="nil"/>
            </w:tcBorders>
            <w:shd w:val="clear" w:color="auto" w:fill="auto"/>
            <w:vAlign w:val="center"/>
          </w:tcPr>
          <w:p w14:paraId="657EDC1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控制方法</w:t>
            </w:r>
          </w:p>
        </w:tc>
      </w:tr>
      <w:tr w14:paraId="0C7DCF3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vMerge w:val="continue"/>
            <w:tcBorders>
              <w:tl2br w:val="nil"/>
              <w:tr2bl w:val="nil"/>
            </w:tcBorders>
            <w:shd w:val="clear" w:color="auto" w:fill="auto"/>
            <w:vAlign w:val="center"/>
          </w:tcPr>
          <w:p w14:paraId="553B5F09">
            <w:pPr>
              <w:spacing w:line="240" w:lineRule="auto"/>
              <w:jc w:val="center"/>
              <w:rPr>
                <w:rFonts w:hint="eastAsia" w:ascii="宋体" w:hAnsi="宋体" w:eastAsia="宋体" w:cs="宋体"/>
                <w:b/>
                <w:bCs/>
                <w:i w:val="0"/>
                <w:iCs w:val="0"/>
                <w:color w:val="000000"/>
                <w:sz w:val="18"/>
                <w:szCs w:val="18"/>
                <w:highlight w:val="none"/>
                <w:u w:val="none"/>
              </w:rPr>
            </w:pPr>
          </w:p>
        </w:tc>
        <w:tc>
          <w:tcPr>
            <w:tcW w:w="164" w:type="pct"/>
            <w:vMerge w:val="continue"/>
            <w:tcBorders>
              <w:tl2br w:val="nil"/>
              <w:tr2bl w:val="nil"/>
            </w:tcBorders>
            <w:shd w:val="clear" w:color="auto" w:fill="auto"/>
            <w:vAlign w:val="center"/>
          </w:tcPr>
          <w:p w14:paraId="0CFEB18D">
            <w:pPr>
              <w:spacing w:line="240" w:lineRule="auto"/>
              <w:jc w:val="center"/>
              <w:rPr>
                <w:rFonts w:hint="eastAsia" w:ascii="宋体" w:hAnsi="宋体" w:eastAsia="宋体" w:cs="宋体"/>
                <w:b/>
                <w:bCs/>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70CDA00">
            <w:pPr>
              <w:spacing w:line="240" w:lineRule="auto"/>
              <w:jc w:val="center"/>
              <w:rPr>
                <w:rFonts w:hint="eastAsia" w:ascii="宋体" w:hAnsi="宋体" w:eastAsia="宋体" w:cs="宋体"/>
                <w:b/>
                <w:bCs/>
                <w:i w:val="0"/>
                <w:iCs w:val="0"/>
                <w:color w:val="000000"/>
                <w:sz w:val="18"/>
                <w:szCs w:val="18"/>
                <w:highlight w:val="none"/>
                <w:u w:val="none"/>
              </w:rPr>
            </w:pPr>
          </w:p>
        </w:tc>
        <w:tc>
          <w:tcPr>
            <w:tcW w:w="1907" w:type="pct"/>
            <w:vMerge w:val="continue"/>
            <w:tcBorders>
              <w:tl2br w:val="nil"/>
              <w:tr2bl w:val="nil"/>
            </w:tcBorders>
            <w:shd w:val="clear" w:color="auto" w:fill="auto"/>
            <w:vAlign w:val="center"/>
          </w:tcPr>
          <w:p w14:paraId="73D3001D">
            <w:pPr>
              <w:spacing w:line="240" w:lineRule="auto"/>
              <w:jc w:val="center"/>
              <w:rPr>
                <w:rFonts w:hint="eastAsia" w:ascii="宋体" w:hAnsi="宋体" w:eastAsia="宋体" w:cs="宋体"/>
                <w:b/>
                <w:bCs/>
                <w:i w:val="0"/>
                <w:iCs w:val="0"/>
                <w:color w:val="000000"/>
                <w:sz w:val="18"/>
                <w:szCs w:val="18"/>
                <w:highlight w:val="none"/>
                <w:u w:val="none"/>
              </w:rPr>
            </w:pPr>
          </w:p>
        </w:tc>
        <w:tc>
          <w:tcPr>
            <w:tcW w:w="386" w:type="pct"/>
            <w:vMerge w:val="continue"/>
            <w:tcBorders>
              <w:tl2br w:val="nil"/>
              <w:tr2bl w:val="nil"/>
            </w:tcBorders>
            <w:shd w:val="clear" w:color="auto" w:fill="auto"/>
            <w:vAlign w:val="center"/>
          </w:tcPr>
          <w:p w14:paraId="2E639AB6">
            <w:pPr>
              <w:spacing w:line="240" w:lineRule="auto"/>
              <w:jc w:val="center"/>
              <w:rPr>
                <w:rFonts w:hint="eastAsia" w:ascii="宋体" w:hAnsi="宋体" w:eastAsia="宋体" w:cs="宋体"/>
                <w:b/>
                <w:bCs/>
                <w:i w:val="0"/>
                <w:iCs w:val="0"/>
                <w:color w:val="000000"/>
                <w:sz w:val="18"/>
                <w:szCs w:val="18"/>
                <w:highlight w:val="none"/>
                <w:u w:val="none"/>
              </w:rPr>
            </w:pPr>
          </w:p>
        </w:tc>
        <w:tc>
          <w:tcPr>
            <w:tcW w:w="714" w:type="pct"/>
            <w:gridSpan w:val="4"/>
            <w:tcBorders>
              <w:tl2br w:val="nil"/>
              <w:tr2bl w:val="nil"/>
            </w:tcBorders>
            <w:shd w:val="clear" w:color="auto" w:fill="auto"/>
            <w:vAlign w:val="center"/>
          </w:tcPr>
          <w:p w14:paraId="2D5A046D">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D=LEC</w:t>
            </w:r>
          </w:p>
        </w:tc>
        <w:tc>
          <w:tcPr>
            <w:tcW w:w="222" w:type="pct"/>
            <w:vMerge w:val="continue"/>
            <w:tcBorders>
              <w:tl2br w:val="nil"/>
              <w:tr2bl w:val="nil"/>
            </w:tcBorders>
            <w:shd w:val="clear" w:color="auto" w:fill="auto"/>
            <w:vAlign w:val="center"/>
          </w:tcPr>
          <w:p w14:paraId="4FBB173C">
            <w:pPr>
              <w:spacing w:line="240" w:lineRule="auto"/>
              <w:jc w:val="center"/>
              <w:rPr>
                <w:rFonts w:hint="eastAsia" w:ascii="宋体" w:hAnsi="宋体" w:eastAsia="宋体" w:cs="宋体"/>
                <w:b/>
                <w:bCs/>
                <w:i w:val="0"/>
                <w:iCs w:val="0"/>
                <w:color w:val="000000"/>
                <w:sz w:val="18"/>
                <w:szCs w:val="18"/>
                <w:highlight w:val="none"/>
                <w:u w:val="none"/>
              </w:rPr>
            </w:pPr>
          </w:p>
        </w:tc>
        <w:tc>
          <w:tcPr>
            <w:tcW w:w="601" w:type="pct"/>
            <w:vMerge w:val="continue"/>
            <w:tcBorders>
              <w:tl2br w:val="nil"/>
              <w:tr2bl w:val="nil"/>
            </w:tcBorders>
            <w:shd w:val="clear" w:color="auto" w:fill="auto"/>
            <w:vAlign w:val="center"/>
          </w:tcPr>
          <w:p w14:paraId="3DA3122D">
            <w:pPr>
              <w:spacing w:line="240" w:lineRule="auto"/>
              <w:jc w:val="center"/>
              <w:rPr>
                <w:rFonts w:hint="eastAsia" w:ascii="宋体" w:hAnsi="宋体" w:eastAsia="宋体" w:cs="宋体"/>
                <w:b/>
                <w:bCs/>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D0A2574">
            <w:pPr>
              <w:spacing w:line="240" w:lineRule="auto"/>
              <w:jc w:val="center"/>
              <w:rPr>
                <w:rFonts w:hint="eastAsia" w:ascii="宋体" w:hAnsi="宋体" w:eastAsia="宋体" w:cs="宋体"/>
                <w:b/>
                <w:bCs/>
                <w:i w:val="0"/>
                <w:iCs w:val="0"/>
                <w:color w:val="000000"/>
                <w:sz w:val="18"/>
                <w:szCs w:val="18"/>
                <w:highlight w:val="none"/>
                <w:u w:val="none"/>
              </w:rPr>
            </w:pPr>
          </w:p>
        </w:tc>
      </w:tr>
      <w:tr w14:paraId="1CAB750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vMerge w:val="continue"/>
            <w:tcBorders>
              <w:tl2br w:val="nil"/>
              <w:tr2bl w:val="nil"/>
            </w:tcBorders>
            <w:shd w:val="clear" w:color="auto" w:fill="auto"/>
            <w:vAlign w:val="center"/>
          </w:tcPr>
          <w:p w14:paraId="44EBD51D">
            <w:pPr>
              <w:spacing w:line="240" w:lineRule="auto"/>
              <w:jc w:val="center"/>
              <w:rPr>
                <w:rFonts w:hint="eastAsia" w:ascii="宋体" w:hAnsi="宋体" w:eastAsia="宋体" w:cs="宋体"/>
                <w:b/>
                <w:bCs/>
                <w:i w:val="0"/>
                <w:iCs w:val="0"/>
                <w:color w:val="000000"/>
                <w:sz w:val="18"/>
                <w:szCs w:val="18"/>
                <w:highlight w:val="none"/>
                <w:u w:val="none"/>
              </w:rPr>
            </w:pPr>
          </w:p>
        </w:tc>
        <w:tc>
          <w:tcPr>
            <w:tcW w:w="164" w:type="pct"/>
            <w:vMerge w:val="continue"/>
            <w:tcBorders>
              <w:tl2br w:val="nil"/>
              <w:tr2bl w:val="nil"/>
            </w:tcBorders>
            <w:shd w:val="clear" w:color="auto" w:fill="auto"/>
            <w:vAlign w:val="center"/>
          </w:tcPr>
          <w:p w14:paraId="734635A3">
            <w:pPr>
              <w:spacing w:line="240" w:lineRule="auto"/>
              <w:jc w:val="center"/>
              <w:rPr>
                <w:rFonts w:hint="eastAsia" w:ascii="宋体" w:hAnsi="宋体" w:eastAsia="宋体" w:cs="宋体"/>
                <w:b/>
                <w:bCs/>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4C14C5D5">
            <w:pPr>
              <w:spacing w:line="240" w:lineRule="auto"/>
              <w:jc w:val="center"/>
              <w:rPr>
                <w:rFonts w:hint="eastAsia" w:ascii="宋体" w:hAnsi="宋体" w:eastAsia="宋体" w:cs="宋体"/>
                <w:b/>
                <w:bCs/>
                <w:i w:val="0"/>
                <w:iCs w:val="0"/>
                <w:color w:val="000000"/>
                <w:sz w:val="18"/>
                <w:szCs w:val="18"/>
                <w:highlight w:val="none"/>
                <w:u w:val="none"/>
              </w:rPr>
            </w:pPr>
          </w:p>
        </w:tc>
        <w:tc>
          <w:tcPr>
            <w:tcW w:w="1907" w:type="pct"/>
            <w:vMerge w:val="continue"/>
            <w:tcBorders>
              <w:tl2br w:val="nil"/>
              <w:tr2bl w:val="nil"/>
            </w:tcBorders>
            <w:shd w:val="clear" w:color="auto" w:fill="auto"/>
            <w:vAlign w:val="center"/>
          </w:tcPr>
          <w:p w14:paraId="18228B15">
            <w:pPr>
              <w:spacing w:line="240" w:lineRule="auto"/>
              <w:jc w:val="center"/>
              <w:rPr>
                <w:rFonts w:hint="eastAsia" w:ascii="宋体" w:hAnsi="宋体" w:eastAsia="宋体" w:cs="宋体"/>
                <w:b/>
                <w:bCs/>
                <w:i w:val="0"/>
                <w:iCs w:val="0"/>
                <w:color w:val="000000"/>
                <w:sz w:val="18"/>
                <w:szCs w:val="18"/>
                <w:highlight w:val="none"/>
                <w:u w:val="none"/>
              </w:rPr>
            </w:pPr>
          </w:p>
        </w:tc>
        <w:tc>
          <w:tcPr>
            <w:tcW w:w="386" w:type="pct"/>
            <w:vMerge w:val="continue"/>
            <w:tcBorders>
              <w:tl2br w:val="nil"/>
              <w:tr2bl w:val="nil"/>
            </w:tcBorders>
            <w:shd w:val="clear" w:color="auto" w:fill="auto"/>
            <w:vAlign w:val="center"/>
          </w:tcPr>
          <w:p w14:paraId="1B51598A">
            <w:pPr>
              <w:spacing w:line="240" w:lineRule="auto"/>
              <w:jc w:val="center"/>
              <w:rPr>
                <w:rFonts w:hint="eastAsia" w:ascii="宋体" w:hAnsi="宋体" w:eastAsia="宋体" w:cs="宋体"/>
                <w:b/>
                <w:bCs/>
                <w:i w:val="0"/>
                <w:iCs w:val="0"/>
                <w:color w:val="000000"/>
                <w:sz w:val="18"/>
                <w:szCs w:val="18"/>
                <w:highlight w:val="none"/>
                <w:u w:val="none"/>
              </w:rPr>
            </w:pPr>
          </w:p>
        </w:tc>
        <w:tc>
          <w:tcPr>
            <w:tcW w:w="171" w:type="pct"/>
            <w:tcBorders>
              <w:tl2br w:val="nil"/>
              <w:tr2bl w:val="nil"/>
            </w:tcBorders>
            <w:shd w:val="clear" w:color="auto" w:fill="auto"/>
            <w:vAlign w:val="center"/>
          </w:tcPr>
          <w:p w14:paraId="7001009E">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L</w:t>
            </w:r>
          </w:p>
        </w:tc>
        <w:tc>
          <w:tcPr>
            <w:tcW w:w="148" w:type="pct"/>
            <w:tcBorders>
              <w:tl2br w:val="nil"/>
              <w:tr2bl w:val="nil"/>
            </w:tcBorders>
            <w:shd w:val="clear" w:color="auto" w:fill="auto"/>
            <w:vAlign w:val="center"/>
          </w:tcPr>
          <w:p w14:paraId="28BE9A57">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E</w:t>
            </w:r>
          </w:p>
        </w:tc>
        <w:tc>
          <w:tcPr>
            <w:tcW w:w="140" w:type="pct"/>
            <w:tcBorders>
              <w:tl2br w:val="nil"/>
              <w:tr2bl w:val="nil"/>
            </w:tcBorders>
            <w:shd w:val="clear" w:color="auto" w:fill="auto"/>
            <w:vAlign w:val="center"/>
          </w:tcPr>
          <w:p w14:paraId="7513AFEA">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C</w:t>
            </w:r>
          </w:p>
        </w:tc>
        <w:tc>
          <w:tcPr>
            <w:tcW w:w="253" w:type="pct"/>
            <w:tcBorders>
              <w:tl2br w:val="nil"/>
              <w:tr2bl w:val="nil"/>
            </w:tcBorders>
            <w:shd w:val="clear" w:color="auto" w:fill="auto"/>
            <w:vAlign w:val="center"/>
          </w:tcPr>
          <w:p w14:paraId="6859474D">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D</w:t>
            </w:r>
          </w:p>
        </w:tc>
        <w:tc>
          <w:tcPr>
            <w:tcW w:w="222" w:type="pct"/>
            <w:vMerge w:val="continue"/>
            <w:tcBorders>
              <w:tl2br w:val="nil"/>
              <w:tr2bl w:val="nil"/>
            </w:tcBorders>
            <w:shd w:val="clear" w:color="auto" w:fill="auto"/>
            <w:vAlign w:val="center"/>
          </w:tcPr>
          <w:p w14:paraId="4EC1DF46">
            <w:pPr>
              <w:spacing w:line="240" w:lineRule="auto"/>
              <w:jc w:val="center"/>
              <w:rPr>
                <w:rFonts w:hint="eastAsia" w:ascii="宋体" w:hAnsi="宋体" w:eastAsia="宋体" w:cs="宋体"/>
                <w:b/>
                <w:bCs/>
                <w:i w:val="0"/>
                <w:iCs w:val="0"/>
                <w:color w:val="000000"/>
                <w:sz w:val="18"/>
                <w:szCs w:val="18"/>
                <w:highlight w:val="none"/>
                <w:u w:val="none"/>
              </w:rPr>
            </w:pPr>
          </w:p>
        </w:tc>
        <w:tc>
          <w:tcPr>
            <w:tcW w:w="601" w:type="pct"/>
            <w:vMerge w:val="continue"/>
            <w:tcBorders>
              <w:tl2br w:val="nil"/>
              <w:tr2bl w:val="nil"/>
            </w:tcBorders>
            <w:shd w:val="clear" w:color="auto" w:fill="auto"/>
            <w:vAlign w:val="center"/>
          </w:tcPr>
          <w:p w14:paraId="6D0BEC3E">
            <w:pPr>
              <w:spacing w:line="240" w:lineRule="auto"/>
              <w:jc w:val="center"/>
              <w:rPr>
                <w:rFonts w:hint="eastAsia" w:ascii="宋体" w:hAnsi="宋体" w:eastAsia="宋体" w:cs="宋体"/>
                <w:b/>
                <w:bCs/>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B789515">
            <w:pPr>
              <w:spacing w:line="240" w:lineRule="auto"/>
              <w:jc w:val="center"/>
              <w:rPr>
                <w:rFonts w:hint="eastAsia" w:ascii="宋体" w:hAnsi="宋体" w:eastAsia="宋体" w:cs="宋体"/>
                <w:b/>
                <w:bCs/>
                <w:i w:val="0"/>
                <w:iCs w:val="0"/>
                <w:color w:val="000000"/>
                <w:sz w:val="18"/>
                <w:szCs w:val="18"/>
                <w:highlight w:val="none"/>
                <w:u w:val="none"/>
              </w:rPr>
            </w:pPr>
          </w:p>
        </w:tc>
      </w:tr>
      <w:tr w14:paraId="32CD3B1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1057B6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64" w:type="pct"/>
            <w:vMerge w:val="restart"/>
            <w:tcBorders>
              <w:tl2br w:val="nil"/>
              <w:tr2bl w:val="nil"/>
            </w:tcBorders>
            <w:shd w:val="clear" w:color="auto" w:fill="auto"/>
            <w:vAlign w:val="center"/>
          </w:tcPr>
          <w:p w14:paraId="0BDE778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起重作业</w:t>
            </w:r>
          </w:p>
        </w:tc>
        <w:tc>
          <w:tcPr>
            <w:tcW w:w="242" w:type="pct"/>
            <w:vMerge w:val="restart"/>
            <w:tcBorders>
              <w:tl2br w:val="nil"/>
              <w:tr2bl w:val="nil"/>
            </w:tcBorders>
            <w:shd w:val="clear" w:color="auto" w:fill="auto"/>
            <w:vAlign w:val="center"/>
          </w:tcPr>
          <w:p w14:paraId="17E34D3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起重</w:t>
            </w:r>
          </w:p>
          <w:p w14:paraId="2435076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作业</w:t>
            </w:r>
          </w:p>
          <w:p w14:paraId="3A63E77A">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起重</w:t>
            </w:r>
          </w:p>
          <w:p w14:paraId="095780B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w:t>
            </w:r>
          </w:p>
        </w:tc>
        <w:tc>
          <w:tcPr>
            <w:tcW w:w="1907" w:type="pct"/>
            <w:tcBorders>
              <w:tl2br w:val="nil"/>
              <w:tr2bl w:val="nil"/>
            </w:tcBorders>
            <w:shd w:val="clear" w:color="auto" w:fill="auto"/>
            <w:vAlign w:val="center"/>
          </w:tcPr>
          <w:p w14:paraId="49E5FCF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作业前，未检查起重吊装所使用的起重机滑轮、吊索、卡环和地锚等</w:t>
            </w:r>
          </w:p>
        </w:tc>
        <w:tc>
          <w:tcPr>
            <w:tcW w:w="386" w:type="pct"/>
            <w:tcBorders>
              <w:tl2br w:val="nil"/>
              <w:tr2bl w:val="nil"/>
            </w:tcBorders>
            <w:shd w:val="clear" w:color="auto" w:fill="auto"/>
            <w:vAlign w:val="center"/>
          </w:tcPr>
          <w:p w14:paraId="0DB21A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73204B5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2031FF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55E422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65C2966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222" w:type="pct"/>
            <w:tcBorders>
              <w:tl2br w:val="nil"/>
              <w:tr2bl w:val="nil"/>
            </w:tcBorders>
            <w:shd w:val="clear" w:color="auto" w:fill="auto"/>
            <w:vAlign w:val="center"/>
          </w:tcPr>
          <w:p w14:paraId="00C5926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restart"/>
            <w:tcBorders>
              <w:tl2br w:val="nil"/>
              <w:tr2bl w:val="nil"/>
            </w:tcBorders>
            <w:shd w:val="clear" w:color="auto" w:fill="auto"/>
            <w:vAlign w:val="center"/>
          </w:tcPr>
          <w:p w14:paraId="636E57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《安全生产法》《建设工程安全生产管理条例》《公路工程施工安全技术规范》《施工现场临时用电安全技术规范》《构筑物施工安全检查标准》《重大危险源辨识》等</w:t>
            </w:r>
          </w:p>
        </w:tc>
        <w:tc>
          <w:tcPr>
            <w:tcW w:w="579" w:type="pct"/>
            <w:vMerge w:val="restart"/>
            <w:tcBorders>
              <w:tl2br w:val="nil"/>
              <w:tr2bl w:val="nil"/>
            </w:tcBorders>
            <w:shd w:val="clear" w:color="auto" w:fill="auto"/>
            <w:vAlign w:val="center"/>
          </w:tcPr>
          <w:p w14:paraId="5391F2C2">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1、严格按方案要求组织施工；</w:t>
            </w:r>
          </w:p>
          <w:p w14:paraId="56AF4453">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2、进行危险源辨识，制定控制措施</w:t>
            </w:r>
          </w:p>
          <w:p w14:paraId="55F6E621">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3、遵守安全管理制度和安全操作规程</w:t>
            </w:r>
          </w:p>
          <w:p w14:paraId="07D9614B">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4、开展定期和不定期的安全大检查</w:t>
            </w:r>
          </w:p>
          <w:p w14:paraId="7123D48E">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5、针对不同岗位、工种，开展有针对性的安全教育培训；</w:t>
            </w:r>
          </w:p>
          <w:p w14:paraId="6232FD5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6、按照分包合同要求严格管理。</w:t>
            </w:r>
          </w:p>
        </w:tc>
      </w:tr>
      <w:tr w14:paraId="22169795">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BB8B2B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64" w:type="pct"/>
            <w:vMerge w:val="continue"/>
            <w:tcBorders>
              <w:tl2br w:val="nil"/>
              <w:tr2bl w:val="nil"/>
            </w:tcBorders>
            <w:shd w:val="clear" w:color="auto" w:fill="auto"/>
            <w:vAlign w:val="center"/>
          </w:tcPr>
          <w:p w14:paraId="23A2B9CF">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5E0EE5F">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4F2E64C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吊装业作区未设置明显标志或警戒区；夜间施工没有足够的照明</w:t>
            </w:r>
          </w:p>
        </w:tc>
        <w:tc>
          <w:tcPr>
            <w:tcW w:w="386" w:type="pct"/>
            <w:tcBorders>
              <w:tl2br w:val="nil"/>
              <w:tr2bl w:val="nil"/>
            </w:tcBorders>
            <w:shd w:val="clear" w:color="auto" w:fill="auto"/>
            <w:vAlign w:val="center"/>
          </w:tcPr>
          <w:p w14:paraId="631989B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0FA769F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7217218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17668A0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009167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5CD191D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161014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C5E9EAC">
            <w:pPr>
              <w:spacing w:line="240" w:lineRule="auto"/>
              <w:jc w:val="left"/>
              <w:rPr>
                <w:rFonts w:hint="eastAsia" w:ascii="宋体" w:hAnsi="宋体" w:eastAsia="宋体" w:cs="宋体"/>
                <w:i w:val="0"/>
                <w:iCs w:val="0"/>
                <w:color w:val="000000"/>
                <w:sz w:val="18"/>
                <w:szCs w:val="18"/>
                <w:highlight w:val="none"/>
                <w:u w:val="none"/>
              </w:rPr>
            </w:pPr>
          </w:p>
        </w:tc>
      </w:tr>
      <w:tr w14:paraId="1AB7EDB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808340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64" w:type="pct"/>
            <w:vMerge w:val="continue"/>
            <w:tcBorders>
              <w:tl2br w:val="nil"/>
              <w:tr2bl w:val="nil"/>
            </w:tcBorders>
            <w:shd w:val="clear" w:color="auto" w:fill="auto"/>
            <w:vAlign w:val="center"/>
          </w:tcPr>
          <w:p w14:paraId="4EB8A215">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00A919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6B7D4A1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起重设备通行道路不平整、坚实</w:t>
            </w:r>
          </w:p>
        </w:tc>
        <w:tc>
          <w:tcPr>
            <w:tcW w:w="386" w:type="pct"/>
            <w:tcBorders>
              <w:tl2br w:val="nil"/>
              <w:tr2bl w:val="nil"/>
            </w:tcBorders>
            <w:shd w:val="clear" w:color="auto" w:fill="auto"/>
            <w:vAlign w:val="center"/>
          </w:tcPr>
          <w:p w14:paraId="7F88ED3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机械伤害</w:t>
            </w:r>
          </w:p>
        </w:tc>
        <w:tc>
          <w:tcPr>
            <w:tcW w:w="171" w:type="pct"/>
            <w:tcBorders>
              <w:tl2br w:val="nil"/>
              <w:tr2bl w:val="nil"/>
            </w:tcBorders>
            <w:shd w:val="clear" w:color="auto" w:fill="auto"/>
            <w:vAlign w:val="center"/>
          </w:tcPr>
          <w:p w14:paraId="3F8E23B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8" w:type="pct"/>
            <w:tcBorders>
              <w:tl2br w:val="nil"/>
              <w:tr2bl w:val="nil"/>
            </w:tcBorders>
            <w:shd w:val="clear" w:color="auto" w:fill="auto"/>
            <w:vAlign w:val="center"/>
          </w:tcPr>
          <w:p w14:paraId="6A6D5B5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D23CD4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253" w:type="pct"/>
            <w:tcBorders>
              <w:tl2br w:val="nil"/>
              <w:tr2bl w:val="nil"/>
            </w:tcBorders>
            <w:shd w:val="clear" w:color="auto" w:fill="auto"/>
            <w:vAlign w:val="center"/>
          </w:tcPr>
          <w:p w14:paraId="30A0DB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30EFE59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100F34E">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C50D21F">
            <w:pPr>
              <w:spacing w:line="240" w:lineRule="auto"/>
              <w:jc w:val="left"/>
              <w:rPr>
                <w:rFonts w:hint="eastAsia" w:ascii="宋体" w:hAnsi="宋体" w:eastAsia="宋体" w:cs="宋体"/>
                <w:i w:val="0"/>
                <w:iCs w:val="0"/>
                <w:color w:val="000000"/>
                <w:sz w:val="18"/>
                <w:szCs w:val="18"/>
                <w:highlight w:val="none"/>
                <w:u w:val="none"/>
              </w:rPr>
            </w:pPr>
          </w:p>
        </w:tc>
      </w:tr>
      <w:tr w14:paraId="2AADB8A2">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029D9E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164" w:type="pct"/>
            <w:vMerge w:val="continue"/>
            <w:tcBorders>
              <w:tl2br w:val="nil"/>
              <w:tr2bl w:val="nil"/>
            </w:tcBorders>
            <w:shd w:val="clear" w:color="auto" w:fill="auto"/>
            <w:vAlign w:val="center"/>
          </w:tcPr>
          <w:p w14:paraId="285E4856">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8A7476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123BDE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高空用的吊篮和临时工作台未绑扎牢靠，没有防护栏杆</w:t>
            </w:r>
          </w:p>
        </w:tc>
        <w:tc>
          <w:tcPr>
            <w:tcW w:w="386" w:type="pct"/>
            <w:tcBorders>
              <w:tl2br w:val="nil"/>
              <w:tr2bl w:val="nil"/>
            </w:tcBorders>
            <w:shd w:val="clear" w:color="auto" w:fill="auto"/>
            <w:vAlign w:val="center"/>
          </w:tcPr>
          <w:p w14:paraId="547F9C9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4A9623E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735EE4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1B821AE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5EF2BED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0695DA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96983B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61C6AF7">
            <w:pPr>
              <w:spacing w:line="240" w:lineRule="auto"/>
              <w:jc w:val="left"/>
              <w:rPr>
                <w:rFonts w:hint="eastAsia" w:ascii="宋体" w:hAnsi="宋体" w:eastAsia="宋体" w:cs="宋体"/>
                <w:i w:val="0"/>
                <w:iCs w:val="0"/>
                <w:color w:val="000000"/>
                <w:sz w:val="18"/>
                <w:szCs w:val="18"/>
                <w:highlight w:val="none"/>
                <w:u w:val="none"/>
              </w:rPr>
            </w:pPr>
          </w:p>
        </w:tc>
      </w:tr>
      <w:tr w14:paraId="664028B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4BB64C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64" w:type="pct"/>
            <w:vMerge w:val="continue"/>
            <w:tcBorders>
              <w:tl2br w:val="nil"/>
              <w:tr2bl w:val="nil"/>
            </w:tcBorders>
            <w:shd w:val="clear" w:color="auto" w:fill="auto"/>
            <w:vAlign w:val="center"/>
          </w:tcPr>
          <w:p w14:paraId="022972D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8C4B15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BF01CC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吊篮和工作台的脚手板未铺平绑牢，存在探头板</w:t>
            </w:r>
          </w:p>
        </w:tc>
        <w:tc>
          <w:tcPr>
            <w:tcW w:w="386" w:type="pct"/>
            <w:tcBorders>
              <w:tl2br w:val="nil"/>
              <w:tr2bl w:val="nil"/>
            </w:tcBorders>
            <w:shd w:val="clear" w:color="auto" w:fill="auto"/>
            <w:vAlign w:val="center"/>
          </w:tcPr>
          <w:p w14:paraId="2D301BA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高处坠落</w:t>
            </w:r>
          </w:p>
          <w:p w14:paraId="15D402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171" w:type="pct"/>
            <w:tcBorders>
              <w:tl2br w:val="nil"/>
              <w:tr2bl w:val="nil"/>
            </w:tcBorders>
            <w:shd w:val="clear" w:color="auto" w:fill="auto"/>
            <w:vAlign w:val="center"/>
          </w:tcPr>
          <w:p w14:paraId="4672B3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0B0611A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7B42DF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6E95A52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7248398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AE7E601">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C9628F2">
            <w:pPr>
              <w:spacing w:line="240" w:lineRule="auto"/>
              <w:jc w:val="left"/>
              <w:rPr>
                <w:rFonts w:hint="eastAsia" w:ascii="宋体" w:hAnsi="宋体" w:eastAsia="宋体" w:cs="宋体"/>
                <w:i w:val="0"/>
                <w:iCs w:val="0"/>
                <w:color w:val="000000"/>
                <w:sz w:val="18"/>
                <w:szCs w:val="18"/>
                <w:highlight w:val="none"/>
                <w:u w:val="none"/>
              </w:rPr>
            </w:pPr>
          </w:p>
        </w:tc>
      </w:tr>
      <w:tr w14:paraId="4E744F22">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25AFC6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64" w:type="pct"/>
            <w:vMerge w:val="continue"/>
            <w:tcBorders>
              <w:tl2br w:val="nil"/>
              <w:tr2bl w:val="nil"/>
            </w:tcBorders>
            <w:shd w:val="clear" w:color="auto" w:fill="auto"/>
            <w:vAlign w:val="center"/>
          </w:tcPr>
          <w:p w14:paraId="51B4FBE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FE2586E">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B01779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吊物下方站人</w:t>
            </w:r>
          </w:p>
        </w:tc>
        <w:tc>
          <w:tcPr>
            <w:tcW w:w="386" w:type="pct"/>
            <w:tcBorders>
              <w:tl2br w:val="nil"/>
              <w:tr2bl w:val="nil"/>
            </w:tcBorders>
            <w:shd w:val="clear" w:color="auto" w:fill="auto"/>
            <w:vAlign w:val="center"/>
          </w:tcPr>
          <w:p w14:paraId="14899BA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07A3219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5AFFA96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B9BAE1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006844D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377B52B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43C88F9">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70E3346">
            <w:pPr>
              <w:spacing w:line="240" w:lineRule="auto"/>
              <w:jc w:val="left"/>
              <w:rPr>
                <w:rFonts w:hint="eastAsia" w:ascii="宋体" w:hAnsi="宋体" w:eastAsia="宋体" w:cs="宋体"/>
                <w:i w:val="0"/>
                <w:iCs w:val="0"/>
                <w:color w:val="000000"/>
                <w:sz w:val="18"/>
                <w:szCs w:val="18"/>
                <w:highlight w:val="none"/>
                <w:u w:val="none"/>
              </w:rPr>
            </w:pPr>
          </w:p>
        </w:tc>
      </w:tr>
      <w:tr w14:paraId="24A4329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027EC6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164" w:type="pct"/>
            <w:vMerge w:val="continue"/>
            <w:tcBorders>
              <w:tl2br w:val="nil"/>
              <w:tr2bl w:val="nil"/>
            </w:tcBorders>
            <w:shd w:val="clear" w:color="auto" w:fill="auto"/>
            <w:vAlign w:val="center"/>
          </w:tcPr>
          <w:p w14:paraId="483AF54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5663C50">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91537F7">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起吊前，未对起重机钢丝绳及连接部位和吊具进行检查</w:t>
            </w:r>
          </w:p>
        </w:tc>
        <w:tc>
          <w:tcPr>
            <w:tcW w:w="386" w:type="pct"/>
            <w:tcBorders>
              <w:tl2br w:val="nil"/>
              <w:tr2bl w:val="nil"/>
            </w:tcBorders>
            <w:shd w:val="clear" w:color="auto" w:fill="auto"/>
            <w:vAlign w:val="center"/>
          </w:tcPr>
          <w:p w14:paraId="38EA5A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64B5765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8" w:type="pct"/>
            <w:tcBorders>
              <w:tl2br w:val="nil"/>
              <w:tr2bl w:val="nil"/>
            </w:tcBorders>
            <w:shd w:val="clear" w:color="auto" w:fill="auto"/>
            <w:vAlign w:val="center"/>
          </w:tcPr>
          <w:p w14:paraId="183E370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090F0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253" w:type="pct"/>
            <w:tcBorders>
              <w:tl2br w:val="nil"/>
              <w:tr2bl w:val="nil"/>
            </w:tcBorders>
            <w:shd w:val="clear" w:color="auto" w:fill="auto"/>
            <w:vAlign w:val="center"/>
          </w:tcPr>
          <w:p w14:paraId="19CCB1A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c>
          <w:tcPr>
            <w:tcW w:w="222" w:type="pct"/>
            <w:tcBorders>
              <w:tl2br w:val="nil"/>
              <w:tr2bl w:val="nil"/>
            </w:tcBorders>
            <w:shd w:val="clear" w:color="auto" w:fill="auto"/>
            <w:vAlign w:val="center"/>
          </w:tcPr>
          <w:p w14:paraId="32D9477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C771CC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BD049BA">
            <w:pPr>
              <w:spacing w:line="240" w:lineRule="auto"/>
              <w:jc w:val="left"/>
              <w:rPr>
                <w:rFonts w:hint="eastAsia" w:ascii="宋体" w:hAnsi="宋体" w:eastAsia="宋体" w:cs="宋体"/>
                <w:i w:val="0"/>
                <w:iCs w:val="0"/>
                <w:color w:val="000000"/>
                <w:sz w:val="18"/>
                <w:szCs w:val="18"/>
                <w:highlight w:val="none"/>
                <w:u w:val="none"/>
              </w:rPr>
            </w:pPr>
          </w:p>
        </w:tc>
      </w:tr>
      <w:tr w14:paraId="00C720A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89C32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164" w:type="pct"/>
            <w:vMerge w:val="continue"/>
            <w:tcBorders>
              <w:tl2br w:val="nil"/>
              <w:tr2bl w:val="nil"/>
            </w:tcBorders>
            <w:shd w:val="clear" w:color="auto" w:fill="auto"/>
            <w:vAlign w:val="center"/>
          </w:tcPr>
          <w:p w14:paraId="07D3AE0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61FC519D">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4056444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吊装大、重构件和采用新的吊装工艺时，未进行试吊</w:t>
            </w:r>
          </w:p>
        </w:tc>
        <w:tc>
          <w:tcPr>
            <w:tcW w:w="386" w:type="pct"/>
            <w:tcBorders>
              <w:tl2br w:val="nil"/>
              <w:tr2bl w:val="nil"/>
            </w:tcBorders>
            <w:shd w:val="clear" w:color="auto" w:fill="auto"/>
            <w:vAlign w:val="center"/>
          </w:tcPr>
          <w:p w14:paraId="339F742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65259BA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16AF880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C584C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1346EFC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3109297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1CF3FB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88144B2">
            <w:pPr>
              <w:spacing w:line="240" w:lineRule="auto"/>
              <w:jc w:val="left"/>
              <w:rPr>
                <w:rFonts w:hint="eastAsia" w:ascii="宋体" w:hAnsi="宋体" w:eastAsia="宋体" w:cs="宋体"/>
                <w:i w:val="0"/>
                <w:iCs w:val="0"/>
                <w:color w:val="000000"/>
                <w:sz w:val="18"/>
                <w:szCs w:val="18"/>
                <w:highlight w:val="none"/>
                <w:u w:val="none"/>
              </w:rPr>
            </w:pPr>
          </w:p>
        </w:tc>
      </w:tr>
      <w:tr w14:paraId="12A4222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38C2CA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c>
          <w:tcPr>
            <w:tcW w:w="164" w:type="pct"/>
            <w:vMerge w:val="continue"/>
            <w:tcBorders>
              <w:tl2br w:val="nil"/>
              <w:tr2bl w:val="nil"/>
            </w:tcBorders>
            <w:shd w:val="clear" w:color="auto" w:fill="auto"/>
            <w:vAlign w:val="center"/>
          </w:tcPr>
          <w:p w14:paraId="603B8D25">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E2A78EF">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A63D89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大雨、雾、大雪及六级以上大风等恶劣天气进行吊装作业</w:t>
            </w:r>
          </w:p>
        </w:tc>
        <w:tc>
          <w:tcPr>
            <w:tcW w:w="386" w:type="pct"/>
            <w:tcBorders>
              <w:tl2br w:val="nil"/>
              <w:tr2bl w:val="nil"/>
            </w:tcBorders>
            <w:shd w:val="clear" w:color="auto" w:fill="auto"/>
            <w:vAlign w:val="center"/>
          </w:tcPr>
          <w:p w14:paraId="0BF1AD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7F737E8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4439B8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351CE89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71B8670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222" w:type="pct"/>
            <w:tcBorders>
              <w:tl2br w:val="nil"/>
              <w:tr2bl w:val="nil"/>
            </w:tcBorders>
            <w:shd w:val="clear" w:color="auto" w:fill="auto"/>
            <w:vAlign w:val="center"/>
          </w:tcPr>
          <w:p w14:paraId="1E1665F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B26283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5719FE9">
            <w:pPr>
              <w:spacing w:line="240" w:lineRule="auto"/>
              <w:jc w:val="left"/>
              <w:rPr>
                <w:rFonts w:hint="eastAsia" w:ascii="宋体" w:hAnsi="宋体" w:eastAsia="宋体" w:cs="宋体"/>
                <w:i w:val="0"/>
                <w:iCs w:val="0"/>
                <w:color w:val="000000"/>
                <w:sz w:val="18"/>
                <w:szCs w:val="18"/>
                <w:highlight w:val="none"/>
                <w:u w:val="none"/>
              </w:rPr>
            </w:pPr>
          </w:p>
        </w:tc>
      </w:tr>
      <w:tr w14:paraId="7C698EE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7618F5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64" w:type="pct"/>
            <w:vMerge w:val="continue"/>
            <w:tcBorders>
              <w:tl2br w:val="nil"/>
              <w:tr2bl w:val="nil"/>
            </w:tcBorders>
            <w:shd w:val="clear" w:color="auto" w:fill="auto"/>
            <w:vAlign w:val="center"/>
          </w:tcPr>
          <w:p w14:paraId="015AFFA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985D46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A252AB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采用了斜拉、斜吊，或者起吊埋于地下或粘结在地面上的构件</w:t>
            </w:r>
          </w:p>
        </w:tc>
        <w:tc>
          <w:tcPr>
            <w:tcW w:w="386" w:type="pct"/>
            <w:tcBorders>
              <w:tl2br w:val="nil"/>
              <w:tr2bl w:val="nil"/>
            </w:tcBorders>
            <w:shd w:val="clear" w:color="auto" w:fill="auto"/>
            <w:vAlign w:val="center"/>
          </w:tcPr>
          <w:p w14:paraId="7D2BFC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37D8070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3A330E9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BD540E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47CC6A9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7A5DEE2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53C931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857B7B6">
            <w:pPr>
              <w:spacing w:line="240" w:lineRule="auto"/>
              <w:jc w:val="left"/>
              <w:rPr>
                <w:rFonts w:hint="eastAsia" w:ascii="宋体" w:hAnsi="宋体" w:eastAsia="宋体" w:cs="宋体"/>
                <w:i w:val="0"/>
                <w:iCs w:val="0"/>
                <w:color w:val="000000"/>
                <w:sz w:val="18"/>
                <w:szCs w:val="18"/>
                <w:highlight w:val="none"/>
                <w:u w:val="none"/>
              </w:rPr>
            </w:pPr>
          </w:p>
        </w:tc>
      </w:tr>
      <w:tr w14:paraId="382D534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851E53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w:t>
            </w:r>
          </w:p>
        </w:tc>
        <w:tc>
          <w:tcPr>
            <w:tcW w:w="164" w:type="pct"/>
            <w:vMerge w:val="continue"/>
            <w:tcBorders>
              <w:tl2br w:val="nil"/>
              <w:tr2bl w:val="nil"/>
            </w:tcBorders>
            <w:shd w:val="clear" w:color="auto" w:fill="auto"/>
            <w:vAlign w:val="center"/>
          </w:tcPr>
          <w:p w14:paraId="409F445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FCEF496">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0026FE2">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起重机与架空输电线距离不满足相关标准的规定</w:t>
            </w:r>
          </w:p>
        </w:tc>
        <w:tc>
          <w:tcPr>
            <w:tcW w:w="386" w:type="pct"/>
            <w:tcBorders>
              <w:tl2br w:val="nil"/>
              <w:tr2bl w:val="nil"/>
            </w:tcBorders>
            <w:shd w:val="clear" w:color="auto" w:fill="auto"/>
            <w:vAlign w:val="center"/>
          </w:tcPr>
          <w:p w14:paraId="68D160C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73475C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2B3211B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2E8C0E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B42BFF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006C22E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19E5E6E">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BD13680">
            <w:pPr>
              <w:spacing w:line="240" w:lineRule="auto"/>
              <w:jc w:val="left"/>
              <w:rPr>
                <w:rFonts w:hint="eastAsia" w:ascii="宋体" w:hAnsi="宋体" w:eastAsia="宋体" w:cs="宋体"/>
                <w:i w:val="0"/>
                <w:iCs w:val="0"/>
                <w:color w:val="000000"/>
                <w:sz w:val="18"/>
                <w:szCs w:val="18"/>
                <w:highlight w:val="none"/>
                <w:u w:val="none"/>
              </w:rPr>
            </w:pPr>
          </w:p>
        </w:tc>
      </w:tr>
      <w:tr w14:paraId="0DEDFF4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810B97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164" w:type="pct"/>
            <w:vMerge w:val="continue"/>
            <w:tcBorders>
              <w:tl2br w:val="nil"/>
              <w:tr2bl w:val="nil"/>
            </w:tcBorders>
            <w:shd w:val="clear" w:color="auto" w:fill="auto"/>
            <w:vAlign w:val="center"/>
          </w:tcPr>
          <w:p w14:paraId="0527288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8960380">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686E70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起吊过程中，在起重机行走、回转、俯仰吊臂、起落吊钩等动作前，起重司机未鸣声示意</w:t>
            </w:r>
          </w:p>
        </w:tc>
        <w:tc>
          <w:tcPr>
            <w:tcW w:w="386" w:type="pct"/>
            <w:tcBorders>
              <w:tl2br w:val="nil"/>
              <w:tr2bl w:val="nil"/>
            </w:tcBorders>
            <w:shd w:val="clear" w:color="auto" w:fill="auto"/>
            <w:vAlign w:val="center"/>
          </w:tcPr>
          <w:p w14:paraId="630BA0C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4EBADFC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8" w:type="pct"/>
            <w:tcBorders>
              <w:tl2br w:val="nil"/>
              <w:tr2bl w:val="nil"/>
            </w:tcBorders>
            <w:shd w:val="clear" w:color="auto" w:fill="auto"/>
            <w:vAlign w:val="center"/>
          </w:tcPr>
          <w:p w14:paraId="11E8237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EA3FBB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253" w:type="pct"/>
            <w:tcBorders>
              <w:tl2br w:val="nil"/>
              <w:tr2bl w:val="nil"/>
            </w:tcBorders>
            <w:shd w:val="clear" w:color="auto" w:fill="auto"/>
            <w:vAlign w:val="center"/>
          </w:tcPr>
          <w:p w14:paraId="6D61EFA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c>
          <w:tcPr>
            <w:tcW w:w="222" w:type="pct"/>
            <w:tcBorders>
              <w:tl2br w:val="nil"/>
              <w:tr2bl w:val="nil"/>
            </w:tcBorders>
            <w:shd w:val="clear" w:color="auto" w:fill="auto"/>
            <w:vAlign w:val="center"/>
          </w:tcPr>
          <w:p w14:paraId="01473F1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324D08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67EAEB9">
            <w:pPr>
              <w:spacing w:line="240" w:lineRule="auto"/>
              <w:jc w:val="left"/>
              <w:rPr>
                <w:rFonts w:hint="eastAsia" w:ascii="宋体" w:hAnsi="宋体" w:eastAsia="宋体" w:cs="宋体"/>
                <w:i w:val="0"/>
                <w:iCs w:val="0"/>
                <w:color w:val="000000"/>
                <w:sz w:val="18"/>
                <w:szCs w:val="18"/>
                <w:highlight w:val="none"/>
                <w:u w:val="none"/>
              </w:rPr>
            </w:pPr>
          </w:p>
        </w:tc>
      </w:tr>
      <w:tr w14:paraId="1E4ACC4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2DB8E9E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w:t>
            </w:r>
          </w:p>
        </w:tc>
        <w:tc>
          <w:tcPr>
            <w:tcW w:w="164" w:type="pct"/>
            <w:vMerge w:val="continue"/>
            <w:tcBorders>
              <w:tl2br w:val="nil"/>
              <w:tr2bl w:val="nil"/>
            </w:tcBorders>
            <w:shd w:val="clear" w:color="auto" w:fill="auto"/>
            <w:vAlign w:val="center"/>
          </w:tcPr>
          <w:p w14:paraId="7C1159BD">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41BB05A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EE78AC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在已吊起的构件下面或起重臂下旋转范围内作业或行走</w:t>
            </w:r>
          </w:p>
        </w:tc>
        <w:tc>
          <w:tcPr>
            <w:tcW w:w="386" w:type="pct"/>
            <w:tcBorders>
              <w:tl2br w:val="nil"/>
              <w:tr2bl w:val="nil"/>
            </w:tcBorders>
            <w:shd w:val="clear" w:color="auto" w:fill="auto"/>
            <w:vAlign w:val="center"/>
          </w:tcPr>
          <w:p w14:paraId="32B840D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1F22934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6B3A2E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AEABAA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80E96E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239D5A7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7286F2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834C90B">
            <w:pPr>
              <w:spacing w:line="240" w:lineRule="auto"/>
              <w:jc w:val="left"/>
              <w:rPr>
                <w:rFonts w:hint="eastAsia" w:ascii="宋体" w:hAnsi="宋体" w:eastAsia="宋体" w:cs="宋体"/>
                <w:i w:val="0"/>
                <w:iCs w:val="0"/>
                <w:color w:val="000000"/>
                <w:sz w:val="18"/>
                <w:szCs w:val="18"/>
                <w:highlight w:val="none"/>
                <w:u w:val="none"/>
              </w:rPr>
            </w:pPr>
          </w:p>
        </w:tc>
      </w:tr>
      <w:tr w14:paraId="67FDB5B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2C57D16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164" w:type="pct"/>
            <w:vMerge w:val="continue"/>
            <w:tcBorders>
              <w:tl2br w:val="nil"/>
              <w:tr2bl w:val="nil"/>
            </w:tcBorders>
            <w:shd w:val="clear" w:color="auto" w:fill="auto"/>
            <w:vAlign w:val="center"/>
          </w:tcPr>
          <w:p w14:paraId="72D0E2EE">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4A828C0">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8AB9D7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高处安装中的电、气焊作业，未严格采取安全防火措施，在作业处下面周围10m范围内有人</w:t>
            </w:r>
          </w:p>
        </w:tc>
        <w:tc>
          <w:tcPr>
            <w:tcW w:w="386" w:type="pct"/>
            <w:tcBorders>
              <w:tl2br w:val="nil"/>
              <w:tr2bl w:val="nil"/>
            </w:tcBorders>
            <w:shd w:val="clear" w:color="auto" w:fill="auto"/>
            <w:vAlign w:val="center"/>
          </w:tcPr>
          <w:p w14:paraId="20365FBD">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起重伤害</w:t>
            </w:r>
          </w:p>
          <w:p w14:paraId="6086F74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火灾</w:t>
            </w:r>
          </w:p>
        </w:tc>
        <w:tc>
          <w:tcPr>
            <w:tcW w:w="171" w:type="pct"/>
            <w:tcBorders>
              <w:tl2br w:val="nil"/>
              <w:tr2bl w:val="nil"/>
            </w:tcBorders>
            <w:shd w:val="clear" w:color="auto" w:fill="auto"/>
            <w:vAlign w:val="center"/>
          </w:tcPr>
          <w:p w14:paraId="2E7B69C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7120DA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5673565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2BB9A15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222" w:type="pct"/>
            <w:tcBorders>
              <w:tl2br w:val="nil"/>
              <w:tr2bl w:val="nil"/>
            </w:tcBorders>
            <w:shd w:val="clear" w:color="auto" w:fill="auto"/>
            <w:vAlign w:val="center"/>
          </w:tcPr>
          <w:p w14:paraId="5A31ED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9A6977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A06DC30">
            <w:pPr>
              <w:spacing w:line="240" w:lineRule="auto"/>
              <w:jc w:val="left"/>
              <w:rPr>
                <w:rFonts w:hint="eastAsia" w:ascii="宋体" w:hAnsi="宋体" w:eastAsia="宋体" w:cs="宋体"/>
                <w:i w:val="0"/>
                <w:iCs w:val="0"/>
                <w:color w:val="000000"/>
                <w:sz w:val="18"/>
                <w:szCs w:val="18"/>
                <w:highlight w:val="none"/>
                <w:u w:val="none"/>
              </w:rPr>
            </w:pPr>
          </w:p>
        </w:tc>
      </w:tr>
      <w:tr w14:paraId="299B3E0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B0030F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164" w:type="pct"/>
            <w:vMerge w:val="continue"/>
            <w:tcBorders>
              <w:tl2br w:val="nil"/>
              <w:tr2bl w:val="nil"/>
            </w:tcBorders>
            <w:shd w:val="clear" w:color="auto" w:fill="auto"/>
            <w:vAlign w:val="center"/>
          </w:tcPr>
          <w:p w14:paraId="62B90F67">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EC65C4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6487260">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自行式起重机作业前未将支腿全部伸出，并支垫牢固</w:t>
            </w:r>
          </w:p>
        </w:tc>
        <w:tc>
          <w:tcPr>
            <w:tcW w:w="386" w:type="pct"/>
            <w:tcBorders>
              <w:tl2br w:val="nil"/>
              <w:tr2bl w:val="nil"/>
            </w:tcBorders>
            <w:shd w:val="clear" w:color="auto" w:fill="auto"/>
            <w:vAlign w:val="center"/>
          </w:tcPr>
          <w:p w14:paraId="77D621E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0C9D41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211855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5E3863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BB4CF1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61E8F4F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1586089">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091F077">
            <w:pPr>
              <w:spacing w:line="240" w:lineRule="auto"/>
              <w:jc w:val="left"/>
              <w:rPr>
                <w:rFonts w:hint="eastAsia" w:ascii="宋体" w:hAnsi="宋体" w:eastAsia="宋体" w:cs="宋体"/>
                <w:i w:val="0"/>
                <w:iCs w:val="0"/>
                <w:color w:val="000000"/>
                <w:sz w:val="18"/>
                <w:szCs w:val="18"/>
                <w:highlight w:val="none"/>
                <w:u w:val="none"/>
              </w:rPr>
            </w:pPr>
          </w:p>
        </w:tc>
      </w:tr>
      <w:tr w14:paraId="6E31460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7D84CB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c>
          <w:tcPr>
            <w:tcW w:w="164" w:type="pct"/>
            <w:vMerge w:val="restart"/>
            <w:tcBorders>
              <w:tl2br w:val="nil"/>
              <w:tr2bl w:val="nil"/>
            </w:tcBorders>
            <w:shd w:val="clear" w:color="auto" w:fill="auto"/>
            <w:vAlign w:val="center"/>
          </w:tcPr>
          <w:p w14:paraId="7D7D75B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cs="宋体"/>
                <w:i w:val="0"/>
                <w:iCs w:val="0"/>
                <w:color w:val="000000"/>
                <w:kern w:val="0"/>
                <w:sz w:val="18"/>
                <w:szCs w:val="18"/>
                <w:highlight w:val="none"/>
                <w:u w:val="none"/>
                <w:lang w:val="en-US" w:eastAsia="zh-CN" w:bidi="ar"/>
              </w:rPr>
              <w:t>塔机</w:t>
            </w:r>
            <w:r>
              <w:rPr>
                <w:rFonts w:hint="eastAsia" w:ascii="宋体" w:hAnsi="宋体" w:eastAsia="宋体" w:cs="宋体"/>
                <w:i w:val="0"/>
                <w:iCs w:val="0"/>
                <w:color w:val="000000"/>
                <w:kern w:val="0"/>
                <w:sz w:val="18"/>
                <w:szCs w:val="18"/>
                <w:highlight w:val="none"/>
                <w:u w:val="none"/>
                <w:lang w:val="en-US" w:eastAsia="zh-CN" w:bidi="ar"/>
              </w:rPr>
              <w:t>安拆</w:t>
            </w:r>
          </w:p>
        </w:tc>
        <w:tc>
          <w:tcPr>
            <w:tcW w:w="242" w:type="pct"/>
            <w:vMerge w:val="restart"/>
            <w:tcBorders>
              <w:tl2br w:val="nil"/>
              <w:tr2bl w:val="nil"/>
            </w:tcBorders>
            <w:shd w:val="clear" w:color="auto" w:fill="auto"/>
            <w:vAlign w:val="center"/>
          </w:tcPr>
          <w:p w14:paraId="6E485C7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w:t>
            </w:r>
          </w:p>
        </w:tc>
        <w:tc>
          <w:tcPr>
            <w:tcW w:w="1907" w:type="pct"/>
            <w:tcBorders>
              <w:tl2br w:val="nil"/>
              <w:tr2bl w:val="nil"/>
            </w:tcBorders>
            <w:shd w:val="clear" w:color="auto" w:fill="auto"/>
            <w:vAlign w:val="center"/>
          </w:tcPr>
          <w:p w14:paraId="26A3A570">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塔机安装前没有进行全面的检查，并确认合格</w:t>
            </w:r>
          </w:p>
        </w:tc>
        <w:tc>
          <w:tcPr>
            <w:tcW w:w="386" w:type="pct"/>
            <w:tcBorders>
              <w:tl2br w:val="nil"/>
              <w:tr2bl w:val="nil"/>
            </w:tcBorders>
            <w:shd w:val="clear" w:color="auto" w:fill="auto"/>
            <w:vAlign w:val="center"/>
          </w:tcPr>
          <w:p w14:paraId="47CE793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2557761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CC579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54CA140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3F6DE5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2" w:type="pct"/>
            <w:tcBorders>
              <w:tl2br w:val="nil"/>
              <w:tr2bl w:val="nil"/>
            </w:tcBorders>
            <w:shd w:val="clear" w:color="auto" w:fill="auto"/>
            <w:vAlign w:val="center"/>
          </w:tcPr>
          <w:p w14:paraId="703D0C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49B578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8473556">
            <w:pPr>
              <w:spacing w:line="240" w:lineRule="auto"/>
              <w:jc w:val="left"/>
              <w:rPr>
                <w:rFonts w:hint="eastAsia" w:ascii="宋体" w:hAnsi="宋体" w:eastAsia="宋体" w:cs="宋体"/>
                <w:i w:val="0"/>
                <w:iCs w:val="0"/>
                <w:color w:val="000000"/>
                <w:sz w:val="18"/>
                <w:szCs w:val="18"/>
                <w:highlight w:val="none"/>
                <w:u w:val="none"/>
              </w:rPr>
            </w:pPr>
          </w:p>
        </w:tc>
      </w:tr>
      <w:tr w14:paraId="518E51A5">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0E4CB56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w:t>
            </w:r>
          </w:p>
        </w:tc>
        <w:tc>
          <w:tcPr>
            <w:tcW w:w="164" w:type="pct"/>
            <w:vMerge w:val="continue"/>
            <w:tcBorders>
              <w:tl2br w:val="nil"/>
              <w:tr2bl w:val="nil"/>
            </w:tcBorders>
            <w:shd w:val="clear" w:color="auto" w:fill="auto"/>
            <w:vAlign w:val="center"/>
          </w:tcPr>
          <w:p w14:paraId="7FF04F0D">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56DD68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0F88F4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安装前没有对基础进行验收基础周围没有排水设施</w:t>
            </w:r>
          </w:p>
        </w:tc>
        <w:tc>
          <w:tcPr>
            <w:tcW w:w="386" w:type="pct"/>
            <w:tcBorders>
              <w:tl2br w:val="nil"/>
              <w:tr2bl w:val="nil"/>
            </w:tcBorders>
            <w:shd w:val="clear" w:color="auto" w:fill="auto"/>
            <w:vAlign w:val="center"/>
          </w:tcPr>
          <w:p w14:paraId="2074723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17A9BB3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4C4AFF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211342B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75C9324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w:t>
            </w:r>
          </w:p>
        </w:tc>
        <w:tc>
          <w:tcPr>
            <w:tcW w:w="222" w:type="pct"/>
            <w:tcBorders>
              <w:tl2br w:val="nil"/>
              <w:tr2bl w:val="nil"/>
            </w:tcBorders>
            <w:shd w:val="clear" w:color="auto" w:fill="auto"/>
            <w:vAlign w:val="center"/>
          </w:tcPr>
          <w:p w14:paraId="6B8FE73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7C20BDC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6A54A25">
            <w:pPr>
              <w:spacing w:line="240" w:lineRule="auto"/>
              <w:jc w:val="left"/>
              <w:rPr>
                <w:rFonts w:hint="eastAsia" w:ascii="宋体" w:hAnsi="宋体" w:eastAsia="宋体" w:cs="宋体"/>
                <w:i w:val="0"/>
                <w:iCs w:val="0"/>
                <w:color w:val="000000"/>
                <w:sz w:val="18"/>
                <w:szCs w:val="18"/>
                <w:highlight w:val="none"/>
                <w:u w:val="none"/>
              </w:rPr>
            </w:pPr>
          </w:p>
        </w:tc>
      </w:tr>
      <w:tr w14:paraId="7DC464C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22D67D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164" w:type="pct"/>
            <w:vMerge w:val="continue"/>
            <w:tcBorders>
              <w:tl2br w:val="nil"/>
              <w:tr2bl w:val="nil"/>
            </w:tcBorders>
            <w:shd w:val="clear" w:color="auto" w:fill="auto"/>
            <w:vAlign w:val="center"/>
          </w:tcPr>
          <w:p w14:paraId="64C1926B">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607F95E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4FD5FA4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附着装置的设置和自由端高度不符合使用说明书的规定</w:t>
            </w:r>
          </w:p>
        </w:tc>
        <w:tc>
          <w:tcPr>
            <w:tcW w:w="386" w:type="pct"/>
            <w:tcBorders>
              <w:tl2br w:val="nil"/>
              <w:tr2bl w:val="nil"/>
            </w:tcBorders>
            <w:shd w:val="clear" w:color="auto" w:fill="auto"/>
            <w:vAlign w:val="center"/>
          </w:tcPr>
          <w:p w14:paraId="388D849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17C6815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F4D6EE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2ED4D41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0837C6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222" w:type="pct"/>
            <w:tcBorders>
              <w:tl2br w:val="nil"/>
              <w:tr2bl w:val="nil"/>
            </w:tcBorders>
            <w:shd w:val="clear" w:color="auto" w:fill="auto"/>
            <w:vAlign w:val="center"/>
          </w:tcPr>
          <w:p w14:paraId="1AFDEC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67371E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327825E">
            <w:pPr>
              <w:spacing w:line="240" w:lineRule="auto"/>
              <w:jc w:val="left"/>
              <w:rPr>
                <w:rFonts w:hint="eastAsia" w:ascii="宋体" w:hAnsi="宋体" w:eastAsia="宋体" w:cs="宋体"/>
                <w:i w:val="0"/>
                <w:iCs w:val="0"/>
                <w:color w:val="000000"/>
                <w:sz w:val="18"/>
                <w:szCs w:val="18"/>
                <w:highlight w:val="none"/>
                <w:u w:val="none"/>
              </w:rPr>
            </w:pPr>
          </w:p>
        </w:tc>
      </w:tr>
      <w:tr w14:paraId="60D93E3C">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5198A58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w:t>
            </w:r>
          </w:p>
        </w:tc>
        <w:tc>
          <w:tcPr>
            <w:tcW w:w="164" w:type="pct"/>
            <w:vMerge w:val="continue"/>
            <w:tcBorders>
              <w:tl2br w:val="nil"/>
              <w:tr2bl w:val="nil"/>
            </w:tcBorders>
            <w:shd w:val="clear" w:color="auto" w:fill="auto"/>
            <w:vAlign w:val="center"/>
          </w:tcPr>
          <w:p w14:paraId="6549EF6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4A1D21B3">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D73CE8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当附着水平距离、附着间距等不满足使用说明书的要求时，没有进行设计计算、绘制制作图、编写相关说明</w:t>
            </w:r>
          </w:p>
        </w:tc>
        <w:tc>
          <w:tcPr>
            <w:tcW w:w="386" w:type="pct"/>
            <w:tcBorders>
              <w:tl2br w:val="nil"/>
              <w:tr2bl w:val="nil"/>
            </w:tcBorders>
            <w:shd w:val="clear" w:color="auto" w:fill="auto"/>
            <w:vAlign w:val="center"/>
          </w:tcPr>
          <w:p w14:paraId="31A2B4C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4468C2C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p>
        </w:tc>
        <w:tc>
          <w:tcPr>
            <w:tcW w:w="148" w:type="pct"/>
            <w:tcBorders>
              <w:tl2br w:val="nil"/>
              <w:tr2bl w:val="nil"/>
            </w:tcBorders>
            <w:shd w:val="clear" w:color="auto" w:fill="auto"/>
            <w:vAlign w:val="center"/>
          </w:tcPr>
          <w:p w14:paraId="245346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4400434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0AA73C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48ADCB0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5967AC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3941DF7">
            <w:pPr>
              <w:spacing w:line="240" w:lineRule="auto"/>
              <w:jc w:val="left"/>
              <w:rPr>
                <w:rFonts w:hint="eastAsia" w:ascii="宋体" w:hAnsi="宋体" w:eastAsia="宋体" w:cs="宋体"/>
                <w:i w:val="0"/>
                <w:iCs w:val="0"/>
                <w:color w:val="000000"/>
                <w:sz w:val="18"/>
                <w:szCs w:val="18"/>
                <w:highlight w:val="none"/>
                <w:u w:val="none"/>
              </w:rPr>
            </w:pPr>
          </w:p>
        </w:tc>
      </w:tr>
      <w:tr w14:paraId="56D9DC7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E7DE3F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c>
          <w:tcPr>
            <w:tcW w:w="164" w:type="pct"/>
            <w:vMerge w:val="continue"/>
            <w:tcBorders>
              <w:tl2br w:val="nil"/>
              <w:tr2bl w:val="nil"/>
            </w:tcBorders>
            <w:shd w:val="clear" w:color="auto" w:fill="auto"/>
            <w:vAlign w:val="center"/>
          </w:tcPr>
          <w:p w14:paraId="446FC488">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D8F237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EE30800">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安装作业未按照专项方案要求实施安装前未对安装作业人员进行安全技术交底</w:t>
            </w:r>
          </w:p>
        </w:tc>
        <w:tc>
          <w:tcPr>
            <w:tcW w:w="386" w:type="pct"/>
            <w:tcBorders>
              <w:tl2br w:val="nil"/>
              <w:tr2bl w:val="nil"/>
            </w:tcBorders>
            <w:shd w:val="clear" w:color="auto" w:fill="auto"/>
            <w:vAlign w:val="center"/>
          </w:tcPr>
          <w:p w14:paraId="41501EC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2E513D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582F642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5A3A35E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0FC2FB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w:t>
            </w:r>
          </w:p>
        </w:tc>
        <w:tc>
          <w:tcPr>
            <w:tcW w:w="222" w:type="pct"/>
            <w:tcBorders>
              <w:tl2br w:val="nil"/>
              <w:tr2bl w:val="nil"/>
            </w:tcBorders>
            <w:shd w:val="clear" w:color="auto" w:fill="auto"/>
            <w:vAlign w:val="center"/>
          </w:tcPr>
          <w:p w14:paraId="48C08A3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56A9A05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257EE681">
            <w:pPr>
              <w:spacing w:line="240" w:lineRule="auto"/>
              <w:jc w:val="left"/>
              <w:rPr>
                <w:rFonts w:hint="eastAsia" w:ascii="宋体" w:hAnsi="宋体" w:eastAsia="宋体" w:cs="宋体"/>
                <w:i w:val="0"/>
                <w:iCs w:val="0"/>
                <w:color w:val="000000"/>
                <w:sz w:val="18"/>
                <w:szCs w:val="18"/>
                <w:highlight w:val="none"/>
                <w:u w:val="none"/>
              </w:rPr>
            </w:pPr>
          </w:p>
        </w:tc>
      </w:tr>
      <w:tr w14:paraId="3A06933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1920" w:hRule="atLeast"/>
        </w:trPr>
        <w:tc>
          <w:tcPr>
            <w:tcW w:w="180" w:type="pct"/>
            <w:tcBorders>
              <w:tl2br w:val="nil"/>
              <w:tr2bl w:val="nil"/>
            </w:tcBorders>
            <w:shd w:val="clear" w:color="auto" w:fill="auto"/>
            <w:vAlign w:val="center"/>
          </w:tcPr>
          <w:p w14:paraId="065F3BF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w:t>
            </w:r>
          </w:p>
        </w:tc>
        <w:tc>
          <w:tcPr>
            <w:tcW w:w="164" w:type="pct"/>
            <w:vMerge w:val="continue"/>
            <w:tcBorders>
              <w:tl2br w:val="nil"/>
              <w:tr2bl w:val="nil"/>
            </w:tcBorders>
            <w:shd w:val="clear" w:color="auto" w:fill="auto"/>
            <w:vAlign w:val="center"/>
          </w:tcPr>
          <w:p w14:paraId="54C2AADE">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77847D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2320D0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升式塔式起重机的顶升加节不符合下列规定：1、顶升系统必须完好，2、构筑物件必须完好，3、顶升前，塔机下支座与顶升套架应可靠连接，4、顶升前，应保持顶升横梁搁置正确，5、顶升前，应将塔机配平顶升过程中应确保塔机的平衡，6、顶升加节的顺序，应符合使用说明书的规定，7、顶升过程中，不应进行起升、回转、变幅等动作，8、顶升结束后，应将标准节与回转下支座可靠连接，9、塔机加节后需附着的，应按照先安装附着装置、后顶升加节的顺序进行，附着装置的位置和支撑点的强度应符合要求</w:t>
            </w:r>
          </w:p>
        </w:tc>
        <w:tc>
          <w:tcPr>
            <w:tcW w:w="386" w:type="pct"/>
            <w:tcBorders>
              <w:tl2br w:val="nil"/>
              <w:tr2bl w:val="nil"/>
            </w:tcBorders>
            <w:shd w:val="clear" w:color="auto" w:fill="auto"/>
            <w:vAlign w:val="center"/>
          </w:tcPr>
          <w:p w14:paraId="39BDC34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4E4ECE8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1C0D4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4EF963C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013B12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w:t>
            </w:r>
          </w:p>
        </w:tc>
        <w:tc>
          <w:tcPr>
            <w:tcW w:w="222" w:type="pct"/>
            <w:tcBorders>
              <w:tl2br w:val="nil"/>
              <w:tr2bl w:val="nil"/>
            </w:tcBorders>
            <w:shd w:val="clear" w:color="auto" w:fill="auto"/>
            <w:vAlign w:val="center"/>
          </w:tcPr>
          <w:p w14:paraId="0493B1B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2C8482B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7A3882D">
            <w:pPr>
              <w:spacing w:line="240" w:lineRule="auto"/>
              <w:jc w:val="left"/>
              <w:rPr>
                <w:rFonts w:hint="eastAsia" w:ascii="宋体" w:hAnsi="宋体" w:eastAsia="宋体" w:cs="宋体"/>
                <w:i w:val="0"/>
                <w:iCs w:val="0"/>
                <w:color w:val="000000"/>
                <w:sz w:val="18"/>
                <w:szCs w:val="18"/>
                <w:highlight w:val="none"/>
                <w:u w:val="none"/>
              </w:rPr>
            </w:pPr>
          </w:p>
        </w:tc>
      </w:tr>
      <w:tr w14:paraId="2327CBE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5046791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w:t>
            </w:r>
          </w:p>
        </w:tc>
        <w:tc>
          <w:tcPr>
            <w:tcW w:w="164" w:type="pct"/>
            <w:vMerge w:val="continue"/>
            <w:tcBorders>
              <w:tl2br w:val="nil"/>
              <w:tr2bl w:val="nil"/>
            </w:tcBorders>
            <w:shd w:val="clear" w:color="auto" w:fill="auto"/>
            <w:vAlign w:val="center"/>
          </w:tcPr>
          <w:p w14:paraId="1B43901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B76023E">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668F01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当需要在夜间进行安拆作业时，没有保证提供足够的照明</w:t>
            </w:r>
          </w:p>
        </w:tc>
        <w:tc>
          <w:tcPr>
            <w:tcW w:w="386" w:type="pct"/>
            <w:tcBorders>
              <w:tl2br w:val="nil"/>
              <w:tr2bl w:val="nil"/>
            </w:tcBorders>
            <w:shd w:val="clear" w:color="auto" w:fill="auto"/>
            <w:vAlign w:val="center"/>
          </w:tcPr>
          <w:p w14:paraId="34B1380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101A17A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1293E5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03D531D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2A657FF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2" w:type="pct"/>
            <w:tcBorders>
              <w:tl2br w:val="nil"/>
              <w:tr2bl w:val="nil"/>
            </w:tcBorders>
            <w:shd w:val="clear" w:color="auto" w:fill="auto"/>
            <w:vAlign w:val="center"/>
          </w:tcPr>
          <w:p w14:paraId="760E3EA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8D73863">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7865DAA">
            <w:pPr>
              <w:spacing w:line="240" w:lineRule="auto"/>
              <w:jc w:val="left"/>
              <w:rPr>
                <w:rFonts w:hint="eastAsia" w:ascii="宋体" w:hAnsi="宋体" w:eastAsia="宋体" w:cs="宋体"/>
                <w:i w:val="0"/>
                <w:iCs w:val="0"/>
                <w:color w:val="000000"/>
                <w:sz w:val="18"/>
                <w:szCs w:val="18"/>
                <w:highlight w:val="none"/>
                <w:u w:val="none"/>
              </w:rPr>
            </w:pPr>
          </w:p>
        </w:tc>
      </w:tr>
      <w:tr w14:paraId="4B8311F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B9E83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23</w:t>
            </w:r>
          </w:p>
        </w:tc>
        <w:tc>
          <w:tcPr>
            <w:tcW w:w="164" w:type="pct"/>
            <w:vMerge w:val="continue"/>
            <w:tcBorders>
              <w:tl2br w:val="nil"/>
              <w:tr2bl w:val="nil"/>
            </w:tcBorders>
            <w:shd w:val="clear" w:color="auto" w:fill="auto"/>
            <w:vAlign w:val="center"/>
          </w:tcPr>
          <w:p w14:paraId="5912F00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6F4B1A1C">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9C3E95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当遇特殊情况安装作业不能连续进行时，没有将已安装的部位固定牢靠并达到安全状态</w:t>
            </w:r>
          </w:p>
        </w:tc>
        <w:tc>
          <w:tcPr>
            <w:tcW w:w="386" w:type="pct"/>
            <w:tcBorders>
              <w:tl2br w:val="nil"/>
              <w:tr2bl w:val="nil"/>
            </w:tcBorders>
            <w:shd w:val="clear" w:color="auto" w:fill="auto"/>
            <w:vAlign w:val="center"/>
          </w:tcPr>
          <w:p w14:paraId="72EAC19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171" w:type="pct"/>
            <w:tcBorders>
              <w:tl2br w:val="nil"/>
              <w:tr2bl w:val="nil"/>
            </w:tcBorders>
            <w:shd w:val="clear" w:color="auto" w:fill="auto"/>
            <w:vAlign w:val="center"/>
          </w:tcPr>
          <w:p w14:paraId="1A85CE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5FBA5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24A08CB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112D547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2" w:type="pct"/>
            <w:tcBorders>
              <w:tl2br w:val="nil"/>
              <w:tr2bl w:val="nil"/>
            </w:tcBorders>
            <w:shd w:val="clear" w:color="auto" w:fill="auto"/>
            <w:vAlign w:val="center"/>
          </w:tcPr>
          <w:p w14:paraId="7D045F9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AA65DA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4B770E2">
            <w:pPr>
              <w:spacing w:line="240" w:lineRule="auto"/>
              <w:jc w:val="left"/>
              <w:rPr>
                <w:rFonts w:hint="eastAsia" w:ascii="宋体" w:hAnsi="宋体" w:eastAsia="宋体" w:cs="宋体"/>
                <w:i w:val="0"/>
                <w:iCs w:val="0"/>
                <w:color w:val="000000"/>
                <w:sz w:val="18"/>
                <w:szCs w:val="18"/>
                <w:highlight w:val="none"/>
                <w:u w:val="none"/>
              </w:rPr>
            </w:pPr>
          </w:p>
        </w:tc>
      </w:tr>
      <w:tr w14:paraId="6BAA58D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699050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w:t>
            </w:r>
          </w:p>
        </w:tc>
        <w:tc>
          <w:tcPr>
            <w:tcW w:w="164" w:type="pct"/>
            <w:vMerge w:val="continue"/>
            <w:tcBorders>
              <w:tl2br w:val="nil"/>
              <w:tr2bl w:val="nil"/>
            </w:tcBorders>
            <w:shd w:val="clear" w:color="auto" w:fill="auto"/>
            <w:vAlign w:val="center"/>
          </w:tcPr>
          <w:p w14:paraId="575274F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65F36488">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34348E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连接件及防松脱件用其它代用品代用</w:t>
            </w:r>
          </w:p>
        </w:tc>
        <w:tc>
          <w:tcPr>
            <w:tcW w:w="386" w:type="pct"/>
            <w:tcBorders>
              <w:tl2br w:val="nil"/>
              <w:tr2bl w:val="nil"/>
            </w:tcBorders>
            <w:shd w:val="clear" w:color="auto" w:fill="auto"/>
            <w:vAlign w:val="center"/>
          </w:tcPr>
          <w:p w14:paraId="1F5A3E9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起重伤害等</w:t>
            </w:r>
          </w:p>
        </w:tc>
        <w:tc>
          <w:tcPr>
            <w:tcW w:w="171" w:type="pct"/>
            <w:tcBorders>
              <w:tl2br w:val="nil"/>
              <w:tr2bl w:val="nil"/>
            </w:tcBorders>
            <w:shd w:val="clear" w:color="auto" w:fill="auto"/>
            <w:vAlign w:val="center"/>
          </w:tcPr>
          <w:p w14:paraId="5E9A6D4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6500D3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739EEA0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720EE03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2" w:type="pct"/>
            <w:tcBorders>
              <w:tl2br w:val="nil"/>
              <w:tr2bl w:val="nil"/>
            </w:tcBorders>
            <w:shd w:val="clear" w:color="auto" w:fill="auto"/>
            <w:vAlign w:val="center"/>
          </w:tcPr>
          <w:p w14:paraId="41807F2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FCC4F4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CFAC6FA">
            <w:pPr>
              <w:spacing w:line="240" w:lineRule="auto"/>
              <w:jc w:val="left"/>
              <w:rPr>
                <w:rFonts w:hint="eastAsia" w:ascii="宋体" w:hAnsi="宋体" w:eastAsia="宋体" w:cs="宋体"/>
                <w:i w:val="0"/>
                <w:iCs w:val="0"/>
                <w:color w:val="000000"/>
                <w:sz w:val="18"/>
                <w:szCs w:val="18"/>
                <w:highlight w:val="none"/>
                <w:u w:val="none"/>
              </w:rPr>
            </w:pPr>
          </w:p>
        </w:tc>
      </w:tr>
      <w:tr w14:paraId="44BB69A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3F3ED0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w:t>
            </w:r>
          </w:p>
        </w:tc>
        <w:tc>
          <w:tcPr>
            <w:tcW w:w="164" w:type="pct"/>
            <w:vMerge w:val="restart"/>
            <w:tcBorders>
              <w:tl2br w:val="nil"/>
              <w:tr2bl w:val="nil"/>
            </w:tcBorders>
            <w:shd w:val="clear" w:color="auto" w:fill="auto"/>
            <w:vAlign w:val="center"/>
          </w:tcPr>
          <w:p w14:paraId="02D98EB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w:t>
            </w:r>
          </w:p>
        </w:tc>
        <w:tc>
          <w:tcPr>
            <w:tcW w:w="242" w:type="pct"/>
            <w:vMerge w:val="restart"/>
            <w:tcBorders>
              <w:tl2br w:val="nil"/>
              <w:tr2bl w:val="nil"/>
            </w:tcBorders>
            <w:shd w:val="clear" w:color="auto" w:fill="auto"/>
            <w:vAlign w:val="center"/>
          </w:tcPr>
          <w:p w14:paraId="466BC92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作业前安全条件确认</w:t>
            </w:r>
          </w:p>
        </w:tc>
        <w:tc>
          <w:tcPr>
            <w:tcW w:w="1907" w:type="pct"/>
            <w:tcBorders>
              <w:tl2br w:val="nil"/>
              <w:tr2bl w:val="nil"/>
            </w:tcBorders>
            <w:shd w:val="clear" w:color="auto" w:fill="auto"/>
            <w:vAlign w:val="center"/>
          </w:tcPr>
          <w:p w14:paraId="591E444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高处作业未编制安全技术措施</w:t>
            </w:r>
          </w:p>
        </w:tc>
        <w:tc>
          <w:tcPr>
            <w:tcW w:w="386" w:type="pct"/>
            <w:tcBorders>
              <w:tl2br w:val="nil"/>
              <w:tr2bl w:val="nil"/>
            </w:tcBorders>
            <w:shd w:val="clear" w:color="auto" w:fill="auto"/>
            <w:vAlign w:val="center"/>
          </w:tcPr>
          <w:p w14:paraId="0392E89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358BAB1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727CD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223BFE8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502608A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0477DB7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55EB00A">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C16BE98">
            <w:pPr>
              <w:spacing w:line="240" w:lineRule="auto"/>
              <w:jc w:val="left"/>
              <w:rPr>
                <w:rFonts w:hint="eastAsia" w:ascii="宋体" w:hAnsi="宋体" w:eastAsia="宋体" w:cs="宋体"/>
                <w:i w:val="0"/>
                <w:iCs w:val="0"/>
                <w:color w:val="000000"/>
                <w:sz w:val="18"/>
                <w:szCs w:val="18"/>
                <w:highlight w:val="none"/>
                <w:u w:val="none"/>
              </w:rPr>
            </w:pPr>
          </w:p>
        </w:tc>
      </w:tr>
      <w:tr w14:paraId="35E360E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F5467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33</w:t>
            </w:r>
          </w:p>
        </w:tc>
        <w:tc>
          <w:tcPr>
            <w:tcW w:w="164" w:type="pct"/>
            <w:vMerge w:val="continue"/>
            <w:tcBorders>
              <w:tl2br w:val="nil"/>
              <w:tr2bl w:val="nil"/>
            </w:tcBorders>
            <w:shd w:val="clear" w:color="auto" w:fill="auto"/>
            <w:vAlign w:val="center"/>
          </w:tcPr>
          <w:p w14:paraId="4D51876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2B6D72B">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768DAB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高处作业前，没有对安全防护设施进行检查、验收</w:t>
            </w:r>
          </w:p>
        </w:tc>
        <w:tc>
          <w:tcPr>
            <w:tcW w:w="386" w:type="pct"/>
            <w:tcBorders>
              <w:tl2br w:val="nil"/>
              <w:tr2bl w:val="nil"/>
            </w:tcBorders>
            <w:shd w:val="clear" w:color="auto" w:fill="auto"/>
            <w:vAlign w:val="center"/>
          </w:tcPr>
          <w:p w14:paraId="0C58F65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0DCA5CC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8FAE4E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C6BA1C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6CF1CA2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293457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0549D4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9D4A259">
            <w:pPr>
              <w:spacing w:line="240" w:lineRule="auto"/>
              <w:jc w:val="left"/>
              <w:rPr>
                <w:rFonts w:hint="eastAsia" w:ascii="宋体" w:hAnsi="宋体" w:eastAsia="宋体" w:cs="宋体"/>
                <w:i w:val="0"/>
                <w:iCs w:val="0"/>
                <w:color w:val="000000"/>
                <w:sz w:val="18"/>
                <w:szCs w:val="18"/>
                <w:highlight w:val="none"/>
                <w:u w:val="none"/>
              </w:rPr>
            </w:pPr>
          </w:p>
        </w:tc>
      </w:tr>
      <w:tr w14:paraId="64E24FF1">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273D1CB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34</w:t>
            </w:r>
          </w:p>
        </w:tc>
        <w:tc>
          <w:tcPr>
            <w:tcW w:w="164" w:type="pct"/>
            <w:vMerge w:val="continue"/>
            <w:tcBorders>
              <w:tl2br w:val="nil"/>
              <w:tr2bl w:val="nil"/>
            </w:tcBorders>
            <w:shd w:val="clear" w:color="auto" w:fill="auto"/>
            <w:vAlign w:val="center"/>
          </w:tcPr>
          <w:p w14:paraId="7B9D1EF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3844F22">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322EBA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高处作业施工没有对作业人员进行安全教育和交底</w:t>
            </w:r>
          </w:p>
        </w:tc>
        <w:tc>
          <w:tcPr>
            <w:tcW w:w="386" w:type="pct"/>
            <w:tcBorders>
              <w:tl2br w:val="nil"/>
              <w:tr2bl w:val="nil"/>
            </w:tcBorders>
            <w:shd w:val="clear" w:color="auto" w:fill="auto"/>
            <w:vAlign w:val="center"/>
          </w:tcPr>
          <w:p w14:paraId="2B6A5D6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620604A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32E756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36E3075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20960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222" w:type="pct"/>
            <w:tcBorders>
              <w:tl2br w:val="nil"/>
              <w:tr2bl w:val="nil"/>
            </w:tcBorders>
            <w:shd w:val="clear" w:color="auto" w:fill="auto"/>
            <w:vAlign w:val="center"/>
          </w:tcPr>
          <w:p w14:paraId="2E9B139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CB85053">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094C725">
            <w:pPr>
              <w:spacing w:line="240" w:lineRule="auto"/>
              <w:jc w:val="left"/>
              <w:rPr>
                <w:rFonts w:hint="eastAsia" w:ascii="宋体" w:hAnsi="宋体" w:eastAsia="宋体" w:cs="宋体"/>
                <w:i w:val="0"/>
                <w:iCs w:val="0"/>
                <w:color w:val="000000"/>
                <w:sz w:val="18"/>
                <w:szCs w:val="18"/>
                <w:highlight w:val="none"/>
                <w:u w:val="none"/>
              </w:rPr>
            </w:pPr>
          </w:p>
        </w:tc>
      </w:tr>
      <w:tr w14:paraId="1B527A9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7BE00A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c>
          <w:tcPr>
            <w:tcW w:w="164" w:type="pct"/>
            <w:vMerge w:val="continue"/>
            <w:tcBorders>
              <w:tl2br w:val="nil"/>
              <w:tr2bl w:val="nil"/>
            </w:tcBorders>
            <w:shd w:val="clear" w:color="auto" w:fill="auto"/>
            <w:vAlign w:val="center"/>
          </w:tcPr>
          <w:p w14:paraId="0D3036D2">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C1D124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A0EFDD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高处作业施工前，没有检查高处作业的安全标志、防火设施、电气设施及设备</w:t>
            </w:r>
          </w:p>
        </w:tc>
        <w:tc>
          <w:tcPr>
            <w:tcW w:w="386" w:type="pct"/>
            <w:tcBorders>
              <w:tl2br w:val="nil"/>
              <w:tr2bl w:val="nil"/>
            </w:tcBorders>
            <w:shd w:val="clear" w:color="auto" w:fill="auto"/>
            <w:vAlign w:val="center"/>
          </w:tcPr>
          <w:p w14:paraId="0F1633D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7666A62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2269DC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3BF51E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2E6C5F8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2A293B0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E5F3F31">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B55A23D">
            <w:pPr>
              <w:spacing w:line="240" w:lineRule="auto"/>
              <w:jc w:val="left"/>
              <w:rPr>
                <w:rFonts w:hint="eastAsia" w:ascii="宋体" w:hAnsi="宋体" w:eastAsia="宋体" w:cs="宋体"/>
                <w:i w:val="0"/>
                <w:iCs w:val="0"/>
                <w:color w:val="000000"/>
                <w:sz w:val="18"/>
                <w:szCs w:val="18"/>
                <w:highlight w:val="none"/>
                <w:u w:val="none"/>
              </w:rPr>
            </w:pPr>
          </w:p>
        </w:tc>
      </w:tr>
      <w:tr w14:paraId="07F6513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4697A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164" w:type="pct"/>
            <w:vMerge w:val="continue"/>
            <w:tcBorders>
              <w:tl2br w:val="nil"/>
              <w:tr2bl w:val="nil"/>
            </w:tcBorders>
            <w:shd w:val="clear" w:color="auto" w:fill="auto"/>
            <w:vAlign w:val="center"/>
          </w:tcPr>
          <w:p w14:paraId="1EAB787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5F8C19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EF0EB1E">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高处作业人员没有按规定正确佩戴和使用高处作业安全防护用具</w:t>
            </w:r>
          </w:p>
        </w:tc>
        <w:tc>
          <w:tcPr>
            <w:tcW w:w="386" w:type="pct"/>
            <w:tcBorders>
              <w:tl2br w:val="nil"/>
              <w:tr2bl w:val="nil"/>
            </w:tcBorders>
            <w:shd w:val="clear" w:color="auto" w:fill="auto"/>
            <w:vAlign w:val="center"/>
          </w:tcPr>
          <w:p w14:paraId="6A7E8B0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5EB9867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E7C7C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1061BA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3E60161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0329144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001D76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C9B6807">
            <w:pPr>
              <w:spacing w:line="240" w:lineRule="auto"/>
              <w:jc w:val="left"/>
              <w:rPr>
                <w:rFonts w:hint="eastAsia" w:ascii="宋体" w:hAnsi="宋体" w:eastAsia="宋体" w:cs="宋体"/>
                <w:i w:val="0"/>
                <w:iCs w:val="0"/>
                <w:color w:val="000000"/>
                <w:sz w:val="18"/>
                <w:szCs w:val="18"/>
                <w:highlight w:val="none"/>
                <w:u w:val="none"/>
              </w:rPr>
            </w:pPr>
          </w:p>
        </w:tc>
      </w:tr>
      <w:tr w14:paraId="209A32F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37AAE0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37</w:t>
            </w:r>
          </w:p>
        </w:tc>
        <w:tc>
          <w:tcPr>
            <w:tcW w:w="164" w:type="pct"/>
            <w:vMerge w:val="continue"/>
            <w:tcBorders>
              <w:tl2br w:val="nil"/>
              <w:tr2bl w:val="nil"/>
            </w:tcBorders>
            <w:shd w:val="clear" w:color="auto" w:fill="auto"/>
            <w:vAlign w:val="center"/>
          </w:tcPr>
          <w:p w14:paraId="6D95F206">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53FAD4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65F6CAE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恶劣气候进行露天攀登与悬空高处作业</w:t>
            </w:r>
          </w:p>
        </w:tc>
        <w:tc>
          <w:tcPr>
            <w:tcW w:w="386" w:type="pct"/>
            <w:tcBorders>
              <w:tl2br w:val="nil"/>
              <w:tr2bl w:val="nil"/>
            </w:tcBorders>
            <w:shd w:val="clear" w:color="auto" w:fill="auto"/>
            <w:vAlign w:val="center"/>
          </w:tcPr>
          <w:p w14:paraId="74CC4F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102BAF0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3C06BC2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0FC4AE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6608115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222" w:type="pct"/>
            <w:tcBorders>
              <w:tl2br w:val="nil"/>
              <w:tr2bl w:val="nil"/>
            </w:tcBorders>
            <w:shd w:val="clear" w:color="auto" w:fill="auto"/>
            <w:vAlign w:val="center"/>
          </w:tcPr>
          <w:p w14:paraId="0AD3A1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7883179">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1A4B0FF">
            <w:pPr>
              <w:spacing w:line="240" w:lineRule="auto"/>
              <w:jc w:val="left"/>
              <w:rPr>
                <w:rFonts w:hint="eastAsia" w:ascii="宋体" w:hAnsi="宋体" w:eastAsia="宋体" w:cs="宋体"/>
                <w:i w:val="0"/>
                <w:iCs w:val="0"/>
                <w:color w:val="000000"/>
                <w:sz w:val="18"/>
                <w:szCs w:val="18"/>
                <w:highlight w:val="none"/>
                <w:u w:val="none"/>
              </w:rPr>
            </w:pPr>
          </w:p>
        </w:tc>
      </w:tr>
      <w:tr w14:paraId="777F999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761AD6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w:t>
            </w:r>
          </w:p>
        </w:tc>
        <w:tc>
          <w:tcPr>
            <w:tcW w:w="164" w:type="pct"/>
            <w:vMerge w:val="continue"/>
            <w:tcBorders>
              <w:tl2br w:val="nil"/>
              <w:tr2bl w:val="nil"/>
            </w:tcBorders>
            <w:shd w:val="clear" w:color="auto" w:fill="auto"/>
            <w:vAlign w:val="center"/>
          </w:tcPr>
          <w:p w14:paraId="11E2DF32">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7FE822B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悬空</w:t>
            </w:r>
          </w:p>
          <w:p w14:paraId="497E760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w:t>
            </w:r>
          </w:p>
        </w:tc>
        <w:tc>
          <w:tcPr>
            <w:tcW w:w="1907" w:type="pct"/>
            <w:tcBorders>
              <w:tl2br w:val="nil"/>
              <w:tr2bl w:val="nil"/>
            </w:tcBorders>
            <w:shd w:val="clear" w:color="auto" w:fill="auto"/>
            <w:vAlign w:val="center"/>
          </w:tcPr>
          <w:p w14:paraId="32F9BA8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悬空作业没有设牢固的立足点，没有配置登高和防坠落的设施</w:t>
            </w:r>
          </w:p>
        </w:tc>
        <w:tc>
          <w:tcPr>
            <w:tcW w:w="386" w:type="pct"/>
            <w:tcBorders>
              <w:tl2br w:val="nil"/>
              <w:tr2bl w:val="nil"/>
            </w:tcBorders>
            <w:shd w:val="clear" w:color="auto" w:fill="auto"/>
            <w:vAlign w:val="center"/>
          </w:tcPr>
          <w:p w14:paraId="465C3CB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084512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0C1D14B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5E8BBF5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016875F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222" w:type="pct"/>
            <w:tcBorders>
              <w:tl2br w:val="nil"/>
              <w:tr2bl w:val="nil"/>
            </w:tcBorders>
            <w:shd w:val="clear" w:color="auto" w:fill="auto"/>
            <w:vAlign w:val="center"/>
          </w:tcPr>
          <w:p w14:paraId="27C428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19F5A6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2B1086E">
            <w:pPr>
              <w:spacing w:line="240" w:lineRule="auto"/>
              <w:jc w:val="left"/>
              <w:rPr>
                <w:rFonts w:hint="eastAsia" w:ascii="宋体" w:hAnsi="宋体" w:eastAsia="宋体" w:cs="宋体"/>
                <w:i w:val="0"/>
                <w:iCs w:val="0"/>
                <w:color w:val="000000"/>
                <w:sz w:val="18"/>
                <w:szCs w:val="18"/>
                <w:highlight w:val="none"/>
                <w:u w:val="none"/>
              </w:rPr>
            </w:pPr>
          </w:p>
        </w:tc>
      </w:tr>
      <w:tr w14:paraId="182BBD2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3EB1B9D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39</w:t>
            </w:r>
          </w:p>
        </w:tc>
        <w:tc>
          <w:tcPr>
            <w:tcW w:w="164" w:type="pct"/>
            <w:vMerge w:val="continue"/>
            <w:tcBorders>
              <w:tl2br w:val="nil"/>
              <w:tr2bl w:val="nil"/>
            </w:tcBorders>
            <w:shd w:val="clear" w:color="auto" w:fill="auto"/>
            <w:vAlign w:val="center"/>
          </w:tcPr>
          <w:p w14:paraId="58919979">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1C3C0A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A5EA24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在高空安装大模板、吊装第一块预制构件或单独的大中型预制构件时，没有站在作业平台上操作</w:t>
            </w:r>
          </w:p>
        </w:tc>
        <w:tc>
          <w:tcPr>
            <w:tcW w:w="386" w:type="pct"/>
            <w:tcBorders>
              <w:tl2br w:val="nil"/>
              <w:tr2bl w:val="nil"/>
            </w:tcBorders>
            <w:shd w:val="clear" w:color="auto" w:fill="auto"/>
            <w:vAlign w:val="center"/>
          </w:tcPr>
          <w:p w14:paraId="389AAFF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4C9C844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3AAF4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62C1D34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6FA2A95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222" w:type="pct"/>
            <w:tcBorders>
              <w:tl2br w:val="nil"/>
              <w:tr2bl w:val="nil"/>
            </w:tcBorders>
            <w:shd w:val="clear" w:color="auto" w:fill="auto"/>
            <w:vAlign w:val="center"/>
          </w:tcPr>
          <w:p w14:paraId="08E4B4D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6E1756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3F4DDDE">
            <w:pPr>
              <w:spacing w:line="240" w:lineRule="auto"/>
              <w:jc w:val="left"/>
              <w:rPr>
                <w:rFonts w:hint="eastAsia" w:ascii="宋体" w:hAnsi="宋体" w:eastAsia="宋体" w:cs="宋体"/>
                <w:i w:val="0"/>
                <w:iCs w:val="0"/>
                <w:color w:val="000000"/>
                <w:sz w:val="18"/>
                <w:szCs w:val="18"/>
                <w:highlight w:val="none"/>
                <w:u w:val="none"/>
              </w:rPr>
            </w:pPr>
          </w:p>
        </w:tc>
      </w:tr>
      <w:tr w14:paraId="030B94F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0FF35C2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164" w:type="pct"/>
            <w:vMerge w:val="continue"/>
            <w:tcBorders>
              <w:tl2br w:val="nil"/>
              <w:tr2bl w:val="nil"/>
            </w:tcBorders>
            <w:shd w:val="clear" w:color="auto" w:fill="auto"/>
            <w:vAlign w:val="center"/>
          </w:tcPr>
          <w:p w14:paraId="34749F8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ACCE20E">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D9C9E8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在未固定、无防护的构件及安装中的管道上作业或通行</w:t>
            </w:r>
          </w:p>
        </w:tc>
        <w:tc>
          <w:tcPr>
            <w:tcW w:w="386" w:type="pct"/>
            <w:tcBorders>
              <w:tl2br w:val="nil"/>
              <w:tr2bl w:val="nil"/>
            </w:tcBorders>
            <w:shd w:val="clear" w:color="auto" w:fill="auto"/>
            <w:vAlign w:val="center"/>
          </w:tcPr>
          <w:p w14:paraId="4CE8142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100B311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9E8B56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7CC61B3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1D2001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222" w:type="pct"/>
            <w:tcBorders>
              <w:tl2br w:val="nil"/>
              <w:tr2bl w:val="nil"/>
            </w:tcBorders>
            <w:shd w:val="clear" w:color="auto" w:fill="auto"/>
            <w:vAlign w:val="center"/>
          </w:tcPr>
          <w:p w14:paraId="5F1B781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57DC907">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288039C">
            <w:pPr>
              <w:spacing w:line="240" w:lineRule="auto"/>
              <w:jc w:val="left"/>
              <w:rPr>
                <w:rFonts w:hint="eastAsia" w:ascii="宋体" w:hAnsi="宋体" w:eastAsia="宋体" w:cs="宋体"/>
                <w:i w:val="0"/>
                <w:iCs w:val="0"/>
                <w:color w:val="000000"/>
                <w:sz w:val="18"/>
                <w:szCs w:val="18"/>
                <w:highlight w:val="none"/>
                <w:u w:val="none"/>
              </w:rPr>
            </w:pPr>
          </w:p>
        </w:tc>
      </w:tr>
      <w:tr w14:paraId="58FB9D78">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0A827A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41</w:t>
            </w:r>
          </w:p>
        </w:tc>
        <w:tc>
          <w:tcPr>
            <w:tcW w:w="164" w:type="pct"/>
            <w:vMerge w:val="continue"/>
            <w:tcBorders>
              <w:tl2br w:val="nil"/>
              <w:tr2bl w:val="nil"/>
            </w:tcBorders>
            <w:shd w:val="clear" w:color="auto" w:fill="auto"/>
            <w:vAlign w:val="center"/>
          </w:tcPr>
          <w:p w14:paraId="6D6E12F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7ADB9F6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交叉</w:t>
            </w:r>
          </w:p>
          <w:p w14:paraId="0696EE7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w:t>
            </w:r>
          </w:p>
        </w:tc>
        <w:tc>
          <w:tcPr>
            <w:tcW w:w="1907" w:type="pct"/>
            <w:tcBorders>
              <w:tl2br w:val="nil"/>
              <w:tr2bl w:val="nil"/>
            </w:tcBorders>
            <w:shd w:val="clear" w:color="auto" w:fill="auto"/>
            <w:vAlign w:val="center"/>
          </w:tcPr>
          <w:p w14:paraId="42A6A96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交叉作业时，下层作业的位置没有处于上层作业的坠落半径之外当达不到规定时，没有设置安全防护棚、下方没有设置警戒隔离区</w:t>
            </w:r>
          </w:p>
        </w:tc>
        <w:tc>
          <w:tcPr>
            <w:tcW w:w="386" w:type="pct"/>
            <w:tcBorders>
              <w:tl2br w:val="nil"/>
              <w:tr2bl w:val="nil"/>
            </w:tcBorders>
            <w:shd w:val="clear" w:color="auto" w:fill="auto"/>
            <w:vAlign w:val="center"/>
          </w:tcPr>
          <w:p w14:paraId="421C4E3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171" w:type="pct"/>
            <w:tcBorders>
              <w:tl2br w:val="nil"/>
              <w:tr2bl w:val="nil"/>
            </w:tcBorders>
            <w:shd w:val="clear" w:color="auto" w:fill="auto"/>
            <w:vAlign w:val="center"/>
          </w:tcPr>
          <w:p w14:paraId="4FBB017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8A6C2D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E1EE4E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06B15AD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222" w:type="pct"/>
            <w:tcBorders>
              <w:tl2br w:val="nil"/>
              <w:tr2bl w:val="nil"/>
            </w:tcBorders>
            <w:shd w:val="clear" w:color="auto" w:fill="auto"/>
            <w:vAlign w:val="center"/>
          </w:tcPr>
          <w:p w14:paraId="29AE08C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5D2BBA82">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9CF198B">
            <w:pPr>
              <w:spacing w:line="240" w:lineRule="auto"/>
              <w:jc w:val="left"/>
              <w:rPr>
                <w:rFonts w:hint="eastAsia" w:ascii="宋体" w:hAnsi="宋体" w:eastAsia="宋体" w:cs="宋体"/>
                <w:i w:val="0"/>
                <w:iCs w:val="0"/>
                <w:color w:val="000000"/>
                <w:sz w:val="18"/>
                <w:szCs w:val="18"/>
                <w:highlight w:val="none"/>
                <w:u w:val="none"/>
              </w:rPr>
            </w:pPr>
          </w:p>
        </w:tc>
      </w:tr>
      <w:tr w14:paraId="488720E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D232E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164" w:type="pct"/>
            <w:vMerge w:val="continue"/>
            <w:tcBorders>
              <w:tl2br w:val="nil"/>
              <w:tr2bl w:val="nil"/>
            </w:tcBorders>
            <w:shd w:val="clear" w:color="auto" w:fill="auto"/>
            <w:vAlign w:val="center"/>
          </w:tcPr>
          <w:p w14:paraId="2A29E6B8">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74027E2">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4056E7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施工现场人员进出的通道口没有搭设防护棚</w:t>
            </w:r>
          </w:p>
        </w:tc>
        <w:tc>
          <w:tcPr>
            <w:tcW w:w="386" w:type="pct"/>
            <w:tcBorders>
              <w:tl2br w:val="nil"/>
              <w:tr2bl w:val="nil"/>
            </w:tcBorders>
            <w:shd w:val="clear" w:color="auto" w:fill="auto"/>
            <w:vAlign w:val="center"/>
          </w:tcPr>
          <w:p w14:paraId="1C8C5A9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171" w:type="pct"/>
            <w:tcBorders>
              <w:tl2br w:val="nil"/>
              <w:tr2bl w:val="nil"/>
            </w:tcBorders>
            <w:shd w:val="clear" w:color="auto" w:fill="auto"/>
            <w:vAlign w:val="center"/>
          </w:tcPr>
          <w:p w14:paraId="304821A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FDC2A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7E20F20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68B25F5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222" w:type="pct"/>
            <w:tcBorders>
              <w:tl2br w:val="nil"/>
              <w:tr2bl w:val="nil"/>
            </w:tcBorders>
            <w:shd w:val="clear" w:color="auto" w:fill="auto"/>
            <w:vAlign w:val="center"/>
          </w:tcPr>
          <w:p w14:paraId="17A8599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866631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4CF08B8">
            <w:pPr>
              <w:spacing w:line="240" w:lineRule="auto"/>
              <w:jc w:val="left"/>
              <w:rPr>
                <w:rFonts w:hint="eastAsia" w:ascii="宋体" w:hAnsi="宋体" w:eastAsia="宋体" w:cs="宋体"/>
                <w:i w:val="0"/>
                <w:iCs w:val="0"/>
                <w:color w:val="000000"/>
                <w:sz w:val="18"/>
                <w:szCs w:val="18"/>
                <w:highlight w:val="none"/>
                <w:u w:val="none"/>
              </w:rPr>
            </w:pPr>
          </w:p>
        </w:tc>
      </w:tr>
      <w:tr w14:paraId="2E1467B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5D0E94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43</w:t>
            </w:r>
          </w:p>
        </w:tc>
        <w:tc>
          <w:tcPr>
            <w:tcW w:w="164" w:type="pct"/>
            <w:vMerge w:val="continue"/>
            <w:tcBorders>
              <w:tl2br w:val="nil"/>
              <w:tr2bl w:val="nil"/>
            </w:tcBorders>
            <w:shd w:val="clear" w:color="auto" w:fill="auto"/>
            <w:vAlign w:val="center"/>
          </w:tcPr>
          <w:p w14:paraId="5E2FED5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0118E96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高处作业吊篮</w:t>
            </w:r>
          </w:p>
        </w:tc>
        <w:tc>
          <w:tcPr>
            <w:tcW w:w="1907" w:type="pct"/>
            <w:tcBorders>
              <w:tl2br w:val="nil"/>
              <w:tr2bl w:val="nil"/>
            </w:tcBorders>
            <w:shd w:val="clear" w:color="auto" w:fill="auto"/>
            <w:vAlign w:val="center"/>
          </w:tcPr>
          <w:p w14:paraId="2C927A9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吊篮的自制零部件未经检验合格就进行了装配</w:t>
            </w:r>
          </w:p>
        </w:tc>
        <w:tc>
          <w:tcPr>
            <w:tcW w:w="386" w:type="pct"/>
            <w:tcBorders>
              <w:tl2br w:val="nil"/>
              <w:tr2bl w:val="nil"/>
            </w:tcBorders>
            <w:shd w:val="clear" w:color="auto" w:fill="auto"/>
            <w:vAlign w:val="center"/>
          </w:tcPr>
          <w:p w14:paraId="302ED2D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64DC178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1C5DFE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6375B9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5D7DF7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222" w:type="pct"/>
            <w:tcBorders>
              <w:tl2br w:val="nil"/>
              <w:tr2bl w:val="nil"/>
            </w:tcBorders>
            <w:shd w:val="clear" w:color="auto" w:fill="auto"/>
            <w:vAlign w:val="center"/>
          </w:tcPr>
          <w:p w14:paraId="709B01E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95A36FD">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6DDB5FB">
            <w:pPr>
              <w:spacing w:line="240" w:lineRule="auto"/>
              <w:jc w:val="left"/>
              <w:rPr>
                <w:rFonts w:hint="eastAsia" w:ascii="宋体" w:hAnsi="宋体" w:eastAsia="宋体" w:cs="宋体"/>
                <w:i w:val="0"/>
                <w:iCs w:val="0"/>
                <w:color w:val="000000"/>
                <w:sz w:val="18"/>
                <w:szCs w:val="18"/>
                <w:highlight w:val="none"/>
                <w:u w:val="none"/>
              </w:rPr>
            </w:pPr>
          </w:p>
        </w:tc>
      </w:tr>
      <w:tr w14:paraId="68F4943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6632AC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44</w:t>
            </w:r>
          </w:p>
        </w:tc>
        <w:tc>
          <w:tcPr>
            <w:tcW w:w="164" w:type="pct"/>
            <w:vMerge w:val="continue"/>
            <w:tcBorders>
              <w:tl2br w:val="nil"/>
              <w:tr2bl w:val="nil"/>
            </w:tcBorders>
            <w:shd w:val="clear" w:color="auto" w:fill="auto"/>
            <w:vAlign w:val="center"/>
          </w:tcPr>
          <w:p w14:paraId="23F2185A">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63CB96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A3822A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没有对标准件、外购件、外协件进行检查验收</w:t>
            </w:r>
          </w:p>
        </w:tc>
        <w:tc>
          <w:tcPr>
            <w:tcW w:w="386" w:type="pct"/>
            <w:tcBorders>
              <w:tl2br w:val="nil"/>
              <w:tr2bl w:val="nil"/>
            </w:tcBorders>
            <w:shd w:val="clear" w:color="auto" w:fill="auto"/>
            <w:vAlign w:val="center"/>
          </w:tcPr>
          <w:p w14:paraId="5160242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6846E53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6BC87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5F4215B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0CFA31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222" w:type="pct"/>
            <w:tcBorders>
              <w:tl2br w:val="nil"/>
              <w:tr2bl w:val="nil"/>
            </w:tcBorders>
            <w:shd w:val="clear" w:color="auto" w:fill="auto"/>
            <w:vAlign w:val="center"/>
          </w:tcPr>
          <w:p w14:paraId="34A9756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0C3F037">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5CF5D8F">
            <w:pPr>
              <w:spacing w:line="240" w:lineRule="auto"/>
              <w:jc w:val="left"/>
              <w:rPr>
                <w:rFonts w:hint="eastAsia" w:ascii="宋体" w:hAnsi="宋体" w:eastAsia="宋体" w:cs="宋体"/>
                <w:i w:val="0"/>
                <w:iCs w:val="0"/>
                <w:color w:val="000000"/>
                <w:sz w:val="18"/>
                <w:szCs w:val="18"/>
                <w:highlight w:val="none"/>
                <w:u w:val="none"/>
              </w:rPr>
            </w:pPr>
          </w:p>
        </w:tc>
      </w:tr>
      <w:tr w14:paraId="2B1737D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54367B8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164" w:type="pct"/>
            <w:vMerge w:val="continue"/>
            <w:tcBorders>
              <w:tl2br w:val="nil"/>
              <w:tr2bl w:val="nil"/>
            </w:tcBorders>
            <w:shd w:val="clear" w:color="auto" w:fill="auto"/>
            <w:vAlign w:val="center"/>
          </w:tcPr>
          <w:p w14:paraId="425C100E">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10761E8">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C6829A4">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吊篮工作处阵风大于5级</w:t>
            </w:r>
          </w:p>
        </w:tc>
        <w:tc>
          <w:tcPr>
            <w:tcW w:w="386" w:type="pct"/>
            <w:tcBorders>
              <w:tl2br w:val="nil"/>
              <w:tr2bl w:val="nil"/>
            </w:tcBorders>
            <w:shd w:val="clear" w:color="auto" w:fill="auto"/>
            <w:vAlign w:val="center"/>
          </w:tcPr>
          <w:p w14:paraId="1D4DF7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61AC61B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3CBE8E5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2503D4F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783FF3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222" w:type="pct"/>
            <w:tcBorders>
              <w:tl2br w:val="nil"/>
              <w:tr2bl w:val="nil"/>
            </w:tcBorders>
            <w:shd w:val="clear" w:color="auto" w:fill="auto"/>
            <w:vAlign w:val="center"/>
          </w:tcPr>
          <w:p w14:paraId="22BBA5B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5E48E8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A9C1084">
            <w:pPr>
              <w:spacing w:line="240" w:lineRule="auto"/>
              <w:jc w:val="left"/>
              <w:rPr>
                <w:rFonts w:hint="eastAsia" w:ascii="宋体" w:hAnsi="宋体" w:eastAsia="宋体" w:cs="宋体"/>
                <w:i w:val="0"/>
                <w:iCs w:val="0"/>
                <w:color w:val="000000"/>
                <w:sz w:val="18"/>
                <w:szCs w:val="18"/>
                <w:highlight w:val="none"/>
                <w:u w:val="none"/>
              </w:rPr>
            </w:pPr>
          </w:p>
        </w:tc>
      </w:tr>
      <w:tr w14:paraId="18C8A94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3C77253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46</w:t>
            </w:r>
          </w:p>
        </w:tc>
        <w:tc>
          <w:tcPr>
            <w:tcW w:w="164" w:type="pct"/>
            <w:vMerge w:val="continue"/>
            <w:tcBorders>
              <w:tl2br w:val="nil"/>
              <w:tr2bl w:val="nil"/>
            </w:tcBorders>
            <w:shd w:val="clear" w:color="auto" w:fill="auto"/>
            <w:vAlign w:val="center"/>
          </w:tcPr>
          <w:p w14:paraId="508642C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DF418DD">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CD5521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吊篮的每个吊点没有设置2根钢丝绳，安全钢丝绳没有装安全锁或相同作用的独立安全装置</w:t>
            </w:r>
          </w:p>
        </w:tc>
        <w:tc>
          <w:tcPr>
            <w:tcW w:w="386" w:type="pct"/>
            <w:tcBorders>
              <w:tl2br w:val="nil"/>
              <w:tr2bl w:val="nil"/>
            </w:tcBorders>
            <w:shd w:val="clear" w:color="auto" w:fill="auto"/>
            <w:vAlign w:val="center"/>
          </w:tcPr>
          <w:p w14:paraId="4E53490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716F416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4EAEBA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735016A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0EA2914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64190EA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207ACBE">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22164E9">
            <w:pPr>
              <w:spacing w:line="240" w:lineRule="auto"/>
              <w:jc w:val="left"/>
              <w:rPr>
                <w:rFonts w:hint="eastAsia" w:ascii="宋体" w:hAnsi="宋体" w:eastAsia="宋体" w:cs="宋体"/>
                <w:i w:val="0"/>
                <w:iCs w:val="0"/>
                <w:color w:val="000000"/>
                <w:sz w:val="18"/>
                <w:szCs w:val="18"/>
                <w:highlight w:val="none"/>
                <w:u w:val="none"/>
              </w:rPr>
            </w:pPr>
          </w:p>
        </w:tc>
      </w:tr>
      <w:tr w14:paraId="7FA352B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78EDAB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47</w:t>
            </w:r>
          </w:p>
        </w:tc>
        <w:tc>
          <w:tcPr>
            <w:tcW w:w="164" w:type="pct"/>
            <w:vMerge w:val="continue"/>
            <w:tcBorders>
              <w:tl2br w:val="nil"/>
              <w:tr2bl w:val="nil"/>
            </w:tcBorders>
            <w:shd w:val="clear" w:color="auto" w:fill="auto"/>
            <w:vAlign w:val="center"/>
          </w:tcPr>
          <w:p w14:paraId="3DA4559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2485F1E">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396237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在正常工作时，安全钢丝绳不能顺利通过安全锁或相同作用的独立安全装置</w:t>
            </w:r>
          </w:p>
        </w:tc>
        <w:tc>
          <w:tcPr>
            <w:tcW w:w="386" w:type="pct"/>
            <w:tcBorders>
              <w:tl2br w:val="nil"/>
              <w:tr2bl w:val="nil"/>
            </w:tcBorders>
            <w:shd w:val="clear" w:color="auto" w:fill="auto"/>
            <w:vAlign w:val="center"/>
          </w:tcPr>
          <w:p w14:paraId="3BC5D56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47F82D3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D2C845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33010A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15FF6F8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222" w:type="pct"/>
            <w:tcBorders>
              <w:tl2br w:val="nil"/>
              <w:tr2bl w:val="nil"/>
            </w:tcBorders>
            <w:shd w:val="clear" w:color="auto" w:fill="auto"/>
            <w:vAlign w:val="center"/>
          </w:tcPr>
          <w:p w14:paraId="032955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D77A53D">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2A00227">
            <w:pPr>
              <w:spacing w:line="240" w:lineRule="auto"/>
              <w:jc w:val="left"/>
              <w:rPr>
                <w:rFonts w:hint="eastAsia" w:ascii="宋体" w:hAnsi="宋体" w:eastAsia="宋体" w:cs="宋体"/>
                <w:i w:val="0"/>
                <w:iCs w:val="0"/>
                <w:color w:val="000000"/>
                <w:sz w:val="18"/>
                <w:szCs w:val="18"/>
                <w:highlight w:val="none"/>
                <w:u w:val="none"/>
              </w:rPr>
            </w:pPr>
          </w:p>
        </w:tc>
      </w:tr>
      <w:tr w14:paraId="506CB6A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4B52230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48</w:t>
            </w:r>
          </w:p>
        </w:tc>
        <w:tc>
          <w:tcPr>
            <w:tcW w:w="164" w:type="pct"/>
            <w:vMerge w:val="continue"/>
            <w:tcBorders>
              <w:tl2br w:val="nil"/>
              <w:tr2bl w:val="nil"/>
            </w:tcBorders>
            <w:shd w:val="clear" w:color="auto" w:fill="auto"/>
            <w:vAlign w:val="center"/>
          </w:tcPr>
          <w:p w14:paraId="198B48A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1A43466">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0F125D4">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吊篮上的操作人员未配置独立于悬吊平台的安全绳及安全带或其它安全装置，未严格遵守操作规程</w:t>
            </w:r>
          </w:p>
        </w:tc>
        <w:tc>
          <w:tcPr>
            <w:tcW w:w="386" w:type="pct"/>
            <w:tcBorders>
              <w:tl2br w:val="nil"/>
              <w:tr2bl w:val="nil"/>
            </w:tcBorders>
            <w:shd w:val="clear" w:color="auto" w:fill="auto"/>
            <w:vAlign w:val="center"/>
          </w:tcPr>
          <w:p w14:paraId="024A86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16AA467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32A927D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354D61E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E6BA2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0AF6CA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FAB460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871BB61">
            <w:pPr>
              <w:spacing w:line="240" w:lineRule="auto"/>
              <w:jc w:val="left"/>
              <w:rPr>
                <w:rFonts w:hint="eastAsia" w:ascii="宋体" w:hAnsi="宋体" w:eastAsia="宋体" w:cs="宋体"/>
                <w:i w:val="0"/>
                <w:iCs w:val="0"/>
                <w:color w:val="000000"/>
                <w:sz w:val="18"/>
                <w:szCs w:val="18"/>
                <w:highlight w:val="none"/>
                <w:u w:val="none"/>
              </w:rPr>
            </w:pPr>
          </w:p>
        </w:tc>
      </w:tr>
      <w:tr w14:paraId="14081EA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A44AD5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49</w:t>
            </w:r>
          </w:p>
        </w:tc>
        <w:tc>
          <w:tcPr>
            <w:tcW w:w="164" w:type="pct"/>
            <w:vMerge w:val="continue"/>
            <w:tcBorders>
              <w:tl2br w:val="nil"/>
              <w:tr2bl w:val="nil"/>
            </w:tcBorders>
            <w:shd w:val="clear" w:color="auto" w:fill="auto"/>
            <w:vAlign w:val="center"/>
          </w:tcPr>
          <w:p w14:paraId="3AA2BB25">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20063A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70D26B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吊篮在正常工作时，使用安全锁进行制动</w:t>
            </w:r>
          </w:p>
        </w:tc>
        <w:tc>
          <w:tcPr>
            <w:tcW w:w="386" w:type="pct"/>
            <w:tcBorders>
              <w:tl2br w:val="nil"/>
              <w:tr2bl w:val="nil"/>
            </w:tcBorders>
            <w:shd w:val="clear" w:color="auto" w:fill="auto"/>
            <w:vAlign w:val="center"/>
          </w:tcPr>
          <w:p w14:paraId="0904CCC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545991A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CCADB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3304FF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68F8B3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w:t>
            </w:r>
          </w:p>
        </w:tc>
        <w:tc>
          <w:tcPr>
            <w:tcW w:w="222" w:type="pct"/>
            <w:tcBorders>
              <w:tl2br w:val="nil"/>
              <w:tr2bl w:val="nil"/>
            </w:tcBorders>
            <w:shd w:val="clear" w:color="auto" w:fill="auto"/>
            <w:vAlign w:val="center"/>
          </w:tcPr>
          <w:p w14:paraId="6CBE81D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61CA18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2549E2C4">
            <w:pPr>
              <w:spacing w:line="240" w:lineRule="auto"/>
              <w:jc w:val="left"/>
              <w:rPr>
                <w:rFonts w:hint="eastAsia" w:ascii="宋体" w:hAnsi="宋体" w:eastAsia="宋体" w:cs="宋体"/>
                <w:i w:val="0"/>
                <w:iCs w:val="0"/>
                <w:color w:val="000000"/>
                <w:sz w:val="18"/>
                <w:szCs w:val="18"/>
                <w:highlight w:val="none"/>
                <w:u w:val="none"/>
              </w:rPr>
            </w:pPr>
          </w:p>
        </w:tc>
      </w:tr>
      <w:tr w14:paraId="3EE80A7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7021AE7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w:t>
            </w:r>
          </w:p>
        </w:tc>
        <w:tc>
          <w:tcPr>
            <w:tcW w:w="164" w:type="pct"/>
            <w:vMerge w:val="continue"/>
            <w:tcBorders>
              <w:tl2br w:val="nil"/>
              <w:tr2bl w:val="nil"/>
            </w:tcBorders>
            <w:shd w:val="clear" w:color="auto" w:fill="auto"/>
            <w:vAlign w:val="center"/>
          </w:tcPr>
          <w:p w14:paraId="077A65CB">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BAA8972">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F6ADE2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利用吊篮进行电焊作业时，用吊篮做电焊接线回路；或者吊篮内放置氧气瓶、乙炔瓶等易燃易爆品</w:t>
            </w:r>
          </w:p>
        </w:tc>
        <w:tc>
          <w:tcPr>
            <w:tcW w:w="386" w:type="pct"/>
            <w:tcBorders>
              <w:tl2br w:val="nil"/>
              <w:tr2bl w:val="nil"/>
            </w:tcBorders>
            <w:shd w:val="clear" w:color="auto" w:fill="auto"/>
            <w:vAlign w:val="center"/>
          </w:tcPr>
          <w:p w14:paraId="571CD46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6EE7D45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804449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7BAEC79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DCF642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222" w:type="pct"/>
            <w:tcBorders>
              <w:tl2br w:val="nil"/>
              <w:tr2bl w:val="nil"/>
            </w:tcBorders>
            <w:shd w:val="clear" w:color="auto" w:fill="auto"/>
            <w:vAlign w:val="center"/>
          </w:tcPr>
          <w:p w14:paraId="6985A5F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42A02F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231C0EC">
            <w:pPr>
              <w:spacing w:line="240" w:lineRule="auto"/>
              <w:jc w:val="left"/>
              <w:rPr>
                <w:rFonts w:hint="eastAsia" w:ascii="宋体" w:hAnsi="宋体" w:eastAsia="宋体" w:cs="宋体"/>
                <w:i w:val="0"/>
                <w:iCs w:val="0"/>
                <w:color w:val="000000"/>
                <w:sz w:val="18"/>
                <w:szCs w:val="18"/>
                <w:highlight w:val="none"/>
                <w:u w:val="none"/>
              </w:rPr>
            </w:pPr>
          </w:p>
        </w:tc>
      </w:tr>
      <w:tr w14:paraId="4328669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C35F02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51</w:t>
            </w:r>
          </w:p>
        </w:tc>
        <w:tc>
          <w:tcPr>
            <w:tcW w:w="164" w:type="pct"/>
            <w:vMerge w:val="restart"/>
            <w:tcBorders>
              <w:tl2br w:val="nil"/>
              <w:tr2bl w:val="nil"/>
            </w:tcBorders>
            <w:shd w:val="clear" w:color="auto" w:fill="auto"/>
            <w:vAlign w:val="center"/>
          </w:tcPr>
          <w:p w14:paraId="6C0CF35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临时用电</w:t>
            </w:r>
          </w:p>
        </w:tc>
        <w:tc>
          <w:tcPr>
            <w:tcW w:w="242" w:type="pct"/>
            <w:vMerge w:val="restart"/>
            <w:tcBorders>
              <w:tl2br w:val="nil"/>
              <w:tr2bl w:val="nil"/>
            </w:tcBorders>
            <w:shd w:val="clear" w:color="auto" w:fill="auto"/>
            <w:vAlign w:val="center"/>
          </w:tcPr>
          <w:p w14:paraId="6863F39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接地和防雷</w:t>
            </w:r>
          </w:p>
        </w:tc>
        <w:tc>
          <w:tcPr>
            <w:tcW w:w="1907" w:type="pct"/>
            <w:tcBorders>
              <w:tl2br w:val="nil"/>
              <w:tr2bl w:val="nil"/>
            </w:tcBorders>
            <w:shd w:val="clear" w:color="auto" w:fill="auto"/>
            <w:vAlign w:val="center"/>
          </w:tcPr>
          <w:p w14:paraId="0581D1A2">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施工现场的临时用电电力系统存在利用大地做相线或零线的现象</w:t>
            </w:r>
          </w:p>
        </w:tc>
        <w:tc>
          <w:tcPr>
            <w:tcW w:w="386" w:type="pct"/>
            <w:tcBorders>
              <w:tl2br w:val="nil"/>
              <w:tr2bl w:val="nil"/>
            </w:tcBorders>
            <w:shd w:val="clear" w:color="auto" w:fill="auto"/>
            <w:vAlign w:val="center"/>
          </w:tcPr>
          <w:p w14:paraId="2A5C24D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585A9F8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88E8F3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4548B2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1580D30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222" w:type="pct"/>
            <w:tcBorders>
              <w:tl2br w:val="nil"/>
              <w:tr2bl w:val="nil"/>
            </w:tcBorders>
            <w:shd w:val="clear" w:color="auto" w:fill="auto"/>
            <w:vAlign w:val="center"/>
          </w:tcPr>
          <w:p w14:paraId="04F85F8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55C31A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B3A1F6A">
            <w:pPr>
              <w:spacing w:line="240" w:lineRule="auto"/>
              <w:jc w:val="left"/>
              <w:rPr>
                <w:rFonts w:hint="eastAsia" w:ascii="宋体" w:hAnsi="宋体" w:eastAsia="宋体" w:cs="宋体"/>
                <w:i w:val="0"/>
                <w:iCs w:val="0"/>
                <w:color w:val="000000"/>
                <w:sz w:val="18"/>
                <w:szCs w:val="18"/>
                <w:highlight w:val="none"/>
                <w:u w:val="none"/>
              </w:rPr>
            </w:pPr>
          </w:p>
        </w:tc>
      </w:tr>
      <w:tr w14:paraId="3AC6613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2804681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52</w:t>
            </w:r>
          </w:p>
        </w:tc>
        <w:tc>
          <w:tcPr>
            <w:tcW w:w="164" w:type="pct"/>
            <w:vMerge w:val="continue"/>
            <w:tcBorders>
              <w:tl2br w:val="nil"/>
              <w:tr2bl w:val="nil"/>
            </w:tcBorders>
            <w:shd w:val="clear" w:color="auto" w:fill="auto"/>
            <w:vAlign w:val="center"/>
          </w:tcPr>
          <w:p w14:paraId="1B49DD97">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D7D180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189640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保护零线没有采用绝缘导线</w:t>
            </w:r>
          </w:p>
        </w:tc>
        <w:tc>
          <w:tcPr>
            <w:tcW w:w="386" w:type="pct"/>
            <w:tcBorders>
              <w:tl2br w:val="nil"/>
              <w:tr2bl w:val="nil"/>
            </w:tcBorders>
            <w:shd w:val="clear" w:color="auto" w:fill="auto"/>
            <w:vAlign w:val="center"/>
          </w:tcPr>
          <w:p w14:paraId="65B4947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4325C47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BC2674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7E326AD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5962B0C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222" w:type="pct"/>
            <w:tcBorders>
              <w:tl2br w:val="nil"/>
              <w:tr2bl w:val="nil"/>
            </w:tcBorders>
            <w:shd w:val="clear" w:color="auto" w:fill="auto"/>
            <w:vAlign w:val="center"/>
          </w:tcPr>
          <w:p w14:paraId="68B8B0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07F459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09714D8">
            <w:pPr>
              <w:spacing w:line="240" w:lineRule="auto"/>
              <w:jc w:val="left"/>
              <w:rPr>
                <w:rFonts w:hint="eastAsia" w:ascii="宋体" w:hAnsi="宋体" w:eastAsia="宋体" w:cs="宋体"/>
                <w:i w:val="0"/>
                <w:iCs w:val="0"/>
                <w:color w:val="000000"/>
                <w:sz w:val="18"/>
                <w:szCs w:val="18"/>
                <w:highlight w:val="none"/>
                <w:u w:val="none"/>
              </w:rPr>
            </w:pPr>
          </w:p>
        </w:tc>
      </w:tr>
      <w:tr w14:paraId="245AC68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6D1F95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53</w:t>
            </w:r>
          </w:p>
        </w:tc>
        <w:tc>
          <w:tcPr>
            <w:tcW w:w="164" w:type="pct"/>
            <w:vMerge w:val="continue"/>
            <w:tcBorders>
              <w:tl2br w:val="nil"/>
              <w:tr2bl w:val="nil"/>
            </w:tcBorders>
            <w:shd w:val="clear" w:color="auto" w:fill="auto"/>
            <w:vAlign w:val="center"/>
          </w:tcPr>
          <w:p w14:paraId="0A1A634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329349D3">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电缆</w:t>
            </w:r>
          </w:p>
          <w:p w14:paraId="5D8C66A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线路</w:t>
            </w:r>
          </w:p>
        </w:tc>
        <w:tc>
          <w:tcPr>
            <w:tcW w:w="1907" w:type="pct"/>
            <w:tcBorders>
              <w:tl2br w:val="nil"/>
              <w:tr2bl w:val="nil"/>
            </w:tcBorders>
            <w:shd w:val="clear" w:color="auto" w:fill="auto"/>
            <w:vAlign w:val="center"/>
          </w:tcPr>
          <w:p w14:paraId="6A513E7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电缆线路未采用埋地或架空敷设，或未采取避免机械损伤和介质腐蚀的措施</w:t>
            </w:r>
          </w:p>
        </w:tc>
        <w:tc>
          <w:tcPr>
            <w:tcW w:w="386" w:type="pct"/>
            <w:tcBorders>
              <w:tl2br w:val="nil"/>
              <w:tr2bl w:val="nil"/>
            </w:tcBorders>
            <w:shd w:val="clear" w:color="auto" w:fill="auto"/>
            <w:vAlign w:val="center"/>
          </w:tcPr>
          <w:p w14:paraId="09737F6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230E948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16CBA1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EE742E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0917E7C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5B0B5EB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A55BE1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9286333">
            <w:pPr>
              <w:spacing w:line="240" w:lineRule="auto"/>
              <w:jc w:val="left"/>
              <w:rPr>
                <w:rFonts w:hint="eastAsia" w:ascii="宋体" w:hAnsi="宋体" w:eastAsia="宋体" w:cs="宋体"/>
                <w:i w:val="0"/>
                <w:iCs w:val="0"/>
                <w:color w:val="000000"/>
                <w:sz w:val="18"/>
                <w:szCs w:val="18"/>
                <w:highlight w:val="none"/>
                <w:u w:val="none"/>
              </w:rPr>
            </w:pPr>
          </w:p>
        </w:tc>
      </w:tr>
      <w:tr w14:paraId="5873CFC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BD5D95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164" w:type="pct"/>
            <w:vMerge w:val="continue"/>
            <w:tcBorders>
              <w:tl2br w:val="nil"/>
              <w:tr2bl w:val="nil"/>
            </w:tcBorders>
            <w:shd w:val="clear" w:color="auto" w:fill="auto"/>
            <w:vAlign w:val="center"/>
          </w:tcPr>
          <w:p w14:paraId="05D79032">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66C64EC">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14D0660">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室内配线没有短路保护和过载保护</w:t>
            </w:r>
          </w:p>
        </w:tc>
        <w:tc>
          <w:tcPr>
            <w:tcW w:w="386" w:type="pct"/>
            <w:tcBorders>
              <w:tl2br w:val="nil"/>
              <w:tr2bl w:val="nil"/>
            </w:tcBorders>
            <w:shd w:val="clear" w:color="auto" w:fill="auto"/>
            <w:vAlign w:val="center"/>
          </w:tcPr>
          <w:p w14:paraId="62C700D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3D58D6F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8C06C9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D7585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0DF9A23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33B133E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547EF2D">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2A212DE">
            <w:pPr>
              <w:spacing w:line="240" w:lineRule="auto"/>
              <w:jc w:val="left"/>
              <w:rPr>
                <w:rFonts w:hint="eastAsia" w:ascii="宋体" w:hAnsi="宋体" w:eastAsia="宋体" w:cs="宋体"/>
                <w:i w:val="0"/>
                <w:iCs w:val="0"/>
                <w:color w:val="000000"/>
                <w:sz w:val="18"/>
                <w:szCs w:val="18"/>
                <w:highlight w:val="none"/>
                <w:u w:val="none"/>
              </w:rPr>
            </w:pPr>
          </w:p>
        </w:tc>
      </w:tr>
      <w:tr w14:paraId="4B865CD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7589CB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w:t>
            </w:r>
          </w:p>
        </w:tc>
        <w:tc>
          <w:tcPr>
            <w:tcW w:w="164" w:type="pct"/>
            <w:vMerge w:val="continue"/>
            <w:tcBorders>
              <w:tl2br w:val="nil"/>
              <w:tr2bl w:val="nil"/>
            </w:tcBorders>
            <w:shd w:val="clear" w:color="auto" w:fill="auto"/>
            <w:vAlign w:val="center"/>
          </w:tcPr>
          <w:p w14:paraId="01EACDC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30FAD02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照明</w:t>
            </w:r>
          </w:p>
        </w:tc>
        <w:tc>
          <w:tcPr>
            <w:tcW w:w="1907" w:type="pct"/>
            <w:tcBorders>
              <w:tl2br w:val="nil"/>
              <w:tr2bl w:val="nil"/>
            </w:tcBorders>
            <w:shd w:val="clear" w:color="auto" w:fill="auto"/>
            <w:vAlign w:val="center"/>
          </w:tcPr>
          <w:p w14:paraId="6CDBB29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有爆炸和火灾危险的场所，没有按危险场所等级选用防爆型照明器</w:t>
            </w:r>
          </w:p>
        </w:tc>
        <w:tc>
          <w:tcPr>
            <w:tcW w:w="386" w:type="pct"/>
            <w:tcBorders>
              <w:tl2br w:val="nil"/>
              <w:tr2bl w:val="nil"/>
            </w:tcBorders>
            <w:shd w:val="clear" w:color="auto" w:fill="auto"/>
            <w:vAlign w:val="center"/>
          </w:tcPr>
          <w:p w14:paraId="4B98038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爆炸</w:t>
            </w:r>
          </w:p>
        </w:tc>
        <w:tc>
          <w:tcPr>
            <w:tcW w:w="171" w:type="pct"/>
            <w:tcBorders>
              <w:tl2br w:val="nil"/>
              <w:tr2bl w:val="nil"/>
            </w:tcBorders>
            <w:shd w:val="clear" w:color="auto" w:fill="auto"/>
            <w:vAlign w:val="center"/>
          </w:tcPr>
          <w:p w14:paraId="354DF3E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4EE1287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2C7477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750713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174812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546588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7858461">
            <w:pPr>
              <w:spacing w:line="240" w:lineRule="auto"/>
              <w:jc w:val="left"/>
              <w:rPr>
                <w:rFonts w:hint="eastAsia" w:ascii="宋体" w:hAnsi="宋体" w:eastAsia="宋体" w:cs="宋体"/>
                <w:i w:val="0"/>
                <w:iCs w:val="0"/>
                <w:color w:val="000000"/>
                <w:sz w:val="18"/>
                <w:szCs w:val="18"/>
                <w:highlight w:val="none"/>
                <w:u w:val="none"/>
              </w:rPr>
            </w:pPr>
          </w:p>
        </w:tc>
      </w:tr>
      <w:tr w14:paraId="767095D5">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46EF669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56</w:t>
            </w:r>
          </w:p>
        </w:tc>
        <w:tc>
          <w:tcPr>
            <w:tcW w:w="164" w:type="pct"/>
            <w:vMerge w:val="continue"/>
            <w:tcBorders>
              <w:tl2br w:val="nil"/>
              <w:tr2bl w:val="nil"/>
            </w:tcBorders>
            <w:shd w:val="clear" w:color="auto" w:fill="auto"/>
            <w:vAlign w:val="center"/>
          </w:tcPr>
          <w:p w14:paraId="5781D66F">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2728998">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1DD558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隧道、高温、有导电灰尘、比较潮湿或灯具离地面高度低于m等场所的照明，电源电压大于36V</w:t>
            </w:r>
          </w:p>
        </w:tc>
        <w:tc>
          <w:tcPr>
            <w:tcW w:w="386" w:type="pct"/>
            <w:tcBorders>
              <w:tl2br w:val="nil"/>
              <w:tr2bl w:val="nil"/>
            </w:tcBorders>
            <w:shd w:val="clear" w:color="auto" w:fill="auto"/>
            <w:vAlign w:val="center"/>
          </w:tcPr>
          <w:p w14:paraId="5C677C5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2216714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0EBF596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CBDF85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34B88B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744176A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936FE8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FC48D57">
            <w:pPr>
              <w:spacing w:line="240" w:lineRule="auto"/>
              <w:jc w:val="left"/>
              <w:rPr>
                <w:rFonts w:hint="eastAsia" w:ascii="宋体" w:hAnsi="宋体" w:eastAsia="宋体" w:cs="宋体"/>
                <w:i w:val="0"/>
                <w:iCs w:val="0"/>
                <w:color w:val="000000"/>
                <w:sz w:val="18"/>
                <w:szCs w:val="18"/>
                <w:highlight w:val="none"/>
                <w:u w:val="none"/>
              </w:rPr>
            </w:pPr>
          </w:p>
        </w:tc>
      </w:tr>
      <w:tr w14:paraId="5EEFCD7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952441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57</w:t>
            </w:r>
          </w:p>
        </w:tc>
        <w:tc>
          <w:tcPr>
            <w:tcW w:w="164" w:type="pct"/>
            <w:vMerge w:val="continue"/>
            <w:tcBorders>
              <w:tl2br w:val="nil"/>
              <w:tr2bl w:val="nil"/>
            </w:tcBorders>
            <w:shd w:val="clear" w:color="auto" w:fill="auto"/>
            <w:vAlign w:val="center"/>
          </w:tcPr>
          <w:p w14:paraId="5EBE380B">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523DAE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BAFBB35">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潮湿和易触及带电体场所的照明，电源电压大于24V</w:t>
            </w:r>
          </w:p>
        </w:tc>
        <w:tc>
          <w:tcPr>
            <w:tcW w:w="386" w:type="pct"/>
            <w:tcBorders>
              <w:tl2br w:val="nil"/>
              <w:tr2bl w:val="nil"/>
            </w:tcBorders>
            <w:shd w:val="clear" w:color="auto" w:fill="auto"/>
            <w:vAlign w:val="center"/>
          </w:tcPr>
          <w:p w14:paraId="40E2B4A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6D67180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F37107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33A0A60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41DBDD4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73E353E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06CE31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20D36DC">
            <w:pPr>
              <w:spacing w:line="240" w:lineRule="auto"/>
              <w:jc w:val="left"/>
              <w:rPr>
                <w:rFonts w:hint="eastAsia" w:ascii="宋体" w:hAnsi="宋体" w:eastAsia="宋体" w:cs="宋体"/>
                <w:i w:val="0"/>
                <w:iCs w:val="0"/>
                <w:color w:val="000000"/>
                <w:sz w:val="18"/>
                <w:szCs w:val="18"/>
                <w:highlight w:val="none"/>
                <w:u w:val="none"/>
              </w:rPr>
            </w:pPr>
          </w:p>
        </w:tc>
      </w:tr>
      <w:tr w14:paraId="2353A2C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5332112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58</w:t>
            </w:r>
          </w:p>
        </w:tc>
        <w:tc>
          <w:tcPr>
            <w:tcW w:w="164" w:type="pct"/>
            <w:vMerge w:val="continue"/>
            <w:tcBorders>
              <w:tl2br w:val="nil"/>
              <w:tr2bl w:val="nil"/>
            </w:tcBorders>
            <w:shd w:val="clear" w:color="auto" w:fill="auto"/>
            <w:vAlign w:val="center"/>
          </w:tcPr>
          <w:p w14:paraId="6368B5EB">
            <w:pPr>
              <w:spacing w:line="240" w:lineRule="auto"/>
              <w:jc w:val="center"/>
              <w:rPr>
                <w:rFonts w:hint="eastAsia" w:ascii="宋体" w:hAnsi="宋体" w:eastAsia="宋体" w:cs="宋体"/>
                <w:i w:val="0"/>
                <w:iCs w:val="0"/>
                <w:color w:val="000000"/>
                <w:sz w:val="18"/>
                <w:szCs w:val="18"/>
                <w:highlight w:val="none"/>
                <w:u w:val="none"/>
              </w:rPr>
            </w:pPr>
          </w:p>
        </w:tc>
        <w:tc>
          <w:tcPr>
            <w:tcW w:w="242" w:type="pct"/>
            <w:tcBorders>
              <w:tl2br w:val="nil"/>
              <w:tr2bl w:val="nil"/>
            </w:tcBorders>
            <w:shd w:val="clear" w:color="auto" w:fill="auto"/>
            <w:vAlign w:val="center"/>
          </w:tcPr>
          <w:p w14:paraId="7313C49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防雨</w:t>
            </w:r>
          </w:p>
        </w:tc>
        <w:tc>
          <w:tcPr>
            <w:tcW w:w="1907" w:type="pct"/>
            <w:tcBorders>
              <w:tl2br w:val="nil"/>
              <w:tr2bl w:val="nil"/>
            </w:tcBorders>
            <w:shd w:val="clear" w:color="auto" w:fill="auto"/>
            <w:vAlign w:val="center"/>
          </w:tcPr>
          <w:p w14:paraId="5665207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户外安装使用的电气设备不具备良好的防雨性能</w:t>
            </w:r>
          </w:p>
        </w:tc>
        <w:tc>
          <w:tcPr>
            <w:tcW w:w="386" w:type="pct"/>
            <w:tcBorders>
              <w:tl2br w:val="nil"/>
              <w:tr2bl w:val="nil"/>
            </w:tcBorders>
            <w:shd w:val="clear" w:color="auto" w:fill="auto"/>
            <w:vAlign w:val="center"/>
          </w:tcPr>
          <w:p w14:paraId="57E535D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14CF118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8F395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B80F11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100EED9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7E6419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8F7E35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8564CAC">
            <w:pPr>
              <w:spacing w:line="240" w:lineRule="auto"/>
              <w:jc w:val="left"/>
              <w:rPr>
                <w:rFonts w:hint="eastAsia" w:ascii="宋体" w:hAnsi="宋体" w:eastAsia="宋体" w:cs="宋体"/>
                <w:i w:val="0"/>
                <w:iCs w:val="0"/>
                <w:color w:val="000000"/>
                <w:sz w:val="18"/>
                <w:szCs w:val="18"/>
                <w:highlight w:val="none"/>
                <w:u w:val="none"/>
              </w:rPr>
            </w:pPr>
          </w:p>
        </w:tc>
      </w:tr>
      <w:tr w14:paraId="06614CC1">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4BCA32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59</w:t>
            </w:r>
          </w:p>
        </w:tc>
        <w:tc>
          <w:tcPr>
            <w:tcW w:w="164" w:type="pct"/>
            <w:vMerge w:val="continue"/>
            <w:tcBorders>
              <w:tl2br w:val="nil"/>
              <w:tr2bl w:val="nil"/>
            </w:tcBorders>
            <w:shd w:val="clear" w:color="auto" w:fill="auto"/>
            <w:vAlign w:val="center"/>
          </w:tcPr>
          <w:p w14:paraId="21FB9E6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17E399BD">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潮湿</w:t>
            </w:r>
          </w:p>
          <w:p w14:paraId="3297808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环境</w:t>
            </w:r>
          </w:p>
        </w:tc>
        <w:tc>
          <w:tcPr>
            <w:tcW w:w="1907" w:type="pct"/>
            <w:tcBorders>
              <w:tl2br w:val="nil"/>
              <w:tr2bl w:val="nil"/>
            </w:tcBorders>
            <w:shd w:val="clear" w:color="auto" w:fill="auto"/>
            <w:vAlign w:val="center"/>
          </w:tcPr>
          <w:p w14:paraId="69AB435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在潮湿环境中使用电气设备时，操作人员没有按规定穿戴绝缘防护用品和站在绝缘台上</w:t>
            </w:r>
          </w:p>
        </w:tc>
        <w:tc>
          <w:tcPr>
            <w:tcW w:w="386" w:type="pct"/>
            <w:tcBorders>
              <w:tl2br w:val="nil"/>
              <w:tr2bl w:val="nil"/>
            </w:tcBorders>
            <w:shd w:val="clear" w:color="auto" w:fill="auto"/>
            <w:vAlign w:val="center"/>
          </w:tcPr>
          <w:p w14:paraId="57FE734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731AE9B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6D7152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7F8539F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5CE7F81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27A6AC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3F8A80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C169A86">
            <w:pPr>
              <w:spacing w:line="240" w:lineRule="auto"/>
              <w:jc w:val="left"/>
              <w:rPr>
                <w:rFonts w:hint="eastAsia" w:ascii="宋体" w:hAnsi="宋体" w:eastAsia="宋体" w:cs="宋体"/>
                <w:i w:val="0"/>
                <w:iCs w:val="0"/>
                <w:color w:val="000000"/>
                <w:sz w:val="18"/>
                <w:szCs w:val="18"/>
                <w:highlight w:val="none"/>
                <w:u w:val="none"/>
              </w:rPr>
            </w:pPr>
          </w:p>
        </w:tc>
      </w:tr>
      <w:tr w14:paraId="23E928A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1E036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c>
          <w:tcPr>
            <w:tcW w:w="164" w:type="pct"/>
            <w:vMerge w:val="continue"/>
            <w:tcBorders>
              <w:tl2br w:val="nil"/>
              <w:tr2bl w:val="nil"/>
            </w:tcBorders>
            <w:shd w:val="clear" w:color="auto" w:fill="auto"/>
            <w:vAlign w:val="center"/>
          </w:tcPr>
          <w:p w14:paraId="4FD8DDD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934C2F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712793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设备的金属外壳、环境中的金属构架和管道没有良好接地</w:t>
            </w:r>
          </w:p>
        </w:tc>
        <w:tc>
          <w:tcPr>
            <w:tcW w:w="386" w:type="pct"/>
            <w:tcBorders>
              <w:tl2br w:val="nil"/>
              <w:tr2bl w:val="nil"/>
            </w:tcBorders>
            <w:shd w:val="clear" w:color="auto" w:fill="auto"/>
            <w:vAlign w:val="center"/>
          </w:tcPr>
          <w:p w14:paraId="5767D3D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171122A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EC8D78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6F6DC1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27B8E7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3632CDB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F7A7DB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65F887A">
            <w:pPr>
              <w:spacing w:line="240" w:lineRule="auto"/>
              <w:jc w:val="left"/>
              <w:rPr>
                <w:rFonts w:hint="eastAsia" w:ascii="宋体" w:hAnsi="宋体" w:eastAsia="宋体" w:cs="宋体"/>
                <w:i w:val="0"/>
                <w:iCs w:val="0"/>
                <w:color w:val="000000"/>
                <w:sz w:val="18"/>
                <w:szCs w:val="18"/>
                <w:highlight w:val="none"/>
                <w:u w:val="none"/>
              </w:rPr>
            </w:pPr>
          </w:p>
        </w:tc>
      </w:tr>
      <w:tr w14:paraId="07A7492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56E73D6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61</w:t>
            </w:r>
          </w:p>
        </w:tc>
        <w:tc>
          <w:tcPr>
            <w:tcW w:w="164" w:type="pct"/>
            <w:vMerge w:val="continue"/>
            <w:tcBorders>
              <w:tl2br w:val="nil"/>
              <w:tr2bl w:val="nil"/>
            </w:tcBorders>
            <w:shd w:val="clear" w:color="auto" w:fill="auto"/>
            <w:vAlign w:val="center"/>
          </w:tcPr>
          <w:p w14:paraId="0D0DC79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212634D2">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临电</w:t>
            </w:r>
          </w:p>
          <w:p w14:paraId="384F41B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拆除</w:t>
            </w:r>
          </w:p>
        </w:tc>
        <w:tc>
          <w:tcPr>
            <w:tcW w:w="1907" w:type="pct"/>
            <w:tcBorders>
              <w:tl2br w:val="nil"/>
              <w:tr2bl w:val="nil"/>
            </w:tcBorders>
            <w:shd w:val="clear" w:color="auto" w:fill="auto"/>
            <w:vAlign w:val="center"/>
          </w:tcPr>
          <w:p w14:paraId="5C0BAB4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拆除前，被拆除部分没有与带电部分在电气上进行可靠断开、隔离；没有悬挂警示牌；没有在被拆除侧挂临时接地线或投接地刀闸</w:t>
            </w:r>
          </w:p>
        </w:tc>
        <w:tc>
          <w:tcPr>
            <w:tcW w:w="386" w:type="pct"/>
            <w:tcBorders>
              <w:tl2br w:val="nil"/>
              <w:tr2bl w:val="nil"/>
            </w:tcBorders>
            <w:shd w:val="clear" w:color="auto" w:fill="auto"/>
            <w:vAlign w:val="center"/>
          </w:tcPr>
          <w:p w14:paraId="0A939D9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78174A7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0422B60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75ADEA6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138B739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1F97B18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40A630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74CFE64">
            <w:pPr>
              <w:spacing w:line="240" w:lineRule="auto"/>
              <w:jc w:val="left"/>
              <w:rPr>
                <w:rFonts w:hint="eastAsia" w:ascii="宋体" w:hAnsi="宋体" w:eastAsia="宋体" w:cs="宋体"/>
                <w:i w:val="0"/>
                <w:iCs w:val="0"/>
                <w:color w:val="000000"/>
                <w:sz w:val="18"/>
                <w:szCs w:val="18"/>
                <w:highlight w:val="none"/>
                <w:u w:val="none"/>
              </w:rPr>
            </w:pPr>
          </w:p>
        </w:tc>
      </w:tr>
      <w:tr w14:paraId="09A25D4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7486FA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62</w:t>
            </w:r>
          </w:p>
        </w:tc>
        <w:tc>
          <w:tcPr>
            <w:tcW w:w="164" w:type="pct"/>
            <w:vMerge w:val="continue"/>
            <w:tcBorders>
              <w:tl2br w:val="nil"/>
              <w:tr2bl w:val="nil"/>
            </w:tcBorders>
            <w:shd w:val="clear" w:color="auto" w:fill="auto"/>
            <w:vAlign w:val="center"/>
          </w:tcPr>
          <w:p w14:paraId="1A8486C9">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653E29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DBEBA8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在拆除临近带电部分的供用电设施时，没有专人监护、并设隔离防护设施 </w:t>
            </w:r>
          </w:p>
        </w:tc>
        <w:tc>
          <w:tcPr>
            <w:tcW w:w="386" w:type="pct"/>
            <w:tcBorders>
              <w:tl2br w:val="nil"/>
              <w:tr2bl w:val="nil"/>
            </w:tcBorders>
            <w:shd w:val="clear" w:color="auto" w:fill="auto"/>
            <w:vAlign w:val="center"/>
          </w:tcPr>
          <w:p w14:paraId="710C71A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75F102E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3250F5A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0CEF20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42B58A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2ACCB5C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B85C219">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65EF910">
            <w:pPr>
              <w:spacing w:line="240" w:lineRule="auto"/>
              <w:jc w:val="left"/>
              <w:rPr>
                <w:rFonts w:hint="eastAsia" w:ascii="宋体" w:hAnsi="宋体" w:eastAsia="宋体" w:cs="宋体"/>
                <w:i w:val="0"/>
                <w:iCs w:val="0"/>
                <w:color w:val="000000"/>
                <w:sz w:val="18"/>
                <w:szCs w:val="18"/>
                <w:highlight w:val="none"/>
                <w:u w:val="none"/>
              </w:rPr>
            </w:pPr>
          </w:p>
        </w:tc>
      </w:tr>
      <w:tr w14:paraId="6A17DBB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22446E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164" w:type="pct"/>
            <w:vMerge w:val="continue"/>
            <w:tcBorders>
              <w:tl2br w:val="nil"/>
              <w:tr2bl w:val="nil"/>
            </w:tcBorders>
            <w:shd w:val="clear" w:color="auto" w:fill="auto"/>
            <w:vAlign w:val="center"/>
          </w:tcPr>
          <w:p w14:paraId="67725B8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BE151C0">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BE031E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拆除工作未从电源侧开始</w:t>
            </w:r>
          </w:p>
        </w:tc>
        <w:tc>
          <w:tcPr>
            <w:tcW w:w="386" w:type="pct"/>
            <w:tcBorders>
              <w:tl2br w:val="nil"/>
              <w:tr2bl w:val="nil"/>
            </w:tcBorders>
            <w:shd w:val="clear" w:color="auto" w:fill="auto"/>
            <w:vAlign w:val="center"/>
          </w:tcPr>
          <w:p w14:paraId="7F591D2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56511E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795436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37396C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6627B83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70934FD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B66E37E">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25D5DA9">
            <w:pPr>
              <w:spacing w:line="240" w:lineRule="auto"/>
              <w:jc w:val="left"/>
              <w:rPr>
                <w:rFonts w:hint="eastAsia" w:ascii="宋体" w:hAnsi="宋体" w:eastAsia="宋体" w:cs="宋体"/>
                <w:i w:val="0"/>
                <w:iCs w:val="0"/>
                <w:color w:val="000000"/>
                <w:sz w:val="18"/>
                <w:szCs w:val="18"/>
                <w:highlight w:val="none"/>
                <w:u w:val="none"/>
              </w:rPr>
            </w:pPr>
          </w:p>
        </w:tc>
      </w:tr>
      <w:tr w14:paraId="0BAD6DD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520" w:hRule="atLeast"/>
        </w:trPr>
        <w:tc>
          <w:tcPr>
            <w:tcW w:w="180" w:type="pct"/>
            <w:tcBorders>
              <w:tl2br w:val="nil"/>
              <w:tr2bl w:val="nil"/>
            </w:tcBorders>
            <w:shd w:val="clear" w:color="auto" w:fill="auto"/>
            <w:vAlign w:val="center"/>
          </w:tcPr>
          <w:p w14:paraId="650886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64</w:t>
            </w:r>
          </w:p>
        </w:tc>
        <w:tc>
          <w:tcPr>
            <w:tcW w:w="164" w:type="pct"/>
            <w:vMerge w:val="restart"/>
            <w:tcBorders>
              <w:tl2br w:val="nil"/>
              <w:tr2bl w:val="nil"/>
            </w:tcBorders>
            <w:shd w:val="clear" w:color="auto" w:fill="auto"/>
            <w:vAlign w:val="center"/>
          </w:tcPr>
          <w:p w14:paraId="02E305F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特殊季节与特殊环境施工</w:t>
            </w:r>
          </w:p>
        </w:tc>
        <w:tc>
          <w:tcPr>
            <w:tcW w:w="242" w:type="pct"/>
            <w:vMerge w:val="restart"/>
            <w:tcBorders>
              <w:tl2br w:val="nil"/>
              <w:tr2bl w:val="nil"/>
            </w:tcBorders>
            <w:shd w:val="clear" w:color="auto" w:fill="auto"/>
            <w:vAlign w:val="center"/>
          </w:tcPr>
          <w:p w14:paraId="53BEF3C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一般</w:t>
            </w:r>
          </w:p>
        </w:tc>
        <w:tc>
          <w:tcPr>
            <w:tcW w:w="1907" w:type="pct"/>
            <w:tcBorders>
              <w:tl2br w:val="nil"/>
              <w:tr2bl w:val="nil"/>
            </w:tcBorders>
            <w:shd w:val="clear" w:color="auto" w:fill="auto"/>
            <w:vAlign w:val="center"/>
          </w:tcPr>
          <w:p w14:paraId="4D5F861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未制订特殊季节、特殊环境防范措施，未编制应急预案，未储备应急物资、未定期演练</w:t>
            </w:r>
          </w:p>
        </w:tc>
        <w:tc>
          <w:tcPr>
            <w:tcW w:w="386" w:type="pct"/>
            <w:tcBorders>
              <w:tl2br w:val="nil"/>
              <w:tr2bl w:val="nil"/>
            </w:tcBorders>
            <w:shd w:val="clear" w:color="auto" w:fill="auto"/>
            <w:vAlign w:val="center"/>
          </w:tcPr>
          <w:p w14:paraId="71725C7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其它</w:t>
            </w:r>
          </w:p>
        </w:tc>
        <w:tc>
          <w:tcPr>
            <w:tcW w:w="171" w:type="pct"/>
            <w:tcBorders>
              <w:tl2br w:val="nil"/>
              <w:tr2bl w:val="nil"/>
            </w:tcBorders>
            <w:shd w:val="clear" w:color="auto" w:fill="auto"/>
            <w:vAlign w:val="center"/>
          </w:tcPr>
          <w:p w14:paraId="119A77A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EB3565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40" w:type="pct"/>
            <w:tcBorders>
              <w:tl2br w:val="nil"/>
              <w:tr2bl w:val="nil"/>
            </w:tcBorders>
            <w:shd w:val="clear" w:color="auto" w:fill="auto"/>
            <w:vAlign w:val="center"/>
          </w:tcPr>
          <w:p w14:paraId="36F92C1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FC1E51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22" w:type="pct"/>
            <w:tcBorders>
              <w:tl2br w:val="nil"/>
              <w:tr2bl w:val="nil"/>
            </w:tcBorders>
            <w:shd w:val="clear" w:color="auto" w:fill="auto"/>
            <w:vAlign w:val="center"/>
          </w:tcPr>
          <w:p w14:paraId="3F19476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4AD9013">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38C8690">
            <w:pPr>
              <w:spacing w:line="240" w:lineRule="auto"/>
              <w:jc w:val="left"/>
              <w:rPr>
                <w:rFonts w:hint="eastAsia" w:ascii="宋体" w:hAnsi="宋体" w:eastAsia="宋体" w:cs="宋体"/>
                <w:i w:val="0"/>
                <w:iCs w:val="0"/>
                <w:color w:val="000000"/>
                <w:sz w:val="18"/>
                <w:szCs w:val="18"/>
                <w:highlight w:val="none"/>
                <w:u w:val="none"/>
              </w:rPr>
            </w:pPr>
          </w:p>
        </w:tc>
      </w:tr>
      <w:tr w14:paraId="6422D0E1">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80" w:hRule="atLeast"/>
        </w:trPr>
        <w:tc>
          <w:tcPr>
            <w:tcW w:w="180" w:type="pct"/>
            <w:tcBorders>
              <w:tl2br w:val="nil"/>
              <w:tr2bl w:val="nil"/>
            </w:tcBorders>
            <w:shd w:val="clear" w:color="auto" w:fill="auto"/>
            <w:vAlign w:val="center"/>
          </w:tcPr>
          <w:p w14:paraId="5A54B0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w:t>
            </w:r>
          </w:p>
        </w:tc>
        <w:tc>
          <w:tcPr>
            <w:tcW w:w="164" w:type="pct"/>
            <w:vMerge w:val="continue"/>
            <w:tcBorders>
              <w:tl2br w:val="nil"/>
              <w:tr2bl w:val="nil"/>
            </w:tcBorders>
            <w:shd w:val="clear" w:color="auto" w:fill="auto"/>
            <w:vAlign w:val="center"/>
          </w:tcPr>
          <w:p w14:paraId="09C7A74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2F9EC5D">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B94DAD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未及时收集当地气象、水文等信息，未及时采取防范措施</w:t>
            </w:r>
          </w:p>
        </w:tc>
        <w:tc>
          <w:tcPr>
            <w:tcW w:w="386" w:type="pct"/>
            <w:tcBorders>
              <w:tl2br w:val="nil"/>
              <w:tr2bl w:val="nil"/>
            </w:tcBorders>
            <w:shd w:val="clear" w:color="auto" w:fill="auto"/>
            <w:vAlign w:val="center"/>
          </w:tcPr>
          <w:p w14:paraId="58C560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其它</w:t>
            </w:r>
          </w:p>
        </w:tc>
        <w:tc>
          <w:tcPr>
            <w:tcW w:w="171" w:type="pct"/>
            <w:tcBorders>
              <w:tl2br w:val="nil"/>
              <w:tr2bl w:val="nil"/>
            </w:tcBorders>
            <w:shd w:val="clear" w:color="auto" w:fill="auto"/>
            <w:vAlign w:val="center"/>
          </w:tcPr>
          <w:p w14:paraId="3A2FCA0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8E2CBD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13C42C2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D419A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22" w:type="pct"/>
            <w:tcBorders>
              <w:tl2br w:val="nil"/>
              <w:tr2bl w:val="nil"/>
            </w:tcBorders>
            <w:shd w:val="clear" w:color="auto" w:fill="auto"/>
            <w:vAlign w:val="center"/>
          </w:tcPr>
          <w:p w14:paraId="7DD8E4E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C5B127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DB2AAA8">
            <w:pPr>
              <w:spacing w:line="240" w:lineRule="auto"/>
              <w:jc w:val="left"/>
              <w:rPr>
                <w:rFonts w:hint="eastAsia" w:ascii="宋体" w:hAnsi="宋体" w:eastAsia="宋体" w:cs="宋体"/>
                <w:i w:val="0"/>
                <w:iCs w:val="0"/>
                <w:color w:val="000000"/>
                <w:sz w:val="18"/>
                <w:szCs w:val="18"/>
                <w:highlight w:val="none"/>
                <w:u w:val="none"/>
              </w:rPr>
            </w:pPr>
          </w:p>
        </w:tc>
      </w:tr>
      <w:tr w14:paraId="106F0795">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520" w:hRule="atLeast"/>
        </w:trPr>
        <w:tc>
          <w:tcPr>
            <w:tcW w:w="180" w:type="pct"/>
            <w:tcBorders>
              <w:tl2br w:val="nil"/>
              <w:tr2bl w:val="nil"/>
            </w:tcBorders>
            <w:shd w:val="clear" w:color="auto" w:fill="auto"/>
            <w:vAlign w:val="center"/>
          </w:tcPr>
          <w:p w14:paraId="10371C1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66</w:t>
            </w:r>
          </w:p>
        </w:tc>
        <w:tc>
          <w:tcPr>
            <w:tcW w:w="164" w:type="pct"/>
            <w:vMerge w:val="continue"/>
            <w:tcBorders>
              <w:tl2br w:val="nil"/>
              <w:tr2bl w:val="nil"/>
            </w:tcBorders>
            <w:shd w:val="clear" w:color="auto" w:fill="auto"/>
            <w:vAlign w:val="center"/>
          </w:tcPr>
          <w:p w14:paraId="0201DDDD">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2E925D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冬季</w:t>
            </w:r>
          </w:p>
        </w:tc>
        <w:tc>
          <w:tcPr>
            <w:tcW w:w="1907" w:type="pct"/>
            <w:tcBorders>
              <w:tl2br w:val="nil"/>
              <w:tr2bl w:val="nil"/>
            </w:tcBorders>
            <w:shd w:val="clear" w:color="auto" w:fill="auto"/>
            <w:vAlign w:val="center"/>
          </w:tcPr>
          <w:p w14:paraId="0433994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冬季来临前，未检修、保养使用的设备、机具及防护、消防设施，未采取防冻措施</w:t>
            </w:r>
          </w:p>
        </w:tc>
        <w:tc>
          <w:tcPr>
            <w:tcW w:w="386" w:type="pct"/>
            <w:tcBorders>
              <w:tl2br w:val="nil"/>
              <w:tr2bl w:val="nil"/>
            </w:tcBorders>
            <w:shd w:val="clear" w:color="auto" w:fill="auto"/>
            <w:vAlign w:val="center"/>
          </w:tcPr>
          <w:p w14:paraId="36C80A3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机械伤害</w:t>
            </w:r>
          </w:p>
        </w:tc>
        <w:tc>
          <w:tcPr>
            <w:tcW w:w="171" w:type="pct"/>
            <w:tcBorders>
              <w:tl2br w:val="nil"/>
              <w:tr2bl w:val="nil"/>
            </w:tcBorders>
            <w:shd w:val="clear" w:color="auto" w:fill="auto"/>
            <w:vAlign w:val="center"/>
          </w:tcPr>
          <w:p w14:paraId="35D1189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6CC69A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40" w:type="pct"/>
            <w:tcBorders>
              <w:tl2br w:val="nil"/>
              <w:tr2bl w:val="nil"/>
            </w:tcBorders>
            <w:shd w:val="clear" w:color="auto" w:fill="auto"/>
            <w:vAlign w:val="center"/>
          </w:tcPr>
          <w:p w14:paraId="0BCF5A3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53" w:type="pct"/>
            <w:tcBorders>
              <w:tl2br w:val="nil"/>
              <w:tr2bl w:val="nil"/>
            </w:tcBorders>
            <w:shd w:val="clear" w:color="auto" w:fill="auto"/>
            <w:vAlign w:val="center"/>
          </w:tcPr>
          <w:p w14:paraId="788EF6F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50A1CCA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08DAA6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0457B6E">
            <w:pPr>
              <w:spacing w:line="240" w:lineRule="auto"/>
              <w:jc w:val="left"/>
              <w:rPr>
                <w:rFonts w:hint="eastAsia" w:ascii="宋体" w:hAnsi="宋体" w:eastAsia="宋体" w:cs="宋体"/>
                <w:i w:val="0"/>
                <w:iCs w:val="0"/>
                <w:color w:val="000000"/>
                <w:sz w:val="18"/>
                <w:szCs w:val="18"/>
                <w:highlight w:val="none"/>
                <w:u w:val="none"/>
              </w:rPr>
            </w:pPr>
          </w:p>
        </w:tc>
      </w:tr>
      <w:tr w14:paraId="78AA890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4956662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67</w:t>
            </w:r>
          </w:p>
        </w:tc>
        <w:tc>
          <w:tcPr>
            <w:tcW w:w="164" w:type="pct"/>
            <w:vMerge w:val="continue"/>
            <w:tcBorders>
              <w:tl2br w:val="nil"/>
              <w:tr2bl w:val="nil"/>
            </w:tcBorders>
            <w:shd w:val="clear" w:color="auto" w:fill="auto"/>
            <w:vAlign w:val="center"/>
          </w:tcPr>
          <w:p w14:paraId="4B9C9549">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789410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4E7225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冬季施工现场的道路、工作平台、斜坡道、脚手板等均未采取防滑措施，冬季施工现场未配消防器材</w:t>
            </w:r>
          </w:p>
        </w:tc>
        <w:tc>
          <w:tcPr>
            <w:tcW w:w="386" w:type="pct"/>
            <w:tcBorders>
              <w:tl2br w:val="nil"/>
              <w:tr2bl w:val="nil"/>
            </w:tcBorders>
            <w:shd w:val="clear" w:color="auto" w:fill="auto"/>
            <w:vAlign w:val="center"/>
          </w:tcPr>
          <w:p w14:paraId="2582FC1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坠落</w:t>
            </w:r>
          </w:p>
        </w:tc>
        <w:tc>
          <w:tcPr>
            <w:tcW w:w="171" w:type="pct"/>
            <w:tcBorders>
              <w:tl2br w:val="nil"/>
              <w:tr2bl w:val="nil"/>
            </w:tcBorders>
            <w:shd w:val="clear" w:color="auto" w:fill="auto"/>
            <w:vAlign w:val="center"/>
          </w:tcPr>
          <w:p w14:paraId="16C6B0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F18FEA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40" w:type="pct"/>
            <w:tcBorders>
              <w:tl2br w:val="nil"/>
              <w:tr2bl w:val="nil"/>
            </w:tcBorders>
            <w:shd w:val="clear" w:color="auto" w:fill="auto"/>
            <w:vAlign w:val="center"/>
          </w:tcPr>
          <w:p w14:paraId="7F6D15C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53" w:type="pct"/>
            <w:tcBorders>
              <w:tl2br w:val="nil"/>
              <w:tr2bl w:val="nil"/>
            </w:tcBorders>
            <w:shd w:val="clear" w:color="auto" w:fill="auto"/>
            <w:vAlign w:val="center"/>
          </w:tcPr>
          <w:p w14:paraId="7887C3C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213AC9A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8B562B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96A2188">
            <w:pPr>
              <w:spacing w:line="240" w:lineRule="auto"/>
              <w:jc w:val="left"/>
              <w:rPr>
                <w:rFonts w:hint="eastAsia" w:ascii="宋体" w:hAnsi="宋体" w:eastAsia="宋体" w:cs="宋体"/>
                <w:i w:val="0"/>
                <w:iCs w:val="0"/>
                <w:color w:val="000000"/>
                <w:sz w:val="18"/>
                <w:szCs w:val="18"/>
                <w:highlight w:val="none"/>
                <w:u w:val="none"/>
              </w:rPr>
            </w:pPr>
          </w:p>
        </w:tc>
      </w:tr>
      <w:tr w14:paraId="5971CBC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720" w:hRule="atLeast"/>
        </w:trPr>
        <w:tc>
          <w:tcPr>
            <w:tcW w:w="180" w:type="pct"/>
            <w:tcBorders>
              <w:tl2br w:val="nil"/>
              <w:tr2bl w:val="nil"/>
            </w:tcBorders>
            <w:shd w:val="clear" w:color="auto" w:fill="auto"/>
            <w:vAlign w:val="center"/>
          </w:tcPr>
          <w:p w14:paraId="33AE12A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68</w:t>
            </w:r>
          </w:p>
        </w:tc>
        <w:tc>
          <w:tcPr>
            <w:tcW w:w="164" w:type="pct"/>
            <w:vMerge w:val="continue"/>
            <w:tcBorders>
              <w:tl2br w:val="nil"/>
              <w:tr2bl w:val="nil"/>
            </w:tcBorders>
            <w:shd w:val="clear" w:color="auto" w:fill="auto"/>
            <w:vAlign w:val="center"/>
          </w:tcPr>
          <w:p w14:paraId="5C2438CF">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5697D4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雨季</w:t>
            </w:r>
          </w:p>
        </w:tc>
        <w:tc>
          <w:tcPr>
            <w:tcW w:w="1907" w:type="pct"/>
            <w:tcBorders>
              <w:tl2br w:val="nil"/>
              <w:tr2bl w:val="nil"/>
            </w:tcBorders>
            <w:shd w:val="clear" w:color="auto" w:fill="auto"/>
            <w:vAlign w:val="center"/>
          </w:tcPr>
          <w:p w14:paraId="425A115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雨季来临前，未检查、修复或完善现场避雷装置、接地装置、排水设施，围堰、堤坝等未采取加固和防坍措施，易冲刷部位未采取防冲或导流措施</w:t>
            </w:r>
          </w:p>
        </w:tc>
        <w:tc>
          <w:tcPr>
            <w:tcW w:w="386" w:type="pct"/>
            <w:tcBorders>
              <w:tl2br w:val="nil"/>
              <w:tr2bl w:val="nil"/>
            </w:tcBorders>
            <w:shd w:val="clear" w:color="auto" w:fill="auto"/>
            <w:vAlign w:val="center"/>
          </w:tcPr>
          <w:p w14:paraId="70AF1B2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雷击</w:t>
            </w:r>
          </w:p>
        </w:tc>
        <w:tc>
          <w:tcPr>
            <w:tcW w:w="171" w:type="pct"/>
            <w:tcBorders>
              <w:tl2br w:val="nil"/>
              <w:tr2bl w:val="nil"/>
            </w:tcBorders>
            <w:shd w:val="clear" w:color="auto" w:fill="auto"/>
            <w:vAlign w:val="center"/>
          </w:tcPr>
          <w:p w14:paraId="623833E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3AEFCEF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7C57C6E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253" w:type="pct"/>
            <w:tcBorders>
              <w:tl2br w:val="nil"/>
              <w:tr2bl w:val="nil"/>
            </w:tcBorders>
            <w:shd w:val="clear" w:color="auto" w:fill="auto"/>
            <w:vAlign w:val="center"/>
          </w:tcPr>
          <w:p w14:paraId="3E7B2B3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c>
          <w:tcPr>
            <w:tcW w:w="222" w:type="pct"/>
            <w:tcBorders>
              <w:tl2br w:val="nil"/>
              <w:tr2bl w:val="nil"/>
            </w:tcBorders>
            <w:shd w:val="clear" w:color="auto" w:fill="auto"/>
            <w:vAlign w:val="center"/>
          </w:tcPr>
          <w:p w14:paraId="6367660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E184A1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0A23F74">
            <w:pPr>
              <w:spacing w:line="240" w:lineRule="auto"/>
              <w:jc w:val="left"/>
              <w:rPr>
                <w:rFonts w:hint="eastAsia" w:ascii="宋体" w:hAnsi="宋体" w:eastAsia="宋体" w:cs="宋体"/>
                <w:i w:val="0"/>
                <w:iCs w:val="0"/>
                <w:color w:val="000000"/>
                <w:sz w:val="18"/>
                <w:szCs w:val="18"/>
                <w:highlight w:val="none"/>
                <w:u w:val="none"/>
              </w:rPr>
            </w:pPr>
          </w:p>
        </w:tc>
      </w:tr>
      <w:tr w14:paraId="74437381">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87286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69</w:t>
            </w:r>
          </w:p>
        </w:tc>
        <w:tc>
          <w:tcPr>
            <w:tcW w:w="164" w:type="pct"/>
            <w:vMerge w:val="continue"/>
            <w:tcBorders>
              <w:tl2br w:val="nil"/>
              <w:tr2bl w:val="nil"/>
            </w:tcBorders>
            <w:shd w:val="clear" w:color="auto" w:fill="auto"/>
            <w:vAlign w:val="center"/>
          </w:tcPr>
          <w:p w14:paraId="6713910F">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441D6F8">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6EB3BDBE">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现场的而脚手架、跳板、桥梁、墩台等作业面未采取防滑措施</w:t>
            </w:r>
          </w:p>
        </w:tc>
        <w:tc>
          <w:tcPr>
            <w:tcW w:w="386" w:type="pct"/>
            <w:tcBorders>
              <w:tl2br w:val="nil"/>
              <w:tr2bl w:val="nil"/>
            </w:tcBorders>
            <w:shd w:val="clear" w:color="auto" w:fill="auto"/>
            <w:vAlign w:val="center"/>
          </w:tcPr>
          <w:p w14:paraId="6474000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坠落</w:t>
            </w:r>
          </w:p>
        </w:tc>
        <w:tc>
          <w:tcPr>
            <w:tcW w:w="171" w:type="pct"/>
            <w:tcBorders>
              <w:tl2br w:val="nil"/>
              <w:tr2bl w:val="nil"/>
            </w:tcBorders>
            <w:shd w:val="clear" w:color="auto" w:fill="auto"/>
            <w:vAlign w:val="center"/>
          </w:tcPr>
          <w:p w14:paraId="5667B32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3CFBBD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04D43DD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253" w:type="pct"/>
            <w:tcBorders>
              <w:tl2br w:val="nil"/>
              <w:tr2bl w:val="nil"/>
            </w:tcBorders>
            <w:shd w:val="clear" w:color="auto" w:fill="auto"/>
            <w:vAlign w:val="center"/>
          </w:tcPr>
          <w:p w14:paraId="1A10077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c>
          <w:tcPr>
            <w:tcW w:w="222" w:type="pct"/>
            <w:tcBorders>
              <w:tl2br w:val="nil"/>
              <w:tr2bl w:val="nil"/>
            </w:tcBorders>
            <w:shd w:val="clear" w:color="auto" w:fill="auto"/>
            <w:vAlign w:val="center"/>
          </w:tcPr>
          <w:p w14:paraId="35F092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032EC17">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3C5A28C">
            <w:pPr>
              <w:spacing w:line="240" w:lineRule="auto"/>
              <w:jc w:val="left"/>
              <w:rPr>
                <w:rFonts w:hint="eastAsia" w:ascii="宋体" w:hAnsi="宋体" w:eastAsia="宋体" w:cs="宋体"/>
                <w:i w:val="0"/>
                <w:iCs w:val="0"/>
                <w:color w:val="000000"/>
                <w:sz w:val="18"/>
                <w:szCs w:val="18"/>
                <w:highlight w:val="none"/>
                <w:u w:val="none"/>
              </w:rPr>
            </w:pPr>
          </w:p>
        </w:tc>
      </w:tr>
      <w:tr w14:paraId="4A88848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1B63C6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164" w:type="pct"/>
            <w:vMerge w:val="continue"/>
            <w:tcBorders>
              <w:tl2br w:val="nil"/>
              <w:tr2bl w:val="nil"/>
            </w:tcBorders>
            <w:shd w:val="clear" w:color="auto" w:fill="auto"/>
            <w:vAlign w:val="center"/>
          </w:tcPr>
          <w:p w14:paraId="763C106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270AF0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7DFB507">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大风、大雨后，未检查支架、脚手架、起重设备、临时用电工程、临时房屋等设施的基础</w:t>
            </w:r>
          </w:p>
        </w:tc>
        <w:tc>
          <w:tcPr>
            <w:tcW w:w="386" w:type="pct"/>
            <w:tcBorders>
              <w:tl2br w:val="nil"/>
              <w:tr2bl w:val="nil"/>
            </w:tcBorders>
            <w:shd w:val="clear" w:color="auto" w:fill="auto"/>
            <w:vAlign w:val="center"/>
          </w:tcPr>
          <w:p w14:paraId="7B460A8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60116FA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D5187B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52389E2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53" w:type="pct"/>
            <w:tcBorders>
              <w:tl2br w:val="nil"/>
              <w:tr2bl w:val="nil"/>
            </w:tcBorders>
            <w:shd w:val="clear" w:color="auto" w:fill="auto"/>
            <w:vAlign w:val="center"/>
          </w:tcPr>
          <w:p w14:paraId="0121867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222" w:type="pct"/>
            <w:tcBorders>
              <w:tl2br w:val="nil"/>
              <w:tr2bl w:val="nil"/>
            </w:tcBorders>
            <w:shd w:val="clear" w:color="auto" w:fill="auto"/>
            <w:vAlign w:val="center"/>
          </w:tcPr>
          <w:p w14:paraId="0CFC538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8A2741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4A86FB1">
            <w:pPr>
              <w:spacing w:line="240" w:lineRule="auto"/>
              <w:jc w:val="left"/>
              <w:rPr>
                <w:rFonts w:hint="eastAsia" w:ascii="宋体" w:hAnsi="宋体" w:eastAsia="宋体" w:cs="宋体"/>
                <w:i w:val="0"/>
                <w:iCs w:val="0"/>
                <w:color w:val="000000"/>
                <w:sz w:val="18"/>
                <w:szCs w:val="18"/>
                <w:highlight w:val="none"/>
                <w:u w:val="none"/>
              </w:rPr>
            </w:pPr>
          </w:p>
        </w:tc>
      </w:tr>
      <w:tr w14:paraId="23C472B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0E748AF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71</w:t>
            </w:r>
          </w:p>
        </w:tc>
        <w:tc>
          <w:tcPr>
            <w:tcW w:w="164" w:type="pct"/>
            <w:vMerge w:val="continue"/>
            <w:tcBorders>
              <w:tl2br w:val="nil"/>
              <w:tr2bl w:val="nil"/>
            </w:tcBorders>
            <w:shd w:val="clear" w:color="auto" w:fill="auto"/>
            <w:vAlign w:val="center"/>
          </w:tcPr>
          <w:p w14:paraId="60C933F5">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1530423">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5D0EFF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雷雨时，未停止露天作业</w:t>
            </w:r>
          </w:p>
        </w:tc>
        <w:tc>
          <w:tcPr>
            <w:tcW w:w="386" w:type="pct"/>
            <w:tcBorders>
              <w:tl2br w:val="nil"/>
              <w:tr2bl w:val="nil"/>
            </w:tcBorders>
            <w:shd w:val="clear" w:color="auto" w:fill="auto"/>
            <w:vAlign w:val="center"/>
          </w:tcPr>
          <w:p w14:paraId="777133B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雷击等</w:t>
            </w:r>
          </w:p>
        </w:tc>
        <w:tc>
          <w:tcPr>
            <w:tcW w:w="171" w:type="pct"/>
            <w:tcBorders>
              <w:tl2br w:val="nil"/>
              <w:tr2bl w:val="nil"/>
            </w:tcBorders>
            <w:shd w:val="clear" w:color="auto" w:fill="auto"/>
            <w:vAlign w:val="center"/>
          </w:tcPr>
          <w:p w14:paraId="5AF484F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1BE10D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52318F1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53" w:type="pct"/>
            <w:tcBorders>
              <w:tl2br w:val="nil"/>
              <w:tr2bl w:val="nil"/>
            </w:tcBorders>
            <w:shd w:val="clear" w:color="auto" w:fill="auto"/>
            <w:vAlign w:val="center"/>
          </w:tcPr>
          <w:p w14:paraId="619E6B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222" w:type="pct"/>
            <w:tcBorders>
              <w:tl2br w:val="nil"/>
              <w:tr2bl w:val="nil"/>
            </w:tcBorders>
            <w:shd w:val="clear" w:color="auto" w:fill="auto"/>
            <w:vAlign w:val="center"/>
          </w:tcPr>
          <w:p w14:paraId="07CF72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90FE06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BA263A3">
            <w:pPr>
              <w:spacing w:line="240" w:lineRule="auto"/>
              <w:jc w:val="left"/>
              <w:rPr>
                <w:rFonts w:hint="eastAsia" w:ascii="宋体" w:hAnsi="宋体" w:eastAsia="宋体" w:cs="宋体"/>
                <w:i w:val="0"/>
                <w:iCs w:val="0"/>
                <w:color w:val="000000"/>
                <w:sz w:val="18"/>
                <w:szCs w:val="18"/>
                <w:highlight w:val="none"/>
                <w:u w:val="none"/>
              </w:rPr>
            </w:pPr>
          </w:p>
        </w:tc>
      </w:tr>
      <w:tr w14:paraId="2D7FD528">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4F900F4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72</w:t>
            </w:r>
          </w:p>
        </w:tc>
        <w:tc>
          <w:tcPr>
            <w:tcW w:w="164" w:type="pct"/>
            <w:vMerge w:val="continue"/>
            <w:tcBorders>
              <w:tl2br w:val="nil"/>
              <w:tr2bl w:val="nil"/>
            </w:tcBorders>
            <w:shd w:val="clear" w:color="auto" w:fill="auto"/>
            <w:vAlign w:val="center"/>
          </w:tcPr>
          <w:p w14:paraId="70CC1C9E">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3E46E6A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w:t>
            </w:r>
          </w:p>
        </w:tc>
        <w:tc>
          <w:tcPr>
            <w:tcW w:w="1907" w:type="pct"/>
            <w:tcBorders>
              <w:tl2br w:val="nil"/>
              <w:tr2bl w:val="nil"/>
            </w:tcBorders>
            <w:shd w:val="clear" w:color="auto" w:fill="auto"/>
            <w:vAlign w:val="center"/>
          </w:tcPr>
          <w:p w14:paraId="2A8ECAA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夜间施工时，作业场所未设置照明设备，照度不满足施工要求，光束直接照射机械操作和指挥人员</w:t>
            </w:r>
          </w:p>
        </w:tc>
        <w:tc>
          <w:tcPr>
            <w:tcW w:w="386" w:type="pct"/>
            <w:tcBorders>
              <w:tl2br w:val="nil"/>
              <w:tr2bl w:val="nil"/>
            </w:tcBorders>
            <w:shd w:val="clear" w:color="auto" w:fill="auto"/>
            <w:vAlign w:val="center"/>
          </w:tcPr>
          <w:p w14:paraId="3757BEC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其它</w:t>
            </w:r>
          </w:p>
        </w:tc>
        <w:tc>
          <w:tcPr>
            <w:tcW w:w="171" w:type="pct"/>
            <w:tcBorders>
              <w:tl2br w:val="nil"/>
              <w:tr2bl w:val="nil"/>
            </w:tcBorders>
            <w:shd w:val="clear" w:color="auto" w:fill="auto"/>
            <w:vAlign w:val="center"/>
          </w:tcPr>
          <w:p w14:paraId="46DB447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4BC98C4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6EBE34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61E68AD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222" w:type="pct"/>
            <w:tcBorders>
              <w:tl2br w:val="nil"/>
              <w:tr2bl w:val="nil"/>
            </w:tcBorders>
            <w:shd w:val="clear" w:color="auto" w:fill="auto"/>
            <w:vAlign w:val="center"/>
          </w:tcPr>
          <w:p w14:paraId="1C31E0D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50E6AB7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2EB3BD7">
            <w:pPr>
              <w:spacing w:line="240" w:lineRule="auto"/>
              <w:jc w:val="left"/>
              <w:rPr>
                <w:rFonts w:hint="eastAsia" w:ascii="宋体" w:hAnsi="宋体" w:eastAsia="宋体" w:cs="宋体"/>
                <w:i w:val="0"/>
                <w:iCs w:val="0"/>
                <w:color w:val="000000"/>
                <w:sz w:val="18"/>
                <w:szCs w:val="18"/>
                <w:highlight w:val="none"/>
                <w:u w:val="none"/>
              </w:rPr>
            </w:pPr>
          </w:p>
        </w:tc>
      </w:tr>
      <w:tr w14:paraId="1998246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2FBEB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73</w:t>
            </w:r>
          </w:p>
        </w:tc>
        <w:tc>
          <w:tcPr>
            <w:tcW w:w="164" w:type="pct"/>
            <w:vMerge w:val="continue"/>
            <w:tcBorders>
              <w:tl2br w:val="nil"/>
              <w:tr2bl w:val="nil"/>
            </w:tcBorders>
            <w:shd w:val="clear" w:color="auto" w:fill="auto"/>
            <w:vAlign w:val="center"/>
          </w:tcPr>
          <w:p w14:paraId="153214F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38863D4">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29BF83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夜间施工时，作业现场的预留孔洞、上下道口及沟槽等危险部位未设置夜间警示标志和警示灯</w:t>
            </w:r>
          </w:p>
        </w:tc>
        <w:tc>
          <w:tcPr>
            <w:tcW w:w="386" w:type="pct"/>
            <w:tcBorders>
              <w:tl2br w:val="nil"/>
              <w:tr2bl w:val="nil"/>
            </w:tcBorders>
            <w:shd w:val="clear" w:color="auto" w:fill="auto"/>
            <w:vAlign w:val="center"/>
          </w:tcPr>
          <w:p w14:paraId="5E5E136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坠落</w:t>
            </w:r>
          </w:p>
        </w:tc>
        <w:tc>
          <w:tcPr>
            <w:tcW w:w="171" w:type="pct"/>
            <w:tcBorders>
              <w:tl2br w:val="nil"/>
              <w:tr2bl w:val="nil"/>
            </w:tcBorders>
            <w:shd w:val="clear" w:color="auto" w:fill="auto"/>
            <w:vAlign w:val="center"/>
          </w:tcPr>
          <w:p w14:paraId="6AC86D6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8AA979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32322DE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4A7341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6290144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629759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642490F">
            <w:pPr>
              <w:spacing w:line="240" w:lineRule="auto"/>
              <w:jc w:val="left"/>
              <w:rPr>
                <w:rFonts w:hint="eastAsia" w:ascii="宋体" w:hAnsi="宋体" w:eastAsia="宋体" w:cs="宋体"/>
                <w:i w:val="0"/>
                <w:iCs w:val="0"/>
                <w:color w:val="000000"/>
                <w:sz w:val="18"/>
                <w:szCs w:val="18"/>
                <w:highlight w:val="none"/>
                <w:u w:val="none"/>
              </w:rPr>
            </w:pPr>
          </w:p>
        </w:tc>
      </w:tr>
      <w:tr w14:paraId="590C5FEC">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563FA33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74</w:t>
            </w:r>
          </w:p>
        </w:tc>
        <w:tc>
          <w:tcPr>
            <w:tcW w:w="164" w:type="pct"/>
            <w:vMerge w:val="continue"/>
            <w:tcBorders>
              <w:tl2br w:val="nil"/>
              <w:tr2bl w:val="nil"/>
            </w:tcBorders>
            <w:shd w:val="clear" w:color="auto" w:fill="auto"/>
            <w:vAlign w:val="center"/>
          </w:tcPr>
          <w:p w14:paraId="2119956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04F0712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高温</w:t>
            </w:r>
          </w:p>
          <w:p w14:paraId="6ACF8A0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w:t>
            </w:r>
          </w:p>
        </w:tc>
        <w:tc>
          <w:tcPr>
            <w:tcW w:w="1907" w:type="pct"/>
            <w:tcBorders>
              <w:tl2br w:val="nil"/>
              <w:tr2bl w:val="nil"/>
            </w:tcBorders>
            <w:shd w:val="clear" w:color="auto" w:fill="auto"/>
            <w:vAlign w:val="center"/>
          </w:tcPr>
          <w:p w14:paraId="7EC34EF4">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作业时间未避开高温时段，必须在高温条件下的施工作业未采取防暑降温措施</w:t>
            </w:r>
          </w:p>
        </w:tc>
        <w:tc>
          <w:tcPr>
            <w:tcW w:w="386" w:type="pct"/>
            <w:tcBorders>
              <w:tl2br w:val="nil"/>
              <w:tr2bl w:val="nil"/>
            </w:tcBorders>
            <w:shd w:val="clear" w:color="auto" w:fill="auto"/>
            <w:vAlign w:val="center"/>
          </w:tcPr>
          <w:p w14:paraId="64CD8D3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中暑</w:t>
            </w:r>
          </w:p>
        </w:tc>
        <w:tc>
          <w:tcPr>
            <w:tcW w:w="171" w:type="pct"/>
            <w:tcBorders>
              <w:tl2br w:val="nil"/>
              <w:tr2bl w:val="nil"/>
            </w:tcBorders>
            <w:shd w:val="clear" w:color="auto" w:fill="auto"/>
            <w:vAlign w:val="center"/>
          </w:tcPr>
          <w:p w14:paraId="3989FA0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D9898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64E9D1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F6CC2F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222" w:type="pct"/>
            <w:tcBorders>
              <w:tl2br w:val="nil"/>
              <w:tr2bl w:val="nil"/>
            </w:tcBorders>
            <w:shd w:val="clear" w:color="auto" w:fill="auto"/>
            <w:vAlign w:val="center"/>
          </w:tcPr>
          <w:p w14:paraId="07321CA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6C11B5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CB9A71F">
            <w:pPr>
              <w:spacing w:line="240" w:lineRule="auto"/>
              <w:jc w:val="left"/>
              <w:rPr>
                <w:rFonts w:hint="eastAsia" w:ascii="宋体" w:hAnsi="宋体" w:eastAsia="宋体" w:cs="宋体"/>
                <w:i w:val="0"/>
                <w:iCs w:val="0"/>
                <w:color w:val="000000"/>
                <w:sz w:val="18"/>
                <w:szCs w:val="18"/>
                <w:highlight w:val="none"/>
                <w:u w:val="none"/>
              </w:rPr>
            </w:pPr>
          </w:p>
        </w:tc>
      </w:tr>
      <w:tr w14:paraId="237A0AD6">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113A097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75</w:t>
            </w:r>
          </w:p>
        </w:tc>
        <w:tc>
          <w:tcPr>
            <w:tcW w:w="164" w:type="pct"/>
            <w:vMerge w:val="continue"/>
            <w:tcBorders>
              <w:tl2br w:val="nil"/>
              <w:tr2bl w:val="nil"/>
            </w:tcBorders>
            <w:shd w:val="clear" w:color="auto" w:fill="auto"/>
            <w:vAlign w:val="center"/>
          </w:tcPr>
          <w:p w14:paraId="04E284A2">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0A1A7D4">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6146A76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施工现场的易燃易爆物品未采取防晒措施</w:t>
            </w:r>
          </w:p>
        </w:tc>
        <w:tc>
          <w:tcPr>
            <w:tcW w:w="386" w:type="pct"/>
            <w:tcBorders>
              <w:tl2br w:val="nil"/>
              <w:tr2bl w:val="nil"/>
            </w:tcBorders>
            <w:shd w:val="clear" w:color="auto" w:fill="auto"/>
            <w:vAlign w:val="center"/>
          </w:tcPr>
          <w:p w14:paraId="0551DC9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火灾</w:t>
            </w:r>
          </w:p>
        </w:tc>
        <w:tc>
          <w:tcPr>
            <w:tcW w:w="171" w:type="pct"/>
            <w:tcBorders>
              <w:tl2br w:val="nil"/>
              <w:tr2bl w:val="nil"/>
            </w:tcBorders>
            <w:shd w:val="clear" w:color="auto" w:fill="auto"/>
            <w:vAlign w:val="center"/>
          </w:tcPr>
          <w:p w14:paraId="196F77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0B61036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797D85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6EFAB58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222" w:type="pct"/>
            <w:tcBorders>
              <w:tl2br w:val="nil"/>
              <w:tr2bl w:val="nil"/>
            </w:tcBorders>
            <w:shd w:val="clear" w:color="auto" w:fill="auto"/>
            <w:vAlign w:val="center"/>
          </w:tcPr>
          <w:p w14:paraId="2E01CC9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C03FF9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80AC37A">
            <w:pPr>
              <w:spacing w:line="240" w:lineRule="auto"/>
              <w:jc w:val="left"/>
              <w:rPr>
                <w:rFonts w:hint="eastAsia" w:ascii="宋体" w:hAnsi="宋体" w:eastAsia="宋体" w:cs="宋体"/>
                <w:i w:val="0"/>
                <w:iCs w:val="0"/>
                <w:color w:val="000000"/>
                <w:sz w:val="18"/>
                <w:szCs w:val="18"/>
                <w:highlight w:val="none"/>
                <w:u w:val="none"/>
              </w:rPr>
            </w:pPr>
          </w:p>
        </w:tc>
      </w:tr>
      <w:tr w14:paraId="19CECC9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92F2E3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76</w:t>
            </w:r>
          </w:p>
        </w:tc>
        <w:tc>
          <w:tcPr>
            <w:tcW w:w="164" w:type="pct"/>
            <w:vMerge w:val="continue"/>
            <w:tcBorders>
              <w:tl2br w:val="nil"/>
              <w:tr2bl w:val="nil"/>
            </w:tcBorders>
            <w:shd w:val="clear" w:color="auto" w:fill="auto"/>
            <w:vAlign w:val="center"/>
          </w:tcPr>
          <w:p w14:paraId="31E241A2">
            <w:pPr>
              <w:spacing w:line="240" w:lineRule="auto"/>
              <w:jc w:val="center"/>
              <w:rPr>
                <w:rFonts w:hint="eastAsia" w:ascii="宋体" w:hAnsi="宋体" w:eastAsia="宋体" w:cs="宋体"/>
                <w:i w:val="0"/>
                <w:iCs w:val="0"/>
                <w:color w:val="000000"/>
                <w:sz w:val="18"/>
                <w:szCs w:val="18"/>
                <w:highlight w:val="none"/>
                <w:u w:val="none"/>
              </w:rPr>
            </w:pPr>
          </w:p>
        </w:tc>
        <w:tc>
          <w:tcPr>
            <w:tcW w:w="242" w:type="pct"/>
            <w:tcBorders>
              <w:tl2br w:val="nil"/>
              <w:tr2bl w:val="nil"/>
            </w:tcBorders>
            <w:shd w:val="clear" w:color="auto" w:fill="auto"/>
            <w:vAlign w:val="center"/>
          </w:tcPr>
          <w:p w14:paraId="3A86BD1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台风季节施工</w:t>
            </w:r>
          </w:p>
        </w:tc>
        <w:tc>
          <w:tcPr>
            <w:tcW w:w="1907" w:type="pct"/>
            <w:tcBorders>
              <w:tl2br w:val="nil"/>
              <w:tr2bl w:val="nil"/>
            </w:tcBorders>
            <w:shd w:val="clear" w:color="auto" w:fill="auto"/>
            <w:vAlign w:val="center"/>
          </w:tcPr>
          <w:p w14:paraId="4F1D9E1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在建工程、机械设备、临时设施、生活和办公用房未做防风加固，排水沟渠不通畅</w:t>
            </w:r>
          </w:p>
        </w:tc>
        <w:tc>
          <w:tcPr>
            <w:tcW w:w="386" w:type="pct"/>
            <w:tcBorders>
              <w:tl2br w:val="nil"/>
              <w:tr2bl w:val="nil"/>
            </w:tcBorders>
            <w:shd w:val="clear" w:color="auto" w:fill="auto"/>
            <w:vAlign w:val="center"/>
          </w:tcPr>
          <w:p w14:paraId="101E9A3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自然灾害</w:t>
            </w:r>
          </w:p>
        </w:tc>
        <w:tc>
          <w:tcPr>
            <w:tcW w:w="171" w:type="pct"/>
            <w:tcBorders>
              <w:tl2br w:val="nil"/>
              <w:tr2bl w:val="nil"/>
            </w:tcBorders>
            <w:shd w:val="clear" w:color="auto" w:fill="auto"/>
            <w:vAlign w:val="center"/>
          </w:tcPr>
          <w:p w14:paraId="380F90C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1392F2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3F85EA1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048C3CF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222" w:type="pct"/>
            <w:tcBorders>
              <w:tl2br w:val="nil"/>
              <w:tr2bl w:val="nil"/>
            </w:tcBorders>
            <w:shd w:val="clear" w:color="auto" w:fill="auto"/>
            <w:vAlign w:val="center"/>
          </w:tcPr>
          <w:p w14:paraId="42081F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5A84919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5D1E764">
            <w:pPr>
              <w:spacing w:line="240" w:lineRule="auto"/>
              <w:jc w:val="left"/>
              <w:rPr>
                <w:rFonts w:hint="eastAsia" w:ascii="宋体" w:hAnsi="宋体" w:eastAsia="宋体" w:cs="宋体"/>
                <w:i w:val="0"/>
                <w:iCs w:val="0"/>
                <w:color w:val="000000"/>
                <w:sz w:val="18"/>
                <w:szCs w:val="18"/>
                <w:highlight w:val="none"/>
                <w:u w:val="none"/>
              </w:rPr>
            </w:pPr>
          </w:p>
        </w:tc>
      </w:tr>
      <w:tr w14:paraId="6E336FF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C6A60C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77</w:t>
            </w:r>
          </w:p>
        </w:tc>
        <w:tc>
          <w:tcPr>
            <w:tcW w:w="164" w:type="pct"/>
            <w:vMerge w:val="continue"/>
            <w:tcBorders>
              <w:tl2br w:val="nil"/>
              <w:tr2bl w:val="nil"/>
            </w:tcBorders>
            <w:shd w:val="clear" w:color="auto" w:fill="auto"/>
            <w:vAlign w:val="center"/>
          </w:tcPr>
          <w:p w14:paraId="1C9E976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55C282D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汛期</w:t>
            </w:r>
          </w:p>
        </w:tc>
        <w:tc>
          <w:tcPr>
            <w:tcW w:w="1907" w:type="pct"/>
            <w:tcBorders>
              <w:tl2br w:val="nil"/>
              <w:tr2bl w:val="nil"/>
            </w:tcBorders>
            <w:shd w:val="clear" w:color="auto" w:fill="auto"/>
            <w:vAlign w:val="center"/>
          </w:tcPr>
          <w:p w14:paraId="3DC161F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易发生洪水、泥石流、滑坡等灾害的施工现场未加强观测、预警，发现危险预兆未及时撤离作业人员和施工机械设备</w:t>
            </w:r>
          </w:p>
        </w:tc>
        <w:tc>
          <w:tcPr>
            <w:tcW w:w="386" w:type="pct"/>
            <w:tcBorders>
              <w:tl2br w:val="nil"/>
              <w:tr2bl w:val="nil"/>
            </w:tcBorders>
            <w:shd w:val="clear" w:color="auto" w:fill="auto"/>
            <w:vAlign w:val="center"/>
          </w:tcPr>
          <w:p w14:paraId="2C062E0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自然灾害</w:t>
            </w:r>
          </w:p>
        </w:tc>
        <w:tc>
          <w:tcPr>
            <w:tcW w:w="171" w:type="pct"/>
            <w:tcBorders>
              <w:tl2br w:val="nil"/>
              <w:tr2bl w:val="nil"/>
            </w:tcBorders>
            <w:shd w:val="clear" w:color="auto" w:fill="auto"/>
            <w:vAlign w:val="center"/>
          </w:tcPr>
          <w:p w14:paraId="3EFE56E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6CC28F5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06BF38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7506C4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222" w:type="pct"/>
            <w:tcBorders>
              <w:tl2br w:val="nil"/>
              <w:tr2bl w:val="nil"/>
            </w:tcBorders>
            <w:shd w:val="clear" w:color="auto" w:fill="auto"/>
            <w:vAlign w:val="center"/>
          </w:tcPr>
          <w:p w14:paraId="2E8D775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79C49BE3">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609F159">
            <w:pPr>
              <w:spacing w:line="240" w:lineRule="auto"/>
              <w:jc w:val="left"/>
              <w:rPr>
                <w:rFonts w:hint="eastAsia" w:ascii="宋体" w:hAnsi="宋体" w:eastAsia="宋体" w:cs="宋体"/>
                <w:i w:val="0"/>
                <w:iCs w:val="0"/>
                <w:color w:val="000000"/>
                <w:sz w:val="18"/>
                <w:szCs w:val="18"/>
                <w:highlight w:val="none"/>
                <w:u w:val="none"/>
              </w:rPr>
            </w:pPr>
          </w:p>
        </w:tc>
      </w:tr>
      <w:tr w14:paraId="6641F51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0DDECD9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78</w:t>
            </w:r>
          </w:p>
        </w:tc>
        <w:tc>
          <w:tcPr>
            <w:tcW w:w="164" w:type="pct"/>
            <w:vMerge w:val="continue"/>
            <w:tcBorders>
              <w:tl2br w:val="nil"/>
              <w:tr2bl w:val="nil"/>
            </w:tcBorders>
            <w:shd w:val="clear" w:color="auto" w:fill="auto"/>
            <w:vAlign w:val="center"/>
          </w:tcPr>
          <w:p w14:paraId="769ACB3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1F6DC2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40EE8FC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库区及下游受排洪影响地区施工作业未及时掌握水位变化情况</w:t>
            </w:r>
          </w:p>
        </w:tc>
        <w:tc>
          <w:tcPr>
            <w:tcW w:w="386" w:type="pct"/>
            <w:tcBorders>
              <w:tl2br w:val="nil"/>
              <w:tr2bl w:val="nil"/>
            </w:tcBorders>
            <w:shd w:val="clear" w:color="auto" w:fill="auto"/>
            <w:vAlign w:val="center"/>
          </w:tcPr>
          <w:p w14:paraId="73B6CD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洪灾</w:t>
            </w:r>
          </w:p>
        </w:tc>
        <w:tc>
          <w:tcPr>
            <w:tcW w:w="171" w:type="pct"/>
            <w:tcBorders>
              <w:tl2br w:val="nil"/>
              <w:tr2bl w:val="nil"/>
            </w:tcBorders>
            <w:shd w:val="clear" w:color="auto" w:fill="auto"/>
            <w:vAlign w:val="center"/>
          </w:tcPr>
          <w:p w14:paraId="677298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2B2962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2E47D2C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1919071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6DF0EED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BBDE6E1">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A438490">
            <w:pPr>
              <w:spacing w:line="240" w:lineRule="auto"/>
              <w:jc w:val="left"/>
              <w:rPr>
                <w:rFonts w:hint="eastAsia" w:ascii="宋体" w:hAnsi="宋体" w:eastAsia="宋体" w:cs="宋体"/>
                <w:i w:val="0"/>
                <w:iCs w:val="0"/>
                <w:color w:val="000000"/>
                <w:sz w:val="18"/>
                <w:szCs w:val="18"/>
                <w:highlight w:val="none"/>
                <w:u w:val="none"/>
              </w:rPr>
            </w:pPr>
          </w:p>
        </w:tc>
      </w:tr>
    </w:tbl>
    <w:p w14:paraId="49FDB69D">
      <w:pPr>
        <w:pStyle w:val="4"/>
        <w:numPr>
          <w:ilvl w:val="2"/>
          <w:numId w:val="4"/>
        </w:numPr>
        <w:bidi w:val="0"/>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风险分析结论</w:t>
      </w:r>
    </w:p>
    <w:p w14:paraId="1187E91C">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对</w:t>
      </w:r>
      <w:r>
        <w:rPr>
          <w:rFonts w:hint="eastAsia" w:cs="宋体"/>
          <w:color w:val="000000"/>
          <w:kern w:val="0"/>
          <w:sz w:val="24"/>
          <w:szCs w:val="24"/>
          <w:highlight w:val="none"/>
          <w:lang w:val="en-US" w:eastAsia="zh-CN" w:bidi="ar"/>
        </w:rPr>
        <w:t>塔机</w:t>
      </w:r>
      <w:r>
        <w:rPr>
          <w:rFonts w:hint="eastAsia" w:ascii="宋体" w:hAnsi="宋体" w:eastAsia="宋体" w:cs="宋体"/>
          <w:color w:val="000000"/>
          <w:kern w:val="0"/>
          <w:sz w:val="24"/>
          <w:szCs w:val="24"/>
          <w:highlight w:val="none"/>
          <w:lang w:val="en-US" w:eastAsia="zh-CN" w:bidi="ar"/>
        </w:rPr>
        <w:t>安拆施工过程中存在的危险有害因素进行辨识，辨识出危险有害因素</w:t>
      </w:r>
    </w:p>
    <w:p w14:paraId="75C9AC9D">
      <w:pPr>
        <w:keepNext w:val="0"/>
        <w:keepLines w:val="0"/>
        <w:widowControl/>
        <w:numPr>
          <w:ilvl w:val="0"/>
          <w:numId w:val="0"/>
        </w:numPr>
        <w:suppressLineNumbers w:val="0"/>
        <w:jc w:val="left"/>
        <w:rPr>
          <w:highlight w:val="none"/>
        </w:rPr>
      </w:pPr>
      <w:r>
        <w:rPr>
          <w:rFonts w:hint="eastAsia" w:ascii="宋体" w:hAnsi="宋体" w:eastAsia="宋体" w:cs="宋体"/>
          <w:color w:val="000000"/>
          <w:kern w:val="0"/>
          <w:sz w:val="24"/>
          <w:szCs w:val="24"/>
          <w:highlight w:val="none"/>
          <w:lang w:val="en-US" w:eastAsia="zh-CN" w:bidi="ar"/>
        </w:rPr>
        <w:t>78项。通过评价，得出危害级别为Ⅰ级（D≤70）的风险有71项，为较小风险，由班组管控，项目部加强现场检查并进行关注；危害级别为Ⅱ级（70＜D≤160）的风险有7项，为一般风险，由项目部管控结合实际情况并制定针对性安全控制措施。</w:t>
      </w:r>
    </w:p>
    <w:p w14:paraId="59E34546">
      <w:pPr>
        <w:pStyle w:val="51"/>
        <w:jc w:val="center"/>
        <w:rPr>
          <w:rFonts w:ascii="仿宋" w:hAnsi="仿宋" w:eastAsia="黑体" w:cs="仿宋"/>
          <w:bCs/>
          <w:color w:val="000000" w:themeColor="text1"/>
          <w:kern w:val="2"/>
          <w:sz w:val="21"/>
          <w:szCs w:val="24"/>
          <w:highlight w:val="none"/>
          <w:lang w:val="en-US" w:eastAsia="zh-CN" w:bidi="ar-SA"/>
          <w14:textFill>
            <w14:solidFill>
              <w14:schemeClr w14:val="tx1"/>
            </w14:solidFill>
          </w14:textFill>
        </w:rPr>
      </w:pPr>
      <w:r>
        <w:rPr>
          <w:rStyle w:val="37"/>
        </w:rPr>
        <w:t xml:space="preserve">表 </w:t>
      </w:r>
      <w:r>
        <w:rPr>
          <w:rStyle w:val="37"/>
        </w:rPr>
        <w:fldChar w:fldCharType="begin"/>
      </w:r>
      <w:r>
        <w:rPr>
          <w:rStyle w:val="37"/>
        </w:rPr>
        <w:instrText xml:space="preserve"> STYLEREF 2 \s </w:instrText>
      </w:r>
      <w:r>
        <w:rPr>
          <w:rStyle w:val="37"/>
        </w:rPr>
        <w:fldChar w:fldCharType="separate"/>
      </w:r>
      <w:r>
        <w:rPr>
          <w:rStyle w:val="37"/>
        </w:rPr>
        <w:t>2.16</w:t>
      </w:r>
      <w:r>
        <w:rPr>
          <w:rStyle w:val="37"/>
        </w:rPr>
        <w:fldChar w:fldCharType="end"/>
      </w:r>
      <w:r>
        <w:rPr>
          <w:rStyle w:val="37"/>
          <w:rFonts w:hint="eastAsia"/>
          <w:lang w:eastAsia="zh-CN"/>
        </w:rPr>
        <w:t>-</w:t>
      </w:r>
      <w:r>
        <w:rPr>
          <w:rStyle w:val="37"/>
        </w:rPr>
        <w:fldChar w:fldCharType="begin"/>
      </w:r>
      <w:r>
        <w:rPr>
          <w:rStyle w:val="37"/>
        </w:rPr>
        <w:instrText xml:space="preserve"> SEQ 表 \* ARABIC \s 2 </w:instrText>
      </w:r>
      <w:r>
        <w:rPr>
          <w:rStyle w:val="37"/>
        </w:rPr>
        <w:fldChar w:fldCharType="separate"/>
      </w:r>
      <w:r>
        <w:rPr>
          <w:rStyle w:val="37"/>
        </w:rPr>
        <w:t>5</w:t>
      </w:r>
      <w:r>
        <w:rPr>
          <w:rStyle w:val="37"/>
        </w:rPr>
        <w:fldChar w:fldCharType="end"/>
      </w:r>
      <w:r>
        <w:rPr>
          <w:rStyle w:val="37"/>
          <w:rFonts w:hint="eastAsia"/>
          <w:lang w:val="en-US" w:eastAsia="zh-CN"/>
        </w:rPr>
        <w:t xml:space="preserve"> 塔机安装施工显著危害因素清单</w:t>
      </w:r>
      <w:r>
        <w:rPr>
          <w:rFonts w:hint="eastAsia" w:ascii="仿宋" w:hAnsi="仿宋" w:eastAsia="黑体" w:cs="仿宋"/>
          <w:bCs/>
          <w:color w:val="000000" w:themeColor="text1"/>
          <w:kern w:val="2"/>
          <w:sz w:val="21"/>
          <w:szCs w:val="24"/>
          <w:highlight w:val="none"/>
          <w:lang w:val="en-US" w:eastAsia="zh-CN" w:bidi="ar-SA"/>
          <w14:textFill>
            <w14:solidFill>
              <w14:schemeClr w14:val="tx1"/>
            </w14:solidFill>
          </w14:textFill>
        </w:rPr>
        <w:t>及控制措施表</w:t>
      </w:r>
    </w:p>
    <w:tbl>
      <w:tblPr>
        <w:tblStyle w:val="28"/>
        <w:tblW w:w="4998" w:type="pct"/>
        <w:tblInd w:w="0" w:type="dxa"/>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Layout w:type="autofit"/>
        <w:tblCellMar>
          <w:top w:w="0" w:type="dxa"/>
          <w:left w:w="108" w:type="dxa"/>
          <w:bottom w:w="0" w:type="dxa"/>
          <w:right w:w="108" w:type="dxa"/>
        </w:tblCellMar>
      </w:tblPr>
      <w:tblGrid>
        <w:gridCol w:w="414"/>
        <w:gridCol w:w="556"/>
        <w:gridCol w:w="4363"/>
        <w:gridCol w:w="886"/>
        <w:gridCol w:w="508"/>
        <w:gridCol w:w="1792"/>
      </w:tblGrid>
      <w:tr w14:paraId="0FFE75A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243" w:type="pct"/>
            <w:vMerge w:val="restart"/>
            <w:tcBorders>
              <w:tl2br w:val="nil"/>
              <w:tr2bl w:val="nil"/>
            </w:tcBorders>
            <w:shd w:val="clear" w:color="auto" w:fill="auto"/>
            <w:vAlign w:val="center"/>
          </w:tcPr>
          <w:p w14:paraId="2FD3735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序号</w:t>
            </w:r>
          </w:p>
        </w:tc>
        <w:tc>
          <w:tcPr>
            <w:tcW w:w="326" w:type="pct"/>
            <w:vMerge w:val="restart"/>
            <w:tcBorders>
              <w:tl2br w:val="nil"/>
              <w:tr2bl w:val="nil"/>
            </w:tcBorders>
            <w:shd w:val="clear" w:color="auto" w:fill="auto"/>
            <w:vAlign w:val="center"/>
          </w:tcPr>
          <w:p w14:paraId="76CB645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活动</w:t>
            </w:r>
          </w:p>
          <w:p w14:paraId="1A791299">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内容</w:t>
            </w:r>
          </w:p>
        </w:tc>
        <w:tc>
          <w:tcPr>
            <w:tcW w:w="2559" w:type="pct"/>
            <w:vMerge w:val="restart"/>
            <w:tcBorders>
              <w:tl2br w:val="nil"/>
              <w:tr2bl w:val="nil"/>
            </w:tcBorders>
            <w:shd w:val="clear" w:color="auto" w:fill="auto"/>
            <w:vAlign w:val="center"/>
          </w:tcPr>
          <w:p w14:paraId="323F8E7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危害因素</w:t>
            </w:r>
          </w:p>
        </w:tc>
        <w:tc>
          <w:tcPr>
            <w:tcW w:w="520" w:type="pct"/>
            <w:vMerge w:val="restart"/>
            <w:tcBorders>
              <w:tl2br w:val="nil"/>
              <w:tr2bl w:val="nil"/>
            </w:tcBorders>
            <w:shd w:val="clear" w:color="auto" w:fill="auto"/>
            <w:vAlign w:val="center"/>
          </w:tcPr>
          <w:p w14:paraId="4EB5BFA3">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潜在事故</w:t>
            </w:r>
          </w:p>
          <w:p w14:paraId="3DABBC4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类型</w:t>
            </w:r>
          </w:p>
        </w:tc>
        <w:tc>
          <w:tcPr>
            <w:tcW w:w="298" w:type="pct"/>
            <w:vMerge w:val="restart"/>
            <w:tcBorders>
              <w:tl2br w:val="nil"/>
              <w:tr2bl w:val="nil"/>
            </w:tcBorders>
            <w:shd w:val="clear" w:color="auto" w:fill="auto"/>
            <w:vAlign w:val="center"/>
          </w:tcPr>
          <w:p w14:paraId="5ED373BB">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危害</w:t>
            </w:r>
          </w:p>
          <w:p w14:paraId="150E136D">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级别</w:t>
            </w:r>
          </w:p>
        </w:tc>
        <w:tc>
          <w:tcPr>
            <w:tcW w:w="1051" w:type="pct"/>
            <w:vMerge w:val="restart"/>
            <w:tcBorders>
              <w:tl2br w:val="nil"/>
              <w:tr2bl w:val="nil"/>
            </w:tcBorders>
            <w:shd w:val="clear" w:color="auto" w:fill="auto"/>
            <w:vAlign w:val="center"/>
          </w:tcPr>
          <w:p w14:paraId="5B205F6B">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控制措施</w:t>
            </w:r>
          </w:p>
        </w:tc>
      </w:tr>
      <w:tr w14:paraId="4BBCFC5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243" w:type="pct"/>
            <w:vMerge w:val="continue"/>
            <w:tcBorders>
              <w:tl2br w:val="nil"/>
              <w:tr2bl w:val="nil"/>
            </w:tcBorders>
            <w:shd w:val="clear" w:color="auto" w:fill="auto"/>
            <w:vAlign w:val="center"/>
          </w:tcPr>
          <w:p w14:paraId="5EF16BA0">
            <w:pPr>
              <w:spacing w:line="240" w:lineRule="auto"/>
              <w:jc w:val="center"/>
              <w:rPr>
                <w:rFonts w:hint="eastAsia" w:ascii="宋体" w:hAnsi="宋体" w:eastAsia="宋体" w:cs="宋体"/>
                <w:b/>
                <w:bCs/>
                <w:i w:val="0"/>
                <w:iCs w:val="0"/>
                <w:color w:val="000000"/>
                <w:sz w:val="18"/>
                <w:szCs w:val="18"/>
                <w:highlight w:val="none"/>
                <w:u w:val="none"/>
              </w:rPr>
            </w:pPr>
          </w:p>
        </w:tc>
        <w:tc>
          <w:tcPr>
            <w:tcW w:w="326" w:type="pct"/>
            <w:vMerge w:val="continue"/>
            <w:tcBorders>
              <w:tl2br w:val="nil"/>
              <w:tr2bl w:val="nil"/>
            </w:tcBorders>
            <w:shd w:val="clear" w:color="auto" w:fill="auto"/>
            <w:vAlign w:val="center"/>
          </w:tcPr>
          <w:p w14:paraId="74C53552">
            <w:pPr>
              <w:spacing w:line="240" w:lineRule="auto"/>
              <w:jc w:val="center"/>
              <w:rPr>
                <w:rFonts w:hint="eastAsia" w:ascii="宋体" w:hAnsi="宋体" w:eastAsia="宋体" w:cs="宋体"/>
                <w:b/>
                <w:bCs/>
                <w:i w:val="0"/>
                <w:iCs w:val="0"/>
                <w:color w:val="000000"/>
                <w:sz w:val="18"/>
                <w:szCs w:val="18"/>
                <w:highlight w:val="none"/>
                <w:u w:val="none"/>
              </w:rPr>
            </w:pPr>
          </w:p>
        </w:tc>
        <w:tc>
          <w:tcPr>
            <w:tcW w:w="2559" w:type="pct"/>
            <w:vMerge w:val="continue"/>
            <w:tcBorders>
              <w:tl2br w:val="nil"/>
              <w:tr2bl w:val="nil"/>
            </w:tcBorders>
            <w:shd w:val="clear" w:color="auto" w:fill="auto"/>
            <w:vAlign w:val="center"/>
          </w:tcPr>
          <w:p w14:paraId="1B0F5F42">
            <w:pPr>
              <w:spacing w:line="240" w:lineRule="auto"/>
              <w:jc w:val="center"/>
              <w:rPr>
                <w:rFonts w:hint="eastAsia" w:ascii="宋体" w:hAnsi="宋体" w:eastAsia="宋体" w:cs="宋体"/>
                <w:b/>
                <w:bCs/>
                <w:i w:val="0"/>
                <w:iCs w:val="0"/>
                <w:color w:val="000000"/>
                <w:sz w:val="18"/>
                <w:szCs w:val="18"/>
                <w:highlight w:val="none"/>
                <w:u w:val="none"/>
              </w:rPr>
            </w:pPr>
          </w:p>
        </w:tc>
        <w:tc>
          <w:tcPr>
            <w:tcW w:w="520" w:type="pct"/>
            <w:vMerge w:val="continue"/>
            <w:tcBorders>
              <w:tl2br w:val="nil"/>
              <w:tr2bl w:val="nil"/>
            </w:tcBorders>
            <w:shd w:val="clear" w:color="auto" w:fill="auto"/>
            <w:vAlign w:val="center"/>
          </w:tcPr>
          <w:p w14:paraId="52F3CFA5">
            <w:pPr>
              <w:spacing w:line="240" w:lineRule="auto"/>
              <w:jc w:val="center"/>
              <w:rPr>
                <w:rFonts w:hint="eastAsia" w:ascii="宋体" w:hAnsi="宋体" w:eastAsia="宋体" w:cs="宋体"/>
                <w:b/>
                <w:bCs/>
                <w:i w:val="0"/>
                <w:iCs w:val="0"/>
                <w:color w:val="000000"/>
                <w:sz w:val="18"/>
                <w:szCs w:val="18"/>
                <w:highlight w:val="none"/>
                <w:u w:val="none"/>
              </w:rPr>
            </w:pPr>
          </w:p>
        </w:tc>
        <w:tc>
          <w:tcPr>
            <w:tcW w:w="298" w:type="pct"/>
            <w:vMerge w:val="continue"/>
            <w:tcBorders>
              <w:tl2br w:val="nil"/>
              <w:tr2bl w:val="nil"/>
            </w:tcBorders>
            <w:shd w:val="clear" w:color="auto" w:fill="auto"/>
            <w:vAlign w:val="center"/>
          </w:tcPr>
          <w:p w14:paraId="325BFFC4">
            <w:pPr>
              <w:spacing w:line="240" w:lineRule="auto"/>
              <w:jc w:val="center"/>
              <w:rPr>
                <w:rFonts w:hint="eastAsia" w:ascii="宋体" w:hAnsi="宋体" w:eastAsia="宋体" w:cs="宋体"/>
                <w:b/>
                <w:bCs/>
                <w:i w:val="0"/>
                <w:iCs w:val="0"/>
                <w:color w:val="000000"/>
                <w:sz w:val="18"/>
                <w:szCs w:val="18"/>
                <w:highlight w:val="none"/>
                <w:u w:val="none"/>
              </w:rPr>
            </w:pPr>
          </w:p>
        </w:tc>
        <w:tc>
          <w:tcPr>
            <w:tcW w:w="1051" w:type="pct"/>
            <w:vMerge w:val="continue"/>
            <w:tcBorders>
              <w:tl2br w:val="nil"/>
              <w:tr2bl w:val="nil"/>
            </w:tcBorders>
            <w:shd w:val="clear" w:color="auto" w:fill="auto"/>
            <w:vAlign w:val="center"/>
          </w:tcPr>
          <w:p w14:paraId="2E1F3C11">
            <w:pPr>
              <w:spacing w:line="240" w:lineRule="auto"/>
              <w:jc w:val="center"/>
              <w:rPr>
                <w:rFonts w:hint="eastAsia" w:ascii="宋体" w:hAnsi="宋体" w:eastAsia="宋体" w:cs="宋体"/>
                <w:b/>
                <w:bCs/>
                <w:i w:val="0"/>
                <w:iCs w:val="0"/>
                <w:color w:val="000000"/>
                <w:sz w:val="18"/>
                <w:szCs w:val="18"/>
                <w:highlight w:val="none"/>
                <w:u w:val="none"/>
              </w:rPr>
            </w:pPr>
          </w:p>
        </w:tc>
      </w:tr>
      <w:tr w14:paraId="26ACB37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243" w:type="pct"/>
            <w:vMerge w:val="continue"/>
            <w:tcBorders>
              <w:tl2br w:val="nil"/>
              <w:tr2bl w:val="nil"/>
            </w:tcBorders>
            <w:shd w:val="clear" w:color="auto" w:fill="auto"/>
            <w:vAlign w:val="center"/>
          </w:tcPr>
          <w:p w14:paraId="3675DF20">
            <w:pPr>
              <w:spacing w:line="240" w:lineRule="auto"/>
              <w:jc w:val="center"/>
              <w:rPr>
                <w:rFonts w:hint="eastAsia" w:ascii="宋体" w:hAnsi="宋体" w:eastAsia="宋体" w:cs="宋体"/>
                <w:b/>
                <w:bCs/>
                <w:i w:val="0"/>
                <w:iCs w:val="0"/>
                <w:color w:val="000000"/>
                <w:sz w:val="18"/>
                <w:szCs w:val="18"/>
                <w:highlight w:val="none"/>
                <w:u w:val="none"/>
              </w:rPr>
            </w:pPr>
          </w:p>
        </w:tc>
        <w:tc>
          <w:tcPr>
            <w:tcW w:w="326" w:type="pct"/>
            <w:vMerge w:val="continue"/>
            <w:tcBorders>
              <w:tl2br w:val="nil"/>
              <w:tr2bl w:val="nil"/>
            </w:tcBorders>
            <w:shd w:val="clear" w:color="auto" w:fill="auto"/>
            <w:vAlign w:val="center"/>
          </w:tcPr>
          <w:p w14:paraId="4EB49331">
            <w:pPr>
              <w:spacing w:line="240" w:lineRule="auto"/>
              <w:jc w:val="center"/>
              <w:rPr>
                <w:rFonts w:hint="eastAsia" w:ascii="宋体" w:hAnsi="宋体" w:eastAsia="宋体" w:cs="宋体"/>
                <w:b/>
                <w:bCs/>
                <w:i w:val="0"/>
                <w:iCs w:val="0"/>
                <w:color w:val="000000"/>
                <w:sz w:val="18"/>
                <w:szCs w:val="18"/>
                <w:highlight w:val="none"/>
                <w:u w:val="none"/>
              </w:rPr>
            </w:pPr>
          </w:p>
        </w:tc>
        <w:tc>
          <w:tcPr>
            <w:tcW w:w="2559" w:type="pct"/>
            <w:vMerge w:val="continue"/>
            <w:tcBorders>
              <w:tl2br w:val="nil"/>
              <w:tr2bl w:val="nil"/>
            </w:tcBorders>
            <w:shd w:val="clear" w:color="auto" w:fill="auto"/>
            <w:vAlign w:val="center"/>
          </w:tcPr>
          <w:p w14:paraId="1B861C73">
            <w:pPr>
              <w:spacing w:line="240" w:lineRule="auto"/>
              <w:jc w:val="center"/>
              <w:rPr>
                <w:rFonts w:hint="eastAsia" w:ascii="宋体" w:hAnsi="宋体" w:eastAsia="宋体" w:cs="宋体"/>
                <w:b/>
                <w:bCs/>
                <w:i w:val="0"/>
                <w:iCs w:val="0"/>
                <w:color w:val="000000"/>
                <w:sz w:val="18"/>
                <w:szCs w:val="18"/>
                <w:highlight w:val="none"/>
                <w:u w:val="none"/>
              </w:rPr>
            </w:pPr>
          </w:p>
        </w:tc>
        <w:tc>
          <w:tcPr>
            <w:tcW w:w="520" w:type="pct"/>
            <w:vMerge w:val="continue"/>
            <w:tcBorders>
              <w:tl2br w:val="nil"/>
              <w:tr2bl w:val="nil"/>
            </w:tcBorders>
            <w:shd w:val="clear" w:color="auto" w:fill="auto"/>
            <w:vAlign w:val="center"/>
          </w:tcPr>
          <w:p w14:paraId="4FE629FB">
            <w:pPr>
              <w:spacing w:line="240" w:lineRule="auto"/>
              <w:jc w:val="center"/>
              <w:rPr>
                <w:rFonts w:hint="eastAsia" w:ascii="宋体" w:hAnsi="宋体" w:eastAsia="宋体" w:cs="宋体"/>
                <w:b/>
                <w:bCs/>
                <w:i w:val="0"/>
                <w:iCs w:val="0"/>
                <w:color w:val="000000"/>
                <w:sz w:val="18"/>
                <w:szCs w:val="18"/>
                <w:highlight w:val="none"/>
                <w:u w:val="none"/>
              </w:rPr>
            </w:pPr>
          </w:p>
        </w:tc>
        <w:tc>
          <w:tcPr>
            <w:tcW w:w="298" w:type="pct"/>
            <w:vMerge w:val="continue"/>
            <w:tcBorders>
              <w:tl2br w:val="nil"/>
              <w:tr2bl w:val="nil"/>
            </w:tcBorders>
            <w:shd w:val="clear" w:color="auto" w:fill="auto"/>
            <w:vAlign w:val="center"/>
          </w:tcPr>
          <w:p w14:paraId="2306F555">
            <w:pPr>
              <w:spacing w:line="240" w:lineRule="auto"/>
              <w:jc w:val="center"/>
              <w:rPr>
                <w:rFonts w:hint="eastAsia" w:ascii="宋体" w:hAnsi="宋体" w:eastAsia="宋体" w:cs="宋体"/>
                <w:b/>
                <w:bCs/>
                <w:i w:val="0"/>
                <w:iCs w:val="0"/>
                <w:color w:val="000000"/>
                <w:sz w:val="18"/>
                <w:szCs w:val="18"/>
                <w:highlight w:val="none"/>
                <w:u w:val="none"/>
              </w:rPr>
            </w:pPr>
          </w:p>
        </w:tc>
        <w:tc>
          <w:tcPr>
            <w:tcW w:w="1051" w:type="pct"/>
            <w:vMerge w:val="continue"/>
            <w:tcBorders>
              <w:tl2br w:val="nil"/>
              <w:tr2bl w:val="nil"/>
            </w:tcBorders>
            <w:shd w:val="clear" w:color="auto" w:fill="auto"/>
            <w:vAlign w:val="center"/>
          </w:tcPr>
          <w:p w14:paraId="6941F265">
            <w:pPr>
              <w:spacing w:line="240" w:lineRule="auto"/>
              <w:jc w:val="center"/>
              <w:rPr>
                <w:rFonts w:hint="eastAsia" w:ascii="宋体" w:hAnsi="宋体" w:eastAsia="宋体" w:cs="宋体"/>
                <w:b/>
                <w:bCs/>
                <w:i w:val="0"/>
                <w:iCs w:val="0"/>
                <w:color w:val="000000"/>
                <w:sz w:val="18"/>
                <w:szCs w:val="18"/>
                <w:highlight w:val="none"/>
                <w:u w:val="none"/>
              </w:rPr>
            </w:pPr>
          </w:p>
        </w:tc>
      </w:tr>
      <w:tr w14:paraId="5C2F9102">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520" w:hRule="atLeast"/>
        </w:trPr>
        <w:tc>
          <w:tcPr>
            <w:tcW w:w="243" w:type="pct"/>
            <w:tcBorders>
              <w:tl2br w:val="nil"/>
              <w:tr2bl w:val="nil"/>
            </w:tcBorders>
            <w:shd w:val="clear" w:color="auto" w:fill="auto"/>
            <w:vAlign w:val="center"/>
          </w:tcPr>
          <w:p w14:paraId="7322E4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326" w:type="pct"/>
            <w:vMerge w:val="restart"/>
            <w:tcBorders>
              <w:tl2br w:val="nil"/>
              <w:tr2bl w:val="nil"/>
            </w:tcBorders>
            <w:shd w:val="clear" w:color="auto" w:fill="auto"/>
            <w:vAlign w:val="center"/>
          </w:tcPr>
          <w:p w14:paraId="635F457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cs="宋体"/>
                <w:i w:val="0"/>
                <w:iCs w:val="0"/>
                <w:color w:val="000000"/>
                <w:kern w:val="0"/>
                <w:sz w:val="18"/>
                <w:szCs w:val="18"/>
                <w:highlight w:val="none"/>
                <w:u w:val="none"/>
                <w:lang w:val="en-US" w:eastAsia="zh-CN" w:bidi="ar"/>
              </w:rPr>
              <w:t>塔机</w:t>
            </w:r>
            <w:r>
              <w:rPr>
                <w:rFonts w:hint="eastAsia" w:ascii="宋体" w:hAnsi="宋体" w:eastAsia="宋体" w:cs="宋体"/>
                <w:i w:val="0"/>
                <w:iCs w:val="0"/>
                <w:color w:val="000000"/>
                <w:kern w:val="0"/>
                <w:sz w:val="18"/>
                <w:szCs w:val="18"/>
                <w:highlight w:val="none"/>
                <w:u w:val="none"/>
                <w:lang w:val="en-US" w:eastAsia="zh-CN" w:bidi="ar"/>
              </w:rPr>
              <w:t>安装</w:t>
            </w:r>
          </w:p>
        </w:tc>
        <w:tc>
          <w:tcPr>
            <w:tcW w:w="2559" w:type="pct"/>
            <w:tcBorders>
              <w:tl2br w:val="nil"/>
              <w:tr2bl w:val="nil"/>
            </w:tcBorders>
            <w:shd w:val="clear" w:color="auto" w:fill="auto"/>
            <w:vAlign w:val="center"/>
          </w:tcPr>
          <w:p w14:paraId="6B7BFF7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安装前没有对基础进行验收基础周围没有排水设施</w:t>
            </w:r>
          </w:p>
        </w:tc>
        <w:tc>
          <w:tcPr>
            <w:tcW w:w="520" w:type="pct"/>
            <w:tcBorders>
              <w:tl2br w:val="nil"/>
              <w:tr2bl w:val="nil"/>
            </w:tcBorders>
            <w:shd w:val="clear" w:color="auto" w:fill="auto"/>
            <w:vAlign w:val="center"/>
          </w:tcPr>
          <w:p w14:paraId="662D8B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298" w:type="pct"/>
            <w:tcBorders>
              <w:tl2br w:val="nil"/>
              <w:tr2bl w:val="nil"/>
            </w:tcBorders>
            <w:shd w:val="clear" w:color="auto" w:fill="auto"/>
            <w:vAlign w:val="center"/>
          </w:tcPr>
          <w:p w14:paraId="732DF75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2961ECF4">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施工前对场地排水进行检查，验收合格方可施工</w:t>
            </w:r>
          </w:p>
        </w:tc>
      </w:tr>
      <w:tr w14:paraId="098A315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243" w:type="pct"/>
            <w:tcBorders>
              <w:tl2br w:val="nil"/>
              <w:tr2bl w:val="nil"/>
            </w:tcBorders>
            <w:shd w:val="clear" w:color="auto" w:fill="auto"/>
            <w:vAlign w:val="center"/>
          </w:tcPr>
          <w:p w14:paraId="23A3347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326" w:type="pct"/>
            <w:vMerge w:val="continue"/>
            <w:tcBorders>
              <w:tl2br w:val="nil"/>
              <w:tr2bl w:val="nil"/>
            </w:tcBorders>
            <w:shd w:val="clear" w:color="auto" w:fill="auto"/>
            <w:vAlign w:val="center"/>
          </w:tcPr>
          <w:p w14:paraId="75B32C28">
            <w:pPr>
              <w:spacing w:line="240" w:lineRule="auto"/>
              <w:jc w:val="center"/>
              <w:rPr>
                <w:rFonts w:hint="eastAsia" w:ascii="宋体" w:hAnsi="宋体" w:eastAsia="宋体" w:cs="宋体"/>
                <w:i w:val="0"/>
                <w:iCs w:val="0"/>
                <w:color w:val="000000"/>
                <w:sz w:val="18"/>
                <w:szCs w:val="18"/>
                <w:highlight w:val="none"/>
                <w:u w:val="none"/>
              </w:rPr>
            </w:pPr>
          </w:p>
        </w:tc>
        <w:tc>
          <w:tcPr>
            <w:tcW w:w="2559" w:type="pct"/>
            <w:tcBorders>
              <w:tl2br w:val="nil"/>
              <w:tr2bl w:val="nil"/>
            </w:tcBorders>
            <w:shd w:val="clear" w:color="auto" w:fill="auto"/>
            <w:vAlign w:val="center"/>
          </w:tcPr>
          <w:p w14:paraId="5F8D19DE">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安装作业未按照专项方案要求实施安装前未对安装作业人员进行安全技术交底</w:t>
            </w:r>
          </w:p>
        </w:tc>
        <w:tc>
          <w:tcPr>
            <w:tcW w:w="520" w:type="pct"/>
            <w:tcBorders>
              <w:tl2br w:val="nil"/>
              <w:tr2bl w:val="nil"/>
            </w:tcBorders>
            <w:shd w:val="clear" w:color="auto" w:fill="auto"/>
            <w:vAlign w:val="center"/>
          </w:tcPr>
          <w:p w14:paraId="02DADF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298" w:type="pct"/>
            <w:tcBorders>
              <w:tl2br w:val="nil"/>
              <w:tr2bl w:val="nil"/>
            </w:tcBorders>
            <w:shd w:val="clear" w:color="auto" w:fill="auto"/>
            <w:vAlign w:val="center"/>
          </w:tcPr>
          <w:p w14:paraId="742979A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36B791E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施工前落实交底制度，确保每位进场人员全覆盖</w:t>
            </w:r>
          </w:p>
        </w:tc>
      </w:tr>
      <w:tr w14:paraId="529338D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1920" w:hRule="atLeast"/>
        </w:trPr>
        <w:tc>
          <w:tcPr>
            <w:tcW w:w="243" w:type="pct"/>
            <w:tcBorders>
              <w:tl2br w:val="nil"/>
              <w:tr2bl w:val="nil"/>
            </w:tcBorders>
            <w:shd w:val="clear" w:color="auto" w:fill="auto"/>
            <w:vAlign w:val="center"/>
          </w:tcPr>
          <w:p w14:paraId="4837F93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326" w:type="pct"/>
            <w:vMerge w:val="continue"/>
            <w:tcBorders>
              <w:tl2br w:val="nil"/>
              <w:tr2bl w:val="nil"/>
            </w:tcBorders>
            <w:shd w:val="clear" w:color="auto" w:fill="auto"/>
            <w:vAlign w:val="center"/>
          </w:tcPr>
          <w:p w14:paraId="3BC3F884">
            <w:pPr>
              <w:spacing w:line="240" w:lineRule="auto"/>
              <w:jc w:val="center"/>
              <w:rPr>
                <w:rFonts w:hint="eastAsia" w:ascii="宋体" w:hAnsi="宋体" w:eastAsia="宋体" w:cs="宋体"/>
                <w:i w:val="0"/>
                <w:iCs w:val="0"/>
                <w:color w:val="000000"/>
                <w:sz w:val="18"/>
                <w:szCs w:val="18"/>
                <w:highlight w:val="none"/>
                <w:u w:val="none"/>
              </w:rPr>
            </w:pPr>
          </w:p>
        </w:tc>
        <w:tc>
          <w:tcPr>
            <w:tcW w:w="2559" w:type="pct"/>
            <w:tcBorders>
              <w:tl2br w:val="nil"/>
              <w:tr2bl w:val="nil"/>
            </w:tcBorders>
            <w:shd w:val="clear" w:color="auto" w:fill="auto"/>
            <w:vAlign w:val="center"/>
          </w:tcPr>
          <w:p w14:paraId="372578A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升式塔式起重机的顶升加节不符合下列规定：1、顶升系统必须完好，2、构筑物件必须完好，3、顶升前，塔机下支座与顶升套架应可靠连接，4、顶升前，应保持顶升横梁搁置正确，5、顶升前，应将塔机配平顶升过程中应确保塔机的平衡，6、顶升加节的顺序，应符合使用说明书的规定，7、顶升过程中，不应进行起升、回转、变幅等动作，8、顶升结束后，应将标准节与回转下支座可靠连接，9、塔机加节后需附着的，应按照先安装附着装置、后顶升加节的顺序进行，附着装置的位置和支撑点的强度应符合要求</w:t>
            </w:r>
          </w:p>
        </w:tc>
        <w:tc>
          <w:tcPr>
            <w:tcW w:w="520" w:type="pct"/>
            <w:tcBorders>
              <w:tl2br w:val="nil"/>
              <w:tr2bl w:val="nil"/>
            </w:tcBorders>
            <w:shd w:val="clear" w:color="auto" w:fill="auto"/>
            <w:vAlign w:val="center"/>
          </w:tcPr>
          <w:p w14:paraId="6DDCE41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298" w:type="pct"/>
            <w:tcBorders>
              <w:tl2br w:val="nil"/>
              <w:tr2bl w:val="nil"/>
            </w:tcBorders>
            <w:shd w:val="clear" w:color="auto" w:fill="auto"/>
            <w:vAlign w:val="center"/>
          </w:tcPr>
          <w:p w14:paraId="711317F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1D54035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安排专人进行</w:t>
            </w:r>
            <w:r>
              <w:rPr>
                <w:rFonts w:hint="eastAsia" w:cs="宋体"/>
                <w:i w:val="0"/>
                <w:iCs w:val="0"/>
                <w:color w:val="000000"/>
                <w:kern w:val="0"/>
                <w:sz w:val="18"/>
                <w:szCs w:val="18"/>
                <w:highlight w:val="none"/>
                <w:u w:val="none"/>
                <w:lang w:val="en-US" w:eastAsia="zh-CN" w:bidi="ar"/>
              </w:rPr>
              <w:t>塔机</w:t>
            </w:r>
            <w:r>
              <w:rPr>
                <w:rFonts w:hint="eastAsia" w:ascii="宋体" w:hAnsi="宋体" w:eastAsia="宋体" w:cs="宋体"/>
                <w:i w:val="0"/>
                <w:iCs w:val="0"/>
                <w:color w:val="000000"/>
                <w:kern w:val="0"/>
                <w:sz w:val="18"/>
                <w:szCs w:val="18"/>
                <w:highlight w:val="none"/>
                <w:u w:val="none"/>
                <w:lang w:val="en-US" w:eastAsia="zh-CN" w:bidi="ar"/>
              </w:rPr>
              <w:t>安拆工作。安装完成后落实验收程序。报专业机构验收合格后，由项目部组织邀请监理和业主单位进行验收。施工过程中定期进行检查维护，对破损构件及时进行更换。</w:t>
            </w:r>
          </w:p>
        </w:tc>
      </w:tr>
      <w:tr w14:paraId="750597CC">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720" w:hRule="atLeast"/>
        </w:trPr>
        <w:tc>
          <w:tcPr>
            <w:tcW w:w="243" w:type="pct"/>
            <w:tcBorders>
              <w:tl2br w:val="nil"/>
              <w:tr2bl w:val="nil"/>
            </w:tcBorders>
            <w:shd w:val="clear" w:color="auto" w:fill="auto"/>
            <w:vAlign w:val="center"/>
          </w:tcPr>
          <w:p w14:paraId="52D11FC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326" w:type="pct"/>
            <w:tcBorders>
              <w:tl2br w:val="nil"/>
              <w:tr2bl w:val="nil"/>
            </w:tcBorders>
            <w:shd w:val="clear" w:color="auto" w:fill="auto"/>
            <w:vAlign w:val="center"/>
          </w:tcPr>
          <w:p w14:paraId="324EA28A">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交叉</w:t>
            </w:r>
          </w:p>
          <w:p w14:paraId="5A785D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w:t>
            </w:r>
          </w:p>
        </w:tc>
        <w:tc>
          <w:tcPr>
            <w:tcW w:w="2559" w:type="pct"/>
            <w:tcBorders>
              <w:tl2br w:val="nil"/>
              <w:tr2bl w:val="nil"/>
            </w:tcBorders>
            <w:shd w:val="clear" w:color="auto" w:fill="auto"/>
            <w:vAlign w:val="center"/>
          </w:tcPr>
          <w:p w14:paraId="6C20BEE5">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交叉作业时，下层作业的位置没有处于上层作业的坠落半径之外当达不到规定时，没有设置安全防护棚、下方没有设置警戒隔离区</w:t>
            </w:r>
          </w:p>
        </w:tc>
        <w:tc>
          <w:tcPr>
            <w:tcW w:w="520" w:type="pct"/>
            <w:tcBorders>
              <w:tl2br w:val="nil"/>
              <w:tr2bl w:val="nil"/>
            </w:tcBorders>
            <w:shd w:val="clear" w:color="auto" w:fill="auto"/>
            <w:vAlign w:val="center"/>
          </w:tcPr>
          <w:p w14:paraId="2A469ED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298" w:type="pct"/>
            <w:tcBorders>
              <w:tl2br w:val="nil"/>
              <w:tr2bl w:val="nil"/>
            </w:tcBorders>
            <w:shd w:val="clear" w:color="auto" w:fill="auto"/>
            <w:vAlign w:val="center"/>
          </w:tcPr>
          <w:p w14:paraId="7A66937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543E20E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高处作业交叉作业时，如有条件设置防坠网。高处平台小型设备及工具妥善保管。</w:t>
            </w:r>
          </w:p>
        </w:tc>
      </w:tr>
      <w:tr w14:paraId="07241AE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960" w:hRule="atLeast"/>
        </w:trPr>
        <w:tc>
          <w:tcPr>
            <w:tcW w:w="243" w:type="pct"/>
            <w:tcBorders>
              <w:tl2br w:val="nil"/>
              <w:tr2bl w:val="nil"/>
            </w:tcBorders>
            <w:shd w:val="clear" w:color="auto" w:fill="auto"/>
            <w:vAlign w:val="center"/>
          </w:tcPr>
          <w:p w14:paraId="298908F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326" w:type="pct"/>
            <w:tcBorders>
              <w:tl2br w:val="nil"/>
              <w:tr2bl w:val="nil"/>
            </w:tcBorders>
            <w:shd w:val="clear" w:color="auto" w:fill="auto"/>
            <w:vAlign w:val="center"/>
          </w:tcPr>
          <w:p w14:paraId="6F3399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w:t>
            </w:r>
          </w:p>
        </w:tc>
        <w:tc>
          <w:tcPr>
            <w:tcW w:w="2559" w:type="pct"/>
            <w:tcBorders>
              <w:tl2br w:val="nil"/>
              <w:tr2bl w:val="nil"/>
            </w:tcBorders>
            <w:shd w:val="clear" w:color="auto" w:fill="auto"/>
            <w:vAlign w:val="center"/>
          </w:tcPr>
          <w:p w14:paraId="34E8C8A7">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夜间施工时，作业场所未设置照明设备，照度不满足施工要求，光束直接照射机械操作和指挥人员</w:t>
            </w:r>
          </w:p>
        </w:tc>
        <w:tc>
          <w:tcPr>
            <w:tcW w:w="520" w:type="pct"/>
            <w:tcBorders>
              <w:tl2br w:val="nil"/>
              <w:tr2bl w:val="nil"/>
            </w:tcBorders>
            <w:shd w:val="clear" w:color="auto" w:fill="auto"/>
            <w:vAlign w:val="center"/>
          </w:tcPr>
          <w:p w14:paraId="086B54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其它</w:t>
            </w:r>
          </w:p>
        </w:tc>
        <w:tc>
          <w:tcPr>
            <w:tcW w:w="298" w:type="pct"/>
            <w:tcBorders>
              <w:tl2br w:val="nil"/>
              <w:tr2bl w:val="nil"/>
            </w:tcBorders>
            <w:shd w:val="clear" w:color="auto" w:fill="auto"/>
            <w:vAlign w:val="center"/>
          </w:tcPr>
          <w:p w14:paraId="564DA7A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7D09308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夜间施工时，作业场所设置照明设备，光束不直接照射指挥人员，并设置夜间警示标志和警示灯</w:t>
            </w:r>
          </w:p>
        </w:tc>
      </w:tr>
      <w:tr w14:paraId="5FBE179C">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243" w:type="pct"/>
            <w:tcBorders>
              <w:tl2br w:val="nil"/>
              <w:tr2bl w:val="nil"/>
            </w:tcBorders>
            <w:shd w:val="clear" w:color="auto" w:fill="auto"/>
            <w:vAlign w:val="center"/>
          </w:tcPr>
          <w:p w14:paraId="4789D6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326" w:type="pct"/>
            <w:tcBorders>
              <w:tl2br w:val="nil"/>
              <w:tr2bl w:val="nil"/>
            </w:tcBorders>
            <w:shd w:val="clear" w:color="auto" w:fill="auto"/>
            <w:vAlign w:val="center"/>
          </w:tcPr>
          <w:p w14:paraId="7B61243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台风季节施工</w:t>
            </w:r>
          </w:p>
        </w:tc>
        <w:tc>
          <w:tcPr>
            <w:tcW w:w="2559" w:type="pct"/>
            <w:tcBorders>
              <w:tl2br w:val="nil"/>
              <w:tr2bl w:val="nil"/>
            </w:tcBorders>
            <w:shd w:val="clear" w:color="auto" w:fill="auto"/>
            <w:vAlign w:val="center"/>
          </w:tcPr>
          <w:p w14:paraId="196701B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在建工程、机械设备、临时设施、生活和办公用房未做防风加固，排水沟渠不通畅</w:t>
            </w:r>
          </w:p>
        </w:tc>
        <w:tc>
          <w:tcPr>
            <w:tcW w:w="520" w:type="pct"/>
            <w:tcBorders>
              <w:tl2br w:val="nil"/>
              <w:tr2bl w:val="nil"/>
            </w:tcBorders>
            <w:shd w:val="clear" w:color="auto" w:fill="auto"/>
            <w:vAlign w:val="center"/>
          </w:tcPr>
          <w:p w14:paraId="79B7768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自然灾害</w:t>
            </w:r>
          </w:p>
        </w:tc>
        <w:tc>
          <w:tcPr>
            <w:tcW w:w="298" w:type="pct"/>
            <w:tcBorders>
              <w:tl2br w:val="nil"/>
              <w:tr2bl w:val="nil"/>
            </w:tcBorders>
            <w:shd w:val="clear" w:color="auto" w:fill="auto"/>
            <w:vAlign w:val="center"/>
          </w:tcPr>
          <w:p w14:paraId="3FC93A6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51CDE8E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 级以上大风等恶劣天气，脚手架使用前重新进行检查</w:t>
            </w:r>
          </w:p>
        </w:tc>
      </w:tr>
      <w:tr w14:paraId="10CF3B5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720" w:hRule="atLeast"/>
        </w:trPr>
        <w:tc>
          <w:tcPr>
            <w:tcW w:w="243" w:type="pct"/>
            <w:tcBorders>
              <w:tl2br w:val="nil"/>
              <w:tr2bl w:val="nil"/>
            </w:tcBorders>
            <w:shd w:val="clear" w:color="auto" w:fill="auto"/>
            <w:vAlign w:val="center"/>
          </w:tcPr>
          <w:p w14:paraId="7E33136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326" w:type="pct"/>
            <w:tcBorders>
              <w:tl2br w:val="nil"/>
              <w:tr2bl w:val="nil"/>
            </w:tcBorders>
            <w:shd w:val="clear" w:color="auto" w:fill="auto"/>
            <w:vAlign w:val="center"/>
          </w:tcPr>
          <w:p w14:paraId="17059CF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汛期施工</w:t>
            </w:r>
          </w:p>
        </w:tc>
        <w:tc>
          <w:tcPr>
            <w:tcW w:w="2559" w:type="pct"/>
            <w:tcBorders>
              <w:tl2br w:val="nil"/>
              <w:tr2bl w:val="nil"/>
            </w:tcBorders>
            <w:shd w:val="clear" w:color="auto" w:fill="auto"/>
            <w:vAlign w:val="center"/>
          </w:tcPr>
          <w:p w14:paraId="1C7B53F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易发生洪水、泥石流、滑坡等灾害的施工现场未加强观测、预警，发现危险预兆未及时撤离作业人员和施工机械设备</w:t>
            </w:r>
          </w:p>
        </w:tc>
        <w:tc>
          <w:tcPr>
            <w:tcW w:w="520" w:type="pct"/>
            <w:tcBorders>
              <w:tl2br w:val="nil"/>
              <w:tr2bl w:val="nil"/>
            </w:tcBorders>
            <w:shd w:val="clear" w:color="auto" w:fill="auto"/>
            <w:vAlign w:val="center"/>
          </w:tcPr>
          <w:p w14:paraId="4BBEE30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自然灾害</w:t>
            </w:r>
          </w:p>
        </w:tc>
        <w:tc>
          <w:tcPr>
            <w:tcW w:w="298" w:type="pct"/>
            <w:tcBorders>
              <w:tl2br w:val="nil"/>
              <w:tr2bl w:val="nil"/>
            </w:tcBorders>
            <w:shd w:val="clear" w:color="auto" w:fill="auto"/>
            <w:vAlign w:val="center"/>
          </w:tcPr>
          <w:p w14:paraId="75F5EFE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6AA24E75">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做好汛期警戒工作，对易发生洪水、泥石流、滑坡等灾害部位加强观测</w:t>
            </w:r>
          </w:p>
        </w:tc>
      </w:tr>
      <w:bookmarkEnd w:id="15"/>
      <w:bookmarkEnd w:id="16"/>
      <w:bookmarkEnd w:id="17"/>
      <w:bookmarkEnd w:id="18"/>
      <w:bookmarkEnd w:id="19"/>
      <w:bookmarkEnd w:id="20"/>
      <w:bookmarkEnd w:id="21"/>
      <w:bookmarkEnd w:id="22"/>
    </w:tbl>
    <w:p w14:paraId="772A14E9">
      <w:pPr>
        <w:pStyle w:val="2"/>
        <w:bidi w:val="0"/>
        <w:rPr>
          <w:rFonts w:hint="default"/>
          <w:lang w:val="en-US" w:eastAsia="zh-CN"/>
        </w:rPr>
      </w:pPr>
      <w:bookmarkStart w:id="48" w:name="_Toc30716"/>
      <w:bookmarkStart w:id="49" w:name="_Toc11726"/>
      <w:bookmarkStart w:id="50" w:name="_Toc9485"/>
      <w:bookmarkStart w:id="51" w:name="_Toc21041"/>
      <w:bookmarkStart w:id="52" w:name="_Toc27309"/>
      <w:bookmarkStart w:id="53" w:name="_Toc7330"/>
      <w:bookmarkStart w:id="54" w:name="_Toc31164"/>
      <w:bookmarkStart w:id="55" w:name="_Toc31520"/>
      <w:bookmarkStart w:id="56" w:name="_Toc6988"/>
      <w:bookmarkStart w:id="57" w:name="_Toc26987"/>
      <w:r>
        <w:rPr>
          <w:rFonts w:hint="eastAsia"/>
          <w:lang w:val="en-US" w:eastAsia="zh-CN"/>
        </w:rPr>
        <w:t xml:space="preserve">3 </w:t>
      </w:r>
      <w:bookmarkEnd w:id="48"/>
      <w:bookmarkEnd w:id="49"/>
      <w:bookmarkEnd w:id="50"/>
      <w:bookmarkEnd w:id="51"/>
      <w:bookmarkEnd w:id="52"/>
      <w:bookmarkEnd w:id="53"/>
      <w:bookmarkEnd w:id="54"/>
      <w:bookmarkEnd w:id="55"/>
      <w:bookmarkEnd w:id="56"/>
      <w:bookmarkStart w:id="58" w:name="_Toc29719"/>
      <w:bookmarkStart w:id="59" w:name="_Toc31245"/>
      <w:bookmarkStart w:id="60" w:name="_Toc15366"/>
      <w:bookmarkStart w:id="61" w:name="_Toc30796"/>
      <w:bookmarkStart w:id="62" w:name="_Toc16131"/>
      <w:bookmarkStart w:id="63" w:name="_Toc20022"/>
      <w:bookmarkStart w:id="64" w:name="_Toc24962"/>
      <w:bookmarkStart w:id="65" w:name="_Toc29111"/>
      <w:bookmarkStart w:id="66" w:name="_Toc23915"/>
      <w:r>
        <w:rPr>
          <w:rFonts w:hint="eastAsia"/>
          <w:lang w:val="en-US" w:eastAsia="zh-CN"/>
        </w:rPr>
        <w:t>质量安全环保要求</w:t>
      </w:r>
      <w:bookmarkEnd w:id="57"/>
      <w:bookmarkEnd w:id="58"/>
    </w:p>
    <w:p w14:paraId="1302DAAF">
      <w:pPr>
        <w:bidi w:val="0"/>
        <w:jc w:val="center"/>
        <w:rPr>
          <w:rFonts w:hint="eastAsia"/>
          <w:lang w:val="en-US" w:eastAsia="zh-CN"/>
        </w:rPr>
      </w:pPr>
      <w:r>
        <w:rPr>
          <w:rFonts w:hint="eastAsia"/>
          <w:lang w:val="en-US" w:eastAsia="zh-CN"/>
        </w:rPr>
        <w:t>表3-1 质量、安全、环保注意事项</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1633"/>
        <w:gridCol w:w="6023"/>
      </w:tblGrid>
      <w:tr w14:paraId="157B1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920" w:type="dxa"/>
            <w:shd w:val="clear" w:color="auto" w:fill="auto"/>
            <w:vAlign w:val="center"/>
          </w:tcPr>
          <w:p w14:paraId="44697E09">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序号</w:t>
            </w:r>
          </w:p>
        </w:tc>
        <w:tc>
          <w:tcPr>
            <w:tcW w:w="1782" w:type="dxa"/>
            <w:shd w:val="clear" w:color="auto" w:fill="auto"/>
            <w:vAlign w:val="center"/>
          </w:tcPr>
          <w:p w14:paraId="4E0A56A1">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类  别</w:t>
            </w:r>
          </w:p>
        </w:tc>
        <w:tc>
          <w:tcPr>
            <w:tcW w:w="6613" w:type="dxa"/>
            <w:shd w:val="clear" w:color="auto" w:fill="auto"/>
            <w:vAlign w:val="center"/>
          </w:tcPr>
          <w:p w14:paraId="6243AE9D">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要  求</w:t>
            </w:r>
          </w:p>
        </w:tc>
      </w:tr>
      <w:tr w14:paraId="67E44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920" w:type="dxa"/>
            <w:shd w:val="clear" w:color="auto" w:fill="auto"/>
            <w:vAlign w:val="center"/>
          </w:tcPr>
          <w:p w14:paraId="16A5451E">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1</w:t>
            </w:r>
          </w:p>
        </w:tc>
        <w:tc>
          <w:tcPr>
            <w:tcW w:w="1782" w:type="dxa"/>
            <w:shd w:val="clear" w:color="auto" w:fill="auto"/>
            <w:vAlign w:val="center"/>
          </w:tcPr>
          <w:p w14:paraId="7BEEF930">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施工质量</w:t>
            </w:r>
          </w:p>
        </w:tc>
        <w:tc>
          <w:tcPr>
            <w:tcW w:w="6613" w:type="dxa"/>
            <w:shd w:val="clear" w:color="auto" w:fill="auto"/>
            <w:vAlign w:val="center"/>
          </w:tcPr>
          <w:p w14:paraId="1A1E8EB8">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（1）地基承载力需符合设计文件要求，混凝土强度等级、钢筋配置及预埋件位置偏差需严格把控，基础验收合格后方可进行塔机安装。</w:t>
            </w:r>
          </w:p>
          <w:p w14:paraId="7F247D50">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w:t>
            </w:r>
            <w:r>
              <w:rPr>
                <w:rFonts w:hint="eastAsia" w:cs="Times New Roman"/>
                <w:kern w:val="2"/>
                <w:sz w:val="21"/>
                <w:szCs w:val="20"/>
                <w:lang w:val="en-US" w:eastAsia="zh-CN" w:bidi="ar-SA"/>
              </w:rPr>
              <w:t>2</w:t>
            </w:r>
            <w:r>
              <w:rPr>
                <w:rFonts w:hint="eastAsia" w:ascii="Calibri" w:hAnsi="Calibri" w:eastAsia="宋体" w:cs="Times New Roman"/>
                <w:kern w:val="2"/>
                <w:sz w:val="21"/>
                <w:szCs w:val="20"/>
                <w:lang w:val="en-US" w:eastAsia="zh-CN" w:bidi="ar-SA"/>
              </w:rPr>
              <w:t>）塔身、起重臂、平衡臂等构件的连接螺栓需按规定扭矩紧固，销轴安装到位并固定，构件安装垂直度偏差应在规范允许范围内（如塔身垂直度≤1/1000）。</w:t>
            </w:r>
          </w:p>
          <w:p w14:paraId="46A2273A">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w:t>
            </w:r>
            <w:r>
              <w:rPr>
                <w:rFonts w:hint="eastAsia" w:cs="Times New Roman"/>
                <w:kern w:val="2"/>
                <w:sz w:val="21"/>
                <w:szCs w:val="20"/>
                <w:lang w:val="en-US" w:eastAsia="zh-CN" w:bidi="ar-SA"/>
              </w:rPr>
              <w:t>3</w:t>
            </w:r>
            <w:r>
              <w:rPr>
                <w:rFonts w:hint="eastAsia" w:ascii="Calibri" w:hAnsi="Calibri" w:eastAsia="宋体" w:cs="Times New Roman"/>
                <w:kern w:val="2"/>
                <w:sz w:val="21"/>
                <w:szCs w:val="20"/>
                <w:lang w:val="en-US" w:eastAsia="zh-CN" w:bidi="ar-SA"/>
              </w:rPr>
              <w:t>）起升、变幅、回转、顶升等机构运行需平稳，无卡滞、异响，制动系统灵敏可靠，各限位开关（高度、幅度、重量等）安装准确且功能正常。</w:t>
            </w:r>
          </w:p>
          <w:p w14:paraId="506DFAD2">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w:t>
            </w:r>
            <w:r>
              <w:rPr>
                <w:rFonts w:hint="eastAsia" w:cs="Times New Roman"/>
                <w:kern w:val="2"/>
                <w:sz w:val="21"/>
                <w:szCs w:val="20"/>
                <w:lang w:val="en-US" w:eastAsia="zh-CN" w:bidi="ar-SA"/>
              </w:rPr>
              <w:t>4</w:t>
            </w:r>
            <w:r>
              <w:rPr>
                <w:rFonts w:hint="eastAsia" w:ascii="Calibri" w:hAnsi="Calibri" w:eastAsia="宋体" w:cs="Times New Roman"/>
                <w:kern w:val="2"/>
                <w:sz w:val="21"/>
                <w:szCs w:val="20"/>
                <w:lang w:val="en-US" w:eastAsia="zh-CN" w:bidi="ar-SA"/>
              </w:rPr>
              <w:t>）电气线路连接正确、绝缘良好，接地电阻符合要求（≤4Ω），控制柜、操作台等设备运行正常，照明及信号装置齐全有效。</w:t>
            </w:r>
          </w:p>
        </w:tc>
      </w:tr>
      <w:tr w14:paraId="4A3C9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jc w:val="center"/>
        </w:trPr>
        <w:tc>
          <w:tcPr>
            <w:tcW w:w="920" w:type="dxa"/>
            <w:shd w:val="clear" w:color="auto" w:fill="auto"/>
            <w:vAlign w:val="center"/>
          </w:tcPr>
          <w:p w14:paraId="194C622C">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2</w:t>
            </w:r>
          </w:p>
        </w:tc>
        <w:tc>
          <w:tcPr>
            <w:tcW w:w="1782" w:type="dxa"/>
            <w:shd w:val="clear" w:color="auto" w:fill="auto"/>
            <w:vAlign w:val="center"/>
          </w:tcPr>
          <w:p w14:paraId="55849A1D">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施工安全</w:t>
            </w:r>
          </w:p>
        </w:tc>
        <w:tc>
          <w:tcPr>
            <w:tcW w:w="6613" w:type="dxa"/>
            <w:shd w:val="clear" w:color="auto" w:fill="auto"/>
            <w:vAlign w:val="center"/>
          </w:tcPr>
          <w:p w14:paraId="31B940E8">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（1）安装人员需持有效特种作业操作证上岗，作业前进行安全技术交底，明确岗位职责及风险防控措施。</w:t>
            </w:r>
          </w:p>
          <w:p w14:paraId="03B79EDF">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（2）安装区域设置警戒线及警示标志，禁止无关人员进入；高空作业人员需系好安全带，佩戴安全帽，作业平台及临边防护符合安全标准。</w:t>
            </w:r>
          </w:p>
          <w:p w14:paraId="4F310C4A">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（3）安装前对塔机构件、钢丝绳、吊钩、滑轮等进行检查，确保无变形、裂纹、磨损超标等缺陷，起重机械性能完好。</w:t>
            </w:r>
          </w:p>
          <w:p w14:paraId="2DDF318B">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（4）严格按照安装方案及操作规程作业，避免超载、斜拉歪吊等违规操作；遇大风、暴雨、浓雾等恶劣天气，停止安装作业。</w:t>
            </w:r>
          </w:p>
          <w:p w14:paraId="0D0302A9">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（5）安装完成后需经第三方检测机构检测合格，取得使用登记证书后方可投入使用，定期进行维护保养和安全检查。</w:t>
            </w:r>
          </w:p>
        </w:tc>
      </w:tr>
      <w:tr w14:paraId="2DE3C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920" w:type="dxa"/>
            <w:shd w:val="clear" w:color="auto" w:fill="auto"/>
            <w:vAlign w:val="center"/>
          </w:tcPr>
          <w:p w14:paraId="505BD980">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3</w:t>
            </w:r>
          </w:p>
        </w:tc>
        <w:tc>
          <w:tcPr>
            <w:tcW w:w="1782" w:type="dxa"/>
            <w:shd w:val="clear" w:color="auto" w:fill="auto"/>
            <w:vAlign w:val="center"/>
          </w:tcPr>
          <w:p w14:paraId="38DADFC7">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环境保护</w:t>
            </w:r>
          </w:p>
        </w:tc>
        <w:tc>
          <w:tcPr>
            <w:tcW w:w="6613" w:type="dxa"/>
            <w:shd w:val="clear" w:color="auto" w:fill="auto"/>
            <w:vAlign w:val="center"/>
          </w:tcPr>
          <w:p w14:paraId="6DDA2FFD">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（1）安装过程中选用低噪声设备，合理安排作业时间，避免夜间施工（特殊情况需办理夜间施工许可），减少对周边环境的噪声污染。</w:t>
            </w:r>
          </w:p>
          <w:p w14:paraId="3CBDC318">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（2）施工现场场地平整，对裸露地面进行覆盖或洒水降尘；构件运输及堆放过程中避免扬尘，车辆出场前冲洗轮胎，防止带泥上路。</w:t>
            </w:r>
          </w:p>
          <w:p w14:paraId="35A70D80">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（3）安装过程中产生的废螺栓、废钢丝绳、废包装物等废弃物需分类收集，交由专业机构处理，禁止随意丢弃。</w:t>
            </w:r>
          </w:p>
          <w:p w14:paraId="2301EAFE">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（4）对塔机液压系统、润滑系统等可能产生油污泄漏的部位进行检查和防护，避免油污污染土壤和水体，泄漏油污及时清理收集。</w:t>
            </w:r>
          </w:p>
        </w:tc>
      </w:tr>
    </w:tbl>
    <w:p w14:paraId="034053BA">
      <w:pPr>
        <w:bidi w:val="0"/>
        <w:rPr>
          <w:rFonts w:hint="default"/>
          <w:lang w:val="en-US" w:eastAsia="zh-CN"/>
        </w:rPr>
      </w:pPr>
    </w:p>
    <w:p w14:paraId="1D624AD7">
      <w:pPr>
        <w:pStyle w:val="2"/>
        <w:tabs>
          <w:tab w:val="left" w:pos="420"/>
        </w:tabs>
        <w:bidi w:val="0"/>
        <w:rPr>
          <w:rFonts w:hint="default"/>
          <w:lang w:val="en-US" w:eastAsia="zh-CN"/>
        </w:rPr>
      </w:pPr>
      <w:bookmarkStart w:id="67" w:name="_Toc19152"/>
      <w:r>
        <w:rPr>
          <w:rFonts w:hint="eastAsia"/>
          <w:lang w:val="en-US" w:eastAsia="zh-CN"/>
        </w:rPr>
        <w:t xml:space="preserve">4 </w:t>
      </w:r>
      <w:bookmarkStart w:id="68" w:name="_Toc8800"/>
      <w:bookmarkStart w:id="69" w:name="_Toc4123"/>
      <w:bookmarkStart w:id="70" w:name="_Toc17113"/>
      <w:r>
        <w:rPr>
          <w:rFonts w:hint="eastAsia"/>
          <w:lang w:val="en-US" w:eastAsia="zh-CN"/>
        </w:rPr>
        <w:t>施工管理及作业人员配备和分工</w:t>
      </w:r>
      <w:bookmarkEnd w:id="67"/>
      <w:bookmarkEnd w:id="68"/>
      <w:bookmarkEnd w:id="69"/>
      <w:bookmarkEnd w:id="70"/>
    </w:p>
    <w:bookmarkEnd w:id="59"/>
    <w:bookmarkEnd w:id="60"/>
    <w:bookmarkEnd w:id="61"/>
    <w:bookmarkEnd w:id="62"/>
    <w:bookmarkEnd w:id="63"/>
    <w:bookmarkEnd w:id="64"/>
    <w:bookmarkEnd w:id="65"/>
    <w:bookmarkEnd w:id="66"/>
    <w:p w14:paraId="3E012C69">
      <w:pPr>
        <w:pStyle w:val="3"/>
        <w:bidi w:val="0"/>
        <w:rPr>
          <w:rFonts w:hint="eastAsia"/>
          <w:lang w:val="en-US" w:eastAsia="zh-CN"/>
        </w:rPr>
      </w:pPr>
      <w:bookmarkStart w:id="71" w:name="_Toc25139"/>
      <w:bookmarkStart w:id="72" w:name="_Toc15688"/>
      <w:bookmarkStart w:id="73" w:name="_Toc28760"/>
      <w:bookmarkStart w:id="74" w:name="_Toc19396"/>
      <w:bookmarkStart w:id="75" w:name="_Toc25098"/>
      <w:bookmarkStart w:id="76" w:name="_Toc15900"/>
      <w:bookmarkStart w:id="77" w:name="_Toc16617"/>
      <w:bookmarkStart w:id="78" w:name="_Toc21160"/>
      <w:bookmarkStart w:id="79" w:name="_Toc19965"/>
      <w:bookmarkStart w:id="80" w:name="_Toc28929"/>
      <w:bookmarkStart w:id="81" w:name="_Toc29051"/>
      <w:bookmarkStart w:id="82" w:name="_Toc2793"/>
      <w:bookmarkStart w:id="83" w:name="_Toc26638"/>
      <w:bookmarkStart w:id="84" w:name="_Toc9611"/>
      <w:bookmarkStart w:id="85" w:name="_Toc9260"/>
      <w:bookmarkStart w:id="86" w:name="_Toc11245"/>
      <w:bookmarkStart w:id="87" w:name="_Toc27413"/>
      <w:bookmarkStart w:id="88" w:name="_Toc19188"/>
      <w:bookmarkStart w:id="89" w:name="_Toc11753"/>
      <w:bookmarkStart w:id="90" w:name="_Toc15633"/>
      <w:bookmarkStart w:id="91" w:name="_Toc15920"/>
      <w:bookmarkStart w:id="92" w:name="_Toc20398"/>
      <w:r>
        <w:rPr>
          <w:rFonts w:hint="eastAsia"/>
          <w:lang w:val="en-US" w:eastAsia="zh-CN"/>
        </w:rPr>
        <w:t xml:space="preserve">4.1 </w:t>
      </w:r>
      <w:bookmarkEnd w:id="71"/>
      <w:bookmarkEnd w:id="72"/>
      <w:bookmarkEnd w:id="73"/>
      <w:bookmarkEnd w:id="74"/>
      <w:bookmarkEnd w:id="75"/>
      <w:bookmarkEnd w:id="76"/>
      <w:bookmarkEnd w:id="77"/>
      <w:bookmarkEnd w:id="78"/>
      <w:r>
        <w:rPr>
          <w:rFonts w:hint="eastAsia"/>
          <w:lang w:val="en-US" w:eastAsia="zh-CN"/>
        </w:rPr>
        <w:t>施工组织机构</w:t>
      </w:r>
      <w:bookmarkEnd w:id="79"/>
      <w:bookmarkEnd w:id="80"/>
    </w:p>
    <w:p w14:paraId="21BB1141">
      <w:pPr>
        <w:pStyle w:val="46"/>
        <w:spacing w:before="156"/>
        <w:ind w:left="0" w:leftChars="0" w:firstLine="0" w:firstLineChars="0"/>
        <w:jc w:val="both"/>
        <w:rPr>
          <w:highlight w:val="none"/>
        </w:rPr>
      </w:pPr>
      <w:r>
        <w:rPr>
          <w:highlight w:val="none"/>
        </w:rPr>
        <w:drawing>
          <wp:inline distT="0" distB="0" distL="0" distR="0">
            <wp:extent cx="5168900" cy="2413635"/>
            <wp:effectExtent l="0" t="0" r="12700" b="5715"/>
            <wp:docPr id="18" name="图片 1124"/>
            <wp:cNvGraphicFramePr/>
            <a:graphic xmlns:a="http://schemas.openxmlformats.org/drawingml/2006/main">
              <a:graphicData uri="http://schemas.openxmlformats.org/drawingml/2006/picture">
                <pic:pic xmlns:pic="http://schemas.openxmlformats.org/drawingml/2006/picture">
                  <pic:nvPicPr>
                    <pic:cNvPr id="18" name="图片 1124"/>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168900" cy="2413635"/>
                    </a:xfrm>
                    <a:prstGeom prst="rect">
                      <a:avLst/>
                    </a:prstGeom>
                    <a:noFill/>
                    <a:ln>
                      <a:noFill/>
                    </a:ln>
                  </pic:spPr>
                </pic:pic>
              </a:graphicData>
            </a:graphic>
          </wp:inline>
        </w:drawing>
      </w:r>
    </w:p>
    <w:p w14:paraId="2C97CF18">
      <w:pPr>
        <w:pStyle w:val="15"/>
        <w:bidi w:val="0"/>
        <w:rPr>
          <w:rFonts w:hint="eastAsia" w:ascii="仿宋" w:hAnsi="仿宋" w:eastAsia="仿宋" w:cs="仿宋"/>
          <w:b/>
          <w:bCs/>
          <w:color w:val="C00000"/>
          <w:kern w:val="2"/>
          <w:szCs w:val="24"/>
          <w:highlight w:val="none"/>
          <w:lang w:val="en-US" w:eastAsia="zh-CN" w:bidi="ar-SA"/>
        </w:rPr>
      </w:pPr>
      <w:r>
        <w:rPr>
          <w:rFonts w:hint="eastAsia"/>
          <w:highlight w:val="none"/>
          <w:lang w:val="en-US" w:eastAsia="zh-CN"/>
        </w:rPr>
        <w:t>图4.1-1 施工组织机构图</w:t>
      </w:r>
    </w:p>
    <w:p w14:paraId="5E1D446B">
      <w:pPr>
        <w:pStyle w:val="3"/>
        <w:bidi w:val="0"/>
        <w:rPr>
          <w:rFonts w:hint="default"/>
          <w:lang w:val="en-US" w:eastAsia="zh-CN"/>
        </w:rPr>
      </w:pPr>
      <w:bookmarkStart w:id="93" w:name="_Toc13716"/>
      <w:bookmarkStart w:id="94" w:name="_Toc31040"/>
      <w:bookmarkStart w:id="95" w:name="_Toc15724"/>
      <w:bookmarkStart w:id="96" w:name="_Toc13715"/>
      <w:bookmarkStart w:id="97" w:name="_Toc5092"/>
      <w:bookmarkStart w:id="98" w:name="_Toc25453"/>
      <w:bookmarkStart w:id="99" w:name="_Toc25658"/>
      <w:bookmarkStart w:id="100" w:name="_Toc7987"/>
      <w:bookmarkStart w:id="101" w:name="_Toc19018"/>
      <w:bookmarkStart w:id="102" w:name="_Toc27393"/>
      <w:r>
        <w:rPr>
          <w:rFonts w:hint="eastAsia"/>
          <w:lang w:val="en-US" w:eastAsia="zh-CN"/>
        </w:rPr>
        <w:t xml:space="preserve">4.2 </w:t>
      </w:r>
      <w:bookmarkEnd w:id="93"/>
      <w:bookmarkEnd w:id="94"/>
      <w:bookmarkEnd w:id="95"/>
      <w:bookmarkEnd w:id="96"/>
      <w:bookmarkEnd w:id="97"/>
      <w:bookmarkEnd w:id="98"/>
      <w:bookmarkEnd w:id="99"/>
      <w:bookmarkEnd w:id="100"/>
      <w:r>
        <w:rPr>
          <w:rFonts w:hint="eastAsia"/>
          <w:lang w:val="en-US" w:eastAsia="zh-CN"/>
        </w:rPr>
        <w:t>人员配置</w:t>
      </w:r>
      <w:bookmarkEnd w:id="101"/>
      <w:bookmarkEnd w:id="102"/>
    </w:p>
    <w:p w14:paraId="2BBBAF3E">
      <w:pPr>
        <w:pStyle w:val="15"/>
        <w:ind w:firstLine="422"/>
        <w:jc w:val="center"/>
        <w:rPr>
          <w:rFonts w:ascii="Times New Roman" w:hAnsi="Times New Roman" w:eastAsia="宋体"/>
          <w:b/>
          <w:color w:val="auto"/>
          <w:sz w:val="21"/>
          <w:szCs w:val="24"/>
        </w:rPr>
      </w:pPr>
      <w:r>
        <w:rPr>
          <w:rFonts w:hint="eastAsia" w:ascii="Times New Roman" w:hAnsi="Times New Roman" w:eastAsia="宋体"/>
          <w:b/>
          <w:color w:val="auto"/>
          <w:sz w:val="21"/>
          <w:szCs w:val="24"/>
          <w:lang w:eastAsia="zh-CN"/>
        </w:rPr>
        <w:t>表</w:t>
      </w:r>
      <w:r>
        <w:rPr>
          <w:rFonts w:hint="eastAsia" w:ascii="Times New Roman" w:hAnsi="Times New Roman" w:eastAsia="宋体"/>
          <w:b/>
          <w:color w:val="auto"/>
          <w:sz w:val="21"/>
          <w:szCs w:val="24"/>
          <w:lang w:val="en-US" w:eastAsia="zh-CN"/>
        </w:rPr>
        <w:t>4.2</w:t>
      </w:r>
      <w:r>
        <w:rPr>
          <w:rFonts w:ascii="Times New Roman" w:hAnsi="Times New Roman" w:eastAsia="宋体"/>
          <w:b/>
          <w:color w:val="auto"/>
          <w:sz w:val="21"/>
          <w:szCs w:val="24"/>
        </w:rPr>
        <w:noBreakHyphen/>
      </w:r>
      <w:r>
        <w:rPr>
          <w:rFonts w:ascii="Times New Roman" w:hAnsi="Times New Roman" w:eastAsia="宋体"/>
          <w:b/>
          <w:color w:val="auto"/>
          <w:sz w:val="21"/>
          <w:szCs w:val="24"/>
        </w:rPr>
        <w:fldChar w:fldCharType="begin"/>
      </w:r>
      <w:r>
        <w:rPr>
          <w:rFonts w:ascii="Times New Roman" w:hAnsi="Times New Roman" w:eastAsia="宋体"/>
          <w:b/>
          <w:color w:val="auto"/>
          <w:sz w:val="21"/>
          <w:szCs w:val="24"/>
        </w:rPr>
        <w:instrText xml:space="preserve"> SEQ 表 \* ARABIC \s 2 </w:instrText>
      </w:r>
      <w:r>
        <w:rPr>
          <w:rFonts w:ascii="Times New Roman" w:hAnsi="Times New Roman" w:eastAsia="宋体"/>
          <w:b/>
          <w:color w:val="auto"/>
          <w:sz w:val="21"/>
          <w:szCs w:val="24"/>
        </w:rPr>
        <w:fldChar w:fldCharType="separate"/>
      </w:r>
      <w:r>
        <w:rPr>
          <w:rFonts w:ascii="Times New Roman" w:hAnsi="Times New Roman" w:eastAsia="宋体"/>
          <w:b/>
          <w:color w:val="auto"/>
          <w:sz w:val="21"/>
          <w:szCs w:val="24"/>
        </w:rPr>
        <w:t>1</w:t>
      </w:r>
      <w:r>
        <w:rPr>
          <w:rFonts w:ascii="Times New Roman" w:hAnsi="Times New Roman" w:eastAsia="宋体"/>
          <w:b/>
          <w:color w:val="auto"/>
          <w:sz w:val="21"/>
          <w:szCs w:val="24"/>
        </w:rPr>
        <w:fldChar w:fldCharType="end"/>
      </w:r>
      <w:r>
        <w:rPr>
          <w:rFonts w:ascii="Times New Roman" w:hAnsi="Times New Roman" w:eastAsia="宋体"/>
          <w:b/>
          <w:color w:val="auto"/>
          <w:sz w:val="21"/>
          <w:szCs w:val="24"/>
        </w:rPr>
        <w:t xml:space="preserve">  </w:t>
      </w:r>
      <w:r>
        <w:rPr>
          <w:rFonts w:hint="eastAsia" w:ascii="Times New Roman" w:hAnsi="Times New Roman" w:eastAsia="宋体"/>
          <w:b/>
          <w:color w:val="auto"/>
          <w:sz w:val="21"/>
          <w:szCs w:val="24"/>
        </w:rPr>
        <w:t>项目主要管理人员配备</w:t>
      </w:r>
      <w:r>
        <w:rPr>
          <w:rFonts w:ascii="Times New Roman" w:hAnsi="Times New Roman" w:eastAsia="宋体"/>
          <w:b/>
          <w:color w:val="auto"/>
          <w:sz w:val="21"/>
          <w:szCs w:val="24"/>
        </w:rPr>
        <w:t>表</w:t>
      </w:r>
    </w:p>
    <w:tbl>
      <w:tblPr>
        <w:tblStyle w:val="28"/>
        <w:tblW w:w="9025"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1"/>
        <w:gridCol w:w="1171"/>
        <w:gridCol w:w="6353"/>
      </w:tblGrid>
      <w:tr w14:paraId="704EDE6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01" w:type="dxa"/>
            <w:tcBorders>
              <w:tl2br w:val="nil"/>
              <w:tr2bl w:val="nil"/>
            </w:tcBorders>
            <w:shd w:val="clear" w:color="auto" w:fill="D6DCE5" w:themeFill="text2" w:themeFillTint="32"/>
            <w:vAlign w:val="center"/>
          </w:tcPr>
          <w:p w14:paraId="43610380">
            <w:pPr>
              <w:pStyle w:val="3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职 务</w:t>
            </w:r>
          </w:p>
        </w:tc>
        <w:tc>
          <w:tcPr>
            <w:tcW w:w="1171" w:type="dxa"/>
            <w:tcBorders>
              <w:tl2br w:val="nil"/>
              <w:tr2bl w:val="nil"/>
            </w:tcBorders>
            <w:shd w:val="clear" w:color="auto" w:fill="D6DCE5" w:themeFill="text2" w:themeFillTint="32"/>
            <w:vAlign w:val="center"/>
          </w:tcPr>
          <w:p w14:paraId="530B1012">
            <w:pPr>
              <w:pStyle w:val="3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姓 名</w:t>
            </w:r>
          </w:p>
        </w:tc>
        <w:tc>
          <w:tcPr>
            <w:tcW w:w="6353" w:type="dxa"/>
            <w:tcBorders>
              <w:tl2br w:val="nil"/>
              <w:tr2bl w:val="nil"/>
            </w:tcBorders>
            <w:shd w:val="clear" w:color="auto" w:fill="D6DCE5" w:themeFill="text2" w:themeFillTint="32"/>
            <w:vAlign w:val="center"/>
          </w:tcPr>
          <w:p w14:paraId="1727ADEB">
            <w:pPr>
              <w:pStyle w:val="3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工 作 职 责</w:t>
            </w:r>
          </w:p>
        </w:tc>
      </w:tr>
      <w:tr w14:paraId="2A4EC91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01" w:type="dxa"/>
            <w:tcBorders>
              <w:tl2br w:val="nil"/>
              <w:tr2bl w:val="nil"/>
            </w:tcBorders>
            <w:vAlign w:val="center"/>
          </w:tcPr>
          <w:p w14:paraId="228C313C">
            <w:pPr>
              <w:pStyle w:val="3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项目负责人</w:t>
            </w:r>
          </w:p>
        </w:tc>
        <w:tc>
          <w:tcPr>
            <w:tcW w:w="1171" w:type="dxa"/>
            <w:tcBorders>
              <w:tl2br w:val="nil"/>
              <w:tr2bl w:val="nil"/>
            </w:tcBorders>
            <w:vAlign w:val="center"/>
          </w:tcPr>
          <w:p w14:paraId="18C3B791">
            <w:pPr>
              <w:pStyle w:val="3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宋体" w:hAnsi="宋体" w:eastAsia="宋体" w:cs="宋体"/>
                <w:color w:val="auto"/>
                <w:sz w:val="21"/>
                <w:szCs w:val="21"/>
                <w:lang w:val="en-US" w:eastAsia="zh-CN"/>
              </w:rPr>
            </w:pPr>
            <w:r>
              <w:rPr>
                <w:rFonts w:hint="eastAsia" w:cs="宋体"/>
                <w:color w:val="auto"/>
                <w:sz w:val="21"/>
                <w:szCs w:val="21"/>
                <w:lang w:val="en-US" w:eastAsia="zh-CN"/>
              </w:rPr>
              <w:t>彭善忠</w:t>
            </w:r>
          </w:p>
        </w:tc>
        <w:tc>
          <w:tcPr>
            <w:tcW w:w="6353" w:type="dxa"/>
            <w:tcBorders>
              <w:tl2br w:val="nil"/>
              <w:tr2bl w:val="nil"/>
            </w:tcBorders>
            <w:vAlign w:val="center"/>
          </w:tcPr>
          <w:p w14:paraId="508D13C4">
            <w:pPr>
              <w:pStyle w:val="38"/>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负责整个项目实施，保证工期、质量安全处于受控状态。</w:t>
            </w:r>
          </w:p>
        </w:tc>
      </w:tr>
      <w:tr w14:paraId="1E54AC9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01" w:type="dxa"/>
            <w:tcBorders>
              <w:tl2br w:val="nil"/>
              <w:tr2bl w:val="nil"/>
            </w:tcBorders>
            <w:vAlign w:val="center"/>
          </w:tcPr>
          <w:p w14:paraId="3C0F1386">
            <w:pPr>
              <w:pStyle w:val="3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技术负责人</w:t>
            </w:r>
          </w:p>
        </w:tc>
        <w:tc>
          <w:tcPr>
            <w:tcW w:w="1171" w:type="dxa"/>
            <w:tcBorders>
              <w:tl2br w:val="nil"/>
              <w:tr2bl w:val="nil"/>
            </w:tcBorders>
            <w:vAlign w:val="center"/>
          </w:tcPr>
          <w:p w14:paraId="781B95B1">
            <w:pPr>
              <w:pStyle w:val="3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宋体" w:hAnsi="宋体" w:eastAsia="宋体" w:cs="宋体"/>
                <w:color w:val="auto"/>
                <w:sz w:val="21"/>
                <w:szCs w:val="21"/>
                <w:lang w:val="en-US" w:eastAsia="zh-CN"/>
              </w:rPr>
            </w:pPr>
            <w:r>
              <w:rPr>
                <w:rFonts w:hint="eastAsia" w:cs="宋体"/>
                <w:color w:val="auto"/>
                <w:sz w:val="21"/>
                <w:szCs w:val="21"/>
                <w:lang w:val="en-US" w:eastAsia="zh-CN"/>
              </w:rPr>
              <w:t>温涛</w:t>
            </w:r>
          </w:p>
        </w:tc>
        <w:tc>
          <w:tcPr>
            <w:tcW w:w="6353" w:type="dxa"/>
            <w:tcBorders>
              <w:tl2br w:val="nil"/>
              <w:tr2bl w:val="nil"/>
            </w:tcBorders>
            <w:vAlign w:val="center"/>
          </w:tcPr>
          <w:p w14:paraId="4613C718">
            <w:pPr>
              <w:pStyle w:val="38"/>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负责技术方案制定，确保方案的正确性，科学性和可行性。</w:t>
            </w:r>
          </w:p>
        </w:tc>
      </w:tr>
    </w:tbl>
    <w:p w14:paraId="2C147DCB">
      <w:pPr>
        <w:pStyle w:val="43"/>
        <w:rPr>
          <w:rFonts w:hint="eastAsia"/>
          <w:color w:val="auto"/>
        </w:rPr>
      </w:pPr>
    </w:p>
    <w:p w14:paraId="767DCD54">
      <w:pPr>
        <w:pStyle w:val="46"/>
        <w:spacing w:before="156"/>
        <w:ind w:firstLine="422"/>
        <w:jc w:val="center"/>
        <w:rPr>
          <w:rFonts w:hint="eastAsia" w:ascii="宋体" w:hAnsi="宋体" w:eastAsia="宋体" w:cs="黑体"/>
          <w:b/>
          <w:color w:val="auto"/>
          <w:sz w:val="21"/>
          <w:szCs w:val="21"/>
          <w:lang w:val="en-US" w:eastAsia="zh-CN"/>
        </w:rPr>
      </w:pPr>
      <w:bookmarkStart w:id="103" w:name="_Toc10028"/>
      <w:bookmarkStart w:id="104" w:name="_Toc1349054167"/>
      <w:bookmarkStart w:id="105" w:name="_Toc17383790"/>
      <w:r>
        <w:rPr>
          <w:rFonts w:hint="eastAsia" w:ascii="宋体" w:hAnsi="宋体" w:eastAsia="宋体" w:cs="黑体"/>
          <w:b/>
          <w:color w:val="auto"/>
          <w:sz w:val="21"/>
          <w:szCs w:val="21"/>
        </w:rPr>
        <w:t>表</w:t>
      </w:r>
      <w:r>
        <w:rPr>
          <w:rFonts w:hint="eastAsia" w:ascii="宋体" w:hAnsi="宋体" w:eastAsia="宋体" w:cs="黑体"/>
          <w:b/>
          <w:color w:val="auto"/>
          <w:sz w:val="21"/>
          <w:szCs w:val="21"/>
          <w:lang w:val="en-US" w:eastAsia="zh-CN"/>
        </w:rPr>
        <w:t>4</w:t>
      </w:r>
      <w:r>
        <w:rPr>
          <w:rFonts w:ascii="宋体" w:hAnsi="宋体" w:eastAsia="宋体" w:cs="黑体"/>
          <w:b/>
          <w:color w:val="auto"/>
          <w:sz w:val="21"/>
          <w:szCs w:val="21"/>
        </w:rPr>
        <w:t>.2-</w:t>
      </w:r>
      <w:r>
        <w:rPr>
          <w:rFonts w:hint="eastAsia" w:ascii="宋体" w:hAnsi="宋体" w:eastAsia="宋体" w:cs="黑体"/>
          <w:b/>
          <w:color w:val="auto"/>
          <w:sz w:val="21"/>
          <w:szCs w:val="21"/>
          <w:lang w:val="en-US" w:eastAsia="zh-CN"/>
        </w:rPr>
        <w:t>2安装单位人员分工一览表</w:t>
      </w:r>
    </w:p>
    <w:tbl>
      <w:tblPr>
        <w:tblStyle w:val="28"/>
        <w:tblW w:w="9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1221"/>
        <w:gridCol w:w="6270"/>
      </w:tblGrid>
      <w:tr w14:paraId="11B45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1527" w:type="dxa"/>
            <w:tcBorders>
              <w:top w:val="single" w:color="auto" w:sz="12" w:space="0"/>
              <w:left w:val="single" w:color="auto" w:sz="12" w:space="0"/>
            </w:tcBorders>
            <w:noWrap w:val="0"/>
            <w:vAlign w:val="center"/>
          </w:tcPr>
          <w:p w14:paraId="01EA14D4">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职 务</w:t>
            </w:r>
          </w:p>
        </w:tc>
        <w:tc>
          <w:tcPr>
            <w:tcW w:w="1221" w:type="dxa"/>
            <w:tcBorders>
              <w:top w:val="single" w:color="auto" w:sz="12" w:space="0"/>
            </w:tcBorders>
            <w:noWrap w:val="0"/>
            <w:vAlign w:val="center"/>
          </w:tcPr>
          <w:p w14:paraId="4CF7005F">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姓 名</w:t>
            </w:r>
          </w:p>
        </w:tc>
        <w:tc>
          <w:tcPr>
            <w:tcW w:w="6270" w:type="dxa"/>
            <w:tcBorders>
              <w:top w:val="single" w:color="auto" w:sz="12" w:space="0"/>
              <w:right w:val="single" w:color="auto" w:sz="12" w:space="0"/>
            </w:tcBorders>
            <w:noWrap w:val="0"/>
            <w:vAlign w:val="center"/>
          </w:tcPr>
          <w:p w14:paraId="41DB40A2">
            <w:pPr>
              <w:adjustRightInd w:val="0"/>
              <w:spacing w:line="240" w:lineRule="auto"/>
              <w:ind w:firstLine="233" w:firstLineChars="111"/>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工 作 职 责</w:t>
            </w:r>
          </w:p>
        </w:tc>
      </w:tr>
      <w:tr w14:paraId="43BFF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jc w:val="center"/>
        </w:trPr>
        <w:tc>
          <w:tcPr>
            <w:tcW w:w="1527" w:type="dxa"/>
            <w:tcBorders>
              <w:left w:val="single" w:color="auto" w:sz="12" w:space="0"/>
            </w:tcBorders>
            <w:noWrap w:val="0"/>
            <w:vAlign w:val="center"/>
          </w:tcPr>
          <w:p w14:paraId="2EE43F34">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项目负责人</w:t>
            </w:r>
          </w:p>
        </w:tc>
        <w:tc>
          <w:tcPr>
            <w:tcW w:w="1221" w:type="dxa"/>
            <w:noWrap w:val="0"/>
            <w:vAlign w:val="center"/>
          </w:tcPr>
          <w:p w14:paraId="6A95725B">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cs="宋体"/>
                <w:color w:val="auto"/>
                <w:sz w:val="21"/>
                <w:szCs w:val="21"/>
                <w:lang w:val="en-US" w:eastAsia="zh-CN"/>
              </w:rPr>
              <w:t>彭善忠</w:t>
            </w:r>
          </w:p>
        </w:tc>
        <w:tc>
          <w:tcPr>
            <w:tcW w:w="6270" w:type="dxa"/>
            <w:tcBorders>
              <w:right w:val="single" w:color="auto" w:sz="12" w:space="0"/>
            </w:tcBorders>
            <w:noWrap w:val="0"/>
            <w:vAlign w:val="center"/>
          </w:tcPr>
          <w:p w14:paraId="0B17EDBF">
            <w:pPr>
              <w:spacing w:line="240" w:lineRule="auto"/>
              <w:ind w:firstLine="0" w:firstLineChars="0"/>
              <w:rPr>
                <w:rFonts w:hint="eastAsia" w:ascii="宋体" w:hAnsi="宋体" w:eastAsia="宋体" w:cs="宋体"/>
                <w:bCs/>
                <w:color w:val="auto"/>
                <w:sz w:val="21"/>
                <w:szCs w:val="21"/>
              </w:rPr>
            </w:pPr>
            <w:r>
              <w:rPr>
                <w:rFonts w:hint="eastAsia" w:ascii="宋体" w:hAnsi="宋体" w:eastAsia="宋体" w:cs="宋体"/>
                <w:bCs/>
                <w:color w:val="auto"/>
                <w:sz w:val="21"/>
                <w:szCs w:val="21"/>
              </w:rPr>
              <w:t>负责该项目的施工计划、组织和协调，对</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全过程的安全负全责</w:t>
            </w:r>
          </w:p>
        </w:tc>
      </w:tr>
      <w:tr w14:paraId="76F65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1527" w:type="dxa"/>
            <w:tcBorders>
              <w:left w:val="single" w:color="auto" w:sz="12" w:space="0"/>
            </w:tcBorders>
            <w:noWrap w:val="0"/>
            <w:vAlign w:val="center"/>
          </w:tcPr>
          <w:p w14:paraId="41DFF96A">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技术负责人</w:t>
            </w:r>
          </w:p>
        </w:tc>
        <w:tc>
          <w:tcPr>
            <w:tcW w:w="1221" w:type="dxa"/>
            <w:noWrap w:val="0"/>
            <w:vAlign w:val="top"/>
          </w:tcPr>
          <w:p w14:paraId="61214E2F">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cs="宋体"/>
                <w:color w:val="auto"/>
                <w:sz w:val="21"/>
                <w:szCs w:val="21"/>
                <w:lang w:val="en-US" w:eastAsia="zh-CN"/>
              </w:rPr>
              <w:t>温涛</w:t>
            </w:r>
          </w:p>
        </w:tc>
        <w:tc>
          <w:tcPr>
            <w:tcW w:w="6270" w:type="dxa"/>
            <w:tcBorders>
              <w:right w:val="single" w:color="auto" w:sz="12" w:space="0"/>
            </w:tcBorders>
            <w:noWrap w:val="0"/>
            <w:vAlign w:val="center"/>
          </w:tcPr>
          <w:p w14:paraId="255D8DAF">
            <w:pPr>
              <w:adjustRightInd w:val="0"/>
              <w:spacing w:line="240" w:lineRule="auto"/>
              <w:ind w:firstLine="0" w:firstLineChars="0"/>
              <w:rPr>
                <w:rFonts w:hint="eastAsia" w:ascii="宋体" w:hAnsi="宋体" w:eastAsia="宋体" w:cs="宋体"/>
                <w:bCs/>
                <w:color w:val="auto"/>
                <w:sz w:val="21"/>
                <w:szCs w:val="21"/>
              </w:rPr>
            </w:pPr>
            <w:r>
              <w:rPr>
                <w:rFonts w:hint="eastAsia" w:ascii="宋体" w:hAnsi="宋体" w:eastAsia="宋体" w:cs="宋体"/>
                <w:bCs/>
                <w:color w:val="auto"/>
                <w:sz w:val="21"/>
                <w:szCs w:val="21"/>
              </w:rPr>
              <w:t>负责组织人员按</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工艺规程及塔机使用说明书要求进行作业，负责每日的工作安排，安全交底、工作记录，制止任何违章作业。</w:t>
            </w:r>
          </w:p>
        </w:tc>
      </w:tr>
      <w:tr w14:paraId="57E15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27" w:type="dxa"/>
            <w:tcBorders>
              <w:left w:val="single" w:color="auto" w:sz="12" w:space="0"/>
            </w:tcBorders>
            <w:noWrap w:val="0"/>
            <w:vAlign w:val="center"/>
          </w:tcPr>
          <w:p w14:paraId="4479054D">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cs="宋体"/>
                <w:bCs/>
                <w:color w:val="auto"/>
                <w:sz w:val="21"/>
                <w:szCs w:val="21"/>
                <w:lang w:val="en-US" w:eastAsia="zh-CN"/>
              </w:rPr>
              <w:t>专职安全员</w:t>
            </w:r>
          </w:p>
        </w:tc>
        <w:tc>
          <w:tcPr>
            <w:tcW w:w="1221" w:type="dxa"/>
            <w:noWrap w:val="0"/>
            <w:vAlign w:val="top"/>
          </w:tcPr>
          <w:p w14:paraId="1A583671">
            <w:pPr>
              <w:ind w:left="0" w:leftChars="0" w:firstLine="0" w:firstLineChars="0"/>
              <w:jc w:val="center"/>
              <w:rPr>
                <w:rFonts w:hint="eastAsia" w:ascii="宋体" w:hAnsi="宋体" w:cs="宋体"/>
                <w:bCs/>
                <w:color w:val="auto"/>
                <w:sz w:val="21"/>
                <w:szCs w:val="21"/>
                <w:lang w:val="en-US" w:eastAsia="zh-CN"/>
              </w:rPr>
            </w:pPr>
            <w:r>
              <w:rPr>
                <w:rFonts w:hint="eastAsia" w:cs="Times New Roman"/>
                <w:color w:val="auto"/>
                <w:sz w:val="21"/>
                <w:szCs w:val="21"/>
                <w:lang w:val="en-US" w:eastAsia="zh-CN"/>
              </w:rPr>
              <w:t>白美富</w:t>
            </w:r>
          </w:p>
        </w:tc>
        <w:tc>
          <w:tcPr>
            <w:tcW w:w="6270" w:type="dxa"/>
            <w:tcBorders>
              <w:right w:val="single" w:color="auto" w:sz="12" w:space="0"/>
            </w:tcBorders>
            <w:noWrap w:val="0"/>
            <w:vAlign w:val="center"/>
          </w:tcPr>
          <w:p w14:paraId="38921E1B">
            <w:pPr>
              <w:adjustRightInd w:val="0"/>
              <w:spacing w:line="240" w:lineRule="auto"/>
              <w:ind w:firstLine="0" w:firstLineChars="0"/>
              <w:jc w:val="center"/>
              <w:rPr>
                <w:rFonts w:hint="eastAsia" w:ascii="宋体" w:hAnsi="宋体" w:eastAsia="宋体" w:cs="宋体"/>
                <w:bCs/>
                <w:color w:val="auto"/>
                <w:sz w:val="21"/>
                <w:szCs w:val="21"/>
              </w:rPr>
            </w:pPr>
            <w:r>
              <w:rPr>
                <w:rFonts w:hint="eastAsia" w:ascii="Times New Roman" w:hAnsi="Times New Roman" w:eastAsia="宋体" w:cs="Times New Roman"/>
                <w:b w:val="0"/>
                <w:color w:val="000000"/>
                <w:kern w:val="2"/>
                <w:sz w:val="21"/>
                <w:szCs w:val="21"/>
                <w:lang w:val="en-US" w:eastAsia="zh-CN" w:bidi="ar-SA"/>
              </w:rPr>
              <w:t>负责现场安全管理</w:t>
            </w:r>
          </w:p>
        </w:tc>
      </w:tr>
      <w:tr w14:paraId="3439E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19EF7562">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人员</w:t>
            </w:r>
          </w:p>
        </w:tc>
        <w:tc>
          <w:tcPr>
            <w:tcW w:w="1221" w:type="dxa"/>
            <w:noWrap w:val="0"/>
            <w:vAlign w:val="top"/>
          </w:tcPr>
          <w:p w14:paraId="3E0D9D3A">
            <w:pPr>
              <w:ind w:left="0" w:leftChars="0" w:firstLine="0" w:firstLineChars="0"/>
              <w:jc w:val="center"/>
              <w:rPr>
                <w:rFonts w:hint="eastAsia" w:ascii="宋体" w:hAnsi="宋体" w:eastAsia="宋体" w:cs="宋体"/>
                <w:bCs/>
                <w:color w:val="auto"/>
                <w:sz w:val="21"/>
                <w:szCs w:val="21"/>
                <w:u w:val="single"/>
              </w:rPr>
            </w:pPr>
            <w:r>
              <w:rPr>
                <w:rFonts w:hint="eastAsia" w:cs="Times New Roman"/>
                <w:color w:val="auto"/>
                <w:sz w:val="21"/>
                <w:szCs w:val="21"/>
                <w:lang w:val="en-US" w:eastAsia="zh-CN"/>
              </w:rPr>
              <w:t>黄科</w:t>
            </w:r>
          </w:p>
        </w:tc>
        <w:tc>
          <w:tcPr>
            <w:tcW w:w="6270" w:type="dxa"/>
            <w:tcBorders>
              <w:right w:val="single" w:color="auto" w:sz="12" w:space="0"/>
            </w:tcBorders>
            <w:noWrap w:val="0"/>
            <w:vAlign w:val="center"/>
          </w:tcPr>
          <w:p w14:paraId="48BC2AAB">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254B2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42325010">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人员</w:t>
            </w:r>
          </w:p>
        </w:tc>
        <w:tc>
          <w:tcPr>
            <w:tcW w:w="1221" w:type="dxa"/>
            <w:noWrap w:val="0"/>
            <w:vAlign w:val="top"/>
          </w:tcPr>
          <w:p w14:paraId="7FD55213">
            <w:pPr>
              <w:ind w:left="0" w:leftChars="0" w:firstLine="0" w:firstLineChars="0"/>
              <w:jc w:val="center"/>
              <w:rPr>
                <w:rFonts w:hint="eastAsia" w:ascii="宋体" w:hAnsi="宋体" w:eastAsia="宋体" w:cs="宋体"/>
                <w:bCs/>
                <w:color w:val="auto"/>
                <w:sz w:val="21"/>
                <w:szCs w:val="21"/>
              </w:rPr>
            </w:pPr>
            <w:r>
              <w:rPr>
                <w:rFonts w:hint="eastAsia" w:cs="Times New Roman"/>
                <w:color w:val="auto"/>
                <w:sz w:val="21"/>
                <w:szCs w:val="21"/>
                <w:lang w:val="en-US" w:eastAsia="zh-CN"/>
              </w:rPr>
              <w:t>徐刚</w:t>
            </w:r>
          </w:p>
        </w:tc>
        <w:tc>
          <w:tcPr>
            <w:tcW w:w="6270" w:type="dxa"/>
            <w:tcBorders>
              <w:right w:val="single" w:color="auto" w:sz="12" w:space="0"/>
            </w:tcBorders>
            <w:noWrap w:val="0"/>
            <w:vAlign w:val="center"/>
          </w:tcPr>
          <w:p w14:paraId="4D375F9A">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7A2C6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7ABFC5F4">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人员</w:t>
            </w:r>
          </w:p>
        </w:tc>
        <w:tc>
          <w:tcPr>
            <w:tcW w:w="1221" w:type="dxa"/>
            <w:noWrap w:val="0"/>
            <w:vAlign w:val="top"/>
          </w:tcPr>
          <w:p w14:paraId="62899756">
            <w:pPr>
              <w:ind w:left="0" w:leftChars="0" w:firstLine="0" w:firstLineChars="0"/>
              <w:jc w:val="center"/>
              <w:rPr>
                <w:rFonts w:hint="eastAsia" w:ascii="宋体" w:hAnsi="宋体" w:eastAsia="宋体" w:cs="宋体"/>
                <w:bCs/>
                <w:color w:val="auto"/>
                <w:sz w:val="21"/>
                <w:szCs w:val="21"/>
              </w:rPr>
            </w:pPr>
            <w:r>
              <w:rPr>
                <w:rFonts w:hint="eastAsia"/>
                <w:lang w:val="en-US" w:eastAsia="zh-CN"/>
              </w:rPr>
              <w:t>陈刚</w:t>
            </w:r>
          </w:p>
        </w:tc>
        <w:tc>
          <w:tcPr>
            <w:tcW w:w="6270" w:type="dxa"/>
            <w:tcBorders>
              <w:right w:val="single" w:color="auto" w:sz="12" w:space="0"/>
            </w:tcBorders>
            <w:noWrap w:val="0"/>
            <w:vAlign w:val="center"/>
          </w:tcPr>
          <w:p w14:paraId="1E795393">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65ED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02363B7E">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人员</w:t>
            </w:r>
          </w:p>
        </w:tc>
        <w:tc>
          <w:tcPr>
            <w:tcW w:w="1221" w:type="dxa"/>
            <w:noWrap w:val="0"/>
            <w:vAlign w:val="top"/>
          </w:tcPr>
          <w:p w14:paraId="67825EAB">
            <w:pPr>
              <w:ind w:left="0" w:leftChars="0" w:firstLine="0" w:firstLineChars="0"/>
              <w:jc w:val="center"/>
              <w:rPr>
                <w:rFonts w:hint="eastAsia" w:ascii="宋体" w:hAnsi="宋体" w:eastAsia="宋体" w:cs="宋体"/>
                <w:bCs/>
                <w:color w:val="auto"/>
                <w:sz w:val="21"/>
                <w:szCs w:val="21"/>
              </w:rPr>
            </w:pPr>
            <w:r>
              <w:rPr>
                <w:rFonts w:hint="default" w:ascii="Times New Roman" w:hAnsi="Times New Roman" w:cs="Times New Roman"/>
                <w:color w:val="auto"/>
                <w:sz w:val="21"/>
                <w:szCs w:val="21"/>
                <w:lang w:val="en-US" w:eastAsia="zh-CN"/>
              </w:rPr>
              <w:t>黄仁训</w:t>
            </w:r>
          </w:p>
        </w:tc>
        <w:tc>
          <w:tcPr>
            <w:tcW w:w="6270" w:type="dxa"/>
            <w:tcBorders>
              <w:right w:val="single" w:color="auto" w:sz="12" w:space="0"/>
            </w:tcBorders>
            <w:noWrap w:val="0"/>
            <w:vAlign w:val="center"/>
          </w:tcPr>
          <w:p w14:paraId="09C7D415">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5D20C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2A941E97">
            <w:pPr>
              <w:adjustRightInd w:val="0"/>
              <w:spacing w:line="240" w:lineRule="auto"/>
              <w:ind w:firstLine="0" w:firstLineChars="0"/>
              <w:jc w:val="center"/>
              <w:rPr>
                <w:rFonts w:hint="eastAsia" w:ascii="宋体" w:hAnsi="宋体" w:eastAsia="宋体" w:cs="宋体"/>
                <w:bCs/>
                <w:color w:val="auto"/>
                <w:sz w:val="21"/>
                <w:szCs w:val="21"/>
                <w:lang w:eastAsia="zh-CN"/>
              </w:rPr>
            </w:pPr>
            <w:r>
              <w:rPr>
                <w:rFonts w:hint="eastAsia" w:ascii="宋体" w:hAnsi="宋体" w:eastAsia="宋体" w:cs="宋体"/>
                <w:color w:val="auto"/>
                <w:sz w:val="21"/>
                <w:szCs w:val="21"/>
                <w:lang w:eastAsia="zh-CN"/>
              </w:rPr>
              <w:t>电工</w:t>
            </w:r>
          </w:p>
        </w:tc>
        <w:tc>
          <w:tcPr>
            <w:tcW w:w="1221" w:type="dxa"/>
            <w:noWrap w:val="0"/>
            <w:vAlign w:val="top"/>
          </w:tcPr>
          <w:p w14:paraId="05458947">
            <w:pPr>
              <w:ind w:left="0" w:leftChars="0" w:firstLine="0" w:firstLineChars="0"/>
              <w:jc w:val="center"/>
              <w:rPr>
                <w:rFonts w:hint="eastAsia" w:ascii="宋体" w:hAnsi="宋体" w:eastAsia="宋体" w:cs="宋体"/>
                <w:bCs/>
                <w:color w:val="auto"/>
                <w:sz w:val="21"/>
                <w:szCs w:val="21"/>
                <w:lang w:eastAsia="zh-CN"/>
              </w:rPr>
            </w:pPr>
            <w:r>
              <w:rPr>
                <w:rFonts w:hint="eastAsia" w:ascii="Times New Roman" w:hAnsi="Times New Roman" w:cs="Times New Roman"/>
                <w:lang w:val="en-US" w:eastAsia="zh-CN"/>
              </w:rPr>
              <w:t>明</w:t>
            </w:r>
            <w:r>
              <w:rPr>
                <w:rFonts w:hint="eastAsia" w:ascii="Times New Roman" w:hAnsi="Times New Roman" w:eastAsia="宋体" w:cs="Times New Roman"/>
                <w:lang w:val="en-US" w:eastAsia="zh-CN"/>
              </w:rPr>
              <w:t>兴富</w:t>
            </w:r>
          </w:p>
        </w:tc>
        <w:tc>
          <w:tcPr>
            <w:tcW w:w="6270" w:type="dxa"/>
            <w:tcBorders>
              <w:right w:val="single" w:color="auto" w:sz="12" w:space="0"/>
            </w:tcBorders>
            <w:noWrap w:val="0"/>
            <w:vAlign w:val="center"/>
          </w:tcPr>
          <w:p w14:paraId="34CCB63D">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color w:val="auto"/>
                <w:sz w:val="21"/>
                <w:szCs w:val="21"/>
              </w:rPr>
              <w:t>负责现场设备的电气安装、恢复、调试</w:t>
            </w:r>
          </w:p>
        </w:tc>
      </w:tr>
      <w:bookmarkEnd w:id="103"/>
      <w:bookmarkEnd w:id="104"/>
      <w:bookmarkEnd w:id="105"/>
    </w:tbl>
    <w:p w14:paraId="02E30AB9">
      <w:pPr>
        <w:pStyle w:val="46"/>
        <w:spacing w:before="156"/>
        <w:ind w:firstLine="422"/>
        <w:jc w:val="center"/>
        <w:rPr>
          <w:color w:val="auto"/>
        </w:rPr>
      </w:pPr>
      <w:r>
        <w:rPr>
          <w:rFonts w:hint="eastAsia" w:ascii="宋体" w:hAnsi="宋体" w:eastAsia="宋体" w:cs="黑体"/>
          <w:b/>
          <w:color w:val="auto"/>
          <w:sz w:val="21"/>
          <w:szCs w:val="21"/>
        </w:rPr>
        <w:t>表</w:t>
      </w:r>
      <w:r>
        <w:rPr>
          <w:rFonts w:hint="eastAsia" w:ascii="宋体" w:hAnsi="宋体" w:eastAsia="宋体" w:cs="黑体"/>
          <w:b/>
          <w:color w:val="auto"/>
          <w:sz w:val="21"/>
          <w:szCs w:val="21"/>
          <w:lang w:val="en-US" w:eastAsia="zh-CN"/>
        </w:rPr>
        <w:t>4</w:t>
      </w:r>
      <w:r>
        <w:rPr>
          <w:rFonts w:ascii="宋体" w:hAnsi="宋体" w:eastAsia="宋体" w:cs="黑体"/>
          <w:b/>
          <w:color w:val="auto"/>
          <w:sz w:val="21"/>
          <w:szCs w:val="21"/>
        </w:rPr>
        <w:t>.2-</w:t>
      </w:r>
      <w:r>
        <w:rPr>
          <w:rFonts w:hint="eastAsia" w:ascii="宋体" w:hAnsi="宋体" w:eastAsia="宋体" w:cs="黑体"/>
          <w:b/>
          <w:color w:val="auto"/>
          <w:sz w:val="21"/>
          <w:szCs w:val="21"/>
          <w:lang w:val="en-US" w:eastAsia="zh-CN"/>
        </w:rPr>
        <w:t>3</w:t>
      </w:r>
      <w:r>
        <w:rPr>
          <w:rFonts w:hint="eastAsia" w:ascii="宋体" w:hAnsi="宋体" w:eastAsia="宋体" w:cs="黑体"/>
          <w:b/>
          <w:color w:val="auto"/>
          <w:sz w:val="21"/>
          <w:szCs w:val="21"/>
          <w:lang w:eastAsia="zh-CN"/>
        </w:rPr>
        <w:t>安装</w:t>
      </w:r>
      <w:r>
        <w:rPr>
          <w:rFonts w:ascii="宋体" w:hAnsi="宋体" w:eastAsia="宋体" w:cs="黑体"/>
          <w:b/>
          <w:color w:val="auto"/>
          <w:sz w:val="21"/>
          <w:szCs w:val="21"/>
        </w:rPr>
        <w:t>作业人员</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898"/>
        <w:gridCol w:w="675"/>
        <w:gridCol w:w="1345"/>
        <w:gridCol w:w="2592"/>
        <w:gridCol w:w="2334"/>
      </w:tblGrid>
      <w:tr w14:paraId="411BF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396" w:type="pct"/>
          </w:tcPr>
          <w:p w14:paraId="081FFDE9">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序号</w:t>
            </w:r>
          </w:p>
        </w:tc>
        <w:tc>
          <w:tcPr>
            <w:tcW w:w="527" w:type="pct"/>
          </w:tcPr>
          <w:p w14:paraId="02ED0649">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姓名</w:t>
            </w:r>
          </w:p>
        </w:tc>
        <w:tc>
          <w:tcPr>
            <w:tcW w:w="396" w:type="pct"/>
          </w:tcPr>
          <w:p w14:paraId="545BA882">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性别</w:t>
            </w:r>
          </w:p>
        </w:tc>
        <w:tc>
          <w:tcPr>
            <w:tcW w:w="789" w:type="pct"/>
          </w:tcPr>
          <w:p w14:paraId="7A34E3CB">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工种</w:t>
            </w:r>
          </w:p>
        </w:tc>
        <w:tc>
          <w:tcPr>
            <w:tcW w:w="1521" w:type="pct"/>
          </w:tcPr>
          <w:p w14:paraId="50113E08">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证件编号</w:t>
            </w:r>
          </w:p>
        </w:tc>
        <w:tc>
          <w:tcPr>
            <w:tcW w:w="1369" w:type="pct"/>
          </w:tcPr>
          <w:p w14:paraId="3D229C4B">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身份证号</w:t>
            </w:r>
          </w:p>
        </w:tc>
      </w:tr>
      <w:tr w14:paraId="66718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396" w:type="pct"/>
            <w:vAlign w:val="top"/>
          </w:tcPr>
          <w:p w14:paraId="51787CCA">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527" w:type="pct"/>
            <w:vAlign w:val="center"/>
          </w:tcPr>
          <w:p w14:paraId="28317B57">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彭善忠</w:t>
            </w:r>
          </w:p>
        </w:tc>
        <w:tc>
          <w:tcPr>
            <w:tcW w:w="396" w:type="pct"/>
            <w:vAlign w:val="top"/>
          </w:tcPr>
          <w:p w14:paraId="3181431E">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男</w:t>
            </w:r>
          </w:p>
        </w:tc>
        <w:tc>
          <w:tcPr>
            <w:tcW w:w="789" w:type="pct"/>
            <w:vAlign w:val="top"/>
          </w:tcPr>
          <w:p w14:paraId="4C1D91C5">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default" w:ascii="Times New Roman" w:hAnsi="Times New Roman" w:eastAsia="宋体" w:cstheme="minorBidi"/>
                <w:b w:val="0"/>
                <w:color w:val="000000"/>
                <w:lang w:val="en-US" w:eastAsia="zh-CN"/>
              </w:rPr>
              <w:t>项目负责人</w:t>
            </w:r>
          </w:p>
        </w:tc>
        <w:tc>
          <w:tcPr>
            <w:tcW w:w="1521" w:type="pct"/>
            <w:vAlign w:val="center"/>
          </w:tcPr>
          <w:p w14:paraId="2A509EE3">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鲁230001133100304</w:t>
            </w:r>
          </w:p>
        </w:tc>
        <w:tc>
          <w:tcPr>
            <w:tcW w:w="1369" w:type="pct"/>
            <w:vAlign w:val="center"/>
          </w:tcPr>
          <w:p w14:paraId="4D349654">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512223197508214798</w:t>
            </w:r>
          </w:p>
        </w:tc>
      </w:tr>
      <w:tr w14:paraId="18AE1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396" w:type="pct"/>
            <w:vAlign w:val="top"/>
          </w:tcPr>
          <w:p w14:paraId="4AAB9DED">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527" w:type="pct"/>
            <w:vAlign w:val="center"/>
          </w:tcPr>
          <w:p w14:paraId="6B64B73E">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温涛</w:t>
            </w:r>
          </w:p>
        </w:tc>
        <w:tc>
          <w:tcPr>
            <w:tcW w:w="396" w:type="pct"/>
            <w:vAlign w:val="top"/>
          </w:tcPr>
          <w:p w14:paraId="0758012E">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default" w:ascii="Times New Roman" w:hAnsi="Times New Roman" w:eastAsia="宋体" w:cstheme="minorBidi"/>
                <w:b w:val="0"/>
                <w:color w:val="000000"/>
                <w:lang w:val="en-US" w:eastAsia="zh-CN"/>
              </w:rPr>
              <w:t>男</w:t>
            </w:r>
          </w:p>
        </w:tc>
        <w:tc>
          <w:tcPr>
            <w:tcW w:w="789" w:type="pct"/>
            <w:vAlign w:val="top"/>
          </w:tcPr>
          <w:p w14:paraId="64840BB2">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default" w:ascii="Times New Roman" w:hAnsi="Times New Roman" w:eastAsia="宋体" w:cstheme="minorBidi"/>
                <w:b w:val="0"/>
                <w:color w:val="000000"/>
                <w:lang w:val="en-US" w:eastAsia="zh-CN"/>
              </w:rPr>
              <w:t>技术负责人</w:t>
            </w:r>
          </w:p>
        </w:tc>
        <w:tc>
          <w:tcPr>
            <w:tcW w:w="1521" w:type="pct"/>
            <w:vAlign w:val="center"/>
          </w:tcPr>
          <w:p w14:paraId="127B859A">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鲁200100033201097</w:t>
            </w:r>
          </w:p>
        </w:tc>
        <w:tc>
          <w:tcPr>
            <w:tcW w:w="1369" w:type="pct"/>
            <w:vAlign w:val="center"/>
          </w:tcPr>
          <w:p w14:paraId="27D3E383">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412801198705060316</w:t>
            </w:r>
          </w:p>
        </w:tc>
      </w:tr>
      <w:tr w14:paraId="4994C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396" w:type="pct"/>
            <w:vAlign w:val="top"/>
          </w:tcPr>
          <w:p w14:paraId="51F6D6B3">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527" w:type="pct"/>
            <w:vAlign w:val="center"/>
          </w:tcPr>
          <w:p w14:paraId="436DC8B7">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eastAsia"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白美富</w:t>
            </w:r>
          </w:p>
        </w:tc>
        <w:tc>
          <w:tcPr>
            <w:tcW w:w="396" w:type="pct"/>
            <w:vAlign w:val="top"/>
          </w:tcPr>
          <w:p w14:paraId="6DFA066D">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Style w:val="47"/>
                <w:rFonts w:hint="default" w:ascii="Times New Roman" w:hAnsi="Times New Roman" w:eastAsia="宋体" w:cstheme="minorBidi"/>
                <w:b w:val="0"/>
                <w:color w:val="000000"/>
                <w:lang w:val="en-US" w:eastAsia="zh-CN"/>
              </w:rPr>
            </w:pPr>
            <w:r>
              <w:rPr>
                <w:rFonts w:hint="eastAsia" w:ascii="Times New Roman" w:hAnsi="Times New Roman" w:cs="Times New Roman"/>
                <w:color w:val="auto"/>
                <w:sz w:val="21"/>
                <w:szCs w:val="21"/>
                <w:lang w:val="en-US" w:eastAsia="zh-CN"/>
              </w:rPr>
              <w:t>男</w:t>
            </w:r>
          </w:p>
        </w:tc>
        <w:tc>
          <w:tcPr>
            <w:tcW w:w="789" w:type="pct"/>
            <w:vAlign w:val="top"/>
          </w:tcPr>
          <w:p w14:paraId="10CFE43C">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Style w:val="47"/>
                <w:rFonts w:hint="default" w:ascii="Times New Roman" w:hAnsi="Times New Roman" w:eastAsia="宋体" w:cstheme="minorBidi"/>
                <w:b w:val="0"/>
                <w:color w:val="000000"/>
                <w:lang w:val="en-US" w:eastAsia="zh-CN"/>
              </w:rPr>
            </w:pPr>
            <w:r>
              <w:rPr>
                <w:rFonts w:hint="eastAsia" w:ascii="Times New Roman" w:hAnsi="Times New Roman" w:cs="Times New Roman"/>
                <w:color w:val="auto"/>
                <w:sz w:val="21"/>
                <w:szCs w:val="21"/>
                <w:lang w:val="en-US" w:eastAsia="zh-CN"/>
              </w:rPr>
              <w:t>安全员</w:t>
            </w:r>
          </w:p>
        </w:tc>
        <w:tc>
          <w:tcPr>
            <w:tcW w:w="1521" w:type="pct"/>
            <w:vAlign w:val="center"/>
          </w:tcPr>
          <w:p w14:paraId="2679A4A7">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default" w:ascii="Times New Roman" w:hAnsi="Times New Roman" w:eastAsia="宋体" w:cstheme="minorBidi"/>
                <w:b w:val="0"/>
                <w:color w:val="000000"/>
                <w:lang w:val="en-US" w:eastAsia="zh-CN"/>
              </w:rPr>
              <w:t>川建安C3(2023)0080797</w:t>
            </w:r>
          </w:p>
        </w:tc>
        <w:tc>
          <w:tcPr>
            <w:tcW w:w="1369" w:type="pct"/>
            <w:vAlign w:val="center"/>
          </w:tcPr>
          <w:p w14:paraId="51C55A77">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default" w:ascii="Times New Roman" w:hAnsi="Times New Roman" w:eastAsia="宋体" w:cstheme="minorBidi"/>
                <w:b w:val="0"/>
                <w:color w:val="000000"/>
                <w:lang w:val="en-US" w:eastAsia="zh-CN"/>
              </w:rPr>
              <w:t>510113198801248019</w:t>
            </w:r>
          </w:p>
        </w:tc>
      </w:tr>
      <w:tr w14:paraId="3A70E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396" w:type="pct"/>
            <w:vAlign w:val="top"/>
          </w:tcPr>
          <w:p w14:paraId="55DD2EA9">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527" w:type="pct"/>
            <w:vAlign w:val="center"/>
          </w:tcPr>
          <w:p w14:paraId="7A7E7222">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黄科</w:t>
            </w:r>
          </w:p>
        </w:tc>
        <w:tc>
          <w:tcPr>
            <w:tcW w:w="396" w:type="pct"/>
            <w:vAlign w:val="top"/>
          </w:tcPr>
          <w:p w14:paraId="7C218D9C">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789" w:type="pct"/>
            <w:vAlign w:val="top"/>
          </w:tcPr>
          <w:p w14:paraId="13107524">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安装</w:t>
            </w:r>
            <w:r>
              <w:rPr>
                <w:rFonts w:hint="default" w:ascii="Times New Roman" w:hAnsi="Times New Roman" w:cs="Times New Roman"/>
                <w:color w:val="auto"/>
                <w:sz w:val="21"/>
                <w:szCs w:val="21"/>
                <w:lang w:val="en-US" w:eastAsia="zh-CN"/>
              </w:rPr>
              <w:t>人员</w:t>
            </w:r>
          </w:p>
        </w:tc>
        <w:tc>
          <w:tcPr>
            <w:tcW w:w="1521" w:type="pct"/>
            <w:vAlign w:val="center"/>
          </w:tcPr>
          <w:p w14:paraId="0FBB3F09">
            <w:pPr>
              <w:keepNext w:val="0"/>
              <w:keepLines w:val="0"/>
              <w:pageBreakBefore w:val="0"/>
              <w:widowControl w:val="0"/>
              <w:kinsoku/>
              <w:wordWrap/>
              <w:overflowPunct/>
              <w:topLinePunct w:val="0"/>
              <w:autoSpaceDE/>
              <w:autoSpaceDN/>
              <w:bidi w:val="0"/>
              <w:adjustRightInd w:val="0"/>
              <w:snapToGrid/>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川</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A</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082023006932</w:t>
            </w:r>
          </w:p>
        </w:tc>
        <w:tc>
          <w:tcPr>
            <w:tcW w:w="1369" w:type="pct"/>
            <w:vAlign w:val="center"/>
          </w:tcPr>
          <w:p w14:paraId="18130CCA">
            <w:pPr>
              <w:keepNext w:val="0"/>
              <w:keepLines w:val="0"/>
              <w:pageBreakBefore w:val="0"/>
              <w:widowControl w:val="0"/>
              <w:kinsoku/>
              <w:wordWrap/>
              <w:overflowPunct/>
              <w:topLinePunct w:val="0"/>
              <w:autoSpaceDE/>
              <w:autoSpaceDN/>
              <w:bidi w:val="0"/>
              <w:adjustRightInd w:val="0"/>
              <w:snapToGrid/>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510113198609247470</w:t>
            </w:r>
          </w:p>
        </w:tc>
      </w:tr>
      <w:tr w14:paraId="2F345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675" w:type="dxa"/>
            <w:vAlign w:val="top"/>
          </w:tcPr>
          <w:p w14:paraId="49251B26">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527" w:type="pct"/>
            <w:vAlign w:val="center"/>
          </w:tcPr>
          <w:p w14:paraId="22137508">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陈刚</w:t>
            </w:r>
          </w:p>
        </w:tc>
        <w:tc>
          <w:tcPr>
            <w:tcW w:w="396" w:type="pct"/>
            <w:vAlign w:val="top"/>
          </w:tcPr>
          <w:p w14:paraId="0B06D878">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789" w:type="pct"/>
            <w:vAlign w:val="top"/>
          </w:tcPr>
          <w:p w14:paraId="4FE4A625">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安装</w:t>
            </w:r>
            <w:r>
              <w:rPr>
                <w:rFonts w:hint="default" w:ascii="Times New Roman" w:hAnsi="Times New Roman" w:cs="Times New Roman"/>
                <w:color w:val="auto"/>
                <w:sz w:val="21"/>
                <w:szCs w:val="21"/>
                <w:lang w:val="en-US" w:eastAsia="zh-CN"/>
              </w:rPr>
              <w:t>人员</w:t>
            </w:r>
          </w:p>
        </w:tc>
        <w:tc>
          <w:tcPr>
            <w:tcW w:w="1521" w:type="pct"/>
            <w:vAlign w:val="center"/>
          </w:tcPr>
          <w:p w14:paraId="143FE191">
            <w:pPr>
              <w:keepNext w:val="0"/>
              <w:keepLines w:val="0"/>
              <w:pageBreakBefore w:val="0"/>
              <w:widowControl w:val="0"/>
              <w:kinsoku/>
              <w:wordWrap/>
              <w:overflowPunct/>
              <w:topLinePunct w:val="0"/>
              <w:autoSpaceDE/>
              <w:autoSpaceDN/>
              <w:bidi w:val="0"/>
              <w:adjustRightInd w:val="0"/>
              <w:snapToGrid/>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川</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A</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O82023006907</w:t>
            </w:r>
          </w:p>
        </w:tc>
        <w:tc>
          <w:tcPr>
            <w:tcW w:w="1369" w:type="pct"/>
            <w:vAlign w:val="center"/>
          </w:tcPr>
          <w:p w14:paraId="29C63082">
            <w:pPr>
              <w:keepNext w:val="0"/>
              <w:keepLines w:val="0"/>
              <w:pageBreakBefore w:val="0"/>
              <w:widowControl w:val="0"/>
              <w:kinsoku/>
              <w:wordWrap/>
              <w:overflowPunct/>
              <w:topLinePunct w:val="0"/>
              <w:autoSpaceDE/>
              <w:autoSpaceDN/>
              <w:bidi w:val="0"/>
              <w:adjustRightInd w:val="0"/>
              <w:snapToGrid/>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lang w:val="en-US" w:eastAsia="zh-CN"/>
              </w:rPr>
              <w:t>510922198601193519</w:t>
            </w:r>
          </w:p>
        </w:tc>
      </w:tr>
      <w:tr w14:paraId="25966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675" w:type="dxa"/>
            <w:vAlign w:val="top"/>
          </w:tcPr>
          <w:p w14:paraId="166CBC6B">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527" w:type="pct"/>
            <w:vAlign w:val="center"/>
          </w:tcPr>
          <w:p w14:paraId="1DDBC3E1">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徐刚</w:t>
            </w:r>
          </w:p>
        </w:tc>
        <w:tc>
          <w:tcPr>
            <w:tcW w:w="396" w:type="pct"/>
            <w:vAlign w:val="top"/>
          </w:tcPr>
          <w:p w14:paraId="58FA1490">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789" w:type="pct"/>
            <w:vAlign w:val="top"/>
          </w:tcPr>
          <w:p w14:paraId="428DED8A">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安装</w:t>
            </w:r>
            <w:r>
              <w:rPr>
                <w:rFonts w:hint="default" w:ascii="Times New Roman" w:hAnsi="Times New Roman" w:cs="Times New Roman"/>
                <w:color w:val="auto"/>
                <w:sz w:val="21"/>
                <w:szCs w:val="21"/>
                <w:lang w:val="en-US" w:eastAsia="zh-CN"/>
              </w:rPr>
              <w:t>人员</w:t>
            </w:r>
          </w:p>
        </w:tc>
        <w:tc>
          <w:tcPr>
            <w:tcW w:w="1521" w:type="pct"/>
            <w:vAlign w:val="center"/>
          </w:tcPr>
          <w:p w14:paraId="2B3E8EFD">
            <w:pPr>
              <w:keepNext w:val="0"/>
              <w:keepLines w:val="0"/>
              <w:pageBreakBefore w:val="0"/>
              <w:widowControl w:val="0"/>
              <w:kinsoku/>
              <w:wordWrap/>
              <w:overflowPunct/>
              <w:topLinePunct w:val="0"/>
              <w:autoSpaceDE/>
              <w:autoSpaceDN/>
              <w:bidi w:val="0"/>
              <w:adjustRightInd w:val="0"/>
              <w:snapToGrid/>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川</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A</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O82023007219</w:t>
            </w:r>
          </w:p>
        </w:tc>
        <w:tc>
          <w:tcPr>
            <w:tcW w:w="1369" w:type="pct"/>
            <w:vAlign w:val="center"/>
          </w:tcPr>
          <w:p w14:paraId="533E2274">
            <w:pPr>
              <w:keepNext w:val="0"/>
              <w:keepLines w:val="0"/>
              <w:pageBreakBefore w:val="0"/>
              <w:widowControl w:val="0"/>
              <w:kinsoku/>
              <w:wordWrap/>
              <w:overflowPunct/>
              <w:topLinePunct w:val="0"/>
              <w:autoSpaceDE/>
              <w:autoSpaceDN/>
              <w:bidi w:val="0"/>
              <w:adjustRightInd w:val="0"/>
              <w:snapToGrid/>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lang w:val="en-US" w:eastAsia="zh-CN"/>
              </w:rPr>
              <w:t>500226198809275711</w:t>
            </w:r>
          </w:p>
        </w:tc>
      </w:tr>
      <w:tr w14:paraId="6E640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675" w:type="dxa"/>
            <w:vAlign w:val="top"/>
          </w:tcPr>
          <w:p w14:paraId="1632ED0F">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527" w:type="pct"/>
            <w:vAlign w:val="center"/>
          </w:tcPr>
          <w:p w14:paraId="57E75462">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黄仁训</w:t>
            </w:r>
          </w:p>
        </w:tc>
        <w:tc>
          <w:tcPr>
            <w:tcW w:w="396" w:type="pct"/>
            <w:vAlign w:val="top"/>
          </w:tcPr>
          <w:p w14:paraId="7364358D">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789" w:type="pct"/>
            <w:vAlign w:val="top"/>
          </w:tcPr>
          <w:p w14:paraId="2F62DC71">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安装</w:t>
            </w:r>
            <w:r>
              <w:rPr>
                <w:rFonts w:hint="default" w:ascii="Times New Roman" w:hAnsi="Times New Roman" w:cs="Times New Roman"/>
                <w:color w:val="auto"/>
                <w:sz w:val="21"/>
                <w:szCs w:val="21"/>
                <w:lang w:val="en-US" w:eastAsia="zh-CN"/>
              </w:rPr>
              <w:t>人员</w:t>
            </w:r>
          </w:p>
        </w:tc>
        <w:tc>
          <w:tcPr>
            <w:tcW w:w="1521" w:type="pct"/>
            <w:vAlign w:val="center"/>
          </w:tcPr>
          <w:p w14:paraId="4FAC284B">
            <w:pPr>
              <w:keepNext w:val="0"/>
              <w:keepLines w:val="0"/>
              <w:pageBreakBefore w:val="0"/>
              <w:widowControl w:val="0"/>
              <w:kinsoku/>
              <w:wordWrap/>
              <w:overflowPunct/>
              <w:topLinePunct w:val="0"/>
              <w:autoSpaceDE/>
              <w:autoSpaceDN/>
              <w:bidi w:val="0"/>
              <w:adjustRightInd w:val="0"/>
              <w:snapToGrid/>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川</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K</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082019700001</w:t>
            </w:r>
          </w:p>
        </w:tc>
        <w:tc>
          <w:tcPr>
            <w:tcW w:w="1369" w:type="pct"/>
            <w:vAlign w:val="center"/>
          </w:tcPr>
          <w:p w14:paraId="6B5D2DCE">
            <w:pPr>
              <w:keepNext w:val="0"/>
              <w:keepLines w:val="0"/>
              <w:pageBreakBefore w:val="0"/>
              <w:widowControl w:val="0"/>
              <w:kinsoku/>
              <w:wordWrap/>
              <w:overflowPunct/>
              <w:topLinePunct w:val="0"/>
              <w:autoSpaceDE/>
              <w:autoSpaceDN/>
              <w:bidi w:val="0"/>
              <w:adjustRightInd w:val="0"/>
              <w:snapToGrid/>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510113198608137413</w:t>
            </w:r>
          </w:p>
        </w:tc>
      </w:tr>
      <w:tr w14:paraId="45EF0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675" w:type="dxa"/>
            <w:vAlign w:val="top"/>
          </w:tcPr>
          <w:p w14:paraId="645A8FC9">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527" w:type="pct"/>
            <w:vAlign w:val="center"/>
          </w:tcPr>
          <w:p w14:paraId="14A775C6">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明兴富</w:t>
            </w:r>
          </w:p>
        </w:tc>
        <w:tc>
          <w:tcPr>
            <w:tcW w:w="396" w:type="pct"/>
            <w:vAlign w:val="top"/>
          </w:tcPr>
          <w:p w14:paraId="7FF3BD65">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789" w:type="pct"/>
            <w:vAlign w:val="top"/>
          </w:tcPr>
          <w:p w14:paraId="69E2AEC0">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电工</w:t>
            </w:r>
          </w:p>
        </w:tc>
        <w:tc>
          <w:tcPr>
            <w:tcW w:w="1521" w:type="pct"/>
            <w:vAlign w:val="center"/>
          </w:tcPr>
          <w:p w14:paraId="2D578858">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川A012023012238</w:t>
            </w:r>
          </w:p>
        </w:tc>
        <w:tc>
          <w:tcPr>
            <w:tcW w:w="1369" w:type="pct"/>
            <w:vAlign w:val="center"/>
          </w:tcPr>
          <w:p w14:paraId="418BAD1A">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default" w:ascii="Times New Roman" w:hAnsi="Times New Roman" w:eastAsia="宋体" w:cstheme="minorBidi"/>
                <w:b w:val="0"/>
                <w:color w:val="000000"/>
                <w:lang w:val="en-US" w:eastAsia="zh-CN"/>
              </w:rPr>
              <w:t>510322197807274712</w:t>
            </w:r>
          </w:p>
        </w:tc>
      </w:tr>
    </w:tbl>
    <w:p w14:paraId="2F0BB9FE">
      <w:pPr>
        <w:pStyle w:val="2"/>
        <w:bidi w:val="0"/>
        <w:rPr>
          <w:rFonts w:hint="eastAsia"/>
          <w:lang w:val="en-US" w:eastAsia="zh-CN"/>
        </w:rPr>
      </w:pPr>
      <w:bookmarkStart w:id="106" w:name="_Toc5176"/>
      <w:r>
        <w:rPr>
          <w:rFonts w:hint="eastAsia"/>
          <w:lang w:val="en-US" w:eastAsia="zh-CN"/>
        </w:rPr>
        <w:t>5 应急处置及应急救援措施</w:t>
      </w:r>
      <w:bookmarkEnd w:id="81"/>
      <w:bookmarkEnd w:id="106"/>
    </w:p>
    <w:p w14:paraId="550A33AB">
      <w:pPr>
        <w:pStyle w:val="3"/>
        <w:tabs>
          <w:tab w:val="left" w:pos="525"/>
          <w:tab w:val="left" w:pos="601"/>
          <w:tab w:val="clear" w:pos="240"/>
        </w:tabs>
        <w:bidi w:val="0"/>
        <w:rPr>
          <w:rFonts w:hint="eastAsia"/>
          <w:lang w:val="en-US" w:eastAsia="zh-CN"/>
        </w:rPr>
      </w:pPr>
      <w:bookmarkStart w:id="107" w:name="_Toc31769"/>
      <w:r>
        <w:rPr>
          <w:rFonts w:hint="eastAsia"/>
          <w:lang w:val="en-US" w:eastAsia="zh-CN"/>
        </w:rPr>
        <w:t>5.1应急救援组织机构及职责</w:t>
      </w:r>
      <w:bookmarkEnd w:id="107"/>
    </w:p>
    <w:p w14:paraId="355B7B4E">
      <w:pPr>
        <w:pStyle w:val="4"/>
        <w:tabs>
          <w:tab w:val="left" w:pos="0"/>
          <w:tab w:val="left" w:pos="630"/>
          <w:tab w:val="clear" w:pos="312"/>
        </w:tabs>
        <w:bidi w:val="0"/>
        <w:rPr>
          <w:rFonts w:hint="eastAsia"/>
          <w:lang w:val="en-US" w:eastAsia="zh-CN"/>
        </w:rPr>
      </w:pPr>
      <w:bookmarkStart w:id="108" w:name="_Toc530055718"/>
      <w:r>
        <w:rPr>
          <w:rFonts w:hint="eastAsia"/>
          <w:lang w:val="en-US" w:eastAsia="zh-CN"/>
        </w:rPr>
        <w:t>5.1.1应急处置领导小组</w:t>
      </w:r>
      <w:bookmarkEnd w:id="108"/>
    </w:p>
    <w:p w14:paraId="766442E2">
      <w:pPr>
        <w:spacing w:line="360" w:lineRule="auto"/>
        <w:ind w:firstLine="480"/>
        <w:rPr>
          <w:rFonts w:hint="default" w:ascii="宋体" w:hAnsi="宋体" w:eastAsia="宋体" w:cs="宋体"/>
          <w:color w:val="auto"/>
          <w:kern w:val="2"/>
          <w:sz w:val="24"/>
          <w:szCs w:val="24"/>
          <w:lang w:val="en-US" w:eastAsia="zh-CN"/>
        </w:rPr>
      </w:pPr>
      <w:r>
        <w:rPr>
          <w:rFonts w:hint="eastAsia" w:ascii="宋体" w:hAnsi="宋体" w:eastAsia="宋体" w:cs="宋体"/>
          <w:color w:val="auto"/>
          <w:kern w:val="2"/>
          <w:sz w:val="24"/>
          <w:szCs w:val="24"/>
        </w:rPr>
        <w:t>组  长：</w:t>
      </w:r>
      <w:r>
        <w:rPr>
          <w:rFonts w:hint="eastAsia" w:cs="宋体"/>
          <w:color w:val="auto"/>
          <w:sz w:val="21"/>
          <w:szCs w:val="21"/>
          <w:lang w:val="en-US" w:eastAsia="zh-CN"/>
        </w:rPr>
        <w:t>彭善忠</w:t>
      </w:r>
    </w:p>
    <w:p w14:paraId="66DE01DA">
      <w:pPr>
        <w:spacing w:line="360" w:lineRule="auto"/>
        <w:ind w:firstLine="480"/>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rPr>
        <w:t>副组长：</w:t>
      </w:r>
      <w:r>
        <w:rPr>
          <w:rFonts w:hint="eastAsia" w:cs="宋体"/>
          <w:color w:val="auto"/>
          <w:sz w:val="21"/>
          <w:szCs w:val="21"/>
          <w:lang w:val="en-US" w:eastAsia="zh-CN"/>
        </w:rPr>
        <w:t>温涛</w:t>
      </w:r>
    </w:p>
    <w:p w14:paraId="346C18C9">
      <w:pPr>
        <w:spacing w:line="360" w:lineRule="auto"/>
        <w:ind w:firstLine="480"/>
        <w:rPr>
          <w:rFonts w:hint="default" w:eastAsia="宋体"/>
          <w:color w:val="auto"/>
          <w:lang w:val="en-US" w:eastAsia="zh-CN"/>
        </w:rPr>
      </w:pPr>
      <w:r>
        <w:rPr>
          <w:rFonts w:hint="eastAsia" w:ascii="宋体" w:hAnsi="宋体" w:eastAsia="宋体" w:cs="宋体"/>
          <w:color w:val="auto"/>
          <w:kern w:val="2"/>
          <w:sz w:val="24"/>
          <w:szCs w:val="24"/>
        </w:rPr>
        <w:t>组  员：</w:t>
      </w:r>
      <w:r>
        <w:rPr>
          <w:rFonts w:hint="eastAsia" w:ascii="宋体" w:hAnsi="宋体" w:cs="宋体"/>
          <w:color w:val="auto"/>
          <w:kern w:val="2"/>
          <w:sz w:val="24"/>
          <w:szCs w:val="24"/>
          <w:lang w:val="en-US" w:eastAsia="zh-CN"/>
        </w:rPr>
        <w:t>黄科、</w:t>
      </w:r>
      <w:r>
        <w:rPr>
          <w:rFonts w:hint="eastAsia" w:ascii="Times New Roman" w:hAnsi="Times New Roman" w:cs="Times New Roman"/>
          <w:lang w:val="en-US" w:eastAsia="zh-CN"/>
        </w:rPr>
        <w:t>明</w:t>
      </w:r>
      <w:r>
        <w:rPr>
          <w:rFonts w:hint="eastAsia" w:ascii="Times New Roman" w:hAnsi="Times New Roman" w:eastAsia="宋体" w:cs="Times New Roman"/>
          <w:lang w:val="en-US" w:eastAsia="zh-CN"/>
        </w:rPr>
        <w:t>兴富</w:t>
      </w:r>
      <w:r>
        <w:rPr>
          <w:rFonts w:hint="eastAsia" w:ascii="宋体" w:hAnsi="宋体" w:cs="宋体"/>
          <w:color w:val="auto"/>
          <w:kern w:val="2"/>
          <w:sz w:val="24"/>
          <w:szCs w:val="24"/>
          <w:lang w:val="en-US" w:eastAsia="zh-CN"/>
        </w:rPr>
        <w:t>、徐刚、黄仁训</w:t>
      </w:r>
    </w:p>
    <w:p w14:paraId="645CE420">
      <w:pPr>
        <w:pStyle w:val="4"/>
        <w:tabs>
          <w:tab w:val="left" w:pos="0"/>
          <w:tab w:val="left" w:pos="630"/>
          <w:tab w:val="clear" w:pos="312"/>
        </w:tabs>
        <w:bidi w:val="0"/>
        <w:rPr>
          <w:rFonts w:hint="eastAsia"/>
          <w:lang w:val="en-US" w:eastAsia="zh-CN"/>
        </w:rPr>
      </w:pPr>
      <w:bookmarkStart w:id="109" w:name="_Toc530055719"/>
      <w:r>
        <w:rPr>
          <w:rFonts w:hint="eastAsia"/>
          <w:lang w:val="en-US" w:eastAsia="zh-CN"/>
        </w:rPr>
        <w:t>5.1.2职责</w:t>
      </w:r>
      <w:bookmarkEnd w:id="109"/>
    </w:p>
    <w:p w14:paraId="771D48B8">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（1）负责组织和制定应急处置措施；</w:t>
      </w:r>
    </w:p>
    <w:p w14:paraId="517F1FAE">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（2）按规定的报告程序和时限，逐级上报事故；</w:t>
      </w:r>
    </w:p>
    <w:p w14:paraId="124C1602">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（3）检查督促做好各项预防措施及应急资源的落实情况；</w:t>
      </w:r>
    </w:p>
    <w:p w14:paraId="2672A4BE">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（4）应急处置措施的组织与实施；</w:t>
      </w:r>
    </w:p>
    <w:p w14:paraId="5F950F5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（5）当施工现场发生紧急情况时，发布和解除应急救援命令；</w:t>
      </w:r>
    </w:p>
    <w:p w14:paraId="6B01560D">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（6）随时了解和掌握处理事故的实际情况，根据情况作出应急对策；</w:t>
      </w:r>
    </w:p>
    <w:p w14:paraId="29E026F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（7）保护好事故现场，确保内外通讯畅通。</w:t>
      </w:r>
    </w:p>
    <w:p w14:paraId="42BCF409">
      <w:pPr>
        <w:pStyle w:val="4"/>
        <w:tabs>
          <w:tab w:val="left" w:pos="0"/>
          <w:tab w:val="left" w:pos="630"/>
          <w:tab w:val="clear" w:pos="312"/>
        </w:tabs>
        <w:bidi w:val="0"/>
        <w:rPr>
          <w:rFonts w:hint="eastAsia"/>
          <w:lang w:val="en-US" w:eastAsia="zh-CN"/>
        </w:rPr>
      </w:pPr>
      <w:bookmarkStart w:id="110" w:name="_Toc530055720"/>
      <w:r>
        <w:rPr>
          <w:rFonts w:hint="eastAsia"/>
          <w:lang w:val="en-US" w:eastAsia="zh-CN"/>
        </w:rPr>
        <w:t>5.1.3领导小组人员分工</w:t>
      </w:r>
      <w:bookmarkEnd w:id="110"/>
    </w:p>
    <w:p w14:paraId="5809435D">
      <w:pPr>
        <w:spacing w:line="360" w:lineRule="auto"/>
        <w:ind w:firstLine="480"/>
        <w:jc w:val="left"/>
        <w:rPr>
          <w:rFonts w:hint="eastAsia" w:ascii="宋体" w:hAnsi="宋体" w:eastAsia="宋体" w:cs="宋体"/>
          <w:color w:val="auto"/>
          <w:sz w:val="24"/>
          <w:szCs w:val="24"/>
        </w:rPr>
      </w:pPr>
      <w:r>
        <w:rPr>
          <w:rFonts w:hint="eastAsia" w:ascii="宋体" w:hAnsi="宋体" w:eastAsia="宋体" w:cs="宋体"/>
          <w:color w:val="auto"/>
          <w:kern w:val="2"/>
          <w:sz w:val="24"/>
          <w:szCs w:val="24"/>
        </w:rPr>
        <w:t>组长</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lang w:val="en-US" w:eastAsia="zh-CN"/>
        </w:rPr>
        <w:t>总指挥</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rPr>
        <w:t>：</w:t>
      </w:r>
      <w:r>
        <w:rPr>
          <w:rFonts w:hint="eastAsia" w:ascii="宋体" w:hAnsi="宋体" w:eastAsia="宋体" w:cs="宋体"/>
          <w:color w:val="auto"/>
          <w:sz w:val="24"/>
          <w:szCs w:val="24"/>
        </w:rPr>
        <w:t>发生吊装安全事故时，发布和解除应急救援指令；组织指挥应急队伍实施救援行动；向上级汇报和公司通报事故情况，必要时向有关单位发出救援要求；组织事故调查，总结应急救援经验教育等。</w:t>
      </w:r>
    </w:p>
    <w:p w14:paraId="66899FA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副组长</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lang w:val="en-US" w:eastAsia="zh-CN"/>
        </w:rPr>
        <w:t>副总指挥</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rPr>
        <w:t>：协助组长工作，</w:t>
      </w:r>
      <w:r>
        <w:rPr>
          <w:rFonts w:hint="eastAsia" w:ascii="宋体" w:hAnsi="宋体" w:eastAsia="宋体" w:cs="宋体"/>
          <w:color w:val="auto"/>
          <w:sz w:val="24"/>
          <w:szCs w:val="24"/>
        </w:rPr>
        <w:t>负责</w:t>
      </w:r>
      <w:r>
        <w:rPr>
          <w:rFonts w:hint="eastAsia" w:ascii="宋体" w:hAnsi="宋体" w:eastAsia="宋体" w:cs="宋体"/>
          <w:color w:val="auto"/>
          <w:kern w:val="2"/>
          <w:sz w:val="24"/>
          <w:szCs w:val="24"/>
        </w:rPr>
        <w:t>指挥应急处置工作的具体实施。</w:t>
      </w:r>
    </w:p>
    <w:p w14:paraId="1EE98A74">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小组成员：</w:t>
      </w:r>
    </w:p>
    <w:p w14:paraId="08705EF3">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（1）负责警戒、治安保卫、人员疏散，道路交通管制工作。</w:t>
      </w:r>
    </w:p>
    <w:p w14:paraId="2A6E84A7">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（2）协助副组长工作，做好事故报警，情况通报及事故处置工作，负责事故现场的通讯联络、对外联络及事故现场的监测工作。</w:t>
      </w:r>
    </w:p>
    <w:p w14:paraId="197B8C0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w:t>
      </w:r>
      <w:r>
        <w:rPr>
          <w:rFonts w:hint="eastAsia" w:ascii="宋体" w:hAnsi="宋体" w:eastAsia="宋体" w:cs="宋体"/>
          <w:color w:val="auto"/>
          <w:sz w:val="24"/>
          <w:szCs w:val="24"/>
        </w:rPr>
        <w:t>负责协助抢险机械设备的调转；负责抢险救援物质的供应和运输工作。</w:t>
      </w:r>
    </w:p>
    <w:p w14:paraId="5CE79BF3">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（4）负责抢险车辆调度和现场医疗救护指挥及受伤人员分类抢救和护送医院，受伤人员的生活必需品、抢险救援物资供应，资金保证。</w:t>
      </w:r>
    </w:p>
    <w:p w14:paraId="7C9CD1EC">
      <w:pPr>
        <w:pStyle w:val="3"/>
        <w:tabs>
          <w:tab w:val="left" w:pos="525"/>
          <w:tab w:val="left" w:pos="601"/>
          <w:tab w:val="clear" w:pos="240"/>
        </w:tabs>
        <w:bidi w:val="0"/>
        <w:rPr>
          <w:rFonts w:hint="default"/>
          <w:lang w:val="en-US" w:eastAsia="zh-CN"/>
        </w:rPr>
      </w:pPr>
      <w:bookmarkStart w:id="111" w:name="_Toc24147"/>
      <w:r>
        <w:rPr>
          <w:rFonts w:hint="eastAsia"/>
          <w:lang w:val="en-US" w:eastAsia="zh-CN"/>
        </w:rPr>
        <w:t>5.2专项应急处置措施</w:t>
      </w:r>
      <w:bookmarkEnd w:id="111"/>
    </w:p>
    <w:p w14:paraId="4E965C0C">
      <w:pPr>
        <w:pStyle w:val="4"/>
        <w:tabs>
          <w:tab w:val="left" w:pos="0"/>
          <w:tab w:val="left" w:pos="630"/>
          <w:tab w:val="clear" w:pos="312"/>
        </w:tabs>
        <w:bidi w:val="0"/>
        <w:rPr>
          <w:rFonts w:hint="eastAsia"/>
          <w:lang w:val="en-US" w:eastAsia="zh-CN"/>
        </w:rPr>
      </w:pPr>
      <w:r>
        <w:rPr>
          <w:rFonts w:hint="eastAsia"/>
          <w:lang w:val="en-US" w:eastAsia="zh-CN"/>
        </w:rPr>
        <w:t>5.2.1高处坠落应急处置措施</w:t>
      </w:r>
    </w:p>
    <w:p w14:paraId="1340DA9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发生高处坠落事故，应马上组织挽救伤者，首先观察伤者的受伤情况、部位、伤害性质，如伤员发生休克，应先处理休克。遇呼吸、心跳停止者，应立即进行人工呼吸，胸外心脏挤压。处于休克状态的伤员要认其安静、保暖、平卧、少动，并将下肢抬高约20度左右，尽快送医院进行抢救治疗。</w:t>
      </w:r>
    </w:p>
    <w:p w14:paraId="2E99E47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出现颅脑损伤时，必须维持呼吸道畅通。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往就近有条件的医院治疗。</w:t>
      </w:r>
    </w:p>
    <w:p w14:paraId="43CE749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3）发现脊椎受伤者，创伤处用消毒的纱布或清洁布等覆盖伤口，用绷带或布条包扎，搬运时将伤者平卧放在帆布担架或硬板上，以免受伤的脊椎移位、断裂造成截瘫，招致死亡。抢救脊椎受伤者，搬运过程中，严禁只抬伤者的两肩与两腿或单肩背运。 </w:t>
      </w:r>
    </w:p>
    <w:p w14:paraId="6320657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发现伤者手足骨折者，不要盲目搬动伤者。应在骨折部位用夹板把受伤的位置临时固定，使断端不再移位或刺伤肌肉、神经或血管。固定方法：以固定骨折处上下关节为原则，用夹板，也可就地取材，用木板、竹子等，在无材料的情况下，上肢可固定在身侧，下肢与腱侧下肢缚在一起。</w:t>
      </w:r>
    </w:p>
    <w:p w14:paraId="47AE51F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（5）遇有创伤性出血的伤员，应迅速包扎止血，使伤员保持在头底脚高的卧位，并注意保暖。正确的现场止血处理措施：</w:t>
      </w:r>
    </w:p>
    <w:p w14:paraId="30472CB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a.一般伤口的止血法：先用生理盐水（0.9%Nacl溶液）冲洗伤口，涂上红汞水，然后盖上消毒纱布，用绷带较紧地包扎。</w:t>
      </w:r>
    </w:p>
    <w:p w14:paraId="3B79814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b.加压包扎止血法：用纱布、棉花等作成软件垫，放在伤口上再加包扎，来增强压力而达到止血。</w:t>
      </w:r>
    </w:p>
    <w:p w14:paraId="0CF3E27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c.止血带止血法：选择弹性好的橡皮管、橡皮带或三角巾、毛巾、带状布条等，上肢出血结扎在上臂1/2处（靠近心脏位置），下肢出血结扎在大腿上1/3处（靠近心脏位置）。结扎时，在止血带与皮肤之间垫上纱布棉垫。每隔25—40分钟放松一次，每次放松0.5—1分钟。</w:t>
      </w:r>
    </w:p>
    <w:p w14:paraId="002BEC0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（6）动用最快的交通工具或其他措施，及时把伤者送往邻近医院抢救，运送途中应尽量减少颠簸。同时密切注意伤者的呼吸、脉搏、血压及伤口的情况。</w:t>
      </w:r>
    </w:p>
    <w:p w14:paraId="4353CD57">
      <w:pPr>
        <w:pStyle w:val="4"/>
        <w:tabs>
          <w:tab w:val="left" w:pos="0"/>
          <w:tab w:val="left" w:pos="630"/>
          <w:tab w:val="clear" w:pos="312"/>
        </w:tabs>
        <w:bidi w:val="0"/>
        <w:rPr>
          <w:rFonts w:hint="eastAsia"/>
          <w:lang w:val="en-US" w:eastAsia="zh-CN"/>
        </w:rPr>
      </w:pPr>
      <w:r>
        <w:rPr>
          <w:rFonts w:hint="eastAsia"/>
          <w:lang w:val="en-US" w:eastAsia="zh-CN"/>
        </w:rPr>
        <w:t>5.2.2物体打击应急处置措施</w:t>
      </w:r>
    </w:p>
    <w:p w14:paraId="5E66EA8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当发生物体打击事故后，抢救的重点放在颅脑损伤、胸部骨折和出血上进行处理。</w:t>
      </w:r>
    </w:p>
    <w:p w14:paraId="7E063DE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当施工人员发生物体打击时，急救人员应尽快赶往出事地点，并呼叫周围人员及时通知医疗部门，首先观察伤者的受伤情况、部位、伤害性质，尽可能不要移动患者，尽量当场施救。如果处在不宜施工的场所时必须将患者搬运到能够安全施救的地方，搬运时应尽量多找一些人来搬运，观察患者呼吸和脸色的变化，如果是脊柱骨折，不要弯曲、扭动患者的颈部和身体，不要接触患者的伤口，要使患者身体放松，尽量将患者放到担架或平板上进行搬运。</w:t>
      </w:r>
    </w:p>
    <w:p w14:paraId="46DDF97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（2）遇呼吸、心跳停止者，应立即进行人工呼吸，胸外心脏挤压。处于休克状态的伤员要让其安静、保暖、平卧、少动，并将下肢抬高约20度左右，尽快送医院进行抢救治疗。</w:t>
      </w:r>
    </w:p>
    <w:p w14:paraId="0C9E84C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医院治疗。</w:t>
      </w:r>
    </w:p>
    <w:p w14:paraId="4981C7DC">
      <w:pPr>
        <w:pStyle w:val="4"/>
        <w:tabs>
          <w:tab w:val="left" w:pos="0"/>
          <w:tab w:val="left" w:pos="630"/>
          <w:tab w:val="clear" w:pos="312"/>
        </w:tabs>
        <w:bidi w:val="0"/>
        <w:rPr>
          <w:rFonts w:hint="default"/>
          <w:lang w:val="en-US" w:eastAsia="zh-CN"/>
        </w:rPr>
      </w:pPr>
      <w:r>
        <w:rPr>
          <w:rFonts w:hint="eastAsia"/>
          <w:lang w:val="en-US" w:eastAsia="zh-CN"/>
        </w:rPr>
        <w:t>5.2.3机械伤害应急处置措施</w:t>
      </w:r>
    </w:p>
    <w:p w14:paraId="69DF990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当施工人员发生机械伤害事故时，迅速确定事故发生的准确位置、可能波及的范围、设备损坏的程度、人员伤亡等情况，观察伤者的受伤情况、部位、伤害性质，急救人员应尽快赶往出事地点。</w:t>
      </w:r>
    </w:p>
    <w:p w14:paraId="0942230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（1）休克、昏迷急救</w:t>
      </w:r>
    </w:p>
    <w:p w14:paraId="55C630E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让休克者平卧、不用枕头，腿部抬高30度。若属于心原性休克同时伴有心力衰竭、气急，不能平卧时，可采用半卧，注意保暖和安静，尽量不要搬动，如必须搬动时，动作要轻。</w:t>
      </w:r>
    </w:p>
    <w:p w14:paraId="0248391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（2）骨折急救</w:t>
      </w:r>
    </w:p>
    <w:p w14:paraId="3E30EF9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a.固定断骨的材料可就地取材，如棍、木板、拐杖、硬纸板等都可作为固定材料，长短要以能固定住骨折处上下两个关节或不使断骨错动为准。 </w:t>
      </w:r>
    </w:p>
    <w:p w14:paraId="6C27C94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b.脊柱骨折或骨折或颈部骨折时，除非是特殊情况如室内失火，否则应让伤者留在原地，等待携有医疗器材的医护人员来搬动。  </w:t>
      </w:r>
    </w:p>
    <w:p w14:paraId="640EAD5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c.抬运伤者，从地上抬起时，要多人同时缓缓用力平托；运送时，必须用木板或硬材料，不能用布担架或绳床。木板上可垫棉被，但不能用枕头，颈椎骨骨折伤者的头须放正，两旁用沙袋将头夹住，不能让头随便晃动。</w:t>
      </w:r>
    </w:p>
    <w:p w14:paraId="46DCB64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（3）严重出血的急救</w:t>
      </w:r>
    </w:p>
    <w:p w14:paraId="288794E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止血的方法：</w:t>
      </w:r>
    </w:p>
    <w:p w14:paraId="6291DF28">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a.一般止血法：一般伤口小的出血，先用生理盐水涂上红汞药水，然后盖上消毒纱布，用绷带较紧地包扎。</w:t>
      </w:r>
    </w:p>
    <w:p w14:paraId="785667A4">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严重出血时，应使用压迫带止血法。这是一种最基本、最常用，也是最有效的止血方法。适用于头、颈、四肢动脉大血管出血的临时止血。即用手指或手掌用力压住比伤口靠近心脏更近部位的动脉跳动处（止血点）。只要位置找的准，这种方法能马上起到止血作用。</w:t>
      </w:r>
    </w:p>
    <w:p w14:paraId="03EC54E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（4）肢体切断断肢(指)后，有时即刻造成伤者因流血或疼痛而发生休克，所以应设法首先止血，防止伤员休克。其急救要点为：</w:t>
      </w:r>
    </w:p>
    <w:p w14:paraId="7F4CD13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a.让伤者躺下，用一块纱布或清洁布块(如翻出干净手帕的内面)，放在断肢伤口上，再用绷带固定位置。如果找不到绷带，也可用围巾包扎。</w:t>
      </w:r>
    </w:p>
    <w:p w14:paraId="1D98B4B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b.如是手臂切断，用绷带把断臂挂在胸前，固定位置；若是一条腿断了，则与另一条腿扎在一起。</w:t>
      </w:r>
    </w:p>
    <w:p w14:paraId="63021BAF">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c.料理好伤者后，设法找回断肢。倘若离断的伤肢(指)仍在机器中，千万不能将肢体强行拉出，或将机器倒开(转)，以免增加损伤的机会。正确的方法应是拆开机器后取出。</w:t>
      </w:r>
    </w:p>
    <w:p w14:paraId="4FC337B3">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d.取下断落的肢(指)体后，立即用无菌纱布或干净布片包扎，然后放人塑料袋或橡皮袋中，结扎袋口。若一时未准备好袋子或消毒纱布，可暂置于4℃的冰箱内(不应放在冰冻室内，以免冻伤)。运送时应将装有断伤肢体的袋子放入合适的容器中，如广口保温桶等，周围用冰块或冰棍冷冻（注意防止冰块与其直接接触，以免冻伤），迅速同伤员一起送医院以备断肢(指)再植。   </w:t>
      </w:r>
    </w:p>
    <w:p w14:paraId="77F8B7C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e.离断后的伤肢，如有少许皮肤或其他肌腱相连，不能将其离断，应放在夹板或阔竹片上，然后包扎，立即送到医院作紧急处理。</w:t>
      </w:r>
    </w:p>
    <w:p w14:paraId="00D0E49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f.严禁在离断伤肢(指)的断端涂抹各种药物及药水(包括消毒剂)，更不能涂抹牙膏、灶灰之类试图止血。</w:t>
      </w:r>
    </w:p>
    <w:p w14:paraId="5DBB8A8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（5）一般性外伤</w:t>
      </w:r>
    </w:p>
    <w:p w14:paraId="65704D7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a.视伤情送往医院，防止破伤风。</w:t>
      </w:r>
    </w:p>
    <w:p w14:paraId="4609332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b.轻微内伤，送医院检查。</w:t>
      </w:r>
    </w:p>
    <w:p w14:paraId="281C65C6">
      <w:pPr>
        <w:pStyle w:val="4"/>
        <w:tabs>
          <w:tab w:val="left" w:pos="0"/>
          <w:tab w:val="left" w:pos="630"/>
          <w:tab w:val="clear" w:pos="312"/>
        </w:tabs>
        <w:bidi w:val="0"/>
        <w:rPr>
          <w:rFonts w:hint="default"/>
          <w:lang w:val="en-US" w:eastAsia="zh-CN"/>
        </w:rPr>
      </w:pPr>
      <w:r>
        <w:rPr>
          <w:rFonts w:hint="eastAsia"/>
          <w:lang w:val="en-US" w:eastAsia="zh-CN"/>
        </w:rPr>
        <w:t>5.2.4触电应急处置措施</w:t>
      </w:r>
    </w:p>
    <w:p w14:paraId="633D8CC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（1）迅速脱离电源  </w:t>
      </w:r>
    </w:p>
    <w:p w14:paraId="5969CA54">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人体触电以后，可能由于痉挛或失去知觉等原因而紧抓带电体，不能自己摆脱电源。抢救触电者的首要步骤就是使触电者尽快脱离电源。 </w:t>
      </w:r>
    </w:p>
    <w:p w14:paraId="79585FB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使触电者脱离电源的方法：</w:t>
      </w:r>
    </w:p>
    <w:p w14:paraId="6A648E3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a.立即将闸刀打开或将插头拨掉，切断电源。要注意，普通的电灯开关（如拉线开关）只能关断一根线，有时关断的不是相线，并未真正切断电源。 </w:t>
      </w:r>
    </w:p>
    <w:p w14:paraId="6057DCD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b.找不到开关或插头时，可用绝缘的物体（如干燥的木棒、竹杆、手套等）将电线拨开，使触电者脱离电源。</w:t>
      </w:r>
    </w:p>
    <w:p w14:paraId="6A3E38B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c.用绝缘工具（如带绝缘的电工钳、木柄斧头以及锄头等）切断电线来切断电源。</w:t>
      </w:r>
    </w:p>
    <w:p w14:paraId="184B5F3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d.遇高压触电事故，立即通过有关部门停电。 </w:t>
      </w:r>
    </w:p>
    <w:p w14:paraId="3795A8F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总之，要因地制宜，灵活运用各种方法，快速切断电源，防止事故扩大。</w:t>
      </w:r>
    </w:p>
    <w:p w14:paraId="02563F8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（2）现场急救方法</w:t>
      </w:r>
    </w:p>
    <w:p w14:paraId="0C7341E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当触电者脱离电源后，应根据触电者的具体情况迅速对症救护，力争在触电后1分钟内进行救治。国内外一些资料表明，触电后在一分钟内进救治的，90％以上有良好的效果，而超过12分钟再开始救治的，基本无救活的可能。现场应用的主要方法是口对口人工呼吸和体外心脏挤压法，严禁打强心针。</w:t>
      </w:r>
    </w:p>
    <w:p w14:paraId="1077FAF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a.口对口人工呼吸法：是用人工的方法来代替肺的呼吸活动，使空气有节律地进入和排出肺脏，供给体内足够的氧气，充分排出二氧化碳，维持正常的通气功能。 </w:t>
      </w:r>
    </w:p>
    <w:p w14:paraId="6EAD700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b.体外心脏挤压法：是指有节律地对心脏挤压，用人工的方法代替心脏的自然收缩，使心脏恢复搏动功能，维持血液循环。</w:t>
      </w:r>
    </w:p>
    <w:p w14:paraId="48D1DA4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（3）触电急救方法</w:t>
      </w:r>
    </w:p>
    <w:p w14:paraId="5D04076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触电病人一般有以下四种症状，可分别给予正确的对症救治：</w:t>
      </w:r>
    </w:p>
    <w:p w14:paraId="4CE5F21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a.神志尚清醒，但心慌力乏，四肢麻木。该类病人一般只需将其扶到清凉通风之处休息，让其自然慢慢恢复。但要派专人照料护理，因为有的病人在几小时后会发生病变而突然死亡。</w:t>
      </w:r>
    </w:p>
    <w:p w14:paraId="769E0BF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b.有心跳，但呼吸停止或极微弱。该类病人应该采用口对口人工呼吸法进行急救。人工呼吸法可按下述口诀进行，频率是每分钟约12次：清理口腔防堵塞，鼻孔朝天头后仰；贴嘴吹气胸扩张，放开口鼻换气畅。</w:t>
      </w:r>
    </w:p>
    <w:p w14:paraId="24659A1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c.有呼吸，但心跳停止或极微弱。该类病人应该采用人工胸外心脏挤压法来恢复病人的心跳。一般可以按下述口诀进行，频率是每分钟约60~80次。当胸一手掌，中指对凹膛；掌根用力向下压，压下突然收。</w:t>
      </w:r>
    </w:p>
    <w:p w14:paraId="47BE059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d.心跳、呼吸均已停止者。该类病人的危险性最大，抢救的难度也最大。应该把以上两法同时使用，亦即采用“人工氧合”的方法。最好是两人一起抢救，如果仅有一人抢救时，应先吹气2～3次，再挤压心脏15次，如此反复交替进行。</w:t>
      </w:r>
    </w:p>
    <w:p w14:paraId="605B1EA8">
      <w:pPr>
        <w:pStyle w:val="4"/>
        <w:tabs>
          <w:tab w:val="left" w:pos="0"/>
          <w:tab w:val="left" w:pos="630"/>
          <w:tab w:val="clear" w:pos="312"/>
        </w:tabs>
        <w:bidi w:val="0"/>
        <w:rPr>
          <w:rFonts w:hint="default"/>
          <w:lang w:val="en-US" w:eastAsia="zh-CN"/>
        </w:rPr>
      </w:pPr>
      <w:r>
        <w:rPr>
          <w:rFonts w:hint="eastAsia"/>
          <w:lang w:val="en-US" w:eastAsia="zh-CN"/>
        </w:rPr>
        <w:t>5.2.5落水人员应急处置措施</w:t>
      </w:r>
    </w:p>
    <w:p w14:paraId="4A8DB55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bookmarkStart w:id="112" w:name="_Toc4330"/>
      <w:bookmarkStart w:id="113" w:name="_Toc8320"/>
      <w:bookmarkStart w:id="114" w:name="_Toc25962"/>
      <w:r>
        <w:rPr>
          <w:rFonts w:hint="eastAsia" w:ascii="宋体" w:hAnsi="宋体" w:eastAsia="宋体" w:cs="宋体"/>
          <w:b w:val="0"/>
          <w:bCs w:val="0"/>
          <w:color w:val="auto"/>
          <w:kern w:val="0"/>
          <w:sz w:val="24"/>
          <w:szCs w:val="24"/>
          <w:lang w:val="en-US" w:eastAsia="zh-CN" w:bidi="ar"/>
        </w:rPr>
        <w:t>（1）交通船舶必须符合水上航行安全要求，备妥救生工具如救生衣、救生圈、救生竹篙等救生器材。</w:t>
      </w:r>
    </w:p>
    <w:p w14:paraId="747C243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（2）水上施工作业及船上流动作业人员应按规定穿着救生衣。符合高处作业条件的，还应按高处作业的规定系好安全带。</w:t>
      </w:r>
    </w:p>
    <w:p w14:paraId="7D727BA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（3）交通船必须按定员，不准超载。乘坐人员应听从船员的指挥，船到位后，应待靠稳拴牢方可上、下。不得抢上抢下或船未靠稳就跳船。</w:t>
      </w:r>
    </w:p>
    <w:p w14:paraId="5775D344">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（4）乘坐人员应听从船员的指挥，自觉入舱，不得站立和坐骑在船头、船尾和船帮上，遇有风浪时，船上乘坐人员不得来回走动。非本船驾驶人员严禁擅自操作。</w:t>
      </w:r>
    </w:p>
    <w:p w14:paraId="32196108">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（5）施工人员应开展游泳培训，加强自救和互救的能力。</w:t>
      </w:r>
    </w:p>
    <w:p w14:paraId="47F91F5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（6）人员上下通道必须设安全网，跳板要固定。作业平台应满铺脚手板，周边必须有栏杆和安全网等可靠的临边维护。</w:t>
      </w:r>
    </w:p>
    <w:p w14:paraId="46BC799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lang w:val="en-US" w:eastAsia="zh-CN" w:bidi="ar"/>
        </w:rPr>
        <w:t>（7）作业平台上应配置足够数量的救生圈等救生设备，并配备一定数量的固定</w:t>
      </w:r>
      <w:r>
        <w:rPr>
          <w:rFonts w:hint="eastAsia" w:ascii="宋体" w:hAnsi="宋体" w:eastAsia="宋体" w:cs="宋体"/>
          <w:b w:val="0"/>
          <w:bCs w:val="0"/>
          <w:color w:val="auto"/>
          <w:kern w:val="0"/>
          <w:sz w:val="24"/>
          <w:szCs w:val="24"/>
          <w:highlight w:val="none"/>
          <w:lang w:val="en-US" w:eastAsia="zh-CN" w:bidi="ar"/>
        </w:rPr>
        <w:t>式防水灯，保证夜间足够的照明。</w:t>
      </w:r>
    </w:p>
    <w:p w14:paraId="5C3095E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（8）作业平台上设置多条安全通道，以防不测时人员迅速疏散。</w:t>
      </w:r>
    </w:p>
    <w:p w14:paraId="5D290A1C">
      <w:pPr>
        <w:pStyle w:val="3"/>
        <w:tabs>
          <w:tab w:val="left" w:pos="525"/>
          <w:tab w:val="left" w:pos="601"/>
          <w:tab w:val="clear" w:pos="240"/>
        </w:tabs>
        <w:bidi w:val="0"/>
        <w:rPr>
          <w:rFonts w:hint="default"/>
          <w:highlight w:val="none"/>
          <w:lang w:val="en-US" w:eastAsia="zh-CN"/>
        </w:rPr>
      </w:pPr>
      <w:bookmarkStart w:id="115" w:name="_Toc23743"/>
      <w:r>
        <w:rPr>
          <w:rFonts w:hint="eastAsia"/>
          <w:highlight w:val="none"/>
          <w:lang w:val="en-US" w:eastAsia="zh-CN"/>
        </w:rPr>
        <w:t>5.</w:t>
      </w:r>
      <w:bookmarkEnd w:id="112"/>
      <w:bookmarkEnd w:id="113"/>
      <w:bookmarkEnd w:id="114"/>
      <w:r>
        <w:rPr>
          <w:rFonts w:hint="eastAsia"/>
          <w:highlight w:val="none"/>
          <w:lang w:val="en-US" w:eastAsia="zh-CN"/>
        </w:rPr>
        <w:t>3紧急救援措施</w:t>
      </w:r>
      <w:bookmarkEnd w:id="115"/>
    </w:p>
    <w:bookmarkEnd w:id="82"/>
    <w:bookmarkEnd w:id="83"/>
    <w:bookmarkEnd w:id="84"/>
    <w:p w14:paraId="79FD59CD">
      <w:pPr>
        <w:bidi w:val="0"/>
        <w:ind w:firstLine="480" w:firstLineChars="200"/>
        <w:rPr>
          <w:rFonts w:hint="default"/>
          <w:highlight w:val="none"/>
          <w:lang w:val="en-US" w:eastAsia="zh-CN"/>
        </w:rPr>
      </w:pPr>
      <w:r>
        <w:rPr>
          <w:rFonts w:hint="eastAsia"/>
          <w:highlight w:val="none"/>
          <w:lang w:val="en-US" w:eastAsia="zh-CN"/>
        </w:rPr>
        <w:t>1、应急救援物资</w:t>
      </w:r>
    </w:p>
    <w:p w14:paraId="161CCD62">
      <w:pPr>
        <w:pStyle w:val="15"/>
        <w:bidi w:val="0"/>
        <w:rPr>
          <w:rFonts w:hint="eastAsia"/>
          <w:lang w:val="en-US" w:eastAsia="zh-CN"/>
        </w:rPr>
      </w:pPr>
      <w:r>
        <w:t>表</w:t>
      </w:r>
      <w:r>
        <w:rPr>
          <w:rFonts w:hint="eastAsia"/>
          <w:lang w:val="en-US" w:eastAsia="zh-CN"/>
        </w:rPr>
        <w:t>5.3-1应急物资、机械设备表</w:t>
      </w:r>
    </w:p>
    <w:tbl>
      <w:tblPr>
        <w:tblStyle w:val="28"/>
        <w:tblW w:w="4998" w:type="pct"/>
        <w:jc w:val="center"/>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Layout w:type="autofit"/>
        <w:tblCellMar>
          <w:top w:w="0" w:type="dxa"/>
          <w:left w:w="108" w:type="dxa"/>
          <w:bottom w:w="0" w:type="dxa"/>
          <w:right w:w="108" w:type="dxa"/>
        </w:tblCellMar>
      </w:tblPr>
      <w:tblGrid>
        <w:gridCol w:w="815"/>
        <w:gridCol w:w="2708"/>
        <w:gridCol w:w="1268"/>
        <w:gridCol w:w="1878"/>
        <w:gridCol w:w="1850"/>
      </w:tblGrid>
      <w:tr w14:paraId="61FEB0C4">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tblHeader/>
          <w:jc w:val="center"/>
        </w:trPr>
        <w:tc>
          <w:tcPr>
            <w:tcW w:w="478" w:type="pct"/>
            <w:tcBorders>
              <w:tl2br w:val="nil"/>
              <w:tr2bl w:val="nil"/>
            </w:tcBorders>
            <w:shd w:val="clear" w:color="auto" w:fill="D4F4F1" w:themeFill="accent5" w:themeFillTint="32"/>
            <w:noWrap w:val="0"/>
            <w:vAlign w:val="center"/>
          </w:tcPr>
          <w:p w14:paraId="03AC62B3">
            <w:pPr>
              <w:pStyle w:val="38"/>
              <w:bidi w:val="0"/>
              <w:rPr>
                <w:rFonts w:hint="eastAsia"/>
                <w:highlight w:val="none"/>
                <w:lang w:val="en-US" w:eastAsia="zh-CN"/>
              </w:rPr>
            </w:pPr>
            <w:r>
              <w:rPr>
                <w:rFonts w:hint="eastAsia"/>
                <w:highlight w:val="none"/>
                <w:lang w:val="en-US" w:eastAsia="zh-CN"/>
              </w:rPr>
              <w:t>编号</w:t>
            </w:r>
          </w:p>
        </w:tc>
        <w:tc>
          <w:tcPr>
            <w:tcW w:w="1589" w:type="pct"/>
            <w:tcBorders>
              <w:tl2br w:val="nil"/>
              <w:tr2bl w:val="nil"/>
            </w:tcBorders>
            <w:shd w:val="clear" w:color="auto" w:fill="D4F4F1" w:themeFill="accent5" w:themeFillTint="32"/>
            <w:noWrap w:val="0"/>
            <w:vAlign w:val="center"/>
          </w:tcPr>
          <w:p w14:paraId="55C38F40">
            <w:pPr>
              <w:pStyle w:val="38"/>
              <w:bidi w:val="0"/>
              <w:rPr>
                <w:rFonts w:hint="eastAsia"/>
                <w:highlight w:val="none"/>
                <w:lang w:val="en-US" w:eastAsia="zh-CN"/>
              </w:rPr>
            </w:pPr>
            <w:r>
              <w:rPr>
                <w:rFonts w:hint="eastAsia"/>
                <w:highlight w:val="none"/>
                <w:lang w:val="en-US" w:eastAsia="zh-CN"/>
              </w:rPr>
              <w:t>机具、材料名称</w:t>
            </w:r>
          </w:p>
        </w:tc>
        <w:tc>
          <w:tcPr>
            <w:tcW w:w="744" w:type="pct"/>
            <w:tcBorders>
              <w:tl2br w:val="nil"/>
              <w:tr2bl w:val="nil"/>
            </w:tcBorders>
            <w:shd w:val="clear" w:color="auto" w:fill="D4F4F1" w:themeFill="accent5" w:themeFillTint="32"/>
            <w:noWrap w:val="0"/>
            <w:vAlign w:val="center"/>
          </w:tcPr>
          <w:p w14:paraId="4F54F2C9">
            <w:pPr>
              <w:pStyle w:val="38"/>
              <w:bidi w:val="0"/>
              <w:rPr>
                <w:rFonts w:hint="eastAsia"/>
                <w:highlight w:val="none"/>
                <w:lang w:val="en-US" w:eastAsia="zh-CN"/>
              </w:rPr>
            </w:pPr>
            <w:r>
              <w:rPr>
                <w:rFonts w:hint="eastAsia"/>
                <w:highlight w:val="none"/>
                <w:lang w:val="en-US" w:eastAsia="zh-CN"/>
              </w:rPr>
              <w:t>单位</w:t>
            </w:r>
          </w:p>
        </w:tc>
        <w:tc>
          <w:tcPr>
            <w:tcW w:w="1102" w:type="pct"/>
            <w:tcBorders>
              <w:tl2br w:val="nil"/>
              <w:tr2bl w:val="nil"/>
            </w:tcBorders>
            <w:shd w:val="clear" w:color="auto" w:fill="D4F4F1" w:themeFill="accent5" w:themeFillTint="32"/>
            <w:noWrap w:val="0"/>
            <w:vAlign w:val="center"/>
          </w:tcPr>
          <w:p w14:paraId="4518FBC0">
            <w:pPr>
              <w:pStyle w:val="38"/>
              <w:bidi w:val="0"/>
              <w:rPr>
                <w:rFonts w:hint="eastAsia"/>
                <w:highlight w:val="none"/>
                <w:lang w:val="en-US" w:eastAsia="zh-CN"/>
              </w:rPr>
            </w:pPr>
            <w:r>
              <w:rPr>
                <w:rFonts w:hint="eastAsia"/>
                <w:highlight w:val="none"/>
                <w:lang w:val="en-US" w:eastAsia="zh-CN"/>
              </w:rPr>
              <w:t>数量</w:t>
            </w:r>
          </w:p>
        </w:tc>
        <w:tc>
          <w:tcPr>
            <w:tcW w:w="1085" w:type="pct"/>
            <w:tcBorders>
              <w:tl2br w:val="nil"/>
              <w:tr2bl w:val="nil"/>
            </w:tcBorders>
            <w:shd w:val="clear" w:color="auto" w:fill="D4F4F1" w:themeFill="accent5" w:themeFillTint="32"/>
            <w:noWrap w:val="0"/>
            <w:vAlign w:val="center"/>
          </w:tcPr>
          <w:p w14:paraId="4D813F3B">
            <w:pPr>
              <w:pStyle w:val="38"/>
              <w:bidi w:val="0"/>
              <w:rPr>
                <w:rFonts w:hint="eastAsia"/>
                <w:highlight w:val="none"/>
                <w:lang w:val="en-US" w:eastAsia="zh-CN"/>
              </w:rPr>
            </w:pPr>
            <w:r>
              <w:rPr>
                <w:rFonts w:hint="eastAsia"/>
                <w:highlight w:val="none"/>
                <w:lang w:val="en-US" w:eastAsia="zh-CN"/>
              </w:rPr>
              <w:t>备注</w:t>
            </w:r>
          </w:p>
        </w:tc>
      </w:tr>
      <w:tr w14:paraId="30C8B551">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55E4BE82">
            <w:pPr>
              <w:pStyle w:val="38"/>
              <w:bidi w:val="0"/>
              <w:rPr>
                <w:rFonts w:hint="eastAsia"/>
                <w:highlight w:val="none"/>
                <w:lang w:val="en-US" w:eastAsia="zh-CN"/>
              </w:rPr>
            </w:pPr>
            <w:r>
              <w:rPr>
                <w:rFonts w:hint="eastAsia"/>
                <w:highlight w:val="none"/>
                <w:lang w:val="en-US" w:eastAsia="zh-CN"/>
              </w:rPr>
              <w:t>1</w:t>
            </w:r>
          </w:p>
        </w:tc>
        <w:tc>
          <w:tcPr>
            <w:tcW w:w="1589" w:type="pct"/>
            <w:tcBorders>
              <w:tl2br w:val="nil"/>
              <w:tr2bl w:val="nil"/>
            </w:tcBorders>
            <w:noWrap w:val="0"/>
            <w:vAlign w:val="center"/>
          </w:tcPr>
          <w:p w14:paraId="73750A37">
            <w:pPr>
              <w:pStyle w:val="38"/>
              <w:bidi w:val="0"/>
              <w:rPr>
                <w:rFonts w:hint="eastAsia"/>
                <w:highlight w:val="none"/>
                <w:lang w:val="en-US" w:eastAsia="zh-CN"/>
              </w:rPr>
            </w:pPr>
            <w:r>
              <w:rPr>
                <w:rFonts w:hint="eastAsia"/>
                <w:highlight w:val="none"/>
                <w:lang w:val="en-US" w:eastAsia="zh-CN"/>
              </w:rPr>
              <w:t>挖掘机</w:t>
            </w:r>
          </w:p>
        </w:tc>
        <w:tc>
          <w:tcPr>
            <w:tcW w:w="744" w:type="pct"/>
            <w:tcBorders>
              <w:tl2br w:val="nil"/>
              <w:tr2bl w:val="nil"/>
            </w:tcBorders>
            <w:noWrap w:val="0"/>
            <w:vAlign w:val="center"/>
          </w:tcPr>
          <w:p w14:paraId="746FE5DC">
            <w:pPr>
              <w:pStyle w:val="38"/>
              <w:bidi w:val="0"/>
              <w:rPr>
                <w:rFonts w:hint="eastAsia"/>
                <w:highlight w:val="none"/>
                <w:lang w:val="en-US" w:eastAsia="zh-CN"/>
              </w:rPr>
            </w:pPr>
            <w:r>
              <w:rPr>
                <w:rFonts w:hint="eastAsia"/>
                <w:highlight w:val="none"/>
                <w:lang w:val="en-US" w:eastAsia="zh-CN"/>
              </w:rPr>
              <w:t>台</w:t>
            </w:r>
          </w:p>
        </w:tc>
        <w:tc>
          <w:tcPr>
            <w:tcW w:w="1102" w:type="pct"/>
            <w:tcBorders>
              <w:tl2br w:val="nil"/>
              <w:tr2bl w:val="nil"/>
            </w:tcBorders>
            <w:noWrap w:val="0"/>
            <w:vAlign w:val="center"/>
          </w:tcPr>
          <w:p w14:paraId="59627C63">
            <w:pPr>
              <w:pStyle w:val="38"/>
              <w:bidi w:val="0"/>
              <w:rPr>
                <w:rFonts w:hint="default"/>
                <w:highlight w:val="none"/>
                <w:lang w:val="en-US" w:eastAsia="zh-CN"/>
              </w:rPr>
            </w:pPr>
            <w:r>
              <w:rPr>
                <w:rFonts w:hint="eastAsia"/>
                <w:highlight w:val="none"/>
                <w:lang w:val="en-US" w:eastAsia="zh-CN"/>
              </w:rPr>
              <w:t>3</w:t>
            </w:r>
          </w:p>
        </w:tc>
        <w:tc>
          <w:tcPr>
            <w:tcW w:w="1085" w:type="pct"/>
            <w:tcBorders>
              <w:tl2br w:val="nil"/>
              <w:tr2bl w:val="nil"/>
            </w:tcBorders>
            <w:noWrap w:val="0"/>
            <w:vAlign w:val="center"/>
          </w:tcPr>
          <w:p w14:paraId="048356CB">
            <w:pPr>
              <w:pStyle w:val="38"/>
              <w:bidi w:val="0"/>
              <w:rPr>
                <w:rFonts w:hint="eastAsia"/>
                <w:highlight w:val="none"/>
                <w:lang w:val="en-US" w:eastAsia="zh-CN"/>
              </w:rPr>
            </w:pPr>
            <w:r>
              <w:rPr>
                <w:rFonts w:hint="eastAsia"/>
                <w:highlight w:val="none"/>
                <w:lang w:val="en-US" w:eastAsia="zh-CN"/>
              </w:rPr>
              <w:t>220型</w:t>
            </w:r>
          </w:p>
        </w:tc>
      </w:tr>
      <w:tr w14:paraId="1C5073D5">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175A9546">
            <w:pPr>
              <w:pStyle w:val="38"/>
              <w:bidi w:val="0"/>
              <w:rPr>
                <w:rFonts w:hint="eastAsia"/>
                <w:highlight w:val="none"/>
                <w:lang w:val="en-US" w:eastAsia="zh-CN"/>
              </w:rPr>
            </w:pPr>
            <w:r>
              <w:rPr>
                <w:rFonts w:hint="eastAsia"/>
                <w:highlight w:val="none"/>
                <w:lang w:val="en-US" w:eastAsia="zh-CN"/>
              </w:rPr>
              <w:t>2</w:t>
            </w:r>
          </w:p>
        </w:tc>
        <w:tc>
          <w:tcPr>
            <w:tcW w:w="1589" w:type="pct"/>
            <w:tcBorders>
              <w:tl2br w:val="nil"/>
              <w:tr2bl w:val="nil"/>
            </w:tcBorders>
            <w:noWrap w:val="0"/>
            <w:vAlign w:val="center"/>
          </w:tcPr>
          <w:p w14:paraId="41355EE0">
            <w:pPr>
              <w:pStyle w:val="38"/>
              <w:bidi w:val="0"/>
              <w:rPr>
                <w:rFonts w:hint="eastAsia"/>
                <w:highlight w:val="none"/>
                <w:lang w:val="en-US" w:eastAsia="zh-CN"/>
              </w:rPr>
            </w:pPr>
            <w:r>
              <w:rPr>
                <w:rFonts w:hint="eastAsia"/>
                <w:highlight w:val="none"/>
                <w:lang w:val="en-US" w:eastAsia="zh-CN"/>
              </w:rPr>
              <w:t>装载机</w:t>
            </w:r>
          </w:p>
        </w:tc>
        <w:tc>
          <w:tcPr>
            <w:tcW w:w="744" w:type="pct"/>
            <w:tcBorders>
              <w:tl2br w:val="nil"/>
              <w:tr2bl w:val="nil"/>
            </w:tcBorders>
            <w:noWrap w:val="0"/>
            <w:vAlign w:val="center"/>
          </w:tcPr>
          <w:p w14:paraId="772D87D8">
            <w:pPr>
              <w:pStyle w:val="38"/>
              <w:bidi w:val="0"/>
              <w:rPr>
                <w:rFonts w:hint="eastAsia"/>
                <w:highlight w:val="none"/>
                <w:lang w:val="en-US" w:eastAsia="zh-CN"/>
              </w:rPr>
            </w:pPr>
            <w:r>
              <w:rPr>
                <w:rFonts w:hint="eastAsia"/>
                <w:highlight w:val="none"/>
                <w:lang w:val="en-US" w:eastAsia="zh-CN"/>
              </w:rPr>
              <w:t>台</w:t>
            </w:r>
          </w:p>
        </w:tc>
        <w:tc>
          <w:tcPr>
            <w:tcW w:w="1102" w:type="pct"/>
            <w:tcBorders>
              <w:tl2br w:val="nil"/>
              <w:tr2bl w:val="nil"/>
            </w:tcBorders>
            <w:noWrap w:val="0"/>
            <w:vAlign w:val="center"/>
          </w:tcPr>
          <w:p w14:paraId="3DBB2160">
            <w:pPr>
              <w:pStyle w:val="38"/>
              <w:bidi w:val="0"/>
              <w:rPr>
                <w:rFonts w:hint="eastAsia"/>
                <w:highlight w:val="none"/>
                <w:lang w:val="en-US" w:eastAsia="zh-CN"/>
              </w:rPr>
            </w:pPr>
            <w:r>
              <w:rPr>
                <w:rFonts w:hint="eastAsia"/>
                <w:highlight w:val="none"/>
                <w:lang w:val="en-US" w:eastAsia="zh-CN"/>
              </w:rPr>
              <w:t>3</w:t>
            </w:r>
          </w:p>
        </w:tc>
        <w:tc>
          <w:tcPr>
            <w:tcW w:w="1085" w:type="pct"/>
            <w:tcBorders>
              <w:tl2br w:val="nil"/>
              <w:tr2bl w:val="nil"/>
            </w:tcBorders>
            <w:noWrap w:val="0"/>
            <w:vAlign w:val="center"/>
          </w:tcPr>
          <w:p w14:paraId="704429AC">
            <w:pPr>
              <w:pStyle w:val="38"/>
              <w:bidi w:val="0"/>
              <w:rPr>
                <w:rFonts w:hint="eastAsia"/>
                <w:highlight w:val="none"/>
                <w:lang w:val="en-US" w:eastAsia="zh-CN"/>
              </w:rPr>
            </w:pPr>
            <w:r>
              <w:rPr>
                <w:rFonts w:hint="eastAsia"/>
                <w:highlight w:val="none"/>
                <w:lang w:val="en-US" w:eastAsia="zh-CN"/>
              </w:rPr>
              <w:t>50型</w:t>
            </w:r>
          </w:p>
        </w:tc>
      </w:tr>
      <w:tr w14:paraId="1033BC38">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2BF97530">
            <w:pPr>
              <w:pStyle w:val="38"/>
              <w:bidi w:val="0"/>
              <w:rPr>
                <w:rFonts w:hint="eastAsia"/>
                <w:highlight w:val="none"/>
                <w:lang w:val="en-US" w:eastAsia="zh-CN"/>
              </w:rPr>
            </w:pPr>
            <w:r>
              <w:rPr>
                <w:rFonts w:hint="eastAsia"/>
                <w:highlight w:val="none"/>
                <w:lang w:val="en-US" w:eastAsia="zh-CN"/>
              </w:rPr>
              <w:t>3</w:t>
            </w:r>
          </w:p>
        </w:tc>
        <w:tc>
          <w:tcPr>
            <w:tcW w:w="1589" w:type="pct"/>
            <w:tcBorders>
              <w:tl2br w:val="nil"/>
              <w:tr2bl w:val="nil"/>
            </w:tcBorders>
            <w:noWrap w:val="0"/>
            <w:vAlign w:val="center"/>
          </w:tcPr>
          <w:p w14:paraId="5D1BA242">
            <w:pPr>
              <w:pStyle w:val="38"/>
              <w:bidi w:val="0"/>
              <w:rPr>
                <w:rFonts w:hint="eastAsia"/>
                <w:highlight w:val="none"/>
                <w:lang w:val="en-US" w:eastAsia="zh-CN"/>
              </w:rPr>
            </w:pPr>
            <w:r>
              <w:rPr>
                <w:rFonts w:hint="eastAsia"/>
                <w:highlight w:val="none"/>
                <w:lang w:val="en-US" w:eastAsia="zh-CN"/>
              </w:rPr>
              <w:t>发电机</w:t>
            </w:r>
          </w:p>
        </w:tc>
        <w:tc>
          <w:tcPr>
            <w:tcW w:w="744" w:type="pct"/>
            <w:tcBorders>
              <w:tl2br w:val="nil"/>
              <w:tr2bl w:val="nil"/>
            </w:tcBorders>
            <w:noWrap w:val="0"/>
            <w:vAlign w:val="center"/>
          </w:tcPr>
          <w:p w14:paraId="45EE70B2">
            <w:pPr>
              <w:pStyle w:val="38"/>
              <w:bidi w:val="0"/>
              <w:rPr>
                <w:rFonts w:hint="eastAsia"/>
                <w:highlight w:val="none"/>
                <w:lang w:val="en-US" w:eastAsia="zh-CN"/>
              </w:rPr>
            </w:pPr>
            <w:r>
              <w:rPr>
                <w:rFonts w:hint="eastAsia"/>
                <w:highlight w:val="none"/>
                <w:lang w:val="en-US" w:eastAsia="zh-CN"/>
              </w:rPr>
              <w:t>台</w:t>
            </w:r>
          </w:p>
        </w:tc>
        <w:tc>
          <w:tcPr>
            <w:tcW w:w="1102" w:type="pct"/>
            <w:tcBorders>
              <w:tl2br w:val="nil"/>
              <w:tr2bl w:val="nil"/>
            </w:tcBorders>
            <w:noWrap w:val="0"/>
            <w:vAlign w:val="center"/>
          </w:tcPr>
          <w:p w14:paraId="21BC5CA7">
            <w:pPr>
              <w:pStyle w:val="38"/>
              <w:bidi w:val="0"/>
              <w:rPr>
                <w:rFonts w:hint="eastAsia"/>
                <w:highlight w:val="none"/>
                <w:lang w:val="en-US" w:eastAsia="zh-CN"/>
              </w:rPr>
            </w:pPr>
            <w:r>
              <w:rPr>
                <w:rFonts w:hint="eastAsia"/>
                <w:highlight w:val="none"/>
                <w:lang w:val="en-US" w:eastAsia="zh-CN"/>
              </w:rPr>
              <w:t>3</w:t>
            </w:r>
          </w:p>
        </w:tc>
        <w:tc>
          <w:tcPr>
            <w:tcW w:w="1085" w:type="pct"/>
            <w:tcBorders>
              <w:tl2br w:val="nil"/>
              <w:tr2bl w:val="nil"/>
            </w:tcBorders>
            <w:noWrap w:val="0"/>
            <w:vAlign w:val="center"/>
          </w:tcPr>
          <w:p w14:paraId="30F02B58">
            <w:pPr>
              <w:pStyle w:val="38"/>
              <w:bidi w:val="0"/>
              <w:rPr>
                <w:rFonts w:hint="eastAsia"/>
                <w:highlight w:val="none"/>
                <w:lang w:val="en-US" w:eastAsia="zh-CN"/>
              </w:rPr>
            </w:pPr>
            <w:r>
              <w:rPr>
                <w:rFonts w:hint="eastAsia"/>
                <w:highlight w:val="none"/>
                <w:lang w:val="en-US" w:eastAsia="zh-CN"/>
              </w:rPr>
              <w:t>200千瓦</w:t>
            </w:r>
          </w:p>
        </w:tc>
      </w:tr>
      <w:tr w14:paraId="6F5C3DB7">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2E93BC18">
            <w:pPr>
              <w:pStyle w:val="38"/>
              <w:bidi w:val="0"/>
              <w:rPr>
                <w:rFonts w:hint="eastAsia"/>
                <w:highlight w:val="none"/>
                <w:lang w:val="en-US" w:eastAsia="zh-CN"/>
              </w:rPr>
            </w:pPr>
            <w:r>
              <w:rPr>
                <w:rFonts w:hint="eastAsia"/>
                <w:highlight w:val="none"/>
                <w:lang w:val="en-US" w:eastAsia="zh-CN"/>
              </w:rPr>
              <w:t>4</w:t>
            </w:r>
          </w:p>
        </w:tc>
        <w:tc>
          <w:tcPr>
            <w:tcW w:w="1589" w:type="pct"/>
            <w:tcBorders>
              <w:tl2br w:val="nil"/>
              <w:tr2bl w:val="nil"/>
            </w:tcBorders>
            <w:noWrap w:val="0"/>
            <w:vAlign w:val="center"/>
          </w:tcPr>
          <w:p w14:paraId="0AAA4765">
            <w:pPr>
              <w:pStyle w:val="38"/>
              <w:bidi w:val="0"/>
              <w:rPr>
                <w:rFonts w:hint="eastAsia"/>
                <w:highlight w:val="none"/>
                <w:lang w:val="en-US" w:eastAsia="zh-CN"/>
              </w:rPr>
            </w:pPr>
            <w:r>
              <w:rPr>
                <w:rFonts w:hint="eastAsia"/>
                <w:highlight w:val="none"/>
                <w:lang w:val="en-US" w:eastAsia="zh-CN"/>
              </w:rPr>
              <w:t>千斤顶</w:t>
            </w:r>
          </w:p>
        </w:tc>
        <w:tc>
          <w:tcPr>
            <w:tcW w:w="744" w:type="pct"/>
            <w:tcBorders>
              <w:tl2br w:val="nil"/>
              <w:tr2bl w:val="nil"/>
            </w:tcBorders>
            <w:noWrap w:val="0"/>
            <w:vAlign w:val="center"/>
          </w:tcPr>
          <w:p w14:paraId="13BDD8C5">
            <w:pPr>
              <w:pStyle w:val="38"/>
              <w:bidi w:val="0"/>
              <w:rPr>
                <w:rFonts w:hint="eastAsia"/>
                <w:highlight w:val="none"/>
                <w:lang w:val="en-US" w:eastAsia="zh-CN"/>
              </w:rPr>
            </w:pPr>
            <w:r>
              <w:rPr>
                <w:rFonts w:hint="eastAsia"/>
                <w:highlight w:val="none"/>
                <w:lang w:val="en-US" w:eastAsia="zh-CN"/>
              </w:rPr>
              <w:t>台</w:t>
            </w:r>
          </w:p>
        </w:tc>
        <w:tc>
          <w:tcPr>
            <w:tcW w:w="1102" w:type="pct"/>
            <w:tcBorders>
              <w:tl2br w:val="nil"/>
              <w:tr2bl w:val="nil"/>
            </w:tcBorders>
            <w:noWrap w:val="0"/>
            <w:vAlign w:val="center"/>
          </w:tcPr>
          <w:p w14:paraId="0FFD560D">
            <w:pPr>
              <w:pStyle w:val="38"/>
              <w:bidi w:val="0"/>
              <w:rPr>
                <w:rFonts w:hint="eastAsia"/>
                <w:highlight w:val="none"/>
                <w:lang w:val="en-US" w:eastAsia="zh-CN"/>
              </w:rPr>
            </w:pPr>
            <w:r>
              <w:rPr>
                <w:rFonts w:hint="eastAsia"/>
                <w:highlight w:val="none"/>
                <w:lang w:val="en-US" w:eastAsia="zh-CN"/>
              </w:rPr>
              <w:t>6</w:t>
            </w:r>
          </w:p>
        </w:tc>
        <w:tc>
          <w:tcPr>
            <w:tcW w:w="1085" w:type="pct"/>
            <w:tcBorders>
              <w:tl2br w:val="nil"/>
              <w:tr2bl w:val="nil"/>
            </w:tcBorders>
            <w:noWrap w:val="0"/>
            <w:vAlign w:val="center"/>
          </w:tcPr>
          <w:p w14:paraId="5CCBA438">
            <w:pPr>
              <w:pStyle w:val="38"/>
              <w:bidi w:val="0"/>
              <w:rPr>
                <w:rFonts w:hint="eastAsia"/>
                <w:highlight w:val="none"/>
                <w:lang w:val="en-US" w:eastAsia="zh-CN"/>
              </w:rPr>
            </w:pPr>
            <w:r>
              <w:rPr>
                <w:rFonts w:hint="eastAsia"/>
                <w:highlight w:val="none"/>
                <w:lang w:val="en-US" w:eastAsia="zh-CN"/>
              </w:rPr>
              <w:t>400吨</w:t>
            </w:r>
          </w:p>
        </w:tc>
      </w:tr>
      <w:tr w14:paraId="2E717126">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5A43E9FC">
            <w:pPr>
              <w:pStyle w:val="38"/>
              <w:bidi w:val="0"/>
              <w:rPr>
                <w:rFonts w:hint="eastAsia"/>
                <w:highlight w:val="none"/>
                <w:lang w:val="en-US" w:eastAsia="zh-CN"/>
              </w:rPr>
            </w:pPr>
            <w:r>
              <w:rPr>
                <w:rFonts w:hint="eastAsia"/>
                <w:highlight w:val="none"/>
                <w:lang w:val="en-US" w:eastAsia="zh-CN"/>
              </w:rPr>
              <w:t>5</w:t>
            </w:r>
          </w:p>
        </w:tc>
        <w:tc>
          <w:tcPr>
            <w:tcW w:w="1589" w:type="pct"/>
            <w:tcBorders>
              <w:tl2br w:val="nil"/>
              <w:tr2bl w:val="nil"/>
            </w:tcBorders>
            <w:noWrap w:val="0"/>
            <w:vAlign w:val="center"/>
          </w:tcPr>
          <w:p w14:paraId="048DE0B9">
            <w:pPr>
              <w:pStyle w:val="38"/>
              <w:bidi w:val="0"/>
              <w:rPr>
                <w:rFonts w:hint="eastAsia"/>
                <w:highlight w:val="none"/>
                <w:lang w:val="en-US" w:eastAsia="zh-CN"/>
              </w:rPr>
            </w:pPr>
            <w:r>
              <w:rPr>
                <w:rFonts w:hint="eastAsia"/>
                <w:highlight w:val="none"/>
                <w:lang w:val="en-US" w:eastAsia="zh-CN"/>
              </w:rPr>
              <w:t>铁锹</w:t>
            </w:r>
          </w:p>
        </w:tc>
        <w:tc>
          <w:tcPr>
            <w:tcW w:w="744" w:type="pct"/>
            <w:tcBorders>
              <w:tl2br w:val="nil"/>
              <w:tr2bl w:val="nil"/>
            </w:tcBorders>
            <w:noWrap w:val="0"/>
            <w:vAlign w:val="center"/>
          </w:tcPr>
          <w:p w14:paraId="6C4351D8">
            <w:pPr>
              <w:pStyle w:val="38"/>
              <w:bidi w:val="0"/>
              <w:rPr>
                <w:rFonts w:hint="eastAsia"/>
                <w:highlight w:val="none"/>
                <w:lang w:val="en-US" w:eastAsia="zh-CN"/>
              </w:rPr>
            </w:pPr>
            <w:r>
              <w:rPr>
                <w:rFonts w:hint="eastAsia"/>
                <w:highlight w:val="none"/>
                <w:lang w:val="en-US" w:eastAsia="zh-CN"/>
              </w:rPr>
              <w:t>把</w:t>
            </w:r>
          </w:p>
        </w:tc>
        <w:tc>
          <w:tcPr>
            <w:tcW w:w="1102" w:type="pct"/>
            <w:tcBorders>
              <w:tl2br w:val="nil"/>
              <w:tr2bl w:val="nil"/>
            </w:tcBorders>
            <w:noWrap w:val="0"/>
            <w:vAlign w:val="center"/>
          </w:tcPr>
          <w:p w14:paraId="4BB98384">
            <w:pPr>
              <w:pStyle w:val="38"/>
              <w:bidi w:val="0"/>
              <w:rPr>
                <w:rFonts w:hint="eastAsia"/>
                <w:highlight w:val="none"/>
                <w:lang w:val="en-US" w:eastAsia="zh-CN"/>
              </w:rPr>
            </w:pPr>
            <w:r>
              <w:rPr>
                <w:rFonts w:hint="eastAsia"/>
                <w:highlight w:val="none"/>
                <w:lang w:val="en-US" w:eastAsia="zh-CN"/>
              </w:rPr>
              <w:t>30</w:t>
            </w:r>
          </w:p>
        </w:tc>
        <w:tc>
          <w:tcPr>
            <w:tcW w:w="1085" w:type="pct"/>
            <w:tcBorders>
              <w:tl2br w:val="nil"/>
              <w:tr2bl w:val="nil"/>
            </w:tcBorders>
            <w:noWrap w:val="0"/>
            <w:vAlign w:val="center"/>
          </w:tcPr>
          <w:p w14:paraId="5AB91991">
            <w:pPr>
              <w:pStyle w:val="38"/>
              <w:bidi w:val="0"/>
              <w:rPr>
                <w:rFonts w:hint="eastAsia"/>
                <w:highlight w:val="none"/>
                <w:lang w:val="en-US" w:eastAsia="zh-CN"/>
              </w:rPr>
            </w:pPr>
          </w:p>
        </w:tc>
      </w:tr>
      <w:tr w14:paraId="63FE7D11">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0F9CC978">
            <w:pPr>
              <w:pStyle w:val="38"/>
              <w:bidi w:val="0"/>
              <w:rPr>
                <w:rFonts w:hint="eastAsia"/>
                <w:highlight w:val="none"/>
                <w:lang w:val="en-US" w:eastAsia="zh-CN"/>
              </w:rPr>
            </w:pPr>
            <w:r>
              <w:rPr>
                <w:rFonts w:hint="eastAsia"/>
                <w:highlight w:val="none"/>
                <w:lang w:val="en-US" w:eastAsia="zh-CN"/>
              </w:rPr>
              <w:t>6</w:t>
            </w:r>
          </w:p>
        </w:tc>
        <w:tc>
          <w:tcPr>
            <w:tcW w:w="1589" w:type="pct"/>
            <w:tcBorders>
              <w:tl2br w:val="nil"/>
              <w:tr2bl w:val="nil"/>
            </w:tcBorders>
            <w:noWrap w:val="0"/>
            <w:vAlign w:val="center"/>
          </w:tcPr>
          <w:p w14:paraId="0A914BEF">
            <w:pPr>
              <w:pStyle w:val="38"/>
              <w:bidi w:val="0"/>
              <w:rPr>
                <w:rFonts w:hint="eastAsia"/>
                <w:highlight w:val="none"/>
                <w:lang w:val="en-US" w:eastAsia="zh-CN"/>
              </w:rPr>
            </w:pPr>
            <w:r>
              <w:rPr>
                <w:rFonts w:hint="eastAsia"/>
                <w:highlight w:val="none"/>
                <w:lang w:val="en-US" w:eastAsia="zh-CN"/>
              </w:rPr>
              <w:t>担架</w:t>
            </w:r>
          </w:p>
        </w:tc>
        <w:tc>
          <w:tcPr>
            <w:tcW w:w="744" w:type="pct"/>
            <w:tcBorders>
              <w:tl2br w:val="nil"/>
              <w:tr2bl w:val="nil"/>
            </w:tcBorders>
            <w:noWrap w:val="0"/>
            <w:vAlign w:val="center"/>
          </w:tcPr>
          <w:p w14:paraId="005D9F76">
            <w:pPr>
              <w:pStyle w:val="38"/>
              <w:bidi w:val="0"/>
              <w:rPr>
                <w:rFonts w:hint="eastAsia"/>
                <w:highlight w:val="none"/>
                <w:lang w:val="en-US" w:eastAsia="zh-CN"/>
              </w:rPr>
            </w:pPr>
            <w:r>
              <w:rPr>
                <w:rFonts w:hint="eastAsia"/>
                <w:highlight w:val="none"/>
                <w:lang w:val="en-US" w:eastAsia="zh-CN"/>
              </w:rPr>
              <w:t>副</w:t>
            </w:r>
          </w:p>
        </w:tc>
        <w:tc>
          <w:tcPr>
            <w:tcW w:w="1102" w:type="pct"/>
            <w:tcBorders>
              <w:tl2br w:val="nil"/>
              <w:tr2bl w:val="nil"/>
            </w:tcBorders>
            <w:noWrap w:val="0"/>
            <w:vAlign w:val="center"/>
          </w:tcPr>
          <w:p w14:paraId="7C700413">
            <w:pPr>
              <w:pStyle w:val="38"/>
              <w:bidi w:val="0"/>
              <w:rPr>
                <w:rFonts w:hint="eastAsia"/>
                <w:highlight w:val="none"/>
                <w:lang w:val="en-US" w:eastAsia="zh-CN"/>
              </w:rPr>
            </w:pPr>
            <w:r>
              <w:rPr>
                <w:rFonts w:hint="eastAsia"/>
                <w:highlight w:val="none"/>
                <w:lang w:val="en-US" w:eastAsia="zh-CN"/>
              </w:rPr>
              <w:t>5</w:t>
            </w:r>
          </w:p>
        </w:tc>
        <w:tc>
          <w:tcPr>
            <w:tcW w:w="1085" w:type="pct"/>
            <w:tcBorders>
              <w:tl2br w:val="nil"/>
              <w:tr2bl w:val="nil"/>
            </w:tcBorders>
            <w:noWrap w:val="0"/>
            <w:vAlign w:val="center"/>
          </w:tcPr>
          <w:p w14:paraId="6DE4CED6">
            <w:pPr>
              <w:pStyle w:val="38"/>
              <w:bidi w:val="0"/>
              <w:rPr>
                <w:rFonts w:hint="eastAsia"/>
                <w:highlight w:val="none"/>
                <w:lang w:val="en-US" w:eastAsia="zh-CN"/>
              </w:rPr>
            </w:pPr>
          </w:p>
        </w:tc>
      </w:tr>
      <w:tr w14:paraId="7F2478EF">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26A72BB2">
            <w:pPr>
              <w:pStyle w:val="38"/>
              <w:bidi w:val="0"/>
              <w:rPr>
                <w:rFonts w:hint="eastAsia"/>
                <w:highlight w:val="none"/>
                <w:lang w:val="en-US" w:eastAsia="zh-CN"/>
              </w:rPr>
            </w:pPr>
            <w:r>
              <w:rPr>
                <w:rFonts w:hint="eastAsia"/>
                <w:highlight w:val="none"/>
                <w:lang w:val="en-US" w:eastAsia="zh-CN"/>
              </w:rPr>
              <w:t>7</w:t>
            </w:r>
          </w:p>
        </w:tc>
        <w:tc>
          <w:tcPr>
            <w:tcW w:w="1589" w:type="pct"/>
            <w:tcBorders>
              <w:tl2br w:val="nil"/>
              <w:tr2bl w:val="nil"/>
            </w:tcBorders>
            <w:noWrap w:val="0"/>
            <w:vAlign w:val="center"/>
          </w:tcPr>
          <w:p w14:paraId="667F2E95">
            <w:pPr>
              <w:pStyle w:val="38"/>
              <w:bidi w:val="0"/>
              <w:rPr>
                <w:rFonts w:hint="eastAsia"/>
                <w:highlight w:val="none"/>
                <w:lang w:val="en-US" w:eastAsia="zh-CN"/>
              </w:rPr>
            </w:pPr>
            <w:r>
              <w:rPr>
                <w:rFonts w:hint="eastAsia"/>
                <w:highlight w:val="none"/>
                <w:lang w:val="en-US" w:eastAsia="zh-CN"/>
              </w:rPr>
              <w:t>灭火器</w:t>
            </w:r>
          </w:p>
        </w:tc>
        <w:tc>
          <w:tcPr>
            <w:tcW w:w="744" w:type="pct"/>
            <w:tcBorders>
              <w:tl2br w:val="nil"/>
              <w:tr2bl w:val="nil"/>
            </w:tcBorders>
            <w:noWrap w:val="0"/>
            <w:vAlign w:val="center"/>
          </w:tcPr>
          <w:p w14:paraId="07B20F57">
            <w:pPr>
              <w:pStyle w:val="38"/>
              <w:bidi w:val="0"/>
              <w:rPr>
                <w:rFonts w:hint="eastAsia"/>
                <w:highlight w:val="none"/>
                <w:lang w:val="en-US" w:eastAsia="zh-CN"/>
              </w:rPr>
            </w:pPr>
            <w:r>
              <w:rPr>
                <w:rFonts w:hint="eastAsia"/>
                <w:highlight w:val="none"/>
                <w:lang w:val="en-US" w:eastAsia="zh-CN"/>
              </w:rPr>
              <w:t>个</w:t>
            </w:r>
          </w:p>
        </w:tc>
        <w:tc>
          <w:tcPr>
            <w:tcW w:w="1102" w:type="pct"/>
            <w:tcBorders>
              <w:tl2br w:val="nil"/>
              <w:tr2bl w:val="nil"/>
            </w:tcBorders>
            <w:noWrap w:val="0"/>
            <w:vAlign w:val="center"/>
          </w:tcPr>
          <w:p w14:paraId="4D3FFEF1">
            <w:pPr>
              <w:pStyle w:val="38"/>
              <w:bidi w:val="0"/>
              <w:rPr>
                <w:rFonts w:hint="eastAsia"/>
                <w:highlight w:val="none"/>
                <w:lang w:val="en-US" w:eastAsia="zh-CN"/>
              </w:rPr>
            </w:pPr>
            <w:r>
              <w:rPr>
                <w:rFonts w:hint="eastAsia"/>
                <w:highlight w:val="none"/>
                <w:lang w:val="en-US" w:eastAsia="zh-CN"/>
              </w:rPr>
              <w:t>若干</w:t>
            </w:r>
          </w:p>
        </w:tc>
        <w:tc>
          <w:tcPr>
            <w:tcW w:w="1085" w:type="pct"/>
            <w:tcBorders>
              <w:tl2br w:val="nil"/>
              <w:tr2bl w:val="nil"/>
            </w:tcBorders>
            <w:noWrap w:val="0"/>
            <w:vAlign w:val="center"/>
          </w:tcPr>
          <w:p w14:paraId="529D3456">
            <w:pPr>
              <w:pStyle w:val="38"/>
              <w:bidi w:val="0"/>
              <w:rPr>
                <w:rFonts w:hint="eastAsia"/>
                <w:highlight w:val="none"/>
                <w:lang w:val="en-US" w:eastAsia="zh-CN"/>
              </w:rPr>
            </w:pPr>
            <w:r>
              <w:rPr>
                <w:rFonts w:hint="eastAsia"/>
                <w:highlight w:val="none"/>
                <w:lang w:val="en-US" w:eastAsia="zh-CN"/>
              </w:rPr>
              <w:t>符合规范</w:t>
            </w:r>
          </w:p>
        </w:tc>
      </w:tr>
      <w:tr w14:paraId="70521E6C">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711EC73B">
            <w:pPr>
              <w:pStyle w:val="38"/>
              <w:bidi w:val="0"/>
              <w:rPr>
                <w:rFonts w:hint="eastAsia"/>
                <w:highlight w:val="none"/>
                <w:lang w:val="en-US" w:eastAsia="zh-CN"/>
              </w:rPr>
            </w:pPr>
            <w:r>
              <w:rPr>
                <w:rFonts w:hint="eastAsia"/>
                <w:highlight w:val="none"/>
                <w:lang w:val="en-US" w:eastAsia="zh-CN"/>
              </w:rPr>
              <w:t>8</w:t>
            </w:r>
          </w:p>
        </w:tc>
        <w:tc>
          <w:tcPr>
            <w:tcW w:w="1589" w:type="pct"/>
            <w:tcBorders>
              <w:tl2br w:val="nil"/>
              <w:tr2bl w:val="nil"/>
            </w:tcBorders>
            <w:noWrap w:val="0"/>
            <w:vAlign w:val="center"/>
          </w:tcPr>
          <w:p w14:paraId="123CC337">
            <w:pPr>
              <w:pStyle w:val="38"/>
              <w:bidi w:val="0"/>
              <w:rPr>
                <w:rFonts w:hint="eastAsia"/>
                <w:highlight w:val="none"/>
                <w:lang w:val="en-US" w:eastAsia="zh-CN"/>
              </w:rPr>
            </w:pPr>
            <w:r>
              <w:rPr>
                <w:rFonts w:hint="eastAsia"/>
                <w:highlight w:val="none"/>
                <w:lang w:val="en-US" w:eastAsia="zh-CN"/>
              </w:rPr>
              <w:t>手电筒</w:t>
            </w:r>
          </w:p>
        </w:tc>
        <w:tc>
          <w:tcPr>
            <w:tcW w:w="744" w:type="pct"/>
            <w:tcBorders>
              <w:tl2br w:val="nil"/>
              <w:tr2bl w:val="nil"/>
            </w:tcBorders>
            <w:noWrap w:val="0"/>
            <w:vAlign w:val="center"/>
          </w:tcPr>
          <w:p w14:paraId="272B368B">
            <w:pPr>
              <w:pStyle w:val="38"/>
              <w:bidi w:val="0"/>
              <w:rPr>
                <w:rFonts w:hint="eastAsia"/>
                <w:highlight w:val="none"/>
                <w:lang w:val="en-US" w:eastAsia="zh-CN"/>
              </w:rPr>
            </w:pPr>
            <w:r>
              <w:rPr>
                <w:rFonts w:hint="eastAsia"/>
                <w:highlight w:val="none"/>
                <w:lang w:val="en-US" w:eastAsia="zh-CN"/>
              </w:rPr>
              <w:t>个</w:t>
            </w:r>
          </w:p>
        </w:tc>
        <w:tc>
          <w:tcPr>
            <w:tcW w:w="1102" w:type="pct"/>
            <w:tcBorders>
              <w:tl2br w:val="nil"/>
              <w:tr2bl w:val="nil"/>
            </w:tcBorders>
            <w:noWrap w:val="0"/>
            <w:vAlign w:val="center"/>
          </w:tcPr>
          <w:p w14:paraId="048705B1">
            <w:pPr>
              <w:pStyle w:val="38"/>
              <w:bidi w:val="0"/>
              <w:rPr>
                <w:rFonts w:hint="eastAsia"/>
                <w:highlight w:val="none"/>
                <w:lang w:val="en-US" w:eastAsia="zh-CN"/>
              </w:rPr>
            </w:pPr>
            <w:r>
              <w:rPr>
                <w:rFonts w:hint="eastAsia"/>
                <w:highlight w:val="none"/>
                <w:lang w:val="en-US" w:eastAsia="zh-CN"/>
              </w:rPr>
              <w:t>若干</w:t>
            </w:r>
          </w:p>
        </w:tc>
        <w:tc>
          <w:tcPr>
            <w:tcW w:w="1085" w:type="pct"/>
            <w:tcBorders>
              <w:tl2br w:val="nil"/>
              <w:tr2bl w:val="nil"/>
            </w:tcBorders>
            <w:noWrap w:val="0"/>
            <w:vAlign w:val="center"/>
          </w:tcPr>
          <w:p w14:paraId="16B312FF">
            <w:pPr>
              <w:pStyle w:val="38"/>
              <w:bidi w:val="0"/>
              <w:rPr>
                <w:rFonts w:hint="eastAsia"/>
                <w:highlight w:val="none"/>
                <w:lang w:val="en-US" w:eastAsia="zh-CN"/>
              </w:rPr>
            </w:pPr>
          </w:p>
        </w:tc>
      </w:tr>
      <w:tr w14:paraId="0ED50101">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57F93CC7">
            <w:pPr>
              <w:pStyle w:val="38"/>
              <w:bidi w:val="0"/>
              <w:rPr>
                <w:rFonts w:hint="eastAsia"/>
                <w:highlight w:val="none"/>
                <w:lang w:val="en-US" w:eastAsia="zh-CN"/>
              </w:rPr>
            </w:pPr>
            <w:r>
              <w:rPr>
                <w:rFonts w:hint="eastAsia"/>
                <w:highlight w:val="none"/>
                <w:lang w:val="en-US" w:eastAsia="zh-CN"/>
              </w:rPr>
              <w:t>9</w:t>
            </w:r>
          </w:p>
        </w:tc>
        <w:tc>
          <w:tcPr>
            <w:tcW w:w="1589" w:type="pct"/>
            <w:tcBorders>
              <w:tl2br w:val="nil"/>
              <w:tr2bl w:val="nil"/>
            </w:tcBorders>
            <w:noWrap w:val="0"/>
            <w:vAlign w:val="center"/>
          </w:tcPr>
          <w:p w14:paraId="38452813">
            <w:pPr>
              <w:pStyle w:val="38"/>
              <w:bidi w:val="0"/>
              <w:rPr>
                <w:rFonts w:hint="eastAsia"/>
                <w:highlight w:val="none"/>
                <w:lang w:val="en-US" w:eastAsia="zh-CN"/>
              </w:rPr>
            </w:pPr>
            <w:r>
              <w:rPr>
                <w:rFonts w:hint="eastAsia"/>
                <w:highlight w:val="none"/>
                <w:lang w:val="en-US" w:eastAsia="zh-CN"/>
              </w:rPr>
              <w:t>指挥车</w:t>
            </w:r>
          </w:p>
        </w:tc>
        <w:tc>
          <w:tcPr>
            <w:tcW w:w="744" w:type="pct"/>
            <w:tcBorders>
              <w:tl2br w:val="nil"/>
              <w:tr2bl w:val="nil"/>
            </w:tcBorders>
            <w:noWrap w:val="0"/>
            <w:vAlign w:val="center"/>
          </w:tcPr>
          <w:p w14:paraId="2863AF8F">
            <w:pPr>
              <w:pStyle w:val="38"/>
              <w:bidi w:val="0"/>
              <w:rPr>
                <w:rFonts w:hint="eastAsia"/>
                <w:highlight w:val="none"/>
                <w:lang w:val="en-US" w:eastAsia="zh-CN"/>
              </w:rPr>
            </w:pPr>
            <w:r>
              <w:rPr>
                <w:rFonts w:hint="eastAsia"/>
                <w:highlight w:val="none"/>
                <w:lang w:val="en-US" w:eastAsia="zh-CN"/>
              </w:rPr>
              <w:t>辆</w:t>
            </w:r>
          </w:p>
        </w:tc>
        <w:tc>
          <w:tcPr>
            <w:tcW w:w="1102" w:type="pct"/>
            <w:tcBorders>
              <w:tl2br w:val="nil"/>
              <w:tr2bl w:val="nil"/>
            </w:tcBorders>
            <w:noWrap w:val="0"/>
            <w:vAlign w:val="center"/>
          </w:tcPr>
          <w:p w14:paraId="15F6E8E0">
            <w:pPr>
              <w:pStyle w:val="38"/>
              <w:bidi w:val="0"/>
              <w:rPr>
                <w:rFonts w:hint="eastAsia"/>
                <w:highlight w:val="none"/>
                <w:lang w:val="en-US" w:eastAsia="zh-CN"/>
              </w:rPr>
            </w:pPr>
            <w:r>
              <w:rPr>
                <w:rFonts w:hint="eastAsia"/>
                <w:highlight w:val="none"/>
                <w:lang w:val="en-US" w:eastAsia="zh-CN"/>
              </w:rPr>
              <w:t>1</w:t>
            </w:r>
          </w:p>
        </w:tc>
        <w:tc>
          <w:tcPr>
            <w:tcW w:w="1085" w:type="pct"/>
            <w:tcBorders>
              <w:tl2br w:val="nil"/>
              <w:tr2bl w:val="nil"/>
            </w:tcBorders>
            <w:noWrap w:val="0"/>
            <w:vAlign w:val="center"/>
          </w:tcPr>
          <w:p w14:paraId="60C6ECF9">
            <w:pPr>
              <w:pStyle w:val="38"/>
              <w:bidi w:val="0"/>
              <w:rPr>
                <w:rFonts w:hint="eastAsia"/>
                <w:highlight w:val="none"/>
                <w:lang w:val="en-US" w:eastAsia="zh-CN"/>
              </w:rPr>
            </w:pPr>
          </w:p>
        </w:tc>
      </w:tr>
    </w:tbl>
    <w:p w14:paraId="67AD68D1">
      <w:pPr>
        <w:bidi w:val="0"/>
        <w:ind w:firstLine="480" w:firstLineChars="200"/>
        <w:rPr>
          <w:rFonts w:hint="eastAsia" w:ascii="宋体" w:hAnsi="宋体" w:eastAsia="宋体"/>
          <w:highlight w:val="none"/>
          <w:lang w:val="en-US" w:eastAsia="zh-CN"/>
        </w:rPr>
      </w:pPr>
      <w:bookmarkStart w:id="116" w:name="_Toc15656"/>
      <w:r>
        <w:rPr>
          <w:rFonts w:hint="eastAsia" w:ascii="宋体" w:hAnsi="宋体" w:eastAsia="宋体"/>
          <w:highlight w:val="none"/>
          <w:lang w:val="en-US" w:eastAsia="zh-CN"/>
        </w:rPr>
        <w:t>2、应急电话及救援路线图</w:t>
      </w:r>
      <w:bookmarkEnd w:id="116"/>
    </w:p>
    <w:p w14:paraId="1B367387">
      <w:pPr>
        <w:bidi w:val="0"/>
        <w:ind w:firstLine="480" w:firstLineChars="200"/>
        <w:rPr>
          <w:rFonts w:hint="default" w:ascii="宋体" w:hAnsi="宋体" w:eastAsia="宋体"/>
          <w:highlight w:val="none"/>
          <w:lang w:val="en-US" w:eastAsia="zh-CN"/>
        </w:rPr>
      </w:pPr>
      <w:r>
        <w:rPr>
          <w:rFonts w:hint="eastAsia" w:ascii="宋体" w:hAnsi="宋体" w:eastAsia="宋体"/>
          <w:highlight w:val="none"/>
          <w:lang w:val="en-US" w:eastAsia="zh-CN"/>
        </w:rPr>
        <w:t>（1）应急电话及机构</w:t>
      </w:r>
    </w:p>
    <w:p w14:paraId="3161C880">
      <w:pPr>
        <w:pStyle w:val="15"/>
        <w:bidi w:val="0"/>
        <w:rPr>
          <w:rFonts w:hint="eastAsia"/>
          <w:lang w:val="en-US" w:eastAsia="zh-CN"/>
        </w:rPr>
      </w:pPr>
      <w:r>
        <w:t>表</w:t>
      </w:r>
      <w:r>
        <w:rPr>
          <w:rFonts w:hint="eastAsia"/>
          <w:lang w:val="en-US" w:eastAsia="zh-CN"/>
        </w:rPr>
        <w:t>5.3-2项目附近救援机构联系方式及位置</w:t>
      </w:r>
    </w:p>
    <w:tbl>
      <w:tblPr>
        <w:tblStyle w:val="28"/>
        <w:tblW w:w="4998" w:type="pct"/>
        <w:jc w:val="center"/>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Layout w:type="autofit"/>
        <w:tblCellMar>
          <w:top w:w="0" w:type="dxa"/>
          <w:left w:w="108" w:type="dxa"/>
          <w:bottom w:w="0" w:type="dxa"/>
          <w:right w:w="108" w:type="dxa"/>
        </w:tblCellMar>
      </w:tblPr>
      <w:tblGrid>
        <w:gridCol w:w="699"/>
        <w:gridCol w:w="2496"/>
        <w:gridCol w:w="1693"/>
        <w:gridCol w:w="1831"/>
        <w:gridCol w:w="1800"/>
      </w:tblGrid>
      <w:tr w14:paraId="36B7A3CF">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tblHeader/>
          <w:jc w:val="center"/>
        </w:trPr>
        <w:tc>
          <w:tcPr>
            <w:tcW w:w="410" w:type="pct"/>
            <w:tcBorders>
              <w:tl2br w:val="nil"/>
              <w:tr2bl w:val="nil"/>
            </w:tcBorders>
            <w:shd w:val="clear" w:color="auto" w:fill="D4F4F1" w:themeFill="accent5" w:themeFillTint="32"/>
            <w:noWrap w:val="0"/>
            <w:vAlign w:val="center"/>
          </w:tcPr>
          <w:p w14:paraId="1918F4A3">
            <w:pPr>
              <w:pStyle w:val="38"/>
              <w:bidi w:val="0"/>
              <w:rPr>
                <w:rFonts w:hint="eastAsia"/>
                <w:highlight w:val="none"/>
              </w:rPr>
            </w:pPr>
            <w:r>
              <w:rPr>
                <w:rFonts w:hint="eastAsia"/>
                <w:highlight w:val="none"/>
              </w:rPr>
              <w:t>序号</w:t>
            </w:r>
          </w:p>
        </w:tc>
        <w:tc>
          <w:tcPr>
            <w:tcW w:w="1464" w:type="pct"/>
            <w:tcBorders>
              <w:tl2br w:val="nil"/>
              <w:tr2bl w:val="nil"/>
            </w:tcBorders>
            <w:shd w:val="clear" w:color="auto" w:fill="D4F4F1" w:themeFill="accent5" w:themeFillTint="32"/>
            <w:noWrap w:val="0"/>
            <w:vAlign w:val="center"/>
          </w:tcPr>
          <w:p w14:paraId="6AE9834D">
            <w:pPr>
              <w:pStyle w:val="38"/>
              <w:bidi w:val="0"/>
              <w:rPr>
                <w:rFonts w:hint="eastAsia"/>
                <w:highlight w:val="none"/>
              </w:rPr>
            </w:pPr>
            <w:r>
              <w:rPr>
                <w:rFonts w:hint="eastAsia"/>
                <w:highlight w:val="none"/>
              </w:rPr>
              <w:t>周边资源</w:t>
            </w:r>
          </w:p>
        </w:tc>
        <w:tc>
          <w:tcPr>
            <w:tcW w:w="993" w:type="pct"/>
            <w:tcBorders>
              <w:tl2br w:val="nil"/>
              <w:tr2bl w:val="nil"/>
            </w:tcBorders>
            <w:shd w:val="clear" w:color="auto" w:fill="D4F4F1" w:themeFill="accent5" w:themeFillTint="32"/>
            <w:noWrap w:val="0"/>
            <w:vAlign w:val="center"/>
          </w:tcPr>
          <w:p w14:paraId="7971B0E4">
            <w:pPr>
              <w:pStyle w:val="38"/>
              <w:bidi w:val="0"/>
              <w:rPr>
                <w:rFonts w:hint="eastAsia"/>
                <w:highlight w:val="none"/>
              </w:rPr>
            </w:pPr>
            <w:r>
              <w:rPr>
                <w:rFonts w:hint="eastAsia"/>
                <w:highlight w:val="none"/>
              </w:rPr>
              <w:t>联系方式</w:t>
            </w:r>
          </w:p>
        </w:tc>
        <w:tc>
          <w:tcPr>
            <w:tcW w:w="1074" w:type="pct"/>
            <w:tcBorders>
              <w:tl2br w:val="nil"/>
              <w:tr2bl w:val="nil"/>
            </w:tcBorders>
            <w:shd w:val="clear" w:color="auto" w:fill="D4F4F1" w:themeFill="accent5" w:themeFillTint="32"/>
            <w:noWrap w:val="0"/>
            <w:vAlign w:val="center"/>
          </w:tcPr>
          <w:p w14:paraId="7790F91C">
            <w:pPr>
              <w:pStyle w:val="38"/>
              <w:bidi w:val="0"/>
              <w:rPr>
                <w:rFonts w:hint="eastAsia"/>
                <w:highlight w:val="none"/>
              </w:rPr>
            </w:pPr>
            <w:r>
              <w:rPr>
                <w:rFonts w:hint="eastAsia"/>
                <w:highlight w:val="none"/>
              </w:rPr>
              <w:t>位置</w:t>
            </w:r>
          </w:p>
        </w:tc>
        <w:tc>
          <w:tcPr>
            <w:tcW w:w="1056" w:type="pct"/>
            <w:tcBorders>
              <w:tl2br w:val="nil"/>
              <w:tr2bl w:val="nil"/>
            </w:tcBorders>
            <w:shd w:val="clear" w:color="auto" w:fill="D4F4F1" w:themeFill="accent5" w:themeFillTint="32"/>
            <w:noWrap w:val="0"/>
            <w:vAlign w:val="center"/>
          </w:tcPr>
          <w:p w14:paraId="5427F3F5">
            <w:pPr>
              <w:pStyle w:val="38"/>
              <w:bidi w:val="0"/>
              <w:rPr>
                <w:rFonts w:hint="eastAsia"/>
                <w:highlight w:val="none"/>
              </w:rPr>
            </w:pPr>
            <w:r>
              <w:rPr>
                <w:rFonts w:hint="eastAsia"/>
                <w:highlight w:val="none"/>
              </w:rPr>
              <w:t>用途</w:t>
            </w:r>
          </w:p>
        </w:tc>
      </w:tr>
      <w:tr w14:paraId="16E07FA4">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361E3B1B">
            <w:pPr>
              <w:pStyle w:val="38"/>
              <w:bidi w:val="0"/>
              <w:rPr>
                <w:rFonts w:hint="eastAsia"/>
                <w:highlight w:val="none"/>
              </w:rPr>
            </w:pPr>
            <w:r>
              <w:rPr>
                <w:rFonts w:hint="eastAsia"/>
                <w:highlight w:val="none"/>
              </w:rPr>
              <w:t>1</w:t>
            </w:r>
          </w:p>
        </w:tc>
        <w:tc>
          <w:tcPr>
            <w:tcW w:w="1464" w:type="pct"/>
            <w:tcBorders>
              <w:tl2br w:val="nil"/>
              <w:tr2bl w:val="nil"/>
            </w:tcBorders>
            <w:noWrap w:val="0"/>
            <w:vAlign w:val="center"/>
          </w:tcPr>
          <w:p w14:paraId="140EE99A">
            <w:pPr>
              <w:pStyle w:val="38"/>
              <w:bidi w:val="0"/>
              <w:rPr>
                <w:rFonts w:hint="eastAsia"/>
                <w:highlight w:val="none"/>
                <w:lang w:val="en-US" w:eastAsia="zh-CN"/>
              </w:rPr>
            </w:pPr>
            <w:r>
              <w:rPr>
                <w:rFonts w:hint="eastAsia"/>
                <w:highlight w:val="none"/>
              </w:rPr>
              <w:t>火警</w:t>
            </w:r>
          </w:p>
        </w:tc>
        <w:tc>
          <w:tcPr>
            <w:tcW w:w="993" w:type="pct"/>
            <w:tcBorders>
              <w:tl2br w:val="nil"/>
              <w:tr2bl w:val="nil"/>
            </w:tcBorders>
            <w:noWrap w:val="0"/>
            <w:vAlign w:val="center"/>
          </w:tcPr>
          <w:p w14:paraId="428A9795">
            <w:pPr>
              <w:pStyle w:val="38"/>
              <w:bidi w:val="0"/>
              <w:rPr>
                <w:rFonts w:hint="eastAsia"/>
                <w:highlight w:val="none"/>
                <w:lang w:val="en-US" w:eastAsia="zh-CN"/>
              </w:rPr>
            </w:pPr>
            <w:r>
              <w:rPr>
                <w:rFonts w:hint="eastAsia"/>
                <w:highlight w:val="none"/>
              </w:rPr>
              <w:t>119</w:t>
            </w:r>
          </w:p>
        </w:tc>
        <w:tc>
          <w:tcPr>
            <w:tcW w:w="1074" w:type="pct"/>
            <w:tcBorders>
              <w:tl2br w:val="nil"/>
              <w:tr2bl w:val="nil"/>
            </w:tcBorders>
            <w:noWrap w:val="0"/>
            <w:vAlign w:val="center"/>
          </w:tcPr>
          <w:p w14:paraId="493989EF">
            <w:pPr>
              <w:pStyle w:val="38"/>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71FBEDA1">
            <w:pPr>
              <w:pStyle w:val="38"/>
              <w:bidi w:val="0"/>
              <w:rPr>
                <w:rFonts w:hint="eastAsia"/>
                <w:highlight w:val="none"/>
                <w:lang w:val="en-US" w:eastAsia="zh-CN"/>
              </w:rPr>
            </w:pPr>
            <w:r>
              <w:rPr>
                <w:rFonts w:hint="eastAsia"/>
                <w:highlight w:val="none"/>
              </w:rPr>
              <w:t>火灾报警救援</w:t>
            </w:r>
          </w:p>
        </w:tc>
      </w:tr>
      <w:tr w14:paraId="60448DB8">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58F1E53C">
            <w:pPr>
              <w:pStyle w:val="38"/>
              <w:bidi w:val="0"/>
              <w:rPr>
                <w:rFonts w:hint="eastAsia"/>
                <w:highlight w:val="none"/>
              </w:rPr>
            </w:pPr>
            <w:r>
              <w:rPr>
                <w:rFonts w:hint="eastAsia"/>
                <w:highlight w:val="none"/>
              </w:rPr>
              <w:t>2</w:t>
            </w:r>
          </w:p>
        </w:tc>
        <w:tc>
          <w:tcPr>
            <w:tcW w:w="1464" w:type="pct"/>
            <w:tcBorders>
              <w:tl2br w:val="nil"/>
              <w:tr2bl w:val="nil"/>
            </w:tcBorders>
            <w:noWrap w:val="0"/>
            <w:vAlign w:val="center"/>
          </w:tcPr>
          <w:p w14:paraId="5F76E0E0">
            <w:pPr>
              <w:pStyle w:val="38"/>
              <w:bidi w:val="0"/>
              <w:rPr>
                <w:rFonts w:hint="eastAsia"/>
                <w:highlight w:val="none"/>
                <w:lang w:val="en-US" w:eastAsia="zh-CN"/>
              </w:rPr>
            </w:pPr>
            <w:r>
              <w:rPr>
                <w:rFonts w:hint="eastAsia"/>
                <w:highlight w:val="none"/>
              </w:rPr>
              <w:t>匪警</w:t>
            </w:r>
          </w:p>
        </w:tc>
        <w:tc>
          <w:tcPr>
            <w:tcW w:w="993" w:type="pct"/>
            <w:tcBorders>
              <w:tl2br w:val="nil"/>
              <w:tr2bl w:val="nil"/>
            </w:tcBorders>
            <w:noWrap w:val="0"/>
            <w:vAlign w:val="center"/>
          </w:tcPr>
          <w:p w14:paraId="0F093DE0">
            <w:pPr>
              <w:pStyle w:val="38"/>
              <w:bidi w:val="0"/>
              <w:rPr>
                <w:rFonts w:hint="eastAsia"/>
                <w:highlight w:val="none"/>
                <w:lang w:val="en-US" w:eastAsia="zh-CN"/>
              </w:rPr>
            </w:pPr>
            <w:r>
              <w:rPr>
                <w:rFonts w:hint="eastAsia"/>
                <w:highlight w:val="none"/>
              </w:rPr>
              <w:t>110</w:t>
            </w:r>
          </w:p>
        </w:tc>
        <w:tc>
          <w:tcPr>
            <w:tcW w:w="1074" w:type="pct"/>
            <w:tcBorders>
              <w:tl2br w:val="nil"/>
              <w:tr2bl w:val="nil"/>
            </w:tcBorders>
            <w:noWrap w:val="0"/>
            <w:vAlign w:val="center"/>
          </w:tcPr>
          <w:p w14:paraId="4A1D87A7">
            <w:pPr>
              <w:pStyle w:val="38"/>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09AE60A5">
            <w:pPr>
              <w:pStyle w:val="38"/>
              <w:bidi w:val="0"/>
              <w:rPr>
                <w:rFonts w:hint="eastAsia"/>
                <w:highlight w:val="none"/>
                <w:lang w:val="en-US" w:eastAsia="zh-CN"/>
              </w:rPr>
            </w:pPr>
            <w:r>
              <w:rPr>
                <w:rFonts w:hint="eastAsia"/>
                <w:highlight w:val="none"/>
              </w:rPr>
              <w:t>治安事件报警救援</w:t>
            </w:r>
          </w:p>
        </w:tc>
      </w:tr>
      <w:tr w14:paraId="52BAABF6">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56A783CE">
            <w:pPr>
              <w:pStyle w:val="38"/>
              <w:bidi w:val="0"/>
              <w:rPr>
                <w:rFonts w:hint="eastAsia"/>
                <w:highlight w:val="none"/>
              </w:rPr>
            </w:pPr>
            <w:r>
              <w:rPr>
                <w:rFonts w:hint="eastAsia"/>
                <w:highlight w:val="none"/>
              </w:rPr>
              <w:t>3</w:t>
            </w:r>
          </w:p>
        </w:tc>
        <w:tc>
          <w:tcPr>
            <w:tcW w:w="1464" w:type="pct"/>
            <w:tcBorders>
              <w:tl2br w:val="nil"/>
              <w:tr2bl w:val="nil"/>
            </w:tcBorders>
            <w:noWrap w:val="0"/>
            <w:vAlign w:val="center"/>
          </w:tcPr>
          <w:p w14:paraId="1C94D057">
            <w:pPr>
              <w:pStyle w:val="38"/>
              <w:bidi w:val="0"/>
              <w:rPr>
                <w:rFonts w:hint="eastAsia"/>
                <w:highlight w:val="none"/>
                <w:lang w:val="en-US" w:eastAsia="zh-CN"/>
              </w:rPr>
            </w:pPr>
            <w:r>
              <w:rPr>
                <w:rFonts w:hint="eastAsia"/>
                <w:highlight w:val="none"/>
              </w:rPr>
              <w:t>气象</w:t>
            </w:r>
          </w:p>
        </w:tc>
        <w:tc>
          <w:tcPr>
            <w:tcW w:w="993" w:type="pct"/>
            <w:tcBorders>
              <w:tl2br w:val="nil"/>
              <w:tr2bl w:val="nil"/>
            </w:tcBorders>
            <w:noWrap w:val="0"/>
            <w:vAlign w:val="center"/>
          </w:tcPr>
          <w:p w14:paraId="66FFE489">
            <w:pPr>
              <w:pStyle w:val="38"/>
              <w:bidi w:val="0"/>
              <w:rPr>
                <w:rFonts w:hint="eastAsia"/>
                <w:highlight w:val="none"/>
                <w:lang w:val="en-US" w:eastAsia="zh-CN"/>
              </w:rPr>
            </w:pPr>
            <w:r>
              <w:rPr>
                <w:rFonts w:hint="eastAsia"/>
                <w:highlight w:val="none"/>
              </w:rPr>
              <w:t>121</w:t>
            </w:r>
          </w:p>
        </w:tc>
        <w:tc>
          <w:tcPr>
            <w:tcW w:w="1074" w:type="pct"/>
            <w:tcBorders>
              <w:tl2br w:val="nil"/>
              <w:tr2bl w:val="nil"/>
            </w:tcBorders>
            <w:noWrap w:val="0"/>
            <w:vAlign w:val="center"/>
          </w:tcPr>
          <w:p w14:paraId="3827B03C">
            <w:pPr>
              <w:pStyle w:val="38"/>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001E100E">
            <w:pPr>
              <w:pStyle w:val="38"/>
              <w:bidi w:val="0"/>
              <w:rPr>
                <w:rFonts w:hint="eastAsia"/>
                <w:highlight w:val="none"/>
                <w:lang w:val="en-US" w:eastAsia="zh-CN"/>
              </w:rPr>
            </w:pPr>
            <w:r>
              <w:rPr>
                <w:rFonts w:hint="eastAsia"/>
                <w:highlight w:val="none"/>
              </w:rPr>
              <w:t>气象信息</w:t>
            </w:r>
          </w:p>
        </w:tc>
      </w:tr>
      <w:tr w14:paraId="7D6CF009">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0FF178AE">
            <w:pPr>
              <w:pStyle w:val="38"/>
              <w:bidi w:val="0"/>
              <w:rPr>
                <w:rFonts w:hint="eastAsia"/>
                <w:highlight w:val="none"/>
              </w:rPr>
            </w:pPr>
            <w:r>
              <w:rPr>
                <w:rFonts w:hint="eastAsia"/>
                <w:highlight w:val="none"/>
              </w:rPr>
              <w:t>4</w:t>
            </w:r>
          </w:p>
        </w:tc>
        <w:tc>
          <w:tcPr>
            <w:tcW w:w="1464" w:type="pct"/>
            <w:tcBorders>
              <w:tl2br w:val="nil"/>
              <w:tr2bl w:val="nil"/>
            </w:tcBorders>
            <w:noWrap w:val="0"/>
            <w:vAlign w:val="center"/>
          </w:tcPr>
          <w:p w14:paraId="0546E46A">
            <w:pPr>
              <w:pStyle w:val="38"/>
              <w:bidi w:val="0"/>
              <w:rPr>
                <w:rFonts w:hint="eastAsia"/>
                <w:highlight w:val="none"/>
                <w:lang w:val="en-US" w:eastAsia="zh-CN"/>
              </w:rPr>
            </w:pPr>
            <w:r>
              <w:rPr>
                <w:rFonts w:hint="eastAsia"/>
                <w:highlight w:val="none"/>
              </w:rPr>
              <w:t>查号台</w:t>
            </w:r>
          </w:p>
        </w:tc>
        <w:tc>
          <w:tcPr>
            <w:tcW w:w="993" w:type="pct"/>
            <w:tcBorders>
              <w:tl2br w:val="nil"/>
              <w:tr2bl w:val="nil"/>
            </w:tcBorders>
            <w:noWrap w:val="0"/>
            <w:vAlign w:val="center"/>
          </w:tcPr>
          <w:p w14:paraId="09AC7376">
            <w:pPr>
              <w:pStyle w:val="38"/>
              <w:bidi w:val="0"/>
              <w:rPr>
                <w:rFonts w:hint="eastAsia"/>
                <w:highlight w:val="none"/>
                <w:lang w:val="en-US" w:eastAsia="zh-CN"/>
              </w:rPr>
            </w:pPr>
            <w:r>
              <w:rPr>
                <w:rFonts w:hint="eastAsia"/>
                <w:highlight w:val="none"/>
              </w:rPr>
              <w:t>114</w:t>
            </w:r>
          </w:p>
        </w:tc>
        <w:tc>
          <w:tcPr>
            <w:tcW w:w="1074" w:type="pct"/>
            <w:tcBorders>
              <w:tl2br w:val="nil"/>
              <w:tr2bl w:val="nil"/>
            </w:tcBorders>
            <w:noWrap w:val="0"/>
            <w:vAlign w:val="center"/>
          </w:tcPr>
          <w:p w14:paraId="7E0DF5E4">
            <w:pPr>
              <w:pStyle w:val="38"/>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6FFA8840">
            <w:pPr>
              <w:pStyle w:val="38"/>
              <w:bidi w:val="0"/>
              <w:rPr>
                <w:rFonts w:hint="eastAsia"/>
                <w:highlight w:val="none"/>
                <w:lang w:val="en-US" w:eastAsia="zh-CN"/>
              </w:rPr>
            </w:pPr>
            <w:r>
              <w:rPr>
                <w:rFonts w:hint="eastAsia"/>
                <w:highlight w:val="none"/>
              </w:rPr>
              <w:t>电话号码查询</w:t>
            </w:r>
          </w:p>
        </w:tc>
      </w:tr>
      <w:tr w14:paraId="4CFE6788">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5BE19AFF">
            <w:pPr>
              <w:pStyle w:val="38"/>
              <w:bidi w:val="0"/>
              <w:rPr>
                <w:rFonts w:hint="eastAsia"/>
                <w:highlight w:val="none"/>
                <w:lang w:val="en-US" w:eastAsia="zh-CN"/>
              </w:rPr>
            </w:pPr>
            <w:r>
              <w:rPr>
                <w:rFonts w:hint="eastAsia"/>
                <w:highlight w:val="none"/>
                <w:lang w:val="en-US" w:eastAsia="zh-CN"/>
              </w:rPr>
              <w:t>5</w:t>
            </w:r>
          </w:p>
        </w:tc>
        <w:tc>
          <w:tcPr>
            <w:tcW w:w="1464" w:type="pct"/>
            <w:tcBorders>
              <w:tl2br w:val="nil"/>
              <w:tr2bl w:val="nil"/>
            </w:tcBorders>
            <w:noWrap w:val="0"/>
            <w:vAlign w:val="center"/>
          </w:tcPr>
          <w:p w14:paraId="17BBDBE8">
            <w:pPr>
              <w:pStyle w:val="38"/>
              <w:bidi w:val="0"/>
              <w:rPr>
                <w:rFonts w:hint="eastAsia"/>
                <w:highlight w:val="none"/>
                <w:lang w:val="en-US" w:eastAsia="zh-CN"/>
              </w:rPr>
            </w:pPr>
            <w:r>
              <w:rPr>
                <w:rFonts w:hint="eastAsia"/>
                <w:highlight w:val="none"/>
              </w:rPr>
              <w:t>市急救中心</w:t>
            </w:r>
          </w:p>
        </w:tc>
        <w:tc>
          <w:tcPr>
            <w:tcW w:w="993" w:type="pct"/>
            <w:tcBorders>
              <w:tl2br w:val="nil"/>
              <w:tr2bl w:val="nil"/>
            </w:tcBorders>
            <w:noWrap w:val="0"/>
            <w:vAlign w:val="center"/>
          </w:tcPr>
          <w:p w14:paraId="749555BD">
            <w:pPr>
              <w:pStyle w:val="38"/>
              <w:bidi w:val="0"/>
              <w:rPr>
                <w:rFonts w:hint="eastAsia"/>
                <w:highlight w:val="none"/>
                <w:lang w:val="en-US" w:eastAsia="zh-CN"/>
              </w:rPr>
            </w:pPr>
            <w:r>
              <w:rPr>
                <w:rFonts w:hint="eastAsia"/>
                <w:highlight w:val="none"/>
              </w:rPr>
              <w:t>120</w:t>
            </w:r>
          </w:p>
        </w:tc>
        <w:tc>
          <w:tcPr>
            <w:tcW w:w="1074" w:type="pct"/>
            <w:tcBorders>
              <w:tl2br w:val="nil"/>
              <w:tr2bl w:val="nil"/>
            </w:tcBorders>
            <w:noWrap w:val="0"/>
            <w:vAlign w:val="center"/>
          </w:tcPr>
          <w:p w14:paraId="372AEEF5">
            <w:pPr>
              <w:pStyle w:val="38"/>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61A3DB57">
            <w:pPr>
              <w:pStyle w:val="38"/>
              <w:bidi w:val="0"/>
              <w:rPr>
                <w:rFonts w:hint="eastAsia"/>
                <w:highlight w:val="none"/>
                <w:lang w:val="en-US" w:eastAsia="zh-CN"/>
              </w:rPr>
            </w:pPr>
            <w:r>
              <w:rPr>
                <w:rFonts w:hint="eastAsia"/>
                <w:highlight w:val="none"/>
              </w:rPr>
              <w:t>人员伤亡急救</w:t>
            </w:r>
          </w:p>
        </w:tc>
      </w:tr>
      <w:tr w14:paraId="0390A4E6">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0C04ABBB">
            <w:pPr>
              <w:pStyle w:val="38"/>
              <w:bidi w:val="0"/>
              <w:rPr>
                <w:rFonts w:hint="eastAsia"/>
                <w:highlight w:val="none"/>
                <w:lang w:val="en-US" w:eastAsia="zh-CN"/>
              </w:rPr>
            </w:pPr>
            <w:r>
              <w:rPr>
                <w:rFonts w:hint="eastAsia"/>
                <w:highlight w:val="none"/>
                <w:lang w:val="en-US" w:eastAsia="zh-CN"/>
              </w:rPr>
              <w:t>6</w:t>
            </w:r>
          </w:p>
        </w:tc>
        <w:tc>
          <w:tcPr>
            <w:tcW w:w="1464" w:type="pct"/>
            <w:tcBorders>
              <w:tl2br w:val="nil"/>
              <w:tr2bl w:val="nil"/>
            </w:tcBorders>
            <w:noWrap w:val="0"/>
            <w:vAlign w:val="center"/>
          </w:tcPr>
          <w:p w14:paraId="6E94E596">
            <w:pPr>
              <w:pStyle w:val="38"/>
              <w:bidi w:val="0"/>
              <w:rPr>
                <w:rFonts w:hint="eastAsia"/>
                <w:highlight w:val="none"/>
                <w:lang w:val="en-US" w:eastAsia="zh-CN"/>
              </w:rPr>
            </w:pPr>
            <w:r>
              <w:rPr>
                <w:rFonts w:hint="eastAsia"/>
                <w:highlight w:val="none"/>
              </w:rPr>
              <w:t>道路事故报警</w:t>
            </w:r>
          </w:p>
        </w:tc>
        <w:tc>
          <w:tcPr>
            <w:tcW w:w="993" w:type="pct"/>
            <w:tcBorders>
              <w:tl2br w:val="nil"/>
              <w:tr2bl w:val="nil"/>
            </w:tcBorders>
            <w:noWrap w:val="0"/>
            <w:vAlign w:val="center"/>
          </w:tcPr>
          <w:p w14:paraId="3319EEBC">
            <w:pPr>
              <w:pStyle w:val="38"/>
              <w:bidi w:val="0"/>
              <w:rPr>
                <w:rFonts w:hint="eastAsia"/>
                <w:highlight w:val="none"/>
                <w:lang w:val="en-US" w:eastAsia="zh-CN"/>
              </w:rPr>
            </w:pPr>
            <w:r>
              <w:rPr>
                <w:rFonts w:hint="eastAsia"/>
                <w:highlight w:val="none"/>
              </w:rPr>
              <w:t>122</w:t>
            </w:r>
          </w:p>
        </w:tc>
        <w:tc>
          <w:tcPr>
            <w:tcW w:w="1074" w:type="pct"/>
            <w:tcBorders>
              <w:tl2br w:val="nil"/>
              <w:tr2bl w:val="nil"/>
            </w:tcBorders>
            <w:noWrap w:val="0"/>
            <w:vAlign w:val="center"/>
          </w:tcPr>
          <w:p w14:paraId="5F26F765">
            <w:pPr>
              <w:pStyle w:val="38"/>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45D9281D">
            <w:pPr>
              <w:pStyle w:val="38"/>
              <w:bidi w:val="0"/>
              <w:rPr>
                <w:rFonts w:hint="eastAsia"/>
                <w:highlight w:val="none"/>
                <w:lang w:val="en-US" w:eastAsia="zh-CN"/>
              </w:rPr>
            </w:pPr>
            <w:r>
              <w:rPr>
                <w:rFonts w:hint="eastAsia"/>
                <w:highlight w:val="none"/>
              </w:rPr>
              <w:t>道路事故报警</w:t>
            </w:r>
          </w:p>
        </w:tc>
      </w:tr>
    </w:tbl>
    <w:p w14:paraId="021B72B1">
      <w:pPr>
        <w:bidi w:val="0"/>
        <w:ind w:firstLine="480" w:firstLineChars="200"/>
        <w:rPr>
          <w:rFonts w:hint="eastAsia" w:ascii="宋体" w:hAnsi="宋体" w:eastAsia="宋体"/>
          <w:highlight w:val="none"/>
          <w:lang w:val="en-US" w:eastAsia="zh-CN"/>
        </w:rPr>
      </w:pPr>
      <w:r>
        <w:rPr>
          <w:rFonts w:hint="eastAsia" w:ascii="宋体" w:hAnsi="宋体" w:eastAsia="宋体"/>
          <w:highlight w:val="none"/>
          <w:lang w:val="en-US" w:eastAsia="zh-CN"/>
        </w:rPr>
        <w:t>（2）应急救援路线</w:t>
      </w:r>
    </w:p>
    <w:p w14:paraId="2B2C97D2">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为急救医生留出抢救通道，确保安全通道畅通，我部已与恭城县人民医院签订协议，联系电话120、0773-8212298。</w:t>
      </w:r>
    </w:p>
    <w:p w14:paraId="42FC3D16">
      <w:pPr>
        <w:keepNext w:val="0"/>
        <w:keepLines w:val="0"/>
        <w:widowControl/>
        <w:suppressLineNumbers w:val="0"/>
        <w:ind w:firstLine="480" w:firstLineChars="200"/>
        <w:jc w:val="left"/>
        <w:rPr>
          <w:highlight w:val="none"/>
        </w:rPr>
      </w:pPr>
      <w:r>
        <w:rPr>
          <w:rFonts w:hint="eastAsia" w:cs="宋体"/>
          <w:color w:val="000000"/>
          <w:kern w:val="0"/>
          <w:sz w:val="24"/>
          <w:szCs w:val="24"/>
          <w:highlight w:val="none"/>
          <w:lang w:val="en-US" w:eastAsia="zh-CN" w:bidi="ar"/>
        </w:rPr>
        <w:t>应急救援路线：</w:t>
      </w:r>
      <w:r>
        <w:rPr>
          <w:rFonts w:hint="eastAsia" w:ascii="宋体" w:hAnsi="宋体" w:eastAsia="宋体" w:cs="宋体"/>
          <w:color w:val="000000"/>
          <w:kern w:val="0"/>
          <w:sz w:val="24"/>
          <w:szCs w:val="24"/>
          <w:highlight w:val="none"/>
          <w:lang w:val="en-US" w:eastAsia="zh-CN" w:bidi="ar"/>
        </w:rPr>
        <w:t>项目经理部在施工事故应急抢险过程中一旦发生人员伤亡事故或其他紧急情况，除及时采取对应的应急响应处置措施外，恭城县人民医院为主要应急处置地点，现场至恭城县人民医院全程约30分钟。</w:t>
      </w:r>
    </w:p>
    <w:p w14:paraId="2EE47B4C">
      <w:pPr>
        <w:pStyle w:val="13"/>
        <w:ind w:left="0" w:leftChars="0" w:firstLine="0" w:firstLineChars="0"/>
        <w:jc w:val="center"/>
        <w:rPr>
          <w:highlight w:val="none"/>
        </w:rPr>
      </w:pPr>
      <w:r>
        <w:rPr>
          <w:rFonts w:ascii="宋体" w:hAnsi="宋体" w:eastAsia="宋体" w:cs="宋体"/>
          <w:kern w:val="0"/>
          <w:sz w:val="24"/>
          <w:szCs w:val="24"/>
          <w:highlight w:val="none"/>
          <w:lang w:val="en-US" w:eastAsia="zh-CN" w:bidi="ar"/>
        </w:rPr>
        <w:drawing>
          <wp:inline distT="0" distB="0" distL="114300" distR="114300">
            <wp:extent cx="4458335" cy="2416810"/>
            <wp:effectExtent l="0" t="0" r="18415" b="2540"/>
            <wp:docPr id="38"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0" descr="IMG_256"/>
                    <pic:cNvPicPr>
                      <a:picLocks noChangeAspect="1"/>
                    </pic:cNvPicPr>
                  </pic:nvPicPr>
                  <pic:blipFill>
                    <a:blip r:embed="rId47"/>
                    <a:srcRect b="6944"/>
                    <a:stretch>
                      <a:fillRect/>
                    </a:stretch>
                  </pic:blipFill>
                  <pic:spPr>
                    <a:xfrm>
                      <a:off x="0" y="0"/>
                      <a:ext cx="4458335" cy="2416810"/>
                    </a:xfrm>
                    <a:prstGeom prst="rect">
                      <a:avLst/>
                    </a:prstGeom>
                    <a:noFill/>
                    <a:ln w="9525">
                      <a:noFill/>
                    </a:ln>
                  </pic:spPr>
                </pic:pic>
              </a:graphicData>
            </a:graphic>
          </wp:inline>
        </w:drawing>
      </w:r>
    </w:p>
    <w:p w14:paraId="741763BE">
      <w:pPr>
        <w:pStyle w:val="15"/>
        <w:bidi w:val="0"/>
        <w:rPr>
          <w:rFonts w:hint="eastAsia"/>
          <w:lang w:val="en-US" w:eastAsia="zh-CN"/>
        </w:rPr>
      </w:pPr>
      <w:r>
        <w:rPr>
          <w:rFonts w:hint="eastAsia"/>
          <w:lang w:val="en-US" w:eastAsia="zh-CN"/>
        </w:rPr>
        <w:t>图5.3</w:t>
      </w:r>
      <w:r>
        <w:rPr>
          <w:rFonts w:hint="default"/>
          <w:lang w:val="en-US" w:eastAsia="zh-CN"/>
        </w:rPr>
        <w:t xml:space="preserve">-1 </w:t>
      </w:r>
      <w:r>
        <w:rPr>
          <w:rFonts w:hint="eastAsia"/>
          <w:lang w:val="en-US" w:eastAsia="zh-CN"/>
        </w:rPr>
        <w:t>应急路线图</w:t>
      </w:r>
    </w:p>
    <w:p w14:paraId="05444003">
      <w:pPr>
        <w:bidi w:val="0"/>
        <w:jc w:val="center"/>
        <w:rPr>
          <w:rFonts w:hint="default"/>
          <w:lang w:val="en-US" w:eastAsia="zh-CN"/>
        </w:rPr>
        <w:sectPr>
          <w:pgSz w:w="11906" w:h="16838"/>
          <w:pgMar w:top="1440" w:right="1800" w:bottom="1440" w:left="1800" w:header="851" w:footer="992" w:gutter="0"/>
          <w:pgNumType w:fmt="decimal"/>
          <w:cols w:space="425" w:num="1"/>
          <w:docGrid w:type="lines" w:linePitch="312" w:charSpace="0"/>
        </w:sectPr>
      </w:pPr>
    </w:p>
    <w:p w14:paraId="4C5F11A2">
      <w:pPr>
        <w:pStyle w:val="2"/>
        <w:bidi w:val="0"/>
        <w:rPr>
          <w:rFonts w:hint="eastAsia"/>
          <w:lang w:val="en-US" w:eastAsia="zh-CN"/>
        </w:rPr>
      </w:pPr>
      <w:bookmarkStart w:id="117" w:name="_Toc23071"/>
      <w:r>
        <w:rPr>
          <w:rFonts w:hint="eastAsia"/>
          <w:lang w:val="en-US" w:eastAsia="zh-CN"/>
        </w:rPr>
        <w:t>6附件</w:t>
      </w:r>
      <w:bookmarkEnd w:id="85"/>
      <w:bookmarkEnd w:id="86"/>
      <w:bookmarkEnd w:id="87"/>
      <w:bookmarkEnd w:id="88"/>
      <w:bookmarkEnd w:id="89"/>
      <w:bookmarkEnd w:id="90"/>
      <w:bookmarkEnd w:id="91"/>
      <w:bookmarkEnd w:id="92"/>
      <w:bookmarkEnd w:id="117"/>
    </w:p>
    <w:p w14:paraId="4247A973">
      <w:pPr>
        <w:pStyle w:val="3"/>
        <w:bidi w:val="0"/>
        <w:rPr>
          <w:rFonts w:hint="eastAsia"/>
          <w:lang w:val="en-US" w:eastAsia="zh-CN"/>
        </w:rPr>
      </w:pPr>
      <w:bookmarkStart w:id="118" w:name="_Toc1391"/>
      <w:bookmarkStart w:id="119" w:name="_Toc20334"/>
      <w:bookmarkStart w:id="120" w:name="_Toc30563"/>
      <w:bookmarkStart w:id="121" w:name="_Toc3010"/>
      <w:bookmarkStart w:id="122" w:name="_Toc68"/>
      <w:bookmarkStart w:id="123" w:name="_Toc30117"/>
      <w:bookmarkStart w:id="124" w:name="_Toc18774"/>
      <w:bookmarkStart w:id="125" w:name="_Toc30036"/>
      <w:bookmarkStart w:id="126" w:name="_Toc31940"/>
      <w:r>
        <w:rPr>
          <w:rFonts w:hint="eastAsia"/>
          <w:lang w:val="en-US" w:eastAsia="zh-CN"/>
        </w:rPr>
        <w:t>附件一：工序施工控制要点一览表</w:t>
      </w:r>
      <w:bookmarkEnd w:id="118"/>
      <w:bookmarkEnd w:id="119"/>
      <w:bookmarkEnd w:id="120"/>
      <w:bookmarkEnd w:id="121"/>
      <w:bookmarkEnd w:id="122"/>
      <w:bookmarkEnd w:id="123"/>
      <w:bookmarkEnd w:id="124"/>
      <w:bookmarkEnd w:id="125"/>
      <w:bookmarkEnd w:id="126"/>
    </w:p>
    <w:tbl>
      <w:tblPr>
        <w:tblStyle w:val="29"/>
        <w:tblW w:w="21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126"/>
        <w:gridCol w:w="1329"/>
        <w:gridCol w:w="3107"/>
        <w:gridCol w:w="1459"/>
        <w:gridCol w:w="1382"/>
        <w:gridCol w:w="1161"/>
        <w:gridCol w:w="4355"/>
        <w:gridCol w:w="4467"/>
        <w:gridCol w:w="1980"/>
      </w:tblGrid>
      <w:tr w14:paraId="0B2BA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blHeader/>
          <w:jc w:val="center"/>
        </w:trPr>
        <w:tc>
          <w:tcPr>
            <w:tcW w:w="711" w:type="dxa"/>
            <w:vMerge w:val="restart"/>
            <w:vAlign w:val="center"/>
          </w:tcPr>
          <w:p w14:paraId="1C46EA9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序号</w:t>
            </w:r>
          </w:p>
        </w:tc>
        <w:tc>
          <w:tcPr>
            <w:tcW w:w="1126" w:type="dxa"/>
            <w:vMerge w:val="restart"/>
            <w:vAlign w:val="center"/>
          </w:tcPr>
          <w:p w14:paraId="6E5EEE8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工序名称</w:t>
            </w:r>
          </w:p>
        </w:tc>
        <w:tc>
          <w:tcPr>
            <w:tcW w:w="1329" w:type="dxa"/>
            <w:vMerge w:val="restart"/>
            <w:vAlign w:val="center"/>
          </w:tcPr>
          <w:p w14:paraId="03F3E39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作业内容</w:t>
            </w:r>
          </w:p>
        </w:tc>
        <w:tc>
          <w:tcPr>
            <w:tcW w:w="3107" w:type="dxa"/>
            <w:vMerge w:val="restart"/>
            <w:vAlign w:val="center"/>
          </w:tcPr>
          <w:p w14:paraId="5E32B0C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施工方法</w:t>
            </w:r>
          </w:p>
        </w:tc>
        <w:tc>
          <w:tcPr>
            <w:tcW w:w="4002" w:type="dxa"/>
            <w:gridSpan w:val="3"/>
            <w:vAlign w:val="center"/>
          </w:tcPr>
          <w:p w14:paraId="290A444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资源配置</w:t>
            </w:r>
          </w:p>
        </w:tc>
        <w:tc>
          <w:tcPr>
            <w:tcW w:w="4355" w:type="dxa"/>
            <w:vMerge w:val="restart"/>
            <w:vAlign w:val="center"/>
          </w:tcPr>
          <w:p w14:paraId="67C0292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施工风险及安全作业条件</w:t>
            </w:r>
          </w:p>
        </w:tc>
        <w:tc>
          <w:tcPr>
            <w:tcW w:w="4467" w:type="dxa"/>
            <w:vMerge w:val="restart"/>
            <w:vAlign w:val="center"/>
          </w:tcPr>
          <w:p w14:paraId="3F51777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工作及质量标准</w:t>
            </w:r>
          </w:p>
        </w:tc>
        <w:tc>
          <w:tcPr>
            <w:tcW w:w="1980" w:type="dxa"/>
            <w:vMerge w:val="restart"/>
            <w:vAlign w:val="center"/>
          </w:tcPr>
          <w:p w14:paraId="7EC1AE8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责任人</w:t>
            </w:r>
          </w:p>
        </w:tc>
      </w:tr>
      <w:tr w14:paraId="11BFD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blHeader/>
          <w:jc w:val="center"/>
        </w:trPr>
        <w:tc>
          <w:tcPr>
            <w:tcW w:w="711" w:type="dxa"/>
            <w:vMerge w:val="continue"/>
            <w:vAlign w:val="center"/>
          </w:tcPr>
          <w:p w14:paraId="6381CB2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1126" w:type="dxa"/>
            <w:vMerge w:val="continue"/>
            <w:vAlign w:val="center"/>
          </w:tcPr>
          <w:p w14:paraId="655EF15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1329" w:type="dxa"/>
            <w:vMerge w:val="continue"/>
            <w:vAlign w:val="center"/>
          </w:tcPr>
          <w:p w14:paraId="242F0E3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3107" w:type="dxa"/>
            <w:vMerge w:val="continue"/>
            <w:vAlign w:val="center"/>
          </w:tcPr>
          <w:p w14:paraId="72381A3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1459" w:type="dxa"/>
            <w:vAlign w:val="center"/>
          </w:tcPr>
          <w:p w14:paraId="67EC201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人员</w:t>
            </w:r>
          </w:p>
        </w:tc>
        <w:tc>
          <w:tcPr>
            <w:tcW w:w="1382" w:type="dxa"/>
            <w:vAlign w:val="center"/>
          </w:tcPr>
          <w:p w14:paraId="56069BB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设备</w:t>
            </w:r>
          </w:p>
        </w:tc>
        <w:tc>
          <w:tcPr>
            <w:tcW w:w="1161" w:type="dxa"/>
            <w:vAlign w:val="center"/>
          </w:tcPr>
          <w:p w14:paraId="0CCCFCF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材料</w:t>
            </w:r>
          </w:p>
        </w:tc>
        <w:tc>
          <w:tcPr>
            <w:tcW w:w="4355" w:type="dxa"/>
            <w:vMerge w:val="continue"/>
            <w:vAlign w:val="center"/>
          </w:tcPr>
          <w:p w14:paraId="42F7583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4467" w:type="dxa"/>
            <w:vMerge w:val="continue"/>
            <w:vAlign w:val="center"/>
          </w:tcPr>
          <w:p w14:paraId="0D8920F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1980" w:type="dxa"/>
            <w:vMerge w:val="continue"/>
            <w:vAlign w:val="center"/>
          </w:tcPr>
          <w:p w14:paraId="5780718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r>
      <w:tr w14:paraId="12D5B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166" w:type="dxa"/>
            <w:gridSpan w:val="3"/>
            <w:vMerge w:val="restart"/>
            <w:vAlign w:val="center"/>
          </w:tcPr>
          <w:p w14:paraId="2FDFA16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现场管理人员配置</w:t>
            </w:r>
          </w:p>
        </w:tc>
        <w:tc>
          <w:tcPr>
            <w:tcW w:w="17911" w:type="dxa"/>
            <w:gridSpan w:val="7"/>
            <w:vAlign w:val="center"/>
          </w:tcPr>
          <w:p w14:paraId="135419D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白班：生产经理、技术负责人、技术员、安全员、质检员、班组长</w:t>
            </w:r>
          </w:p>
        </w:tc>
      </w:tr>
      <w:tr w14:paraId="1D881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166" w:type="dxa"/>
            <w:gridSpan w:val="3"/>
            <w:vMerge w:val="continue"/>
            <w:vAlign w:val="center"/>
          </w:tcPr>
          <w:p w14:paraId="02E63DF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7911" w:type="dxa"/>
            <w:gridSpan w:val="7"/>
            <w:vAlign w:val="center"/>
          </w:tcPr>
          <w:p w14:paraId="09A7571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夜班：生产经理、技术负责人、技术员、安全员、质检员、班组长夜间一般不施工</w:t>
            </w:r>
          </w:p>
        </w:tc>
      </w:tr>
      <w:tr w14:paraId="70BB8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3" w:hRule="atLeast"/>
          <w:jc w:val="center"/>
        </w:trPr>
        <w:tc>
          <w:tcPr>
            <w:tcW w:w="711" w:type="dxa"/>
            <w:vAlign w:val="center"/>
          </w:tcPr>
          <w:p w14:paraId="33846C67">
            <w:pPr>
              <w:keepNext w:val="0"/>
              <w:keepLines w:val="0"/>
              <w:pageBreakBefore w:val="0"/>
              <w:widowControl w:val="0"/>
              <w:numPr>
                <w:ilvl w:val="0"/>
                <w:numId w:val="5"/>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4AE36D7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施工步骤1</w:t>
            </w:r>
          </w:p>
        </w:tc>
        <w:tc>
          <w:tcPr>
            <w:tcW w:w="1329" w:type="dxa"/>
            <w:vAlign w:val="center"/>
          </w:tcPr>
          <w:p w14:paraId="1903C46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安装一节基础节和一节标准节</w:t>
            </w:r>
          </w:p>
        </w:tc>
        <w:tc>
          <w:tcPr>
            <w:tcW w:w="3107" w:type="dxa"/>
            <w:vAlign w:val="center"/>
          </w:tcPr>
          <w:p w14:paraId="7A32276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highlight w:val="none"/>
                <w:lang w:val="en-US" w:eastAsia="zh-CN"/>
              </w:rPr>
              <w:t>将吊具挂在塔身基础节上，张紧吊具并将塔身基础节放正，安装在</w:t>
            </w:r>
            <w:r>
              <w:rPr>
                <w:rFonts w:hint="eastAsia" w:ascii="宋体" w:hAnsi="宋体" w:cs="宋体"/>
                <w:sz w:val="20"/>
                <w:szCs w:val="20"/>
                <w:highlight w:val="none"/>
                <w:lang w:val="en-US" w:eastAsia="zh-CN"/>
              </w:rPr>
              <w:t>预埋支腿基础</w:t>
            </w:r>
            <w:r>
              <w:rPr>
                <w:rFonts w:hint="eastAsia" w:ascii="宋体" w:hAnsi="宋体" w:eastAsia="宋体" w:cs="宋体"/>
                <w:sz w:val="20"/>
                <w:szCs w:val="20"/>
                <w:highlight w:val="none"/>
                <w:lang w:val="en-US" w:eastAsia="zh-CN"/>
              </w:rPr>
              <w:t>上，</w:t>
            </w:r>
            <w:r>
              <w:rPr>
                <w:rFonts w:hint="eastAsia" w:ascii="宋体" w:hAnsi="宋体" w:cs="宋体"/>
                <w:sz w:val="20"/>
                <w:szCs w:val="20"/>
                <w:highlight w:val="none"/>
                <w:lang w:val="en-US" w:eastAsia="zh-CN"/>
              </w:rPr>
              <w:t>插入销轴</w:t>
            </w:r>
            <w:r>
              <w:rPr>
                <w:rFonts w:hint="eastAsia" w:ascii="宋体" w:hAnsi="宋体" w:eastAsia="宋体" w:cs="宋体"/>
                <w:sz w:val="20"/>
                <w:szCs w:val="20"/>
                <w:highlight w:val="none"/>
                <w:lang w:val="en-US" w:eastAsia="zh-CN"/>
              </w:rPr>
              <w:t>。。然后再次从两个方向进行复测，垂直度偏差≤1/1000；若垂直度不满足要求应重新调整，然后再复测，直符合要求后用销轴固定。</w:t>
            </w:r>
          </w:p>
        </w:tc>
        <w:tc>
          <w:tcPr>
            <w:tcW w:w="1459" w:type="dxa"/>
            <w:vAlign w:val="center"/>
          </w:tcPr>
          <w:p w14:paraId="32F3508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0"/>
                <w:szCs w:val="20"/>
                <w:lang w:val="en-US" w:eastAsia="zh-CN"/>
              </w:rPr>
            </w:pPr>
            <w:r>
              <w:rPr>
                <w:rFonts w:hint="eastAsia" w:ascii="宋体" w:hAnsi="宋体" w:eastAsia="宋体" w:cs="宋体"/>
                <w:sz w:val="20"/>
                <w:szCs w:val="20"/>
                <w:lang w:val="en-US" w:eastAsia="zh-CN"/>
              </w:rPr>
              <w:t>4-5人</w:t>
            </w:r>
          </w:p>
        </w:tc>
        <w:tc>
          <w:tcPr>
            <w:tcW w:w="1382" w:type="dxa"/>
            <w:vAlign w:val="center"/>
          </w:tcPr>
          <w:p w14:paraId="4217DFD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25t汽车吊</w:t>
            </w:r>
          </w:p>
        </w:tc>
        <w:tc>
          <w:tcPr>
            <w:tcW w:w="1161" w:type="dxa"/>
            <w:vAlign w:val="center"/>
          </w:tcPr>
          <w:p w14:paraId="3D93AAF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w:t>
            </w:r>
          </w:p>
        </w:tc>
        <w:tc>
          <w:tcPr>
            <w:tcW w:w="4355" w:type="dxa"/>
            <w:vAlign w:val="center"/>
          </w:tcPr>
          <w:p w14:paraId="5AE6D16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w:t>
            </w:r>
            <w:r>
              <w:rPr>
                <w:rFonts w:hint="default" w:ascii="宋体" w:hAnsi="宋体" w:eastAsia="宋体" w:cs="宋体"/>
                <w:kern w:val="2"/>
                <w:sz w:val="20"/>
                <w:szCs w:val="20"/>
                <w:lang w:val="en-US" w:eastAsia="zh-CN" w:bidi="ar-SA"/>
              </w:rPr>
              <w:t>：</w:t>
            </w:r>
            <w:r>
              <w:rPr>
                <w:rFonts w:hint="eastAsia" w:ascii="宋体" w:hAnsi="宋体" w:eastAsia="宋体" w:cs="宋体"/>
                <w:kern w:val="2"/>
                <w:sz w:val="20"/>
                <w:szCs w:val="20"/>
                <w:lang w:val="en-US" w:eastAsia="zh-CN" w:bidi="ar-SA"/>
              </w:rPr>
              <w:t>基础强度不足导致倾覆；吊物坠落</w:t>
            </w:r>
            <w:r>
              <w:rPr>
                <w:rFonts w:hint="default" w:ascii="宋体" w:hAnsi="宋体" w:eastAsia="宋体" w:cs="宋体"/>
                <w:kern w:val="2"/>
                <w:sz w:val="20"/>
                <w:szCs w:val="20"/>
                <w:lang w:val="en-US" w:eastAsia="zh-CN" w:bidi="ar-SA"/>
              </w:rPr>
              <w:t>。</w:t>
            </w:r>
          </w:p>
          <w:p w14:paraId="41E927C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default" w:ascii="宋体" w:hAnsi="宋体" w:eastAsia="宋体" w:cs="宋体"/>
                <w:kern w:val="2"/>
                <w:sz w:val="20"/>
                <w:szCs w:val="20"/>
                <w:lang w:val="en-US" w:eastAsia="zh-CN" w:bidi="ar-SA"/>
              </w:rPr>
              <w:t>安全条件：</w:t>
            </w:r>
            <w:r>
              <w:rPr>
                <w:rFonts w:hint="eastAsia" w:ascii="宋体" w:hAnsi="宋体" w:eastAsia="宋体" w:cs="宋体"/>
                <w:kern w:val="2"/>
                <w:sz w:val="20"/>
                <w:szCs w:val="20"/>
                <w:lang w:val="en-US" w:eastAsia="zh-CN" w:bidi="ar-SA"/>
              </w:rPr>
              <w:t>基础混凝土强度</w:t>
            </w:r>
            <w:r>
              <w:rPr>
                <w:rFonts w:hint="eastAsia" w:ascii="宋体" w:hAnsi="宋体" w:cs="宋体"/>
                <w:kern w:val="2"/>
                <w:sz w:val="20"/>
                <w:szCs w:val="20"/>
                <w:lang w:val="en-US" w:eastAsia="zh-CN" w:bidi="ar-SA"/>
              </w:rPr>
              <w:t>8</w:t>
            </w:r>
            <w:r>
              <w:rPr>
                <w:rFonts w:hint="eastAsia" w:ascii="宋体" w:hAnsi="宋体" w:eastAsia="宋体" w:cs="宋体"/>
                <w:kern w:val="2"/>
                <w:sz w:val="20"/>
                <w:szCs w:val="20"/>
                <w:lang w:val="en-US" w:eastAsia="zh-CN" w:bidi="ar-SA"/>
              </w:rPr>
              <w:t>0%检测报告</w:t>
            </w:r>
            <w:r>
              <w:rPr>
                <w:rFonts w:hint="default" w:ascii="宋体" w:hAnsi="宋体" w:eastAsia="宋体" w:cs="宋体"/>
                <w:kern w:val="2"/>
                <w:sz w:val="20"/>
                <w:szCs w:val="20"/>
                <w:lang w:val="en-US" w:eastAsia="zh-CN" w:bidi="ar-SA"/>
              </w:rPr>
              <w:t>。</w:t>
            </w:r>
          </w:p>
        </w:tc>
        <w:tc>
          <w:tcPr>
            <w:tcW w:w="4467" w:type="dxa"/>
            <w:vAlign w:val="center"/>
          </w:tcPr>
          <w:p w14:paraId="1801AC7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基础节踏步安装方向应与建筑物方向垂直,基础节垂直度≤1/1000；地脚螺栓紧固扭矩达标</w:t>
            </w:r>
          </w:p>
        </w:tc>
        <w:tc>
          <w:tcPr>
            <w:tcW w:w="1980" w:type="dxa"/>
            <w:vAlign w:val="center"/>
          </w:tcPr>
          <w:p w14:paraId="72EE453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646D9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650AEFE2">
            <w:pPr>
              <w:keepNext w:val="0"/>
              <w:keepLines w:val="0"/>
              <w:pageBreakBefore w:val="0"/>
              <w:widowControl w:val="0"/>
              <w:numPr>
                <w:ilvl w:val="0"/>
                <w:numId w:val="5"/>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68318F6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w:t>
            </w:r>
            <w:r>
              <w:rPr>
                <w:rFonts w:hint="eastAsia" w:ascii="宋体" w:hAnsi="宋体" w:cs="宋体"/>
                <w:sz w:val="20"/>
                <w:szCs w:val="20"/>
                <w:lang w:val="en-US" w:eastAsia="zh-CN"/>
              </w:rPr>
              <w:t>2</w:t>
            </w:r>
          </w:p>
        </w:tc>
        <w:tc>
          <w:tcPr>
            <w:tcW w:w="1329" w:type="dxa"/>
            <w:vAlign w:val="center"/>
          </w:tcPr>
          <w:p w14:paraId="5C5B715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安装爬升架</w:t>
            </w:r>
          </w:p>
        </w:tc>
        <w:tc>
          <w:tcPr>
            <w:tcW w:w="3107" w:type="dxa"/>
            <w:vAlign w:val="center"/>
          </w:tcPr>
          <w:p w14:paraId="59EB417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在地面上组装爬升架，待爬升架完成后，再安装爬升架。先将吊具挂在爬升架上，拉紧钢丝绳吊起；将爬升架缓慢套装在标准节外侧；将爬升架上的活动爬爪放在标准节的第一节（从下往上数）上部的踏步上；安装顶升油缸，将液压泵站油管连接到顶升油缸上。</w:t>
            </w:r>
          </w:p>
          <w:p w14:paraId="3F0ACDE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p>
        </w:tc>
        <w:tc>
          <w:tcPr>
            <w:tcW w:w="1459" w:type="dxa"/>
            <w:vAlign w:val="center"/>
          </w:tcPr>
          <w:p w14:paraId="4D14EF9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4-5人</w:t>
            </w:r>
          </w:p>
        </w:tc>
        <w:tc>
          <w:tcPr>
            <w:tcW w:w="1382" w:type="dxa"/>
            <w:vAlign w:val="center"/>
          </w:tcPr>
          <w:p w14:paraId="590E978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25t汽车吊</w:t>
            </w:r>
          </w:p>
        </w:tc>
        <w:tc>
          <w:tcPr>
            <w:tcW w:w="1161" w:type="dxa"/>
            <w:vAlign w:val="center"/>
          </w:tcPr>
          <w:p w14:paraId="5DD5472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w:t>
            </w:r>
          </w:p>
        </w:tc>
        <w:tc>
          <w:tcPr>
            <w:tcW w:w="4355" w:type="dxa"/>
            <w:vAlign w:val="center"/>
          </w:tcPr>
          <w:p w14:paraId="240D4E9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p>
          <w:p w14:paraId="11F571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w:t>
            </w:r>
            <w:r>
              <w:rPr>
                <w:rFonts w:hint="default" w:ascii="宋体" w:hAnsi="宋体" w:eastAsia="宋体" w:cs="宋体"/>
                <w:kern w:val="2"/>
                <w:sz w:val="20"/>
                <w:szCs w:val="20"/>
                <w:lang w:val="en-US" w:eastAsia="zh-CN" w:bidi="ar-SA"/>
              </w:rPr>
              <w:t>：爬升架与塔身卡滞、碰撞；液压系统失灵导致架体下坠。</w:t>
            </w:r>
          </w:p>
          <w:p w14:paraId="1C6C9A6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default" w:ascii="宋体" w:hAnsi="宋体" w:eastAsia="宋体" w:cs="宋体"/>
                <w:kern w:val="2"/>
                <w:sz w:val="20"/>
                <w:szCs w:val="20"/>
                <w:lang w:val="en-US" w:eastAsia="zh-CN" w:bidi="ar-SA"/>
              </w:rPr>
              <w:t>安全条件：已安装塔身结构无变形；风速＜4级。</w:t>
            </w:r>
          </w:p>
          <w:p w14:paraId="0B29B11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p>
        </w:tc>
        <w:tc>
          <w:tcPr>
            <w:tcW w:w="4467" w:type="dxa"/>
            <w:vAlign w:val="center"/>
          </w:tcPr>
          <w:p w14:paraId="14754A3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爬升架与塔身间隙均匀；导向轮调整到位无卡涩</w:t>
            </w:r>
          </w:p>
        </w:tc>
        <w:tc>
          <w:tcPr>
            <w:tcW w:w="1980" w:type="dxa"/>
            <w:vAlign w:val="center"/>
          </w:tcPr>
          <w:p w14:paraId="64155A5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19123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3A925EAF">
            <w:pPr>
              <w:keepNext w:val="0"/>
              <w:keepLines w:val="0"/>
              <w:pageBreakBefore w:val="0"/>
              <w:widowControl w:val="0"/>
              <w:numPr>
                <w:ilvl w:val="0"/>
                <w:numId w:val="5"/>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77664B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施工步骤3</w:t>
            </w:r>
          </w:p>
        </w:tc>
        <w:tc>
          <w:tcPr>
            <w:tcW w:w="1329" w:type="dxa"/>
            <w:vAlign w:val="center"/>
          </w:tcPr>
          <w:p w14:paraId="660F12B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安装特殊节</w:t>
            </w:r>
          </w:p>
        </w:tc>
        <w:tc>
          <w:tcPr>
            <w:tcW w:w="3107" w:type="dxa"/>
            <w:vAlign w:val="center"/>
          </w:tcPr>
          <w:p w14:paraId="6BC0E7E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highlight w:val="none"/>
                <w:lang w:val="en-US" w:eastAsia="zh-CN"/>
              </w:rPr>
              <w:t>将吊索绕入特殊节四根主弦的连接套，并挂至吊钩，移动到塔身上方，确保与塔身节的爬梯一致后，缓缓落下，将特殊节支腿与与爬升架耳板孔对准后，插入销轴及开口销；同时将特殊节与塔身节用</w:t>
            </w:r>
            <w:r>
              <w:rPr>
                <w:rFonts w:hint="eastAsia" w:ascii="宋体" w:hAnsi="宋体" w:cs="宋体"/>
                <w:sz w:val="20"/>
                <w:szCs w:val="20"/>
                <w:highlight w:val="none"/>
                <w:lang w:val="en-US" w:eastAsia="zh-CN"/>
              </w:rPr>
              <w:t>销轴</w:t>
            </w:r>
            <w:r>
              <w:rPr>
                <w:rFonts w:hint="eastAsia" w:ascii="宋体" w:hAnsi="宋体" w:eastAsia="宋体" w:cs="宋体"/>
                <w:sz w:val="20"/>
                <w:szCs w:val="20"/>
                <w:highlight w:val="none"/>
                <w:lang w:val="en-US" w:eastAsia="zh-CN"/>
              </w:rPr>
              <w:t>紧固。</w:t>
            </w:r>
          </w:p>
        </w:tc>
        <w:tc>
          <w:tcPr>
            <w:tcW w:w="1459" w:type="dxa"/>
            <w:vAlign w:val="center"/>
          </w:tcPr>
          <w:p w14:paraId="3AB867F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0"/>
                <w:szCs w:val="20"/>
                <w:lang w:val="en-US" w:eastAsia="zh-CN"/>
              </w:rPr>
            </w:pPr>
            <w:r>
              <w:rPr>
                <w:rFonts w:hint="eastAsia" w:ascii="宋体" w:hAnsi="宋体" w:eastAsia="宋体" w:cs="宋体"/>
                <w:sz w:val="20"/>
                <w:szCs w:val="20"/>
                <w:lang w:val="en-US" w:eastAsia="zh-CN"/>
              </w:rPr>
              <w:t>4-5人</w:t>
            </w:r>
          </w:p>
        </w:tc>
        <w:tc>
          <w:tcPr>
            <w:tcW w:w="1382" w:type="dxa"/>
            <w:vAlign w:val="center"/>
          </w:tcPr>
          <w:p w14:paraId="2E83AD4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25t汽车吊</w:t>
            </w:r>
          </w:p>
        </w:tc>
        <w:tc>
          <w:tcPr>
            <w:tcW w:w="1161" w:type="dxa"/>
            <w:vAlign w:val="center"/>
          </w:tcPr>
          <w:p w14:paraId="580DED3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w:t>
            </w:r>
          </w:p>
        </w:tc>
        <w:tc>
          <w:tcPr>
            <w:tcW w:w="4355" w:type="dxa"/>
            <w:vAlign w:val="center"/>
          </w:tcPr>
          <w:p w14:paraId="0966416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w:t>
            </w:r>
            <w:r>
              <w:rPr>
                <w:rFonts w:hint="default" w:ascii="宋体" w:hAnsi="宋体" w:eastAsia="宋体" w:cs="宋体"/>
                <w:kern w:val="2"/>
                <w:sz w:val="20"/>
                <w:szCs w:val="20"/>
                <w:lang w:val="en-US" w:eastAsia="zh-CN" w:bidi="ar-SA"/>
              </w:rPr>
              <w:t>：非标件变形、吊具脱钩。</w:t>
            </w:r>
          </w:p>
          <w:p w14:paraId="4E70F61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default" w:ascii="宋体" w:hAnsi="宋体" w:eastAsia="宋体" w:cs="宋体"/>
                <w:kern w:val="2"/>
                <w:sz w:val="20"/>
                <w:szCs w:val="20"/>
                <w:lang w:val="en-US" w:eastAsia="zh-CN" w:bidi="ar-SA"/>
              </w:rPr>
              <w:t>安全条件：专用吊具认证、平移路径净空、垂直度偏差≤2‰。</w:t>
            </w:r>
          </w:p>
        </w:tc>
        <w:tc>
          <w:tcPr>
            <w:tcW w:w="4467" w:type="dxa"/>
            <w:vAlign w:val="center"/>
          </w:tcPr>
          <w:p w14:paraId="2031624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臂节销轴孔磨损量≤2mm，吊装后结构无扭曲变形，拉杆销轴润滑脂覆盖率≥90%</w:t>
            </w:r>
          </w:p>
        </w:tc>
        <w:tc>
          <w:tcPr>
            <w:tcW w:w="1980" w:type="dxa"/>
            <w:vAlign w:val="center"/>
          </w:tcPr>
          <w:p w14:paraId="32C26DE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7B1A4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1E57A8BF">
            <w:pPr>
              <w:keepNext w:val="0"/>
              <w:keepLines w:val="0"/>
              <w:pageBreakBefore w:val="0"/>
              <w:widowControl w:val="0"/>
              <w:numPr>
                <w:ilvl w:val="0"/>
                <w:numId w:val="5"/>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690026B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施工步骤4</w:t>
            </w:r>
          </w:p>
        </w:tc>
        <w:tc>
          <w:tcPr>
            <w:tcW w:w="1329" w:type="dxa"/>
            <w:vAlign w:val="center"/>
          </w:tcPr>
          <w:p w14:paraId="772561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安装回转总成</w:t>
            </w:r>
          </w:p>
        </w:tc>
        <w:tc>
          <w:tcPr>
            <w:tcW w:w="3107" w:type="dxa"/>
            <w:vAlign w:val="center"/>
          </w:tcPr>
          <w:p w14:paraId="6E11861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highlight w:val="none"/>
                <w:lang w:val="en-US" w:eastAsia="zh-CN"/>
              </w:rPr>
              <w:t>回转总成包括下支座、回转支承、上支座、回转机构共四部分，下支座下部分别与塔身节和爬升架相连，上部与回转支承通过高强度螺栓连接。在吊装回转总成时，必须同时采用4 个吊耳进行吊装。吊起回转总成（</w:t>
            </w:r>
            <w:r>
              <w:rPr>
                <w:rFonts w:hint="default" w:ascii="宋体" w:hAnsi="宋体" w:eastAsia="宋体" w:cs="宋体"/>
                <w:sz w:val="20"/>
                <w:szCs w:val="20"/>
                <w:highlight w:val="none"/>
                <w:lang w:val="en-US" w:eastAsia="zh-CN"/>
              </w:rPr>
              <w:t>1</w:t>
            </w:r>
            <w:r>
              <w:rPr>
                <w:rFonts w:hint="eastAsia" w:ascii="宋体" w:hAnsi="宋体" w:eastAsia="宋体" w:cs="宋体"/>
                <w:sz w:val="20"/>
                <w:szCs w:val="20"/>
                <w:highlight w:val="none"/>
                <w:lang w:val="en-US" w:eastAsia="zh-CN"/>
              </w:rPr>
              <w:t xml:space="preserve">）至特殊节上方，注意下支座爬梯方向与特殊节爬梯方向保持一致，将回转总成缓慢的落下，通过 </w:t>
            </w:r>
            <w:r>
              <w:rPr>
                <w:rFonts w:hint="default" w:ascii="宋体" w:hAnsi="宋体" w:eastAsia="宋体" w:cs="宋体"/>
                <w:sz w:val="20"/>
                <w:szCs w:val="20"/>
                <w:highlight w:val="none"/>
                <w:lang w:val="en-US" w:eastAsia="zh-CN"/>
              </w:rPr>
              <w:t xml:space="preserve">8 </w:t>
            </w:r>
            <w:r>
              <w:rPr>
                <w:rFonts w:hint="eastAsia" w:ascii="宋体" w:hAnsi="宋体" w:eastAsia="宋体" w:cs="宋体"/>
                <w:sz w:val="20"/>
                <w:szCs w:val="20"/>
                <w:highlight w:val="none"/>
                <w:lang w:val="en-US" w:eastAsia="zh-CN"/>
              </w:rPr>
              <w:t>个销轴（</w:t>
            </w:r>
            <w:r>
              <w:rPr>
                <w:rFonts w:hint="default" w:ascii="宋体" w:hAnsi="宋体" w:eastAsia="宋体" w:cs="宋体"/>
                <w:sz w:val="20"/>
                <w:szCs w:val="20"/>
                <w:highlight w:val="none"/>
                <w:lang w:val="en-US" w:eastAsia="zh-CN"/>
              </w:rPr>
              <w:t>2</w:t>
            </w:r>
            <w:r>
              <w:rPr>
                <w:rFonts w:hint="eastAsia" w:ascii="宋体" w:hAnsi="宋体" w:eastAsia="宋体" w:cs="宋体"/>
                <w:sz w:val="20"/>
                <w:szCs w:val="20"/>
                <w:highlight w:val="none"/>
                <w:lang w:val="en-US" w:eastAsia="zh-CN"/>
              </w:rPr>
              <w:t>）连接，为防止销轴脱出，两个销轴之间通过立销（</w:t>
            </w:r>
            <w:r>
              <w:rPr>
                <w:rFonts w:hint="default" w:ascii="宋体" w:hAnsi="宋体" w:eastAsia="宋体" w:cs="宋体"/>
                <w:sz w:val="20"/>
                <w:szCs w:val="20"/>
                <w:highlight w:val="none"/>
                <w:lang w:val="en-US" w:eastAsia="zh-CN"/>
              </w:rPr>
              <w:t>3</w:t>
            </w:r>
            <w:r>
              <w:rPr>
                <w:rFonts w:hint="eastAsia" w:ascii="宋体" w:hAnsi="宋体" w:eastAsia="宋体" w:cs="宋体"/>
                <w:sz w:val="20"/>
                <w:szCs w:val="20"/>
                <w:highlight w:val="none"/>
                <w:lang w:val="en-US" w:eastAsia="zh-CN"/>
              </w:rPr>
              <w:t>）固定，立销下端穿入。</w:t>
            </w:r>
          </w:p>
        </w:tc>
        <w:tc>
          <w:tcPr>
            <w:tcW w:w="1459" w:type="dxa"/>
            <w:vAlign w:val="center"/>
          </w:tcPr>
          <w:p w14:paraId="58E5264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4-5人</w:t>
            </w:r>
          </w:p>
        </w:tc>
        <w:tc>
          <w:tcPr>
            <w:tcW w:w="1382" w:type="dxa"/>
            <w:vAlign w:val="center"/>
          </w:tcPr>
          <w:p w14:paraId="7AA0CDB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25t汽车吊</w:t>
            </w:r>
          </w:p>
        </w:tc>
        <w:tc>
          <w:tcPr>
            <w:tcW w:w="1161" w:type="dxa"/>
            <w:vAlign w:val="center"/>
          </w:tcPr>
          <w:p w14:paraId="2ACADCB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w:t>
            </w:r>
          </w:p>
        </w:tc>
        <w:tc>
          <w:tcPr>
            <w:tcW w:w="4355" w:type="dxa"/>
            <w:vAlign w:val="center"/>
          </w:tcPr>
          <w:p w14:paraId="775254D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 部件重心偏置吊装失衡；就位时连接销轴或螺栓孔位对不准。</w:t>
            </w:r>
          </w:p>
          <w:p w14:paraId="4A7A94A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安全条件： 吊索长度需保证吊装角度＞45°；风速＜4级；下方严禁站人。</w:t>
            </w:r>
          </w:p>
        </w:tc>
        <w:tc>
          <w:tcPr>
            <w:tcW w:w="4467" w:type="dxa"/>
            <w:vAlign w:val="center"/>
          </w:tcPr>
          <w:p w14:paraId="56DA795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与塔身连接螺栓扭矩100%达标；回转支座与塔身断面间隙均匀（≤0.5mm）</w:t>
            </w:r>
          </w:p>
        </w:tc>
        <w:tc>
          <w:tcPr>
            <w:tcW w:w="1980" w:type="dxa"/>
            <w:vAlign w:val="center"/>
          </w:tcPr>
          <w:p w14:paraId="0F14D2B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25BBE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4E28B9DC">
            <w:pPr>
              <w:keepNext w:val="0"/>
              <w:keepLines w:val="0"/>
              <w:pageBreakBefore w:val="0"/>
              <w:widowControl w:val="0"/>
              <w:numPr>
                <w:ilvl w:val="0"/>
                <w:numId w:val="5"/>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55D5E90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施工步骤5</w:t>
            </w:r>
          </w:p>
        </w:tc>
        <w:tc>
          <w:tcPr>
            <w:tcW w:w="1329" w:type="dxa"/>
            <w:vAlign w:val="center"/>
          </w:tcPr>
          <w:p w14:paraId="75F84EE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安装</w:t>
            </w:r>
            <w:r>
              <w:rPr>
                <w:rFonts w:hint="eastAsia" w:ascii="宋体" w:hAnsi="宋体" w:cs="宋体"/>
                <w:sz w:val="20"/>
                <w:szCs w:val="20"/>
                <w:highlight w:val="none"/>
                <w:lang w:val="en-US" w:eastAsia="zh-CN"/>
              </w:rPr>
              <w:t>臂根节</w:t>
            </w:r>
          </w:p>
        </w:tc>
        <w:tc>
          <w:tcPr>
            <w:tcW w:w="3107" w:type="dxa"/>
            <w:vAlign w:val="center"/>
          </w:tcPr>
          <w:p w14:paraId="04901F7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作业人员在地面上先将钢丝绳一端挂在吊机吊钩，另一端与卸扣连接，卸扣与吊装孔连接，并在臂根节上栓好2根溜绳。启动吊机，将臂根节缓慢提升，用溜绳控制其摆动。起吊臂根节至回转总成上方，吊机缓慢落钩，直至回转总成上支座销轴孔与臂根节销轴孔对齐，将安全带系挂在臂根节顶部的横杆上，插入臂根节与回转总成上支座的连接销轴，完成回转总成与臂根节的连接</w:t>
            </w:r>
          </w:p>
        </w:tc>
        <w:tc>
          <w:tcPr>
            <w:tcW w:w="1459" w:type="dxa"/>
            <w:vAlign w:val="center"/>
          </w:tcPr>
          <w:p w14:paraId="3223B77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4-5人</w:t>
            </w:r>
          </w:p>
        </w:tc>
        <w:tc>
          <w:tcPr>
            <w:tcW w:w="1382" w:type="dxa"/>
            <w:vAlign w:val="center"/>
          </w:tcPr>
          <w:p w14:paraId="561C526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25t汽车吊</w:t>
            </w:r>
          </w:p>
        </w:tc>
        <w:tc>
          <w:tcPr>
            <w:tcW w:w="1161" w:type="dxa"/>
            <w:vAlign w:val="center"/>
          </w:tcPr>
          <w:p w14:paraId="6F98E30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w:t>
            </w:r>
          </w:p>
        </w:tc>
        <w:tc>
          <w:tcPr>
            <w:tcW w:w="4355" w:type="dxa"/>
            <w:vAlign w:val="center"/>
          </w:tcPr>
          <w:p w14:paraId="186B108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p>
          <w:p w14:paraId="2220AC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风险：塔臂根节重心偏移，吊装过程中发生旋转或摆动，与塔身、爬升架等已有结构发生碰撞</w:t>
            </w:r>
            <w:r>
              <w:rPr>
                <w:rFonts w:hint="eastAsia" w:ascii="宋体" w:hAnsi="宋体" w:cs="宋体"/>
                <w:sz w:val="20"/>
                <w:szCs w:val="20"/>
                <w:highlight w:val="none"/>
                <w:lang w:val="en-US" w:eastAsia="zh-CN"/>
              </w:rPr>
              <w:t>。</w:t>
            </w:r>
          </w:p>
          <w:p w14:paraId="796A29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安全条件：风速＜4级；使用牵引绳控制空中姿态。</w:t>
            </w:r>
          </w:p>
        </w:tc>
        <w:tc>
          <w:tcPr>
            <w:tcW w:w="4467" w:type="dxa"/>
            <w:vAlign w:val="center"/>
          </w:tcPr>
          <w:p w14:paraId="6587188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与回转总成连接的销轴必须安装到位，并使用开口销锁定，防止脱出</w:t>
            </w:r>
            <w:r>
              <w:rPr>
                <w:rFonts w:hint="eastAsia" w:ascii="宋体" w:hAnsi="宋体" w:cs="宋体"/>
                <w:sz w:val="20"/>
                <w:szCs w:val="20"/>
                <w:highlight w:val="none"/>
                <w:lang w:val="en-US" w:eastAsia="zh-CN"/>
              </w:rPr>
              <w:t>。结构本体及焊缝，无变形、裂纹等缺陷</w:t>
            </w:r>
          </w:p>
        </w:tc>
        <w:tc>
          <w:tcPr>
            <w:tcW w:w="1980" w:type="dxa"/>
            <w:vAlign w:val="center"/>
          </w:tcPr>
          <w:p w14:paraId="1E5313A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22AB3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79B72033">
            <w:pPr>
              <w:keepNext w:val="0"/>
              <w:keepLines w:val="0"/>
              <w:pageBreakBefore w:val="0"/>
              <w:widowControl w:val="0"/>
              <w:numPr>
                <w:ilvl w:val="0"/>
                <w:numId w:val="5"/>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0F70871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施工步骤6</w:t>
            </w:r>
          </w:p>
        </w:tc>
        <w:tc>
          <w:tcPr>
            <w:tcW w:w="1329" w:type="dxa"/>
            <w:vAlign w:val="center"/>
          </w:tcPr>
          <w:p w14:paraId="02C7F55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安装平衡臂</w:t>
            </w:r>
          </w:p>
        </w:tc>
        <w:tc>
          <w:tcPr>
            <w:tcW w:w="3107" w:type="dxa"/>
            <w:vAlign w:val="center"/>
          </w:tcPr>
          <w:p w14:paraId="71DC96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将组装好的平衡臂吊起，对接回转总成上支座连接耳板，插入销轴、立销及R型销，缓慢放下。</w:t>
            </w:r>
          </w:p>
        </w:tc>
        <w:tc>
          <w:tcPr>
            <w:tcW w:w="1459" w:type="dxa"/>
            <w:vAlign w:val="center"/>
          </w:tcPr>
          <w:p w14:paraId="656FBD5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4-5人</w:t>
            </w:r>
          </w:p>
        </w:tc>
        <w:tc>
          <w:tcPr>
            <w:tcW w:w="1382" w:type="dxa"/>
            <w:vAlign w:val="center"/>
          </w:tcPr>
          <w:p w14:paraId="0979B26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25t汽车吊</w:t>
            </w:r>
          </w:p>
        </w:tc>
        <w:tc>
          <w:tcPr>
            <w:tcW w:w="1161" w:type="dxa"/>
            <w:vAlign w:val="center"/>
          </w:tcPr>
          <w:p w14:paraId="57386B3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p>
        </w:tc>
        <w:tc>
          <w:tcPr>
            <w:tcW w:w="4355" w:type="dxa"/>
            <w:vAlign w:val="center"/>
          </w:tcPr>
          <w:p w14:paraId="22E4F7D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风险： 吊装晃动导致碰撞；就位时连接销轴挤压伤人。</w:t>
            </w:r>
          </w:p>
          <w:p w14:paraId="3DCA670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安全条件： 使用两根等长钢丝绳吊装；人员站位安全；风速＜4级</w:t>
            </w:r>
          </w:p>
        </w:tc>
        <w:tc>
          <w:tcPr>
            <w:tcW w:w="4467" w:type="dxa"/>
            <w:vAlign w:val="center"/>
          </w:tcPr>
          <w:p w14:paraId="696EFCF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与回转总成铰点连接销轴安装到位，锁定可靠；拉杆安装后臂架水平度符合要求。</w:t>
            </w:r>
          </w:p>
        </w:tc>
        <w:tc>
          <w:tcPr>
            <w:tcW w:w="1980" w:type="dxa"/>
            <w:vAlign w:val="center"/>
          </w:tcPr>
          <w:p w14:paraId="249984C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4EBC5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0FFAB04D">
            <w:pPr>
              <w:keepNext w:val="0"/>
              <w:keepLines w:val="0"/>
              <w:pageBreakBefore w:val="0"/>
              <w:widowControl w:val="0"/>
              <w:numPr>
                <w:ilvl w:val="0"/>
                <w:numId w:val="5"/>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69232B7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施工步骤</w:t>
            </w:r>
            <w:r>
              <w:rPr>
                <w:rFonts w:hint="eastAsia" w:ascii="宋体" w:hAnsi="宋体" w:cs="宋体"/>
                <w:sz w:val="20"/>
                <w:szCs w:val="20"/>
                <w:lang w:val="en-US" w:eastAsia="zh-CN"/>
              </w:rPr>
              <w:t>7</w:t>
            </w:r>
          </w:p>
        </w:tc>
        <w:tc>
          <w:tcPr>
            <w:tcW w:w="1329" w:type="dxa"/>
            <w:vAlign w:val="center"/>
          </w:tcPr>
          <w:p w14:paraId="1835FBD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安装两块平平衡重</w:t>
            </w:r>
          </w:p>
        </w:tc>
        <w:tc>
          <w:tcPr>
            <w:tcW w:w="3107" w:type="dxa"/>
            <w:vAlign w:val="center"/>
          </w:tcPr>
          <w:p w14:paraId="40DDFCC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作业人员在地面上先将钢丝绳一端挂在吊机吊钩，另一端与卸扣连接，卸扣与吊耳通过销轴连接，并在平衡重栓好2根溜绳。启动吊机，将一块配重块缓慢提升，用溜绳控制其摆动。从平衡臂端部开口处平稳起吊，装入平衡臂节，位置靠近起升机构旁边，用配重销紧固在平衡臂上，即完成平衡臂安装。平衡重安装后，作业人员解除卸扣与平衡重吊耳的连接</w:t>
            </w:r>
            <w:r>
              <w:rPr>
                <w:rFonts w:hint="default" w:ascii="宋体" w:hAnsi="宋体" w:eastAsia="宋体" w:cs="宋体"/>
                <w:sz w:val="20"/>
                <w:szCs w:val="20"/>
                <w:highlight w:val="none"/>
                <w:lang w:val="en-US" w:eastAsia="zh-CN"/>
              </w:rPr>
              <w:t>。</w:t>
            </w:r>
          </w:p>
        </w:tc>
        <w:tc>
          <w:tcPr>
            <w:tcW w:w="1459" w:type="dxa"/>
            <w:vAlign w:val="center"/>
          </w:tcPr>
          <w:p w14:paraId="59B59F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4-5人</w:t>
            </w:r>
          </w:p>
        </w:tc>
        <w:tc>
          <w:tcPr>
            <w:tcW w:w="1382" w:type="dxa"/>
            <w:vAlign w:val="center"/>
          </w:tcPr>
          <w:p w14:paraId="27DCD9A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25t汽车吊</w:t>
            </w:r>
          </w:p>
        </w:tc>
        <w:tc>
          <w:tcPr>
            <w:tcW w:w="1161" w:type="dxa"/>
            <w:vAlign w:val="center"/>
          </w:tcPr>
          <w:p w14:paraId="174B464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p>
        </w:tc>
        <w:tc>
          <w:tcPr>
            <w:tcW w:w="4355" w:type="dxa"/>
            <w:vAlign w:val="center"/>
          </w:tcPr>
          <w:p w14:paraId="7AE5CA6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风险</w:t>
            </w:r>
            <w:r>
              <w:rPr>
                <w:rFonts w:hint="default" w:ascii="宋体" w:hAnsi="宋体" w:eastAsia="宋体" w:cs="宋体"/>
                <w:sz w:val="20"/>
                <w:szCs w:val="20"/>
                <w:highlight w:val="none"/>
                <w:lang w:val="en-US" w:eastAsia="zh-CN"/>
              </w:rPr>
              <w:t>：</w:t>
            </w:r>
            <w:r>
              <w:rPr>
                <w:rFonts w:hint="eastAsia" w:ascii="宋体" w:hAnsi="宋体" w:eastAsia="宋体" w:cs="宋体"/>
                <w:sz w:val="20"/>
                <w:szCs w:val="20"/>
                <w:highlight w:val="none"/>
                <w:lang w:val="en-US" w:eastAsia="zh-CN"/>
              </w:rPr>
              <w:t>平衡重吊装摆动撞击塔身或人员</w:t>
            </w:r>
            <w:r>
              <w:rPr>
                <w:rFonts w:hint="default" w:ascii="宋体" w:hAnsi="宋体" w:eastAsia="宋体" w:cs="宋体"/>
                <w:sz w:val="20"/>
                <w:szCs w:val="20"/>
                <w:highlight w:val="none"/>
                <w:lang w:val="en-US" w:eastAsia="zh-CN"/>
              </w:rPr>
              <w:t>。</w:t>
            </w:r>
          </w:p>
          <w:p w14:paraId="60C105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安全条件：使用溜绳控制</w:t>
            </w:r>
            <w:r>
              <w:rPr>
                <w:rFonts w:hint="eastAsia" w:ascii="宋体" w:hAnsi="宋体" w:eastAsia="宋体" w:cs="宋体"/>
                <w:sz w:val="20"/>
                <w:szCs w:val="20"/>
                <w:highlight w:val="none"/>
                <w:lang w:val="en-US" w:eastAsia="zh-CN"/>
              </w:rPr>
              <w:t>平衡重</w:t>
            </w:r>
            <w:r>
              <w:rPr>
                <w:rFonts w:hint="default" w:ascii="宋体" w:hAnsi="宋体" w:eastAsia="宋体" w:cs="宋体"/>
                <w:sz w:val="20"/>
                <w:szCs w:val="20"/>
                <w:highlight w:val="none"/>
                <w:lang w:val="en-US" w:eastAsia="zh-CN"/>
              </w:rPr>
              <w:t>在空中姿态</w:t>
            </w:r>
          </w:p>
        </w:tc>
        <w:tc>
          <w:tcPr>
            <w:tcW w:w="4467" w:type="dxa"/>
            <w:vAlign w:val="center"/>
          </w:tcPr>
          <w:p w14:paraId="05A693B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平衡重块安装位置准确，间距均匀</w:t>
            </w:r>
          </w:p>
        </w:tc>
        <w:tc>
          <w:tcPr>
            <w:tcW w:w="1980" w:type="dxa"/>
            <w:vAlign w:val="center"/>
          </w:tcPr>
          <w:p w14:paraId="4B07C9D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666CB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1FC2EF3C">
            <w:pPr>
              <w:keepNext w:val="0"/>
              <w:keepLines w:val="0"/>
              <w:pageBreakBefore w:val="0"/>
              <w:widowControl w:val="0"/>
              <w:numPr>
                <w:ilvl w:val="0"/>
                <w:numId w:val="5"/>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0374FA3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施工步骤</w:t>
            </w:r>
            <w:r>
              <w:rPr>
                <w:rFonts w:hint="eastAsia" w:ascii="宋体" w:hAnsi="宋体" w:cs="宋体"/>
                <w:sz w:val="20"/>
                <w:szCs w:val="20"/>
                <w:lang w:val="en-US" w:eastAsia="zh-CN"/>
              </w:rPr>
              <w:t>8</w:t>
            </w:r>
          </w:p>
        </w:tc>
        <w:tc>
          <w:tcPr>
            <w:tcW w:w="1329" w:type="dxa"/>
            <w:vAlign w:val="center"/>
          </w:tcPr>
          <w:p w14:paraId="0E7282F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cs="宋体"/>
                <w:sz w:val="20"/>
                <w:szCs w:val="20"/>
                <w:lang w:val="en-US" w:eastAsia="zh-CN"/>
              </w:rPr>
            </w:pPr>
            <w:r>
              <w:rPr>
                <w:rFonts w:hint="eastAsia" w:ascii="宋体" w:hAnsi="宋体" w:cs="宋体"/>
                <w:sz w:val="20"/>
                <w:szCs w:val="20"/>
                <w:lang w:val="en-US" w:eastAsia="zh-CN"/>
              </w:rPr>
              <w:t>安装起重臂</w:t>
            </w:r>
          </w:p>
        </w:tc>
        <w:tc>
          <w:tcPr>
            <w:tcW w:w="3107" w:type="dxa"/>
            <w:vAlign w:val="center"/>
          </w:tcPr>
          <w:p w14:paraId="0F0B951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起重臂的安装采用分节吊装的方式。按顺序吊装起重臂臂节，试吊起重臂，使根部稍倾斜，倾斜角度不合适，应适当调整，并再次试吊，直至起重臂角度最佳为止，在起重臂上弦做好标志，以便拆卸时吊点选择。起吊前，将麻绳固定于便于牵引的一端，缓慢起吊起重臂至空中，可通过电力或手动摇动回转机构回转到安装起重臂的最佳角度，将起重臂上弦杆1个用销轴与前一节臂上弦杆的销孔连接，穿好立销及开口销。缓慢落钩至起重臂下弦与平衡臂下弦连接口对正后，缓慢落下起重臂，安装下弦连接专用</w:t>
            </w:r>
            <w:r>
              <w:rPr>
                <w:rFonts w:hint="eastAsia" w:ascii="宋体" w:hAnsi="宋体" w:cs="宋体"/>
                <w:sz w:val="20"/>
                <w:szCs w:val="20"/>
                <w:highlight w:val="none"/>
                <w:lang w:val="en-US" w:eastAsia="zh-CN"/>
              </w:rPr>
              <w:t>销轴</w:t>
            </w:r>
            <w:r>
              <w:rPr>
                <w:rFonts w:hint="eastAsia" w:ascii="宋体" w:hAnsi="宋体" w:eastAsia="宋体" w:cs="宋体"/>
                <w:sz w:val="20"/>
                <w:szCs w:val="20"/>
                <w:highlight w:val="none"/>
                <w:lang w:val="en-US" w:eastAsia="zh-CN"/>
              </w:rPr>
              <w:t>，完成一节起重臂的安装。</w:t>
            </w:r>
          </w:p>
        </w:tc>
        <w:tc>
          <w:tcPr>
            <w:tcW w:w="1459" w:type="dxa"/>
            <w:vAlign w:val="center"/>
          </w:tcPr>
          <w:p w14:paraId="2E1438B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4-5人</w:t>
            </w:r>
          </w:p>
        </w:tc>
        <w:tc>
          <w:tcPr>
            <w:tcW w:w="1382" w:type="dxa"/>
            <w:vAlign w:val="center"/>
          </w:tcPr>
          <w:p w14:paraId="552653D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lang w:val="en-US" w:eastAsia="zh-CN"/>
              </w:rPr>
            </w:pPr>
            <w:r>
              <w:rPr>
                <w:rFonts w:hint="eastAsia" w:ascii="宋体" w:hAnsi="宋体" w:cs="宋体"/>
                <w:sz w:val="20"/>
                <w:szCs w:val="20"/>
                <w:lang w:val="en-US" w:eastAsia="zh-CN"/>
              </w:rPr>
              <w:t>25t汽车吊</w:t>
            </w:r>
          </w:p>
        </w:tc>
        <w:tc>
          <w:tcPr>
            <w:tcW w:w="1161" w:type="dxa"/>
            <w:vAlign w:val="center"/>
          </w:tcPr>
          <w:p w14:paraId="3EF3647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lang w:val="en-US" w:eastAsia="zh-CN"/>
              </w:rPr>
            </w:pPr>
          </w:p>
        </w:tc>
        <w:tc>
          <w:tcPr>
            <w:tcW w:w="4355" w:type="dxa"/>
            <w:vAlign w:val="center"/>
          </w:tcPr>
          <w:p w14:paraId="54E57E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 臂节连接时接口碰撞；高空安装人员坠落。</w:t>
            </w:r>
          </w:p>
          <w:p w14:paraId="34B0E0B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p>
          <w:p w14:paraId="0B40EE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安全条件： 每节臂必须安装临时连接销；作业人员全程系挂安全带。</w:t>
            </w:r>
          </w:p>
        </w:tc>
        <w:tc>
          <w:tcPr>
            <w:tcW w:w="4467" w:type="dxa"/>
            <w:vAlign w:val="center"/>
          </w:tcPr>
          <w:p w14:paraId="5995CA0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 xml:space="preserve"> 各节臂架连接销轴安装到位，锁定可靠。</w:t>
            </w:r>
          </w:p>
        </w:tc>
        <w:tc>
          <w:tcPr>
            <w:tcW w:w="1980" w:type="dxa"/>
            <w:vAlign w:val="center"/>
          </w:tcPr>
          <w:p w14:paraId="5CEB4D8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576BB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1E4FA975">
            <w:pPr>
              <w:keepNext w:val="0"/>
              <w:keepLines w:val="0"/>
              <w:pageBreakBefore w:val="0"/>
              <w:widowControl w:val="0"/>
              <w:numPr>
                <w:ilvl w:val="0"/>
                <w:numId w:val="5"/>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5EB480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施工步骤</w:t>
            </w:r>
            <w:r>
              <w:rPr>
                <w:rFonts w:hint="eastAsia" w:ascii="宋体" w:hAnsi="宋体" w:cs="宋体"/>
                <w:sz w:val="20"/>
                <w:szCs w:val="20"/>
                <w:lang w:val="en-US" w:eastAsia="zh-CN"/>
              </w:rPr>
              <w:t>9</w:t>
            </w:r>
          </w:p>
        </w:tc>
        <w:tc>
          <w:tcPr>
            <w:tcW w:w="1329" w:type="dxa"/>
            <w:vAlign w:val="center"/>
          </w:tcPr>
          <w:p w14:paraId="6E050C8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安装剩余平衡重</w:t>
            </w:r>
          </w:p>
        </w:tc>
        <w:tc>
          <w:tcPr>
            <w:tcW w:w="3107" w:type="dxa"/>
            <w:vAlign w:val="center"/>
          </w:tcPr>
          <w:p w14:paraId="3CE9D38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按从起升机构侧向塔身侧依次吊装平衡重。</w:t>
            </w:r>
          </w:p>
          <w:p w14:paraId="1233275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作业人员在地面上先将钢丝绳一端挂在吊机吊钩上，另一端与卸扣连接，启动吊机，将卸扣缓慢提升至平衡重上方时，缓慢放松吊钩，作业人员通过平衡臂走道走行至平衡臂尾部，将安全带系挂在平衡臂横杆上，将配重吊起放置于平衡臂的配重槽上时，穿入平衡重销孔轴，然后平稳地将平衡重落于配重槽内。解除吊装钢丝绳。</w:t>
            </w:r>
          </w:p>
        </w:tc>
        <w:tc>
          <w:tcPr>
            <w:tcW w:w="1459" w:type="dxa"/>
            <w:vAlign w:val="center"/>
          </w:tcPr>
          <w:p w14:paraId="66761AF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4-5人</w:t>
            </w:r>
          </w:p>
        </w:tc>
        <w:tc>
          <w:tcPr>
            <w:tcW w:w="1382" w:type="dxa"/>
            <w:vAlign w:val="center"/>
          </w:tcPr>
          <w:p w14:paraId="38F597F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25t汽车吊</w:t>
            </w:r>
          </w:p>
        </w:tc>
        <w:tc>
          <w:tcPr>
            <w:tcW w:w="1161" w:type="dxa"/>
            <w:vAlign w:val="center"/>
          </w:tcPr>
          <w:p w14:paraId="62FDED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p>
        </w:tc>
        <w:tc>
          <w:tcPr>
            <w:tcW w:w="4355" w:type="dxa"/>
            <w:vAlign w:val="center"/>
          </w:tcPr>
          <w:p w14:paraId="1633AA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风险</w:t>
            </w:r>
            <w:r>
              <w:rPr>
                <w:rFonts w:hint="default" w:ascii="宋体" w:hAnsi="宋体" w:eastAsia="宋体" w:cs="宋体"/>
                <w:sz w:val="20"/>
                <w:szCs w:val="20"/>
                <w:highlight w:val="none"/>
                <w:lang w:val="en-US" w:eastAsia="zh-CN"/>
              </w:rPr>
              <w:t>：</w:t>
            </w:r>
            <w:r>
              <w:rPr>
                <w:rFonts w:hint="eastAsia" w:ascii="宋体" w:hAnsi="宋体" w:eastAsia="宋体" w:cs="宋体"/>
                <w:sz w:val="20"/>
                <w:szCs w:val="20"/>
                <w:highlight w:val="none"/>
                <w:lang w:val="en-US" w:eastAsia="zh-CN"/>
              </w:rPr>
              <w:t>平衡重吊装摆动撞击塔身或人员</w:t>
            </w:r>
            <w:r>
              <w:rPr>
                <w:rFonts w:hint="default" w:ascii="宋体" w:hAnsi="宋体" w:eastAsia="宋体" w:cs="宋体"/>
                <w:sz w:val="20"/>
                <w:szCs w:val="20"/>
                <w:highlight w:val="none"/>
                <w:lang w:val="en-US" w:eastAsia="zh-CN"/>
              </w:rPr>
              <w:t>。</w:t>
            </w:r>
          </w:p>
          <w:p w14:paraId="41D736E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安全条件：使用溜绳控制</w:t>
            </w:r>
            <w:r>
              <w:rPr>
                <w:rFonts w:hint="eastAsia" w:ascii="宋体" w:hAnsi="宋体" w:eastAsia="宋体" w:cs="宋体"/>
                <w:sz w:val="20"/>
                <w:szCs w:val="20"/>
                <w:highlight w:val="none"/>
                <w:lang w:val="en-US" w:eastAsia="zh-CN"/>
              </w:rPr>
              <w:t>平衡重</w:t>
            </w:r>
            <w:r>
              <w:rPr>
                <w:rFonts w:hint="default" w:ascii="宋体" w:hAnsi="宋体" w:eastAsia="宋体" w:cs="宋体"/>
                <w:sz w:val="20"/>
                <w:szCs w:val="20"/>
                <w:highlight w:val="none"/>
                <w:lang w:val="en-US" w:eastAsia="zh-CN"/>
              </w:rPr>
              <w:t>在空中姿态</w:t>
            </w:r>
          </w:p>
        </w:tc>
        <w:tc>
          <w:tcPr>
            <w:tcW w:w="4467" w:type="dxa"/>
            <w:vAlign w:val="center"/>
          </w:tcPr>
          <w:p w14:paraId="325D457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平衡重块安装位置准确，间距均匀</w:t>
            </w:r>
          </w:p>
        </w:tc>
        <w:tc>
          <w:tcPr>
            <w:tcW w:w="1980" w:type="dxa"/>
            <w:vAlign w:val="center"/>
          </w:tcPr>
          <w:p w14:paraId="1019A89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66962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611B9248">
            <w:pPr>
              <w:keepNext w:val="0"/>
              <w:keepLines w:val="0"/>
              <w:pageBreakBefore w:val="0"/>
              <w:widowControl w:val="0"/>
              <w:numPr>
                <w:ilvl w:val="0"/>
                <w:numId w:val="5"/>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shd w:val="clear" w:color="auto" w:fill="auto"/>
            <w:vAlign w:val="center"/>
          </w:tcPr>
          <w:p w14:paraId="7E4F0BC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kern w:val="2"/>
                <w:sz w:val="20"/>
                <w:szCs w:val="20"/>
                <w:lang w:val="en-US" w:eastAsia="zh-CN" w:bidi="ar-SA"/>
              </w:rPr>
            </w:pPr>
            <w:r>
              <w:rPr>
                <w:rFonts w:hint="eastAsia" w:ascii="宋体" w:hAnsi="宋体" w:eastAsia="宋体" w:cs="宋体"/>
                <w:sz w:val="20"/>
                <w:szCs w:val="20"/>
                <w:lang w:val="en-US" w:eastAsia="zh-CN"/>
              </w:rPr>
              <w:t>施工步骤</w:t>
            </w:r>
            <w:r>
              <w:rPr>
                <w:rFonts w:hint="eastAsia" w:ascii="宋体" w:hAnsi="宋体" w:cs="宋体"/>
                <w:sz w:val="20"/>
                <w:szCs w:val="20"/>
                <w:lang w:val="en-US" w:eastAsia="zh-CN"/>
              </w:rPr>
              <w:t>10</w:t>
            </w:r>
          </w:p>
        </w:tc>
        <w:tc>
          <w:tcPr>
            <w:tcW w:w="1329" w:type="dxa"/>
            <w:vAlign w:val="center"/>
          </w:tcPr>
          <w:p w14:paraId="617B10B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穿绕起升钢丝绳及安装吊钩</w:t>
            </w:r>
          </w:p>
        </w:tc>
        <w:tc>
          <w:tcPr>
            <w:tcW w:w="3107" w:type="dxa"/>
            <w:vAlign w:val="center"/>
          </w:tcPr>
          <w:p w14:paraId="5383DE6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地面组装好吊钩组，通过</w:t>
            </w:r>
            <w:r>
              <w:rPr>
                <w:rFonts w:hint="eastAsia" w:ascii="宋体" w:hAnsi="宋体" w:cs="宋体"/>
                <w:sz w:val="20"/>
                <w:szCs w:val="20"/>
                <w:highlight w:val="none"/>
                <w:lang w:val="en-US" w:eastAsia="zh-CN"/>
              </w:rPr>
              <w:t>臂根节</w:t>
            </w:r>
            <w:r>
              <w:rPr>
                <w:rFonts w:hint="eastAsia" w:ascii="宋体" w:hAnsi="宋体" w:eastAsia="宋体" w:cs="宋体"/>
                <w:sz w:val="20"/>
                <w:szCs w:val="20"/>
                <w:highlight w:val="none"/>
                <w:lang w:val="en-US" w:eastAsia="zh-CN"/>
              </w:rPr>
              <w:t>滑轮、臂架滑轮等，按说明书图示顺序逐级穿绕钢丝绳，最后将绳端可靠固定在臂端。</w:t>
            </w:r>
          </w:p>
        </w:tc>
        <w:tc>
          <w:tcPr>
            <w:tcW w:w="1459" w:type="dxa"/>
            <w:vAlign w:val="center"/>
          </w:tcPr>
          <w:p w14:paraId="7C6C81A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4-5人</w:t>
            </w:r>
          </w:p>
        </w:tc>
        <w:tc>
          <w:tcPr>
            <w:tcW w:w="1382" w:type="dxa"/>
            <w:vAlign w:val="center"/>
          </w:tcPr>
          <w:p w14:paraId="3B6969A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p>
        </w:tc>
        <w:tc>
          <w:tcPr>
            <w:tcW w:w="1161" w:type="dxa"/>
            <w:vAlign w:val="center"/>
          </w:tcPr>
          <w:p w14:paraId="057B47E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p>
        </w:tc>
        <w:tc>
          <w:tcPr>
            <w:tcW w:w="4355" w:type="dxa"/>
            <w:vAlign w:val="center"/>
          </w:tcPr>
          <w:p w14:paraId="3E4E535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风险： 钢丝绳弹射伤人；吊钩组件意外坠落。</w:t>
            </w:r>
          </w:p>
          <w:p w14:paraId="397CA4E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安全条件： 吊钩组件地面组装可靠；穿绳时人员避开绳道。</w:t>
            </w:r>
          </w:p>
        </w:tc>
        <w:tc>
          <w:tcPr>
            <w:tcW w:w="4467" w:type="dxa"/>
            <w:vAlign w:val="center"/>
          </w:tcPr>
          <w:p w14:paraId="61AD29E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钢丝绳穿绕正确无扭结；绳端固定可靠；防脱钩装置有效</w:t>
            </w:r>
          </w:p>
        </w:tc>
        <w:tc>
          <w:tcPr>
            <w:tcW w:w="1980" w:type="dxa"/>
            <w:vAlign w:val="center"/>
          </w:tcPr>
          <w:p w14:paraId="2BE0F6E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3A018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11849BE7">
            <w:pPr>
              <w:keepNext w:val="0"/>
              <w:keepLines w:val="0"/>
              <w:pageBreakBefore w:val="0"/>
              <w:widowControl w:val="0"/>
              <w:numPr>
                <w:ilvl w:val="0"/>
                <w:numId w:val="5"/>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2FAB6F1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施工步骤</w:t>
            </w:r>
            <w:r>
              <w:rPr>
                <w:rFonts w:hint="eastAsia" w:ascii="宋体" w:hAnsi="宋体" w:cs="宋体"/>
                <w:sz w:val="20"/>
                <w:szCs w:val="20"/>
                <w:lang w:val="en-US" w:eastAsia="zh-CN"/>
              </w:rPr>
              <w:t>11</w:t>
            </w:r>
          </w:p>
        </w:tc>
        <w:tc>
          <w:tcPr>
            <w:tcW w:w="1329" w:type="dxa"/>
            <w:vAlign w:val="center"/>
          </w:tcPr>
          <w:p w14:paraId="26323EC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顶升</w:t>
            </w:r>
          </w:p>
        </w:tc>
        <w:tc>
          <w:tcPr>
            <w:tcW w:w="3107" w:type="dxa"/>
            <w:vAlign w:val="center"/>
          </w:tcPr>
          <w:p w14:paraId="60F3EAA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操作液压系统顶升套架，形成标准节安装空间，吊入标准节并就位，紧固连接</w:t>
            </w:r>
            <w:r>
              <w:rPr>
                <w:rFonts w:hint="eastAsia" w:ascii="宋体" w:hAnsi="宋体" w:cs="宋体"/>
                <w:sz w:val="20"/>
                <w:szCs w:val="20"/>
                <w:highlight w:val="none"/>
                <w:lang w:val="en-US" w:eastAsia="zh-CN"/>
              </w:rPr>
              <w:t>销轴</w:t>
            </w:r>
            <w:r>
              <w:rPr>
                <w:rFonts w:hint="eastAsia" w:ascii="宋体" w:hAnsi="宋体" w:eastAsia="宋体" w:cs="宋体"/>
                <w:sz w:val="20"/>
                <w:szCs w:val="20"/>
                <w:highlight w:val="none"/>
                <w:lang w:val="en-US" w:eastAsia="zh-CN"/>
              </w:rPr>
              <w:t>后收回油缸，使套架与塔身连成整体。</w:t>
            </w:r>
          </w:p>
        </w:tc>
        <w:tc>
          <w:tcPr>
            <w:tcW w:w="1459" w:type="dxa"/>
            <w:vAlign w:val="center"/>
          </w:tcPr>
          <w:p w14:paraId="06BA4AF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4-5人</w:t>
            </w:r>
          </w:p>
        </w:tc>
        <w:tc>
          <w:tcPr>
            <w:tcW w:w="1382" w:type="dxa"/>
            <w:vAlign w:val="center"/>
          </w:tcPr>
          <w:p w14:paraId="5C07DD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p>
        </w:tc>
        <w:tc>
          <w:tcPr>
            <w:tcW w:w="1161" w:type="dxa"/>
            <w:vAlign w:val="center"/>
          </w:tcPr>
          <w:p w14:paraId="315AD50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p>
        </w:tc>
        <w:tc>
          <w:tcPr>
            <w:tcW w:w="4355" w:type="dxa"/>
            <w:vAlign w:val="center"/>
          </w:tcPr>
          <w:p w14:paraId="05A8910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风险： 顶升过程失衡导致倾覆；液压系统失效。</w:t>
            </w:r>
          </w:p>
          <w:p w14:paraId="25FF4CB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安全条件： 确保前后臂平衡；风速必须＜4级；严禁回转作业。</w:t>
            </w:r>
          </w:p>
        </w:tc>
        <w:tc>
          <w:tcPr>
            <w:tcW w:w="4467" w:type="dxa"/>
            <w:vAlign w:val="center"/>
          </w:tcPr>
          <w:p w14:paraId="3086EE5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新加节与原有塔身连接螺栓扭矩100%达标；顶升后塔身垂直度≤4/1000。</w:t>
            </w:r>
          </w:p>
        </w:tc>
        <w:tc>
          <w:tcPr>
            <w:tcW w:w="1980" w:type="dxa"/>
            <w:vAlign w:val="center"/>
          </w:tcPr>
          <w:p w14:paraId="61F509A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285A0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338BA932">
            <w:pPr>
              <w:keepNext w:val="0"/>
              <w:keepLines w:val="0"/>
              <w:pageBreakBefore w:val="0"/>
              <w:widowControl w:val="0"/>
              <w:numPr>
                <w:ilvl w:val="0"/>
                <w:numId w:val="5"/>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2A2F830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施工步骤</w:t>
            </w:r>
            <w:r>
              <w:rPr>
                <w:rFonts w:hint="eastAsia" w:ascii="宋体" w:hAnsi="宋体" w:cs="宋体"/>
                <w:sz w:val="20"/>
                <w:szCs w:val="20"/>
                <w:lang w:val="en-US" w:eastAsia="zh-CN"/>
              </w:rPr>
              <w:t>12</w:t>
            </w:r>
          </w:p>
        </w:tc>
        <w:tc>
          <w:tcPr>
            <w:tcW w:w="1329" w:type="dxa"/>
            <w:vAlign w:val="center"/>
          </w:tcPr>
          <w:p w14:paraId="0ADB65E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eastAsia" w:ascii="宋体" w:hAnsi="宋体" w:cs="宋体"/>
                <w:sz w:val="20"/>
                <w:szCs w:val="20"/>
                <w:highlight w:val="none"/>
                <w:lang w:val="en-US" w:eastAsia="zh-CN"/>
              </w:rPr>
              <w:t>安装附着</w:t>
            </w:r>
          </w:p>
        </w:tc>
        <w:tc>
          <w:tcPr>
            <w:tcW w:w="3107" w:type="dxa"/>
            <w:vAlign w:val="center"/>
          </w:tcPr>
          <w:p w14:paraId="34B2C4A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安装附着装置时，首先在塔身上固定操作平台，作业人员系挂好安全带；随后采用两点吊装方式吊起附着杆，并用溜绳控制其空中摆动，辅助就位；最后用销轴将杆件两端分别与塔身附着框和主体结构预埋耳座可靠连接，并通过调节杆件长度控制塔身垂直度。</w:t>
            </w:r>
          </w:p>
        </w:tc>
        <w:tc>
          <w:tcPr>
            <w:tcW w:w="1459" w:type="dxa"/>
            <w:vAlign w:val="center"/>
          </w:tcPr>
          <w:p w14:paraId="38EC4E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4-5人</w:t>
            </w:r>
          </w:p>
        </w:tc>
        <w:tc>
          <w:tcPr>
            <w:tcW w:w="1382" w:type="dxa"/>
            <w:vAlign w:val="center"/>
          </w:tcPr>
          <w:p w14:paraId="0292D31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p>
        </w:tc>
        <w:tc>
          <w:tcPr>
            <w:tcW w:w="1161" w:type="dxa"/>
            <w:vAlign w:val="center"/>
          </w:tcPr>
          <w:p w14:paraId="6D66A53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p>
        </w:tc>
        <w:tc>
          <w:tcPr>
            <w:tcW w:w="4355" w:type="dxa"/>
            <w:vAlign w:val="center"/>
          </w:tcPr>
          <w:p w14:paraId="08B47B1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风险： 高空坠落；杆件吊装摆动撞击。</w:t>
            </w:r>
          </w:p>
          <w:p w14:paraId="089FF75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安全条件： 操作平台固定牢靠；全程系挂安全带；风速＜4级。</w:t>
            </w:r>
          </w:p>
        </w:tc>
        <w:tc>
          <w:tcPr>
            <w:tcW w:w="4467" w:type="dxa"/>
            <w:vAlign w:val="center"/>
          </w:tcPr>
          <w:p w14:paraId="341183F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最上一道附着以上塔身垂直度≤4/1000；以下≤2/1000；所有连接销轴锁定可靠</w:t>
            </w:r>
          </w:p>
        </w:tc>
        <w:tc>
          <w:tcPr>
            <w:tcW w:w="1980" w:type="dxa"/>
            <w:vAlign w:val="center"/>
          </w:tcPr>
          <w:p w14:paraId="2D0AA62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bl>
    <w:p w14:paraId="64C229A6">
      <w:pPr>
        <w:rPr>
          <w:rFonts w:hint="default"/>
          <w:lang w:val="en-US" w:eastAsia="zh-CN"/>
        </w:rPr>
        <w:sectPr>
          <w:headerReference r:id="rId8" w:type="default"/>
          <w:footerReference r:id="rId9" w:type="default"/>
          <w:pgSz w:w="23811" w:h="16838" w:orient="landscape"/>
          <w:pgMar w:top="1236" w:right="1440" w:bottom="1236"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A840905">
      <w:pPr>
        <w:pStyle w:val="3"/>
        <w:bidi w:val="0"/>
        <w:rPr>
          <w:rFonts w:hint="eastAsia" w:ascii="宋体" w:hAnsi="宋体" w:eastAsia="宋体" w:cs="宋体"/>
          <w:lang w:val="en-US" w:eastAsia="zh-CN"/>
        </w:rPr>
      </w:pPr>
      <w:bookmarkStart w:id="127" w:name="_Toc23162"/>
      <w:bookmarkStart w:id="128" w:name="_Toc15121"/>
      <w:bookmarkStart w:id="129" w:name="_Toc8810"/>
      <w:bookmarkStart w:id="130" w:name="_Toc12179"/>
      <w:bookmarkStart w:id="131" w:name="_Toc29358"/>
      <w:bookmarkStart w:id="132" w:name="_Toc21652"/>
      <w:bookmarkStart w:id="133" w:name="_Toc32557"/>
      <w:bookmarkStart w:id="134" w:name="_Toc1217"/>
      <w:bookmarkStart w:id="135" w:name="_Toc594"/>
      <w:r>
        <w:rPr>
          <w:rFonts w:hint="eastAsia" w:ascii="宋体" w:hAnsi="宋体" w:eastAsia="宋体" w:cs="宋体"/>
          <w:lang w:val="en-US" w:eastAsia="zh-CN"/>
        </w:rPr>
        <w:t>附件二：工序相关设计图表</w:t>
      </w:r>
      <w:bookmarkEnd w:id="127"/>
      <w:bookmarkEnd w:id="128"/>
      <w:bookmarkEnd w:id="129"/>
      <w:bookmarkEnd w:id="130"/>
      <w:bookmarkEnd w:id="131"/>
      <w:bookmarkEnd w:id="132"/>
      <w:bookmarkEnd w:id="133"/>
      <w:bookmarkEnd w:id="134"/>
      <w:bookmarkEnd w:id="135"/>
    </w:p>
    <w:p w14:paraId="17BAFF10">
      <w:pPr>
        <w:pStyle w:val="14"/>
        <w:spacing w:line="360" w:lineRule="auto"/>
        <w:rPr>
          <w:rFonts w:hint="eastAsia" w:ascii="仿宋" w:hAnsi="仿宋" w:eastAsia="仿宋" w:cs="仿宋"/>
          <w:color w:val="auto"/>
          <w:lang w:val="en-US" w:eastAsia="zh-CN"/>
        </w:rPr>
      </w:pPr>
      <w:r>
        <w:rPr>
          <w:rFonts w:hint="eastAsia" w:ascii="仿宋" w:hAnsi="仿宋" w:eastAsia="仿宋" w:cs="仿宋"/>
          <w:color w:val="auto"/>
          <w:lang w:val="en-US" w:eastAsia="zh-CN"/>
        </w:rPr>
        <w:t>附图1：设计构造图</w:t>
      </w:r>
    </w:p>
    <w:p w14:paraId="775A0E52">
      <w:pPr>
        <w:jc w:val="center"/>
        <w:rPr>
          <w:rFonts w:hint="eastAsia"/>
          <w:lang w:val="en-US" w:eastAsia="zh-CN"/>
        </w:rPr>
      </w:pPr>
      <w:r>
        <w:drawing>
          <wp:inline distT="0" distB="0" distL="114300" distR="114300">
            <wp:extent cx="5274310" cy="4450080"/>
            <wp:effectExtent l="0" t="0" r="2540" b="762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2"/>
                    <a:stretch>
                      <a:fillRect/>
                    </a:stretch>
                  </pic:blipFill>
                  <pic:spPr>
                    <a:xfrm>
                      <a:off x="0" y="0"/>
                      <a:ext cx="5274310" cy="4450080"/>
                    </a:xfrm>
                    <a:prstGeom prst="rect">
                      <a:avLst/>
                    </a:prstGeom>
                    <a:noFill/>
                    <a:ln>
                      <a:noFill/>
                    </a:ln>
                  </pic:spPr>
                </pic:pic>
              </a:graphicData>
            </a:graphic>
          </wp:inline>
        </w:drawing>
      </w:r>
      <w:r>
        <w:drawing>
          <wp:inline distT="0" distB="0" distL="114300" distR="114300">
            <wp:extent cx="5272405" cy="2079625"/>
            <wp:effectExtent l="0" t="0" r="4445" b="1587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3"/>
                    <a:stretch>
                      <a:fillRect/>
                    </a:stretch>
                  </pic:blipFill>
                  <pic:spPr>
                    <a:xfrm>
                      <a:off x="0" y="0"/>
                      <a:ext cx="5272405" cy="2079625"/>
                    </a:xfrm>
                    <a:prstGeom prst="rect">
                      <a:avLst/>
                    </a:prstGeom>
                    <a:noFill/>
                    <a:ln>
                      <a:noFill/>
                    </a:ln>
                  </pic:spPr>
                </pic:pic>
              </a:graphicData>
            </a:graphic>
          </wp:inline>
        </w:drawing>
      </w:r>
    </w:p>
    <w:p w14:paraId="2158A187">
      <w:pPr>
        <w:pStyle w:val="3"/>
        <w:bidi w:val="0"/>
        <w:rPr>
          <w:rFonts w:hint="eastAsia"/>
          <w:lang w:val="en-US" w:eastAsia="zh-CN"/>
        </w:rPr>
      </w:pPr>
      <w:bookmarkStart w:id="136" w:name="_Toc12182"/>
      <w:bookmarkStart w:id="137" w:name="_Toc5839"/>
      <w:r>
        <w:rPr>
          <w:rFonts w:hint="eastAsia"/>
          <w:lang w:val="en-US" w:eastAsia="zh-CN"/>
        </w:rPr>
        <w:t>附件三：工序施工记录表</w:t>
      </w:r>
      <w:bookmarkEnd w:id="136"/>
      <w:bookmarkEnd w:id="137"/>
    </w:p>
    <w:p w14:paraId="58EEA86E">
      <w:pPr>
        <w:jc w:val="center"/>
        <w:rPr>
          <w:rFonts w:hint="default" w:ascii="仿宋" w:hAnsi="仿宋" w:eastAsia="宋体" w:cs="仿宋"/>
          <w:b/>
          <w:bCs/>
          <w:color w:val="auto"/>
          <w:lang w:val="en-US" w:eastAsia="zh-CN"/>
        </w:rPr>
      </w:pPr>
      <w:bookmarkStart w:id="138" w:name="_Toc20043"/>
      <w:bookmarkStart w:id="139" w:name="_Toc464"/>
      <w:bookmarkStart w:id="140" w:name="_Toc7812"/>
      <w:r>
        <w:rPr>
          <w:rFonts w:hint="eastAsia" w:ascii="仿宋" w:hAnsi="仿宋" w:eastAsia="宋体" w:cs="仿宋"/>
          <w:b/>
          <w:bCs/>
          <w:color w:val="auto"/>
          <w:lang w:val="en-US" w:eastAsia="zh-CN"/>
        </w:rPr>
        <w:t>塔吊安装自检表</w:t>
      </w:r>
    </w:p>
    <w:tbl>
      <w:tblPr>
        <w:tblStyle w:val="28"/>
        <w:tblW w:w="9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80"/>
        <w:gridCol w:w="1717"/>
        <w:gridCol w:w="3056"/>
        <w:gridCol w:w="1026"/>
        <w:gridCol w:w="15"/>
        <w:gridCol w:w="1603"/>
        <w:gridCol w:w="1116"/>
      </w:tblGrid>
      <w:tr w14:paraId="461EC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121B473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工程名称</w:t>
            </w:r>
          </w:p>
        </w:tc>
        <w:tc>
          <w:tcPr>
            <w:tcW w:w="5979" w:type="dxa"/>
            <w:gridSpan w:val="4"/>
            <w:vAlign w:val="center"/>
          </w:tcPr>
          <w:p w14:paraId="7C7E5DD4">
            <w:pPr>
              <w:pStyle w:val="16"/>
              <w:rPr>
                <w:rFonts w:hint="eastAsia" w:ascii="宋体" w:hAnsi="宋体" w:eastAsia="宋体" w:cs="宋体"/>
                <w:b w:val="0"/>
                <w:bCs w:val="0"/>
                <w:sz w:val="21"/>
                <w:szCs w:val="21"/>
              </w:rPr>
            </w:pPr>
          </w:p>
        </w:tc>
        <w:tc>
          <w:tcPr>
            <w:tcW w:w="1618" w:type="dxa"/>
            <w:gridSpan w:val="2"/>
            <w:vAlign w:val="center"/>
          </w:tcPr>
          <w:p w14:paraId="2F7F184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施工地址</w:t>
            </w:r>
          </w:p>
        </w:tc>
        <w:tc>
          <w:tcPr>
            <w:tcW w:w="1116" w:type="dxa"/>
            <w:vAlign w:val="center"/>
          </w:tcPr>
          <w:p w14:paraId="28A25D0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项目工地</w:t>
            </w:r>
          </w:p>
        </w:tc>
      </w:tr>
      <w:tr w14:paraId="713C7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70BD2EA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出租单位</w:t>
            </w:r>
          </w:p>
        </w:tc>
        <w:tc>
          <w:tcPr>
            <w:tcW w:w="8713" w:type="dxa"/>
            <w:gridSpan w:val="7"/>
            <w:vAlign w:val="center"/>
          </w:tcPr>
          <w:p w14:paraId="7A58EC0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四川科斗文智能装备有限公司</w:t>
            </w:r>
          </w:p>
        </w:tc>
      </w:tr>
      <w:tr w14:paraId="497D9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4DFEDF8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型号</w:t>
            </w:r>
          </w:p>
        </w:tc>
        <w:tc>
          <w:tcPr>
            <w:tcW w:w="1897" w:type="dxa"/>
            <w:gridSpan w:val="2"/>
            <w:vAlign w:val="center"/>
          </w:tcPr>
          <w:p w14:paraId="04752923">
            <w:pPr>
              <w:pStyle w:val="16"/>
              <w:rPr>
                <w:rFonts w:hint="eastAsia" w:ascii="宋体" w:hAnsi="宋体" w:eastAsia="宋体" w:cs="宋体"/>
                <w:b w:val="0"/>
                <w:bCs w:val="0"/>
                <w:sz w:val="21"/>
                <w:szCs w:val="21"/>
              </w:rPr>
            </w:pPr>
          </w:p>
        </w:tc>
        <w:tc>
          <w:tcPr>
            <w:tcW w:w="3056" w:type="dxa"/>
            <w:vAlign w:val="center"/>
          </w:tcPr>
          <w:p w14:paraId="61957A3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设备编号</w:t>
            </w:r>
          </w:p>
        </w:tc>
        <w:tc>
          <w:tcPr>
            <w:tcW w:w="1041" w:type="dxa"/>
            <w:gridSpan w:val="2"/>
            <w:vAlign w:val="center"/>
          </w:tcPr>
          <w:p w14:paraId="22595DF7">
            <w:pPr>
              <w:pStyle w:val="16"/>
              <w:rPr>
                <w:rFonts w:hint="eastAsia" w:ascii="宋体" w:hAnsi="宋体" w:eastAsia="宋体" w:cs="宋体"/>
                <w:b w:val="0"/>
                <w:bCs w:val="0"/>
                <w:sz w:val="21"/>
                <w:szCs w:val="21"/>
              </w:rPr>
            </w:pPr>
          </w:p>
        </w:tc>
        <w:tc>
          <w:tcPr>
            <w:tcW w:w="1603" w:type="dxa"/>
            <w:vAlign w:val="center"/>
          </w:tcPr>
          <w:p w14:paraId="37CC51A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施工高度</w:t>
            </w:r>
          </w:p>
        </w:tc>
        <w:tc>
          <w:tcPr>
            <w:tcW w:w="1116" w:type="dxa"/>
            <w:vAlign w:val="center"/>
          </w:tcPr>
          <w:p w14:paraId="77197361">
            <w:pPr>
              <w:pStyle w:val="16"/>
              <w:rPr>
                <w:rFonts w:hint="eastAsia" w:ascii="宋体" w:hAnsi="宋体" w:eastAsia="宋体" w:cs="宋体"/>
                <w:b w:val="0"/>
                <w:bCs w:val="0"/>
                <w:sz w:val="21"/>
                <w:szCs w:val="21"/>
              </w:rPr>
            </w:pPr>
          </w:p>
        </w:tc>
      </w:tr>
      <w:tr w14:paraId="47AC4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3C5CB41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附墙个数</w:t>
            </w:r>
          </w:p>
        </w:tc>
        <w:tc>
          <w:tcPr>
            <w:tcW w:w="1897" w:type="dxa"/>
            <w:gridSpan w:val="2"/>
            <w:vAlign w:val="center"/>
          </w:tcPr>
          <w:p w14:paraId="1E728B57">
            <w:pPr>
              <w:pStyle w:val="16"/>
              <w:rPr>
                <w:rFonts w:hint="eastAsia" w:ascii="宋体" w:hAnsi="宋体" w:eastAsia="宋体" w:cs="宋体"/>
                <w:b w:val="0"/>
                <w:bCs w:val="0"/>
                <w:sz w:val="21"/>
                <w:szCs w:val="21"/>
              </w:rPr>
            </w:pPr>
          </w:p>
        </w:tc>
        <w:tc>
          <w:tcPr>
            <w:tcW w:w="3056" w:type="dxa"/>
            <w:vAlign w:val="center"/>
          </w:tcPr>
          <w:p w14:paraId="39DE5DD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最大载重量</w:t>
            </w:r>
          </w:p>
        </w:tc>
        <w:tc>
          <w:tcPr>
            <w:tcW w:w="1041" w:type="dxa"/>
            <w:gridSpan w:val="2"/>
            <w:vAlign w:val="center"/>
          </w:tcPr>
          <w:p w14:paraId="301D3AF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吨</w:t>
            </w:r>
          </w:p>
        </w:tc>
        <w:tc>
          <w:tcPr>
            <w:tcW w:w="1603" w:type="dxa"/>
            <w:vAlign w:val="center"/>
          </w:tcPr>
          <w:p w14:paraId="18F2371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检查日期</w:t>
            </w:r>
          </w:p>
        </w:tc>
        <w:tc>
          <w:tcPr>
            <w:tcW w:w="1116" w:type="dxa"/>
            <w:vAlign w:val="center"/>
          </w:tcPr>
          <w:p w14:paraId="6023D3A9">
            <w:pPr>
              <w:pStyle w:val="16"/>
              <w:rPr>
                <w:rFonts w:hint="eastAsia" w:ascii="宋体" w:hAnsi="宋体" w:eastAsia="宋体" w:cs="宋体"/>
                <w:b w:val="0"/>
                <w:bCs w:val="0"/>
                <w:sz w:val="21"/>
                <w:szCs w:val="21"/>
              </w:rPr>
            </w:pPr>
          </w:p>
        </w:tc>
      </w:tr>
      <w:tr w14:paraId="2455A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6787" w:type="dxa"/>
            <w:gridSpan w:val="5"/>
            <w:vAlign w:val="center"/>
          </w:tcPr>
          <w:p w14:paraId="352207C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       查      内      容</w:t>
            </w:r>
          </w:p>
        </w:tc>
        <w:tc>
          <w:tcPr>
            <w:tcW w:w="1618" w:type="dxa"/>
            <w:gridSpan w:val="2"/>
            <w:vAlign w:val="center"/>
          </w:tcPr>
          <w:p w14:paraId="36F513E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参照标准</w:t>
            </w:r>
          </w:p>
        </w:tc>
        <w:tc>
          <w:tcPr>
            <w:tcW w:w="1116" w:type="dxa"/>
            <w:vAlign w:val="center"/>
          </w:tcPr>
          <w:p w14:paraId="7F30076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检查结果</w:t>
            </w:r>
          </w:p>
        </w:tc>
      </w:tr>
      <w:tr w14:paraId="14A1F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988" w:type="dxa"/>
            <w:gridSpan w:val="2"/>
            <w:vMerge w:val="restart"/>
            <w:vAlign w:val="center"/>
          </w:tcPr>
          <w:p w14:paraId="1DE19DA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（一）基</w:t>
            </w:r>
          </w:p>
          <w:p w14:paraId="2D58B6C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础</w:t>
            </w:r>
          </w:p>
        </w:tc>
        <w:tc>
          <w:tcPr>
            <w:tcW w:w="5799" w:type="dxa"/>
            <w:gridSpan w:val="3"/>
            <w:vAlign w:val="center"/>
          </w:tcPr>
          <w:p w14:paraId="0300FBCE">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1.稳定性；</w:t>
            </w:r>
          </w:p>
        </w:tc>
        <w:tc>
          <w:tcPr>
            <w:tcW w:w="1618" w:type="dxa"/>
            <w:gridSpan w:val="2"/>
            <w:vMerge w:val="restart"/>
            <w:vAlign w:val="center"/>
          </w:tcPr>
          <w:p w14:paraId="0D74728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JBJ/T187-2009</w:t>
            </w:r>
          </w:p>
        </w:tc>
        <w:tc>
          <w:tcPr>
            <w:tcW w:w="1116" w:type="dxa"/>
            <w:vAlign w:val="center"/>
          </w:tcPr>
          <w:p w14:paraId="7564D851">
            <w:pPr>
              <w:pStyle w:val="16"/>
              <w:rPr>
                <w:rFonts w:hint="eastAsia" w:ascii="宋体" w:hAnsi="宋体" w:eastAsia="宋体" w:cs="宋体"/>
                <w:b w:val="0"/>
                <w:bCs w:val="0"/>
                <w:sz w:val="21"/>
                <w:szCs w:val="21"/>
              </w:rPr>
            </w:pPr>
          </w:p>
        </w:tc>
      </w:tr>
      <w:tr w14:paraId="08E2C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665C74CA">
            <w:pPr>
              <w:pStyle w:val="16"/>
              <w:rPr>
                <w:rFonts w:hint="eastAsia" w:ascii="宋体" w:hAnsi="宋体" w:eastAsia="宋体" w:cs="宋体"/>
                <w:b w:val="0"/>
                <w:bCs w:val="0"/>
                <w:sz w:val="21"/>
                <w:szCs w:val="21"/>
              </w:rPr>
            </w:pPr>
          </w:p>
        </w:tc>
        <w:tc>
          <w:tcPr>
            <w:tcW w:w="5799" w:type="dxa"/>
            <w:gridSpan w:val="3"/>
            <w:vAlign w:val="center"/>
          </w:tcPr>
          <w:p w14:paraId="00AD35DF">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2.排水措施；</w:t>
            </w:r>
          </w:p>
        </w:tc>
        <w:tc>
          <w:tcPr>
            <w:tcW w:w="1618" w:type="dxa"/>
            <w:gridSpan w:val="2"/>
            <w:vMerge w:val="continue"/>
            <w:vAlign w:val="center"/>
          </w:tcPr>
          <w:p w14:paraId="3042BA7B">
            <w:pPr>
              <w:pStyle w:val="16"/>
              <w:rPr>
                <w:rFonts w:hint="eastAsia" w:ascii="宋体" w:hAnsi="宋体" w:eastAsia="宋体" w:cs="宋体"/>
                <w:b w:val="0"/>
                <w:bCs w:val="0"/>
                <w:sz w:val="21"/>
                <w:szCs w:val="21"/>
              </w:rPr>
            </w:pPr>
          </w:p>
        </w:tc>
        <w:tc>
          <w:tcPr>
            <w:tcW w:w="1116" w:type="dxa"/>
            <w:vAlign w:val="center"/>
          </w:tcPr>
          <w:p w14:paraId="2B368A3C">
            <w:pPr>
              <w:pStyle w:val="16"/>
              <w:rPr>
                <w:rFonts w:hint="eastAsia" w:ascii="宋体" w:hAnsi="宋体" w:eastAsia="宋体" w:cs="宋体"/>
                <w:b w:val="0"/>
                <w:bCs w:val="0"/>
                <w:sz w:val="21"/>
                <w:szCs w:val="21"/>
              </w:rPr>
            </w:pPr>
          </w:p>
        </w:tc>
      </w:tr>
      <w:tr w14:paraId="746EA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88" w:type="dxa"/>
            <w:gridSpan w:val="2"/>
            <w:vMerge w:val="continue"/>
            <w:vAlign w:val="center"/>
          </w:tcPr>
          <w:p w14:paraId="2DDC55FE">
            <w:pPr>
              <w:pStyle w:val="16"/>
              <w:rPr>
                <w:rFonts w:hint="eastAsia" w:ascii="宋体" w:hAnsi="宋体" w:eastAsia="宋体" w:cs="宋体"/>
                <w:b w:val="0"/>
                <w:bCs w:val="0"/>
                <w:sz w:val="21"/>
                <w:szCs w:val="21"/>
              </w:rPr>
            </w:pPr>
          </w:p>
        </w:tc>
        <w:tc>
          <w:tcPr>
            <w:tcW w:w="5799" w:type="dxa"/>
            <w:gridSpan w:val="3"/>
            <w:vAlign w:val="center"/>
          </w:tcPr>
          <w:p w14:paraId="606F2BE5">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3.沉降量不大于50mm。</w:t>
            </w:r>
          </w:p>
        </w:tc>
        <w:tc>
          <w:tcPr>
            <w:tcW w:w="1618" w:type="dxa"/>
            <w:gridSpan w:val="2"/>
            <w:vMerge w:val="continue"/>
            <w:vAlign w:val="center"/>
          </w:tcPr>
          <w:p w14:paraId="6496C5DD">
            <w:pPr>
              <w:pStyle w:val="16"/>
              <w:rPr>
                <w:rFonts w:hint="eastAsia" w:ascii="宋体" w:hAnsi="宋体" w:eastAsia="宋体" w:cs="宋体"/>
                <w:b w:val="0"/>
                <w:bCs w:val="0"/>
                <w:sz w:val="21"/>
                <w:szCs w:val="21"/>
              </w:rPr>
            </w:pPr>
          </w:p>
        </w:tc>
        <w:tc>
          <w:tcPr>
            <w:tcW w:w="1116" w:type="dxa"/>
            <w:vAlign w:val="center"/>
          </w:tcPr>
          <w:p w14:paraId="5C2C79E0">
            <w:pPr>
              <w:pStyle w:val="16"/>
              <w:rPr>
                <w:rFonts w:hint="eastAsia" w:ascii="宋体" w:hAnsi="宋体" w:eastAsia="宋体" w:cs="宋体"/>
                <w:b w:val="0"/>
                <w:bCs w:val="0"/>
                <w:sz w:val="21"/>
                <w:szCs w:val="21"/>
              </w:rPr>
            </w:pPr>
          </w:p>
        </w:tc>
      </w:tr>
      <w:tr w14:paraId="2B2D3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jc w:val="center"/>
        </w:trPr>
        <w:tc>
          <w:tcPr>
            <w:tcW w:w="988" w:type="dxa"/>
            <w:gridSpan w:val="2"/>
            <w:vMerge w:val="restart"/>
            <w:vAlign w:val="center"/>
          </w:tcPr>
          <w:p w14:paraId="04CEFF2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（二）塔</w:t>
            </w:r>
          </w:p>
          <w:p w14:paraId="1219C6F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身</w:t>
            </w:r>
          </w:p>
          <w:p w14:paraId="401544A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结</w:t>
            </w:r>
          </w:p>
          <w:p w14:paraId="2A2EA48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构</w:t>
            </w:r>
          </w:p>
        </w:tc>
        <w:tc>
          <w:tcPr>
            <w:tcW w:w="5799" w:type="dxa"/>
            <w:gridSpan w:val="3"/>
            <w:vAlign w:val="center"/>
          </w:tcPr>
          <w:p w14:paraId="39426F84">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1.结构无变形、开焊、裂纹；</w:t>
            </w:r>
          </w:p>
        </w:tc>
        <w:tc>
          <w:tcPr>
            <w:tcW w:w="1618" w:type="dxa"/>
            <w:gridSpan w:val="2"/>
            <w:vMerge w:val="restart"/>
            <w:vAlign w:val="center"/>
          </w:tcPr>
          <w:p w14:paraId="30853E4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GBT5031-2008</w:t>
            </w:r>
          </w:p>
          <w:p w14:paraId="2A58901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53A973D2">
            <w:pPr>
              <w:pStyle w:val="16"/>
              <w:rPr>
                <w:rFonts w:hint="eastAsia" w:ascii="宋体" w:hAnsi="宋体" w:eastAsia="宋体" w:cs="宋体"/>
                <w:b w:val="0"/>
                <w:bCs w:val="0"/>
                <w:sz w:val="21"/>
                <w:szCs w:val="21"/>
              </w:rPr>
            </w:pPr>
          </w:p>
        </w:tc>
      </w:tr>
      <w:tr w14:paraId="14529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5AB9F392">
            <w:pPr>
              <w:pStyle w:val="16"/>
              <w:rPr>
                <w:rFonts w:hint="eastAsia" w:ascii="宋体" w:hAnsi="宋体" w:eastAsia="宋体" w:cs="宋体"/>
                <w:b w:val="0"/>
                <w:bCs w:val="0"/>
                <w:sz w:val="21"/>
                <w:szCs w:val="21"/>
              </w:rPr>
            </w:pPr>
          </w:p>
        </w:tc>
        <w:tc>
          <w:tcPr>
            <w:tcW w:w="5799" w:type="dxa"/>
            <w:gridSpan w:val="3"/>
            <w:vAlign w:val="center"/>
          </w:tcPr>
          <w:p w14:paraId="246BB4CF">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2.过渡节、销轴、高强度螺栓等零部件配置齐全、无松动、缺损、无严重锈蚀；</w:t>
            </w:r>
          </w:p>
        </w:tc>
        <w:tc>
          <w:tcPr>
            <w:tcW w:w="1618" w:type="dxa"/>
            <w:gridSpan w:val="2"/>
            <w:vMerge w:val="continue"/>
            <w:vAlign w:val="center"/>
          </w:tcPr>
          <w:p w14:paraId="6A13A2C3">
            <w:pPr>
              <w:pStyle w:val="16"/>
              <w:rPr>
                <w:rFonts w:hint="eastAsia" w:ascii="宋体" w:hAnsi="宋体" w:eastAsia="宋体" w:cs="宋体"/>
                <w:b w:val="0"/>
                <w:bCs w:val="0"/>
                <w:sz w:val="21"/>
                <w:szCs w:val="21"/>
              </w:rPr>
            </w:pPr>
          </w:p>
        </w:tc>
        <w:tc>
          <w:tcPr>
            <w:tcW w:w="1116" w:type="dxa"/>
            <w:vAlign w:val="center"/>
          </w:tcPr>
          <w:p w14:paraId="6F0CAB71">
            <w:pPr>
              <w:pStyle w:val="16"/>
              <w:rPr>
                <w:rFonts w:hint="eastAsia" w:ascii="宋体" w:hAnsi="宋体" w:eastAsia="宋体" w:cs="宋体"/>
                <w:b w:val="0"/>
                <w:bCs w:val="0"/>
                <w:sz w:val="21"/>
                <w:szCs w:val="21"/>
              </w:rPr>
            </w:pPr>
          </w:p>
        </w:tc>
      </w:tr>
      <w:tr w14:paraId="0E08F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10F7A07B">
            <w:pPr>
              <w:pStyle w:val="16"/>
              <w:rPr>
                <w:rFonts w:hint="eastAsia" w:ascii="宋体" w:hAnsi="宋体" w:eastAsia="宋体" w:cs="宋体"/>
                <w:b w:val="0"/>
                <w:bCs w:val="0"/>
                <w:sz w:val="21"/>
                <w:szCs w:val="21"/>
              </w:rPr>
            </w:pPr>
          </w:p>
        </w:tc>
        <w:tc>
          <w:tcPr>
            <w:tcW w:w="5799" w:type="dxa"/>
            <w:gridSpan w:val="3"/>
            <w:vAlign w:val="center"/>
          </w:tcPr>
          <w:p w14:paraId="1510C935">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3.垂直度≤3‰；</w:t>
            </w:r>
          </w:p>
        </w:tc>
        <w:tc>
          <w:tcPr>
            <w:tcW w:w="1618" w:type="dxa"/>
            <w:gridSpan w:val="2"/>
            <w:vMerge w:val="continue"/>
            <w:vAlign w:val="center"/>
          </w:tcPr>
          <w:p w14:paraId="639FC44D">
            <w:pPr>
              <w:pStyle w:val="16"/>
              <w:rPr>
                <w:rFonts w:hint="eastAsia" w:ascii="宋体" w:hAnsi="宋体" w:eastAsia="宋体" w:cs="宋体"/>
                <w:b w:val="0"/>
                <w:bCs w:val="0"/>
                <w:sz w:val="21"/>
                <w:szCs w:val="21"/>
              </w:rPr>
            </w:pPr>
          </w:p>
        </w:tc>
        <w:tc>
          <w:tcPr>
            <w:tcW w:w="1116" w:type="dxa"/>
            <w:vAlign w:val="center"/>
          </w:tcPr>
          <w:p w14:paraId="44E098FA">
            <w:pPr>
              <w:pStyle w:val="16"/>
              <w:rPr>
                <w:rFonts w:hint="eastAsia" w:ascii="宋体" w:hAnsi="宋体" w:eastAsia="宋体" w:cs="宋体"/>
                <w:b w:val="0"/>
                <w:bCs w:val="0"/>
                <w:sz w:val="21"/>
                <w:szCs w:val="21"/>
              </w:rPr>
            </w:pPr>
          </w:p>
        </w:tc>
      </w:tr>
      <w:tr w14:paraId="18855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4B3D0A7B">
            <w:pPr>
              <w:pStyle w:val="16"/>
              <w:rPr>
                <w:rFonts w:hint="eastAsia" w:ascii="宋体" w:hAnsi="宋体" w:eastAsia="宋体" w:cs="宋体"/>
                <w:b w:val="0"/>
                <w:bCs w:val="0"/>
                <w:sz w:val="21"/>
                <w:szCs w:val="21"/>
              </w:rPr>
            </w:pPr>
          </w:p>
        </w:tc>
        <w:tc>
          <w:tcPr>
            <w:tcW w:w="5799" w:type="dxa"/>
            <w:gridSpan w:val="3"/>
            <w:vAlign w:val="center"/>
          </w:tcPr>
          <w:p w14:paraId="6F1B5A04">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4.爬梯设置防护圈应符合国家标准；</w:t>
            </w:r>
          </w:p>
        </w:tc>
        <w:tc>
          <w:tcPr>
            <w:tcW w:w="1618" w:type="dxa"/>
            <w:gridSpan w:val="2"/>
            <w:vMerge w:val="continue"/>
            <w:vAlign w:val="center"/>
          </w:tcPr>
          <w:p w14:paraId="105E2CAE">
            <w:pPr>
              <w:pStyle w:val="16"/>
              <w:rPr>
                <w:rFonts w:hint="eastAsia" w:ascii="宋体" w:hAnsi="宋体" w:eastAsia="宋体" w:cs="宋体"/>
                <w:b w:val="0"/>
                <w:bCs w:val="0"/>
                <w:sz w:val="21"/>
                <w:szCs w:val="21"/>
              </w:rPr>
            </w:pPr>
          </w:p>
        </w:tc>
        <w:tc>
          <w:tcPr>
            <w:tcW w:w="1116" w:type="dxa"/>
            <w:vAlign w:val="center"/>
          </w:tcPr>
          <w:p w14:paraId="3B45F008">
            <w:pPr>
              <w:pStyle w:val="16"/>
              <w:rPr>
                <w:rFonts w:hint="eastAsia" w:ascii="宋体" w:hAnsi="宋体" w:eastAsia="宋体" w:cs="宋体"/>
                <w:b w:val="0"/>
                <w:bCs w:val="0"/>
                <w:sz w:val="21"/>
                <w:szCs w:val="21"/>
              </w:rPr>
            </w:pPr>
          </w:p>
        </w:tc>
      </w:tr>
      <w:tr w14:paraId="12E06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continue"/>
            <w:vAlign w:val="center"/>
          </w:tcPr>
          <w:p w14:paraId="194AB6C8">
            <w:pPr>
              <w:pStyle w:val="16"/>
              <w:rPr>
                <w:rFonts w:hint="eastAsia" w:ascii="宋体" w:hAnsi="宋体" w:eastAsia="宋体" w:cs="宋体"/>
                <w:b w:val="0"/>
                <w:bCs w:val="0"/>
                <w:sz w:val="21"/>
                <w:szCs w:val="21"/>
              </w:rPr>
            </w:pPr>
          </w:p>
        </w:tc>
        <w:tc>
          <w:tcPr>
            <w:tcW w:w="5799" w:type="dxa"/>
            <w:gridSpan w:val="3"/>
            <w:vAlign w:val="center"/>
          </w:tcPr>
          <w:p w14:paraId="67003416">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5.开口销不得用金属丝等代替。</w:t>
            </w:r>
          </w:p>
        </w:tc>
        <w:tc>
          <w:tcPr>
            <w:tcW w:w="1618" w:type="dxa"/>
            <w:gridSpan w:val="2"/>
            <w:vMerge w:val="continue"/>
            <w:vAlign w:val="center"/>
          </w:tcPr>
          <w:p w14:paraId="1AFA1A86">
            <w:pPr>
              <w:pStyle w:val="16"/>
              <w:rPr>
                <w:rFonts w:hint="eastAsia" w:ascii="宋体" w:hAnsi="宋体" w:eastAsia="宋体" w:cs="宋体"/>
                <w:b w:val="0"/>
                <w:bCs w:val="0"/>
                <w:sz w:val="21"/>
                <w:szCs w:val="21"/>
              </w:rPr>
            </w:pPr>
          </w:p>
        </w:tc>
        <w:tc>
          <w:tcPr>
            <w:tcW w:w="1116" w:type="dxa"/>
            <w:vAlign w:val="center"/>
          </w:tcPr>
          <w:p w14:paraId="412F5C3D">
            <w:pPr>
              <w:pStyle w:val="16"/>
              <w:rPr>
                <w:rFonts w:hint="eastAsia" w:ascii="宋体" w:hAnsi="宋体" w:eastAsia="宋体" w:cs="宋体"/>
                <w:b w:val="0"/>
                <w:bCs w:val="0"/>
                <w:sz w:val="21"/>
                <w:szCs w:val="21"/>
              </w:rPr>
            </w:pPr>
          </w:p>
        </w:tc>
      </w:tr>
      <w:tr w14:paraId="7A302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988" w:type="dxa"/>
            <w:gridSpan w:val="2"/>
            <w:vMerge w:val="restart"/>
            <w:vAlign w:val="center"/>
          </w:tcPr>
          <w:p w14:paraId="18D93C2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（三）钢</w:t>
            </w:r>
          </w:p>
          <w:p w14:paraId="3F6D206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丝</w:t>
            </w:r>
          </w:p>
          <w:p w14:paraId="40FB0F4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绳</w:t>
            </w:r>
          </w:p>
        </w:tc>
        <w:tc>
          <w:tcPr>
            <w:tcW w:w="5799" w:type="dxa"/>
            <w:gridSpan w:val="3"/>
            <w:vAlign w:val="center"/>
          </w:tcPr>
          <w:p w14:paraId="03111DF1">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1.完好、无断股；</w:t>
            </w:r>
          </w:p>
        </w:tc>
        <w:tc>
          <w:tcPr>
            <w:tcW w:w="1618" w:type="dxa"/>
            <w:gridSpan w:val="2"/>
            <w:vMerge w:val="restart"/>
            <w:vAlign w:val="center"/>
          </w:tcPr>
          <w:p w14:paraId="0EAB9D3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GBT5972-2016</w:t>
            </w:r>
          </w:p>
          <w:p w14:paraId="14A6631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52DB1F3C">
            <w:pPr>
              <w:pStyle w:val="16"/>
              <w:rPr>
                <w:rFonts w:hint="eastAsia" w:ascii="宋体" w:hAnsi="宋体" w:eastAsia="宋体" w:cs="宋体"/>
                <w:b w:val="0"/>
                <w:bCs w:val="0"/>
                <w:sz w:val="21"/>
                <w:szCs w:val="21"/>
              </w:rPr>
            </w:pPr>
          </w:p>
        </w:tc>
      </w:tr>
      <w:tr w14:paraId="17196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62735808">
            <w:pPr>
              <w:pStyle w:val="16"/>
              <w:rPr>
                <w:rFonts w:hint="eastAsia" w:ascii="宋体" w:hAnsi="宋体" w:eastAsia="宋体" w:cs="宋体"/>
                <w:b w:val="0"/>
                <w:bCs w:val="0"/>
                <w:sz w:val="21"/>
                <w:szCs w:val="21"/>
              </w:rPr>
            </w:pPr>
          </w:p>
        </w:tc>
        <w:tc>
          <w:tcPr>
            <w:tcW w:w="5799" w:type="dxa"/>
            <w:gridSpan w:val="3"/>
            <w:vAlign w:val="center"/>
          </w:tcPr>
          <w:p w14:paraId="00E3F115">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2.断丝不超过10％；</w:t>
            </w:r>
          </w:p>
        </w:tc>
        <w:tc>
          <w:tcPr>
            <w:tcW w:w="1618" w:type="dxa"/>
            <w:gridSpan w:val="2"/>
            <w:vMerge w:val="continue"/>
            <w:vAlign w:val="center"/>
          </w:tcPr>
          <w:p w14:paraId="34A146B8">
            <w:pPr>
              <w:pStyle w:val="16"/>
              <w:rPr>
                <w:rFonts w:hint="eastAsia" w:ascii="宋体" w:hAnsi="宋体" w:eastAsia="宋体" w:cs="宋体"/>
                <w:b w:val="0"/>
                <w:bCs w:val="0"/>
                <w:sz w:val="21"/>
                <w:szCs w:val="21"/>
              </w:rPr>
            </w:pPr>
          </w:p>
        </w:tc>
        <w:tc>
          <w:tcPr>
            <w:tcW w:w="1116" w:type="dxa"/>
            <w:vAlign w:val="center"/>
          </w:tcPr>
          <w:p w14:paraId="7DEC5B29">
            <w:pPr>
              <w:pStyle w:val="16"/>
              <w:rPr>
                <w:rFonts w:hint="eastAsia" w:ascii="宋体" w:hAnsi="宋体" w:eastAsia="宋体" w:cs="宋体"/>
                <w:b w:val="0"/>
                <w:bCs w:val="0"/>
                <w:sz w:val="21"/>
                <w:szCs w:val="21"/>
              </w:rPr>
            </w:pPr>
          </w:p>
        </w:tc>
      </w:tr>
      <w:tr w14:paraId="24EF0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3E6EEA7C">
            <w:pPr>
              <w:pStyle w:val="16"/>
              <w:rPr>
                <w:rFonts w:hint="eastAsia" w:ascii="宋体" w:hAnsi="宋体" w:eastAsia="宋体" w:cs="宋体"/>
                <w:b w:val="0"/>
                <w:bCs w:val="0"/>
                <w:sz w:val="21"/>
                <w:szCs w:val="21"/>
              </w:rPr>
            </w:pPr>
          </w:p>
        </w:tc>
        <w:tc>
          <w:tcPr>
            <w:tcW w:w="5799" w:type="dxa"/>
            <w:gridSpan w:val="3"/>
            <w:vAlign w:val="center"/>
          </w:tcPr>
          <w:p w14:paraId="08E08027">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3.型号、规格、长度符合本机说明书规定；</w:t>
            </w:r>
          </w:p>
        </w:tc>
        <w:tc>
          <w:tcPr>
            <w:tcW w:w="1618" w:type="dxa"/>
            <w:gridSpan w:val="2"/>
            <w:vMerge w:val="continue"/>
            <w:vAlign w:val="center"/>
          </w:tcPr>
          <w:p w14:paraId="2BCEFE48">
            <w:pPr>
              <w:pStyle w:val="16"/>
              <w:rPr>
                <w:rFonts w:hint="eastAsia" w:ascii="宋体" w:hAnsi="宋体" w:eastAsia="宋体" w:cs="宋体"/>
                <w:b w:val="0"/>
                <w:bCs w:val="0"/>
                <w:sz w:val="21"/>
                <w:szCs w:val="21"/>
              </w:rPr>
            </w:pPr>
          </w:p>
        </w:tc>
        <w:tc>
          <w:tcPr>
            <w:tcW w:w="1116" w:type="dxa"/>
            <w:vAlign w:val="center"/>
          </w:tcPr>
          <w:p w14:paraId="6B516E82">
            <w:pPr>
              <w:pStyle w:val="16"/>
              <w:rPr>
                <w:rFonts w:hint="eastAsia" w:ascii="宋体" w:hAnsi="宋体" w:eastAsia="宋体" w:cs="宋体"/>
                <w:b w:val="0"/>
                <w:bCs w:val="0"/>
                <w:sz w:val="21"/>
                <w:szCs w:val="21"/>
              </w:rPr>
            </w:pPr>
          </w:p>
        </w:tc>
      </w:tr>
      <w:tr w14:paraId="77FB3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6332C7E8">
            <w:pPr>
              <w:pStyle w:val="16"/>
              <w:rPr>
                <w:rFonts w:hint="eastAsia" w:ascii="宋体" w:hAnsi="宋体" w:eastAsia="宋体" w:cs="宋体"/>
                <w:b w:val="0"/>
                <w:bCs w:val="0"/>
                <w:sz w:val="21"/>
                <w:szCs w:val="21"/>
              </w:rPr>
            </w:pPr>
          </w:p>
        </w:tc>
        <w:tc>
          <w:tcPr>
            <w:tcW w:w="5799" w:type="dxa"/>
            <w:gridSpan w:val="3"/>
            <w:vAlign w:val="center"/>
          </w:tcPr>
          <w:p w14:paraId="6D6E216E">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4.固定绳卡数量与绳径匹配，卡间距为6-7倍绳径；</w:t>
            </w:r>
          </w:p>
        </w:tc>
        <w:tc>
          <w:tcPr>
            <w:tcW w:w="1618" w:type="dxa"/>
            <w:gridSpan w:val="2"/>
            <w:vMerge w:val="continue"/>
            <w:vAlign w:val="center"/>
          </w:tcPr>
          <w:p w14:paraId="362901EC">
            <w:pPr>
              <w:pStyle w:val="16"/>
              <w:rPr>
                <w:rFonts w:hint="eastAsia" w:ascii="宋体" w:hAnsi="宋体" w:eastAsia="宋体" w:cs="宋体"/>
                <w:b w:val="0"/>
                <w:bCs w:val="0"/>
                <w:sz w:val="21"/>
                <w:szCs w:val="21"/>
              </w:rPr>
            </w:pPr>
          </w:p>
        </w:tc>
        <w:tc>
          <w:tcPr>
            <w:tcW w:w="1116" w:type="dxa"/>
            <w:vAlign w:val="center"/>
          </w:tcPr>
          <w:p w14:paraId="070025B8">
            <w:pPr>
              <w:pStyle w:val="16"/>
              <w:rPr>
                <w:rFonts w:hint="eastAsia" w:ascii="宋体" w:hAnsi="宋体" w:eastAsia="宋体" w:cs="宋体"/>
                <w:b w:val="0"/>
                <w:bCs w:val="0"/>
                <w:sz w:val="21"/>
                <w:szCs w:val="21"/>
              </w:rPr>
            </w:pPr>
          </w:p>
        </w:tc>
      </w:tr>
      <w:tr w14:paraId="08964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988" w:type="dxa"/>
            <w:gridSpan w:val="2"/>
            <w:vMerge w:val="continue"/>
            <w:vAlign w:val="center"/>
          </w:tcPr>
          <w:p w14:paraId="483E88D5">
            <w:pPr>
              <w:pStyle w:val="16"/>
              <w:rPr>
                <w:rFonts w:hint="eastAsia" w:ascii="宋体" w:hAnsi="宋体" w:eastAsia="宋体" w:cs="宋体"/>
                <w:b w:val="0"/>
                <w:bCs w:val="0"/>
                <w:sz w:val="21"/>
                <w:szCs w:val="21"/>
              </w:rPr>
            </w:pPr>
          </w:p>
        </w:tc>
        <w:tc>
          <w:tcPr>
            <w:tcW w:w="5799" w:type="dxa"/>
            <w:gridSpan w:val="3"/>
            <w:vAlign w:val="center"/>
          </w:tcPr>
          <w:p w14:paraId="6672A5CE">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5.钢绳磨损量不超过钢丝绳的10%；</w:t>
            </w:r>
          </w:p>
        </w:tc>
        <w:tc>
          <w:tcPr>
            <w:tcW w:w="1618" w:type="dxa"/>
            <w:gridSpan w:val="2"/>
            <w:vMerge w:val="continue"/>
            <w:vAlign w:val="center"/>
          </w:tcPr>
          <w:p w14:paraId="5CF10FEB">
            <w:pPr>
              <w:pStyle w:val="16"/>
              <w:rPr>
                <w:rFonts w:hint="eastAsia" w:ascii="宋体" w:hAnsi="宋体" w:eastAsia="宋体" w:cs="宋体"/>
                <w:b w:val="0"/>
                <w:bCs w:val="0"/>
                <w:sz w:val="21"/>
                <w:szCs w:val="21"/>
              </w:rPr>
            </w:pPr>
          </w:p>
        </w:tc>
        <w:tc>
          <w:tcPr>
            <w:tcW w:w="1116" w:type="dxa"/>
            <w:vAlign w:val="center"/>
          </w:tcPr>
          <w:p w14:paraId="3724ED34">
            <w:pPr>
              <w:pStyle w:val="16"/>
              <w:rPr>
                <w:rFonts w:hint="eastAsia" w:ascii="宋体" w:hAnsi="宋体" w:eastAsia="宋体" w:cs="宋体"/>
                <w:b w:val="0"/>
                <w:bCs w:val="0"/>
                <w:sz w:val="21"/>
                <w:szCs w:val="21"/>
              </w:rPr>
            </w:pPr>
          </w:p>
        </w:tc>
      </w:tr>
      <w:tr w14:paraId="1CC23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88" w:type="dxa"/>
            <w:gridSpan w:val="2"/>
            <w:vMerge w:val="continue"/>
            <w:vAlign w:val="center"/>
          </w:tcPr>
          <w:p w14:paraId="148C4443">
            <w:pPr>
              <w:pStyle w:val="16"/>
              <w:rPr>
                <w:rFonts w:hint="eastAsia" w:ascii="宋体" w:hAnsi="宋体" w:eastAsia="宋体" w:cs="宋体"/>
                <w:b w:val="0"/>
                <w:bCs w:val="0"/>
                <w:sz w:val="21"/>
                <w:szCs w:val="21"/>
              </w:rPr>
            </w:pPr>
          </w:p>
        </w:tc>
        <w:tc>
          <w:tcPr>
            <w:tcW w:w="5799" w:type="dxa"/>
            <w:gridSpan w:val="3"/>
            <w:vAlign w:val="center"/>
          </w:tcPr>
          <w:p w14:paraId="232BEE75">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6.捆绑起重索具符合要求。</w:t>
            </w:r>
          </w:p>
        </w:tc>
        <w:tc>
          <w:tcPr>
            <w:tcW w:w="1618" w:type="dxa"/>
            <w:gridSpan w:val="2"/>
            <w:vMerge w:val="continue"/>
            <w:vAlign w:val="center"/>
          </w:tcPr>
          <w:p w14:paraId="70D6E8A1">
            <w:pPr>
              <w:pStyle w:val="16"/>
              <w:rPr>
                <w:rFonts w:hint="eastAsia" w:ascii="宋体" w:hAnsi="宋体" w:eastAsia="宋体" w:cs="宋体"/>
                <w:b w:val="0"/>
                <w:bCs w:val="0"/>
                <w:sz w:val="21"/>
                <w:szCs w:val="21"/>
              </w:rPr>
            </w:pPr>
          </w:p>
        </w:tc>
        <w:tc>
          <w:tcPr>
            <w:tcW w:w="1116" w:type="dxa"/>
            <w:vAlign w:val="center"/>
          </w:tcPr>
          <w:p w14:paraId="0EE6C325">
            <w:pPr>
              <w:pStyle w:val="16"/>
              <w:rPr>
                <w:rFonts w:hint="eastAsia" w:ascii="宋体" w:hAnsi="宋体" w:eastAsia="宋体" w:cs="宋体"/>
                <w:b w:val="0"/>
                <w:bCs w:val="0"/>
                <w:sz w:val="21"/>
                <w:szCs w:val="21"/>
              </w:rPr>
            </w:pPr>
          </w:p>
        </w:tc>
      </w:tr>
      <w:tr w14:paraId="3BBEF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 w:hRule="atLeast"/>
          <w:jc w:val="center"/>
        </w:trPr>
        <w:tc>
          <w:tcPr>
            <w:tcW w:w="988" w:type="dxa"/>
            <w:gridSpan w:val="2"/>
            <w:vMerge w:val="restart"/>
            <w:vAlign w:val="center"/>
          </w:tcPr>
          <w:p w14:paraId="35C1EB1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（四）吊</w:t>
            </w:r>
          </w:p>
          <w:p w14:paraId="3CDF266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钩</w:t>
            </w:r>
          </w:p>
        </w:tc>
        <w:tc>
          <w:tcPr>
            <w:tcW w:w="5799" w:type="dxa"/>
            <w:gridSpan w:val="3"/>
            <w:vAlign w:val="center"/>
          </w:tcPr>
          <w:p w14:paraId="24604EC4">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1.无裂纹、变形、严重磨损；</w:t>
            </w:r>
          </w:p>
        </w:tc>
        <w:tc>
          <w:tcPr>
            <w:tcW w:w="1618" w:type="dxa"/>
            <w:gridSpan w:val="2"/>
            <w:vMerge w:val="restart"/>
            <w:vAlign w:val="center"/>
          </w:tcPr>
          <w:p w14:paraId="0107A65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GBT5031-2008</w:t>
            </w:r>
          </w:p>
          <w:p w14:paraId="4AC11D9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4FAC36B6">
            <w:pPr>
              <w:pStyle w:val="16"/>
              <w:rPr>
                <w:rFonts w:hint="eastAsia" w:ascii="宋体" w:hAnsi="宋体" w:eastAsia="宋体" w:cs="宋体"/>
                <w:b w:val="0"/>
                <w:bCs w:val="0"/>
                <w:sz w:val="21"/>
                <w:szCs w:val="21"/>
              </w:rPr>
            </w:pPr>
          </w:p>
        </w:tc>
      </w:tr>
      <w:tr w14:paraId="47585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988" w:type="dxa"/>
            <w:gridSpan w:val="2"/>
            <w:vMerge w:val="continue"/>
            <w:vAlign w:val="center"/>
          </w:tcPr>
          <w:p w14:paraId="62FF5123">
            <w:pPr>
              <w:pStyle w:val="16"/>
              <w:rPr>
                <w:rFonts w:hint="eastAsia" w:ascii="宋体" w:hAnsi="宋体" w:eastAsia="宋体" w:cs="宋体"/>
                <w:b w:val="0"/>
                <w:bCs w:val="0"/>
                <w:sz w:val="21"/>
                <w:szCs w:val="21"/>
              </w:rPr>
            </w:pPr>
          </w:p>
        </w:tc>
        <w:tc>
          <w:tcPr>
            <w:tcW w:w="5799" w:type="dxa"/>
            <w:gridSpan w:val="3"/>
            <w:vAlign w:val="center"/>
          </w:tcPr>
          <w:p w14:paraId="60F6032E">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2.钩身无补焊、钻孔现象；</w:t>
            </w:r>
          </w:p>
        </w:tc>
        <w:tc>
          <w:tcPr>
            <w:tcW w:w="1618" w:type="dxa"/>
            <w:gridSpan w:val="2"/>
            <w:vMerge w:val="continue"/>
            <w:vAlign w:val="center"/>
          </w:tcPr>
          <w:p w14:paraId="19C2F6F1">
            <w:pPr>
              <w:pStyle w:val="16"/>
              <w:rPr>
                <w:rFonts w:hint="eastAsia" w:ascii="宋体" w:hAnsi="宋体" w:eastAsia="宋体" w:cs="宋体"/>
                <w:b w:val="0"/>
                <w:bCs w:val="0"/>
                <w:sz w:val="21"/>
                <w:szCs w:val="21"/>
              </w:rPr>
            </w:pPr>
          </w:p>
        </w:tc>
        <w:tc>
          <w:tcPr>
            <w:tcW w:w="1116" w:type="dxa"/>
            <w:vAlign w:val="center"/>
          </w:tcPr>
          <w:p w14:paraId="4B6CF9C0">
            <w:pPr>
              <w:pStyle w:val="16"/>
              <w:rPr>
                <w:rFonts w:hint="eastAsia" w:ascii="宋体" w:hAnsi="宋体" w:eastAsia="宋体" w:cs="宋体"/>
                <w:b w:val="0"/>
                <w:bCs w:val="0"/>
                <w:sz w:val="21"/>
                <w:szCs w:val="21"/>
              </w:rPr>
            </w:pPr>
          </w:p>
        </w:tc>
      </w:tr>
      <w:tr w14:paraId="72F59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463827BA">
            <w:pPr>
              <w:pStyle w:val="16"/>
              <w:rPr>
                <w:rFonts w:hint="eastAsia" w:ascii="宋体" w:hAnsi="宋体" w:eastAsia="宋体" w:cs="宋体"/>
                <w:b w:val="0"/>
                <w:bCs w:val="0"/>
                <w:sz w:val="21"/>
                <w:szCs w:val="21"/>
              </w:rPr>
            </w:pPr>
          </w:p>
        </w:tc>
        <w:tc>
          <w:tcPr>
            <w:tcW w:w="5799" w:type="dxa"/>
            <w:gridSpan w:val="3"/>
            <w:vAlign w:val="center"/>
          </w:tcPr>
          <w:p w14:paraId="1EC8D534">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3.具有防脱装置;</w:t>
            </w:r>
          </w:p>
        </w:tc>
        <w:tc>
          <w:tcPr>
            <w:tcW w:w="1618" w:type="dxa"/>
            <w:gridSpan w:val="2"/>
            <w:vMerge w:val="continue"/>
            <w:vAlign w:val="center"/>
          </w:tcPr>
          <w:p w14:paraId="6564AC69">
            <w:pPr>
              <w:pStyle w:val="16"/>
              <w:rPr>
                <w:rFonts w:hint="eastAsia" w:ascii="宋体" w:hAnsi="宋体" w:eastAsia="宋体" w:cs="宋体"/>
                <w:b w:val="0"/>
                <w:bCs w:val="0"/>
                <w:sz w:val="21"/>
                <w:szCs w:val="21"/>
              </w:rPr>
            </w:pPr>
          </w:p>
        </w:tc>
        <w:tc>
          <w:tcPr>
            <w:tcW w:w="1116" w:type="dxa"/>
            <w:vAlign w:val="center"/>
          </w:tcPr>
          <w:p w14:paraId="0D2C82CD">
            <w:pPr>
              <w:pStyle w:val="16"/>
              <w:rPr>
                <w:rFonts w:hint="eastAsia" w:ascii="宋体" w:hAnsi="宋体" w:eastAsia="宋体" w:cs="宋体"/>
                <w:b w:val="0"/>
                <w:bCs w:val="0"/>
                <w:sz w:val="21"/>
                <w:szCs w:val="21"/>
              </w:rPr>
            </w:pPr>
          </w:p>
        </w:tc>
      </w:tr>
      <w:tr w14:paraId="63CA6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2D4CDC31">
            <w:pPr>
              <w:pStyle w:val="16"/>
              <w:rPr>
                <w:rFonts w:hint="eastAsia" w:ascii="宋体" w:hAnsi="宋体" w:eastAsia="宋体" w:cs="宋体"/>
                <w:b w:val="0"/>
                <w:bCs w:val="0"/>
                <w:sz w:val="21"/>
                <w:szCs w:val="21"/>
              </w:rPr>
            </w:pPr>
          </w:p>
        </w:tc>
        <w:tc>
          <w:tcPr>
            <w:tcW w:w="5799" w:type="dxa"/>
            <w:gridSpan w:val="3"/>
            <w:vAlign w:val="center"/>
          </w:tcPr>
          <w:p w14:paraId="4494F1B9">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4.挂绳处截面磨损量不超过原高度的10%；</w:t>
            </w:r>
          </w:p>
        </w:tc>
        <w:tc>
          <w:tcPr>
            <w:tcW w:w="1618" w:type="dxa"/>
            <w:gridSpan w:val="2"/>
            <w:vMerge w:val="continue"/>
            <w:vAlign w:val="center"/>
          </w:tcPr>
          <w:p w14:paraId="5936EF3E">
            <w:pPr>
              <w:pStyle w:val="16"/>
              <w:rPr>
                <w:rFonts w:hint="eastAsia" w:ascii="宋体" w:hAnsi="宋体" w:eastAsia="宋体" w:cs="宋体"/>
                <w:b w:val="0"/>
                <w:bCs w:val="0"/>
                <w:sz w:val="21"/>
                <w:szCs w:val="21"/>
              </w:rPr>
            </w:pPr>
          </w:p>
        </w:tc>
        <w:tc>
          <w:tcPr>
            <w:tcW w:w="1116" w:type="dxa"/>
            <w:vAlign w:val="center"/>
          </w:tcPr>
          <w:p w14:paraId="36759E08">
            <w:pPr>
              <w:pStyle w:val="16"/>
              <w:rPr>
                <w:rFonts w:hint="eastAsia" w:ascii="宋体" w:hAnsi="宋体" w:eastAsia="宋体" w:cs="宋体"/>
                <w:b w:val="0"/>
                <w:bCs w:val="0"/>
                <w:sz w:val="21"/>
                <w:szCs w:val="21"/>
              </w:rPr>
            </w:pPr>
          </w:p>
        </w:tc>
      </w:tr>
      <w:tr w14:paraId="31A67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988" w:type="dxa"/>
            <w:gridSpan w:val="2"/>
            <w:vMerge w:val="restart"/>
            <w:vAlign w:val="center"/>
          </w:tcPr>
          <w:p w14:paraId="4579AEC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（五）高度限位</w:t>
            </w:r>
          </w:p>
        </w:tc>
        <w:tc>
          <w:tcPr>
            <w:tcW w:w="5799" w:type="dxa"/>
            <w:gridSpan w:val="3"/>
            <w:vAlign w:val="center"/>
          </w:tcPr>
          <w:p w14:paraId="44730F96">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1.吊钩顶部距起重臂下端800mm，能立即停止起升，但有向下、向内变幅运动；</w:t>
            </w:r>
          </w:p>
        </w:tc>
        <w:tc>
          <w:tcPr>
            <w:tcW w:w="1618" w:type="dxa"/>
            <w:gridSpan w:val="2"/>
            <w:vMerge w:val="restart"/>
            <w:vAlign w:val="center"/>
          </w:tcPr>
          <w:p w14:paraId="0CF347E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GBT5031-2008</w:t>
            </w:r>
          </w:p>
        </w:tc>
        <w:tc>
          <w:tcPr>
            <w:tcW w:w="1116" w:type="dxa"/>
            <w:vAlign w:val="center"/>
          </w:tcPr>
          <w:p w14:paraId="25A587D5">
            <w:pPr>
              <w:pStyle w:val="16"/>
              <w:rPr>
                <w:rFonts w:hint="eastAsia" w:ascii="宋体" w:hAnsi="宋体" w:eastAsia="宋体" w:cs="宋体"/>
                <w:b w:val="0"/>
                <w:bCs w:val="0"/>
                <w:sz w:val="21"/>
                <w:szCs w:val="21"/>
              </w:rPr>
            </w:pPr>
          </w:p>
        </w:tc>
      </w:tr>
      <w:tr w14:paraId="4D202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988" w:type="dxa"/>
            <w:gridSpan w:val="2"/>
            <w:vMerge w:val="continue"/>
            <w:vAlign w:val="center"/>
          </w:tcPr>
          <w:p w14:paraId="3D3B1A77">
            <w:pPr>
              <w:pStyle w:val="16"/>
              <w:rPr>
                <w:rFonts w:hint="eastAsia" w:ascii="宋体" w:hAnsi="宋体" w:eastAsia="宋体" w:cs="宋体"/>
                <w:b w:val="0"/>
                <w:bCs w:val="0"/>
                <w:sz w:val="21"/>
                <w:szCs w:val="21"/>
              </w:rPr>
            </w:pPr>
          </w:p>
        </w:tc>
        <w:tc>
          <w:tcPr>
            <w:tcW w:w="5799" w:type="dxa"/>
            <w:gridSpan w:val="3"/>
            <w:vAlign w:val="center"/>
          </w:tcPr>
          <w:p w14:paraId="218C5AA2">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2.吊钩不能再下降或卷筒上钢丝绳只剩3圈时，应能立即停止下降运动；</w:t>
            </w:r>
          </w:p>
        </w:tc>
        <w:tc>
          <w:tcPr>
            <w:tcW w:w="1618" w:type="dxa"/>
            <w:gridSpan w:val="2"/>
            <w:vMerge w:val="continue"/>
            <w:vAlign w:val="center"/>
          </w:tcPr>
          <w:p w14:paraId="165167F3">
            <w:pPr>
              <w:pStyle w:val="16"/>
              <w:rPr>
                <w:rFonts w:hint="eastAsia" w:ascii="宋体" w:hAnsi="宋体" w:eastAsia="宋体" w:cs="宋体"/>
                <w:b w:val="0"/>
                <w:bCs w:val="0"/>
                <w:sz w:val="21"/>
                <w:szCs w:val="21"/>
              </w:rPr>
            </w:pPr>
          </w:p>
        </w:tc>
        <w:tc>
          <w:tcPr>
            <w:tcW w:w="1116" w:type="dxa"/>
            <w:vAlign w:val="center"/>
          </w:tcPr>
          <w:p w14:paraId="229D2CB3">
            <w:pPr>
              <w:pStyle w:val="16"/>
              <w:rPr>
                <w:rFonts w:hint="eastAsia" w:ascii="宋体" w:hAnsi="宋体" w:eastAsia="宋体" w:cs="宋体"/>
                <w:b w:val="0"/>
                <w:bCs w:val="0"/>
                <w:sz w:val="21"/>
                <w:szCs w:val="21"/>
              </w:rPr>
            </w:pPr>
          </w:p>
        </w:tc>
      </w:tr>
      <w:tr w14:paraId="62A78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988" w:type="dxa"/>
            <w:gridSpan w:val="2"/>
            <w:vMerge w:val="continue"/>
            <w:vAlign w:val="center"/>
          </w:tcPr>
          <w:p w14:paraId="69D73924">
            <w:pPr>
              <w:pStyle w:val="16"/>
              <w:rPr>
                <w:rFonts w:hint="eastAsia" w:ascii="宋体" w:hAnsi="宋体" w:eastAsia="宋体" w:cs="宋体"/>
                <w:b w:val="0"/>
                <w:bCs w:val="0"/>
                <w:sz w:val="21"/>
                <w:szCs w:val="21"/>
              </w:rPr>
            </w:pPr>
          </w:p>
        </w:tc>
        <w:tc>
          <w:tcPr>
            <w:tcW w:w="5799" w:type="dxa"/>
            <w:gridSpan w:val="3"/>
            <w:vAlign w:val="center"/>
          </w:tcPr>
          <w:p w14:paraId="511141C4">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3.钢丝绳松弛可能造成卷筒上钢丝绳乱绳或反卷，设置下限位。</w:t>
            </w:r>
          </w:p>
        </w:tc>
        <w:tc>
          <w:tcPr>
            <w:tcW w:w="1618" w:type="dxa"/>
            <w:gridSpan w:val="2"/>
            <w:vMerge w:val="continue"/>
            <w:vAlign w:val="center"/>
          </w:tcPr>
          <w:p w14:paraId="6711325C">
            <w:pPr>
              <w:pStyle w:val="16"/>
              <w:rPr>
                <w:rFonts w:hint="eastAsia" w:ascii="宋体" w:hAnsi="宋体" w:eastAsia="宋体" w:cs="宋体"/>
                <w:b w:val="0"/>
                <w:bCs w:val="0"/>
                <w:sz w:val="21"/>
                <w:szCs w:val="21"/>
              </w:rPr>
            </w:pPr>
          </w:p>
        </w:tc>
        <w:tc>
          <w:tcPr>
            <w:tcW w:w="1116" w:type="dxa"/>
            <w:vAlign w:val="center"/>
          </w:tcPr>
          <w:p w14:paraId="25F0D72B">
            <w:pPr>
              <w:pStyle w:val="16"/>
              <w:rPr>
                <w:rFonts w:hint="eastAsia" w:ascii="宋体" w:hAnsi="宋体" w:eastAsia="宋体" w:cs="宋体"/>
                <w:b w:val="0"/>
                <w:bCs w:val="0"/>
                <w:sz w:val="21"/>
                <w:szCs w:val="21"/>
              </w:rPr>
            </w:pPr>
          </w:p>
        </w:tc>
      </w:tr>
      <w:tr w14:paraId="2EF02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88" w:type="dxa"/>
            <w:gridSpan w:val="2"/>
            <w:vMerge w:val="restart"/>
            <w:vAlign w:val="center"/>
          </w:tcPr>
          <w:p w14:paraId="0B45339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（六）幅度限位装置</w:t>
            </w:r>
          </w:p>
        </w:tc>
        <w:tc>
          <w:tcPr>
            <w:tcW w:w="5799" w:type="dxa"/>
            <w:gridSpan w:val="3"/>
            <w:vAlign w:val="center"/>
          </w:tcPr>
          <w:p w14:paraId="3E59D2BA">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1.小车前后两端应设置限位开关和缓冲装置；</w:t>
            </w:r>
          </w:p>
        </w:tc>
        <w:tc>
          <w:tcPr>
            <w:tcW w:w="1618" w:type="dxa"/>
            <w:gridSpan w:val="2"/>
            <w:vMerge w:val="restart"/>
            <w:vAlign w:val="center"/>
          </w:tcPr>
          <w:p w14:paraId="33BC0A8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GBT5031-2008</w:t>
            </w:r>
          </w:p>
        </w:tc>
        <w:tc>
          <w:tcPr>
            <w:tcW w:w="1116" w:type="dxa"/>
            <w:vAlign w:val="center"/>
          </w:tcPr>
          <w:p w14:paraId="759A238A">
            <w:pPr>
              <w:pStyle w:val="16"/>
              <w:rPr>
                <w:rFonts w:hint="eastAsia" w:ascii="宋体" w:hAnsi="宋体" w:eastAsia="宋体" w:cs="宋体"/>
                <w:b w:val="0"/>
                <w:bCs w:val="0"/>
                <w:sz w:val="21"/>
                <w:szCs w:val="21"/>
              </w:rPr>
            </w:pPr>
          </w:p>
        </w:tc>
      </w:tr>
      <w:tr w14:paraId="7A9B9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jc w:val="center"/>
        </w:trPr>
        <w:tc>
          <w:tcPr>
            <w:tcW w:w="988" w:type="dxa"/>
            <w:gridSpan w:val="2"/>
            <w:vMerge w:val="continue"/>
            <w:vAlign w:val="center"/>
          </w:tcPr>
          <w:p w14:paraId="58F79823">
            <w:pPr>
              <w:pStyle w:val="16"/>
              <w:rPr>
                <w:rFonts w:hint="eastAsia" w:ascii="宋体" w:hAnsi="宋体" w:eastAsia="宋体" w:cs="宋体"/>
                <w:b w:val="0"/>
                <w:bCs w:val="0"/>
                <w:sz w:val="21"/>
                <w:szCs w:val="21"/>
              </w:rPr>
            </w:pPr>
          </w:p>
        </w:tc>
        <w:tc>
          <w:tcPr>
            <w:tcW w:w="5799" w:type="dxa"/>
            <w:gridSpan w:val="3"/>
            <w:vAlign w:val="center"/>
          </w:tcPr>
          <w:p w14:paraId="32A5AC4D">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2.限位开关距小车停车时其端部缓冲装置最小距离200mm。</w:t>
            </w:r>
          </w:p>
        </w:tc>
        <w:tc>
          <w:tcPr>
            <w:tcW w:w="1618" w:type="dxa"/>
            <w:gridSpan w:val="2"/>
            <w:vMerge w:val="continue"/>
            <w:vAlign w:val="center"/>
          </w:tcPr>
          <w:p w14:paraId="6731D5B7">
            <w:pPr>
              <w:pStyle w:val="16"/>
              <w:rPr>
                <w:rFonts w:hint="eastAsia" w:ascii="宋体" w:hAnsi="宋体" w:eastAsia="宋体" w:cs="宋体"/>
                <w:b w:val="0"/>
                <w:bCs w:val="0"/>
                <w:sz w:val="21"/>
                <w:szCs w:val="21"/>
              </w:rPr>
            </w:pPr>
          </w:p>
        </w:tc>
        <w:tc>
          <w:tcPr>
            <w:tcW w:w="1116" w:type="dxa"/>
            <w:vAlign w:val="center"/>
          </w:tcPr>
          <w:p w14:paraId="7FC6891C">
            <w:pPr>
              <w:pStyle w:val="16"/>
              <w:rPr>
                <w:rFonts w:hint="eastAsia" w:ascii="宋体" w:hAnsi="宋体" w:eastAsia="宋体" w:cs="宋体"/>
                <w:b w:val="0"/>
                <w:bCs w:val="0"/>
                <w:sz w:val="21"/>
                <w:szCs w:val="21"/>
              </w:rPr>
            </w:pPr>
          </w:p>
        </w:tc>
      </w:tr>
      <w:tr w14:paraId="7B09B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restart"/>
            <w:vAlign w:val="center"/>
          </w:tcPr>
          <w:p w14:paraId="3BF4C4F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（七）力矩限制器</w:t>
            </w:r>
          </w:p>
        </w:tc>
        <w:tc>
          <w:tcPr>
            <w:tcW w:w="5799" w:type="dxa"/>
            <w:gridSpan w:val="3"/>
            <w:vAlign w:val="center"/>
          </w:tcPr>
          <w:p w14:paraId="54372DEA">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1.应设置力矩限制器；</w:t>
            </w:r>
          </w:p>
        </w:tc>
        <w:tc>
          <w:tcPr>
            <w:tcW w:w="1618" w:type="dxa"/>
            <w:gridSpan w:val="2"/>
            <w:vMerge w:val="restart"/>
            <w:vAlign w:val="center"/>
          </w:tcPr>
          <w:p w14:paraId="556EE04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GB12602-2020</w:t>
            </w:r>
          </w:p>
        </w:tc>
        <w:tc>
          <w:tcPr>
            <w:tcW w:w="1116" w:type="dxa"/>
            <w:vAlign w:val="center"/>
          </w:tcPr>
          <w:p w14:paraId="6733E857">
            <w:pPr>
              <w:pStyle w:val="16"/>
              <w:rPr>
                <w:rFonts w:hint="eastAsia" w:ascii="宋体" w:hAnsi="宋体" w:eastAsia="宋体" w:cs="宋体"/>
                <w:b w:val="0"/>
                <w:bCs w:val="0"/>
                <w:sz w:val="21"/>
                <w:szCs w:val="21"/>
              </w:rPr>
            </w:pPr>
          </w:p>
        </w:tc>
      </w:tr>
      <w:tr w14:paraId="44824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0A8FC8DA">
            <w:pPr>
              <w:pStyle w:val="16"/>
              <w:rPr>
                <w:rFonts w:hint="eastAsia" w:ascii="宋体" w:hAnsi="宋体" w:eastAsia="宋体" w:cs="宋体"/>
                <w:b w:val="0"/>
                <w:bCs w:val="0"/>
                <w:sz w:val="21"/>
                <w:szCs w:val="21"/>
              </w:rPr>
            </w:pPr>
          </w:p>
        </w:tc>
        <w:tc>
          <w:tcPr>
            <w:tcW w:w="5799" w:type="dxa"/>
            <w:gridSpan w:val="3"/>
            <w:vAlign w:val="center"/>
          </w:tcPr>
          <w:p w14:paraId="6F2A6A04">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2.起重量达到90%-95%时，能发出报警信号；</w:t>
            </w:r>
          </w:p>
        </w:tc>
        <w:tc>
          <w:tcPr>
            <w:tcW w:w="1618" w:type="dxa"/>
            <w:gridSpan w:val="2"/>
            <w:vMerge w:val="continue"/>
            <w:vAlign w:val="center"/>
          </w:tcPr>
          <w:p w14:paraId="73AE6584">
            <w:pPr>
              <w:pStyle w:val="16"/>
              <w:rPr>
                <w:rFonts w:hint="eastAsia" w:ascii="宋体" w:hAnsi="宋体" w:eastAsia="宋体" w:cs="宋体"/>
                <w:b w:val="0"/>
                <w:bCs w:val="0"/>
                <w:sz w:val="21"/>
                <w:szCs w:val="21"/>
              </w:rPr>
            </w:pPr>
          </w:p>
        </w:tc>
        <w:tc>
          <w:tcPr>
            <w:tcW w:w="1116" w:type="dxa"/>
            <w:vAlign w:val="center"/>
          </w:tcPr>
          <w:p w14:paraId="1EBA62E1">
            <w:pPr>
              <w:pStyle w:val="16"/>
              <w:rPr>
                <w:rFonts w:hint="eastAsia" w:ascii="宋体" w:hAnsi="宋体" w:eastAsia="宋体" w:cs="宋体"/>
                <w:b w:val="0"/>
                <w:bCs w:val="0"/>
                <w:sz w:val="21"/>
                <w:szCs w:val="21"/>
              </w:rPr>
            </w:pPr>
          </w:p>
        </w:tc>
      </w:tr>
      <w:tr w14:paraId="1B5B9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8" w:type="dxa"/>
            <w:gridSpan w:val="2"/>
            <w:vMerge w:val="continue"/>
            <w:vAlign w:val="center"/>
          </w:tcPr>
          <w:p w14:paraId="31B0E999">
            <w:pPr>
              <w:pStyle w:val="16"/>
              <w:rPr>
                <w:rFonts w:hint="eastAsia" w:ascii="宋体" w:hAnsi="宋体" w:eastAsia="宋体" w:cs="宋体"/>
                <w:b w:val="0"/>
                <w:bCs w:val="0"/>
                <w:sz w:val="21"/>
                <w:szCs w:val="21"/>
              </w:rPr>
            </w:pPr>
          </w:p>
        </w:tc>
        <w:tc>
          <w:tcPr>
            <w:tcW w:w="5799" w:type="dxa"/>
            <w:gridSpan w:val="3"/>
            <w:vAlign w:val="center"/>
          </w:tcPr>
          <w:p w14:paraId="29FA90EB">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3.起重量达到105%-110%时，能停止向不安全方向继续动作。</w:t>
            </w:r>
          </w:p>
        </w:tc>
        <w:tc>
          <w:tcPr>
            <w:tcW w:w="1618" w:type="dxa"/>
            <w:gridSpan w:val="2"/>
            <w:vMerge w:val="continue"/>
            <w:vAlign w:val="center"/>
          </w:tcPr>
          <w:p w14:paraId="70F6FA8E">
            <w:pPr>
              <w:pStyle w:val="16"/>
              <w:rPr>
                <w:rFonts w:hint="eastAsia" w:ascii="宋体" w:hAnsi="宋体" w:eastAsia="宋体" w:cs="宋体"/>
                <w:b w:val="0"/>
                <w:bCs w:val="0"/>
                <w:sz w:val="21"/>
                <w:szCs w:val="21"/>
              </w:rPr>
            </w:pPr>
          </w:p>
        </w:tc>
        <w:tc>
          <w:tcPr>
            <w:tcW w:w="1116" w:type="dxa"/>
            <w:vAlign w:val="center"/>
          </w:tcPr>
          <w:p w14:paraId="630D5023">
            <w:pPr>
              <w:pStyle w:val="16"/>
              <w:rPr>
                <w:rFonts w:hint="eastAsia" w:ascii="宋体" w:hAnsi="宋体" w:eastAsia="宋体" w:cs="宋体"/>
                <w:b w:val="0"/>
                <w:bCs w:val="0"/>
                <w:sz w:val="21"/>
                <w:szCs w:val="21"/>
              </w:rPr>
            </w:pPr>
          </w:p>
        </w:tc>
      </w:tr>
      <w:tr w14:paraId="4074B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988" w:type="dxa"/>
            <w:gridSpan w:val="2"/>
            <w:vMerge w:val="continue"/>
            <w:vAlign w:val="center"/>
          </w:tcPr>
          <w:p w14:paraId="769018D0">
            <w:pPr>
              <w:pStyle w:val="16"/>
              <w:rPr>
                <w:rFonts w:hint="eastAsia" w:ascii="宋体" w:hAnsi="宋体" w:eastAsia="宋体" w:cs="宋体"/>
                <w:b w:val="0"/>
                <w:bCs w:val="0"/>
                <w:sz w:val="21"/>
                <w:szCs w:val="21"/>
              </w:rPr>
            </w:pPr>
          </w:p>
        </w:tc>
        <w:tc>
          <w:tcPr>
            <w:tcW w:w="5799" w:type="dxa"/>
            <w:gridSpan w:val="3"/>
            <w:vAlign w:val="center"/>
          </w:tcPr>
          <w:p w14:paraId="548E99FB">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4.力矩限制器综合误差不超过±8%。</w:t>
            </w:r>
          </w:p>
        </w:tc>
        <w:tc>
          <w:tcPr>
            <w:tcW w:w="1618" w:type="dxa"/>
            <w:gridSpan w:val="2"/>
            <w:vMerge w:val="continue"/>
            <w:vAlign w:val="center"/>
          </w:tcPr>
          <w:p w14:paraId="66767727">
            <w:pPr>
              <w:pStyle w:val="16"/>
              <w:rPr>
                <w:rFonts w:hint="eastAsia" w:ascii="宋体" w:hAnsi="宋体" w:eastAsia="宋体" w:cs="宋体"/>
                <w:b w:val="0"/>
                <w:bCs w:val="0"/>
                <w:sz w:val="21"/>
                <w:szCs w:val="21"/>
              </w:rPr>
            </w:pPr>
          </w:p>
        </w:tc>
        <w:tc>
          <w:tcPr>
            <w:tcW w:w="1116" w:type="dxa"/>
            <w:vAlign w:val="center"/>
          </w:tcPr>
          <w:p w14:paraId="6282BA68">
            <w:pPr>
              <w:pStyle w:val="16"/>
              <w:rPr>
                <w:rFonts w:hint="eastAsia" w:ascii="宋体" w:hAnsi="宋体" w:eastAsia="宋体" w:cs="宋体"/>
                <w:b w:val="0"/>
                <w:bCs w:val="0"/>
                <w:sz w:val="21"/>
                <w:szCs w:val="21"/>
              </w:rPr>
            </w:pPr>
          </w:p>
        </w:tc>
      </w:tr>
      <w:tr w14:paraId="2459F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restart"/>
            <w:vAlign w:val="center"/>
          </w:tcPr>
          <w:p w14:paraId="41B77C7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（八）附</w:t>
            </w:r>
          </w:p>
          <w:p w14:paraId="1A0FE51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着</w:t>
            </w:r>
          </w:p>
          <w:p w14:paraId="7B9C05E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架</w:t>
            </w:r>
          </w:p>
        </w:tc>
        <w:tc>
          <w:tcPr>
            <w:tcW w:w="5799" w:type="dxa"/>
            <w:gridSpan w:val="3"/>
            <w:vAlign w:val="center"/>
          </w:tcPr>
          <w:p w14:paraId="695332E1">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1.框架、附着杆安装正确、牢固；无开焊、变形、裂纹；</w:t>
            </w:r>
          </w:p>
        </w:tc>
        <w:tc>
          <w:tcPr>
            <w:tcW w:w="1618" w:type="dxa"/>
            <w:gridSpan w:val="2"/>
            <w:vMerge w:val="restart"/>
            <w:vAlign w:val="center"/>
          </w:tcPr>
          <w:p w14:paraId="43B198A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JGJ196-2010</w:t>
            </w:r>
          </w:p>
        </w:tc>
        <w:tc>
          <w:tcPr>
            <w:tcW w:w="1116" w:type="dxa"/>
            <w:vAlign w:val="center"/>
          </w:tcPr>
          <w:p w14:paraId="7DB0C137">
            <w:pPr>
              <w:pStyle w:val="16"/>
              <w:rPr>
                <w:rFonts w:hint="eastAsia" w:ascii="宋体" w:hAnsi="宋体" w:eastAsia="宋体" w:cs="宋体"/>
                <w:b w:val="0"/>
                <w:bCs w:val="0"/>
                <w:sz w:val="21"/>
                <w:szCs w:val="21"/>
              </w:rPr>
            </w:pPr>
          </w:p>
        </w:tc>
      </w:tr>
      <w:tr w14:paraId="3B91C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4B282A3F">
            <w:pPr>
              <w:pStyle w:val="16"/>
              <w:rPr>
                <w:rFonts w:hint="eastAsia" w:ascii="宋体" w:hAnsi="宋体" w:eastAsia="宋体" w:cs="宋体"/>
                <w:b w:val="0"/>
                <w:bCs w:val="0"/>
                <w:sz w:val="21"/>
                <w:szCs w:val="21"/>
              </w:rPr>
            </w:pPr>
          </w:p>
        </w:tc>
        <w:tc>
          <w:tcPr>
            <w:tcW w:w="5799" w:type="dxa"/>
            <w:gridSpan w:val="3"/>
            <w:vAlign w:val="center"/>
          </w:tcPr>
          <w:p w14:paraId="7C15BE2C">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2.各处螺栓、轴销齐全牢固；</w:t>
            </w:r>
          </w:p>
        </w:tc>
        <w:tc>
          <w:tcPr>
            <w:tcW w:w="1618" w:type="dxa"/>
            <w:gridSpan w:val="2"/>
            <w:vMerge w:val="continue"/>
            <w:vAlign w:val="center"/>
          </w:tcPr>
          <w:p w14:paraId="43E47177">
            <w:pPr>
              <w:pStyle w:val="16"/>
              <w:rPr>
                <w:rFonts w:hint="eastAsia" w:ascii="宋体" w:hAnsi="宋体" w:eastAsia="宋体" w:cs="宋体"/>
                <w:b w:val="0"/>
                <w:bCs w:val="0"/>
                <w:sz w:val="21"/>
                <w:szCs w:val="21"/>
              </w:rPr>
            </w:pPr>
          </w:p>
        </w:tc>
        <w:tc>
          <w:tcPr>
            <w:tcW w:w="1116" w:type="dxa"/>
            <w:vAlign w:val="center"/>
          </w:tcPr>
          <w:p w14:paraId="6C4BA362">
            <w:pPr>
              <w:pStyle w:val="16"/>
              <w:rPr>
                <w:rFonts w:hint="eastAsia" w:ascii="宋体" w:hAnsi="宋体" w:eastAsia="宋体" w:cs="宋体"/>
                <w:b w:val="0"/>
                <w:bCs w:val="0"/>
                <w:sz w:val="21"/>
                <w:szCs w:val="21"/>
              </w:rPr>
            </w:pPr>
          </w:p>
        </w:tc>
      </w:tr>
      <w:tr w14:paraId="0AD42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384EB4C9">
            <w:pPr>
              <w:pStyle w:val="16"/>
              <w:rPr>
                <w:rFonts w:hint="eastAsia" w:ascii="宋体" w:hAnsi="宋体" w:eastAsia="宋体" w:cs="宋体"/>
                <w:b w:val="0"/>
                <w:bCs w:val="0"/>
                <w:sz w:val="21"/>
                <w:szCs w:val="21"/>
              </w:rPr>
            </w:pPr>
          </w:p>
        </w:tc>
        <w:tc>
          <w:tcPr>
            <w:tcW w:w="5799" w:type="dxa"/>
            <w:gridSpan w:val="3"/>
            <w:vAlign w:val="center"/>
          </w:tcPr>
          <w:p w14:paraId="32F62FAF">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3.间距、数量、安装固定符合说明书要求；</w:t>
            </w:r>
          </w:p>
        </w:tc>
        <w:tc>
          <w:tcPr>
            <w:tcW w:w="1618" w:type="dxa"/>
            <w:gridSpan w:val="2"/>
            <w:vMerge w:val="continue"/>
            <w:vAlign w:val="center"/>
          </w:tcPr>
          <w:p w14:paraId="24876D2F">
            <w:pPr>
              <w:pStyle w:val="16"/>
              <w:rPr>
                <w:rFonts w:hint="eastAsia" w:ascii="宋体" w:hAnsi="宋体" w:eastAsia="宋体" w:cs="宋体"/>
                <w:b w:val="0"/>
                <w:bCs w:val="0"/>
                <w:sz w:val="21"/>
                <w:szCs w:val="21"/>
              </w:rPr>
            </w:pPr>
          </w:p>
        </w:tc>
        <w:tc>
          <w:tcPr>
            <w:tcW w:w="1116" w:type="dxa"/>
            <w:vAlign w:val="center"/>
          </w:tcPr>
          <w:p w14:paraId="0108B9C0">
            <w:pPr>
              <w:pStyle w:val="16"/>
              <w:rPr>
                <w:rFonts w:hint="eastAsia" w:ascii="宋体" w:hAnsi="宋体" w:eastAsia="宋体" w:cs="宋体"/>
                <w:b w:val="0"/>
                <w:bCs w:val="0"/>
                <w:sz w:val="21"/>
                <w:szCs w:val="21"/>
              </w:rPr>
            </w:pPr>
          </w:p>
        </w:tc>
      </w:tr>
      <w:tr w14:paraId="5F5E7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35640055">
            <w:pPr>
              <w:pStyle w:val="16"/>
              <w:rPr>
                <w:rFonts w:hint="eastAsia" w:ascii="宋体" w:hAnsi="宋体" w:eastAsia="宋体" w:cs="宋体"/>
                <w:b w:val="0"/>
                <w:bCs w:val="0"/>
                <w:sz w:val="21"/>
                <w:szCs w:val="21"/>
              </w:rPr>
            </w:pPr>
          </w:p>
        </w:tc>
        <w:tc>
          <w:tcPr>
            <w:tcW w:w="5799" w:type="dxa"/>
            <w:gridSpan w:val="3"/>
            <w:vAlign w:val="center"/>
          </w:tcPr>
          <w:p w14:paraId="17318CBF">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4.架体不得擅自改动。</w:t>
            </w:r>
          </w:p>
        </w:tc>
        <w:tc>
          <w:tcPr>
            <w:tcW w:w="1618" w:type="dxa"/>
            <w:gridSpan w:val="2"/>
            <w:vMerge w:val="continue"/>
            <w:vAlign w:val="center"/>
          </w:tcPr>
          <w:p w14:paraId="1C66D7DF">
            <w:pPr>
              <w:pStyle w:val="16"/>
              <w:rPr>
                <w:rFonts w:hint="eastAsia" w:ascii="宋体" w:hAnsi="宋体" w:eastAsia="宋体" w:cs="宋体"/>
                <w:b w:val="0"/>
                <w:bCs w:val="0"/>
                <w:sz w:val="21"/>
                <w:szCs w:val="21"/>
              </w:rPr>
            </w:pPr>
          </w:p>
        </w:tc>
        <w:tc>
          <w:tcPr>
            <w:tcW w:w="1116" w:type="dxa"/>
            <w:vAlign w:val="center"/>
          </w:tcPr>
          <w:p w14:paraId="7D0422A9">
            <w:pPr>
              <w:pStyle w:val="16"/>
              <w:rPr>
                <w:rFonts w:hint="eastAsia" w:ascii="宋体" w:hAnsi="宋体" w:eastAsia="宋体" w:cs="宋体"/>
                <w:b w:val="0"/>
                <w:bCs w:val="0"/>
                <w:sz w:val="21"/>
                <w:szCs w:val="21"/>
              </w:rPr>
            </w:pPr>
          </w:p>
        </w:tc>
      </w:tr>
      <w:tr w14:paraId="3B133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restart"/>
            <w:vAlign w:val="center"/>
          </w:tcPr>
          <w:p w14:paraId="24336AE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（九）电</w:t>
            </w:r>
          </w:p>
          <w:p w14:paraId="7F358A6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气</w:t>
            </w:r>
          </w:p>
        </w:tc>
        <w:tc>
          <w:tcPr>
            <w:tcW w:w="5799" w:type="dxa"/>
            <w:gridSpan w:val="3"/>
            <w:vAlign w:val="center"/>
          </w:tcPr>
          <w:p w14:paraId="63D674E9">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1.电缆无破损，无老化；</w:t>
            </w:r>
          </w:p>
        </w:tc>
        <w:tc>
          <w:tcPr>
            <w:tcW w:w="1618" w:type="dxa"/>
            <w:gridSpan w:val="2"/>
            <w:vMerge w:val="restart"/>
            <w:vAlign w:val="center"/>
          </w:tcPr>
          <w:p w14:paraId="2C5D462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GB5226.1-2002</w:t>
            </w:r>
          </w:p>
          <w:p w14:paraId="0A7FE5A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p w14:paraId="496BE17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GBT5031-2008</w:t>
            </w:r>
          </w:p>
        </w:tc>
        <w:tc>
          <w:tcPr>
            <w:tcW w:w="1116" w:type="dxa"/>
            <w:vAlign w:val="center"/>
          </w:tcPr>
          <w:p w14:paraId="5E0C1CD4">
            <w:pPr>
              <w:pStyle w:val="16"/>
              <w:rPr>
                <w:rFonts w:hint="eastAsia" w:ascii="宋体" w:hAnsi="宋体" w:eastAsia="宋体" w:cs="宋体"/>
                <w:b w:val="0"/>
                <w:bCs w:val="0"/>
                <w:sz w:val="21"/>
                <w:szCs w:val="21"/>
              </w:rPr>
            </w:pPr>
          </w:p>
        </w:tc>
      </w:tr>
      <w:tr w14:paraId="40E9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988" w:type="dxa"/>
            <w:gridSpan w:val="2"/>
            <w:vMerge w:val="continue"/>
            <w:vAlign w:val="center"/>
          </w:tcPr>
          <w:p w14:paraId="21E2E272">
            <w:pPr>
              <w:pStyle w:val="16"/>
              <w:rPr>
                <w:rFonts w:hint="eastAsia" w:ascii="宋体" w:hAnsi="宋体" w:eastAsia="宋体" w:cs="宋体"/>
                <w:b w:val="0"/>
                <w:bCs w:val="0"/>
                <w:sz w:val="21"/>
                <w:szCs w:val="21"/>
              </w:rPr>
            </w:pPr>
          </w:p>
        </w:tc>
        <w:tc>
          <w:tcPr>
            <w:tcW w:w="5799" w:type="dxa"/>
            <w:gridSpan w:val="3"/>
            <w:vAlign w:val="center"/>
          </w:tcPr>
          <w:p w14:paraId="05E543A3">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2.各接地、接零保护装置符合要求；</w:t>
            </w:r>
          </w:p>
        </w:tc>
        <w:tc>
          <w:tcPr>
            <w:tcW w:w="1618" w:type="dxa"/>
            <w:gridSpan w:val="2"/>
            <w:vMerge w:val="continue"/>
            <w:vAlign w:val="center"/>
          </w:tcPr>
          <w:p w14:paraId="72C87107">
            <w:pPr>
              <w:pStyle w:val="16"/>
              <w:rPr>
                <w:rFonts w:hint="eastAsia" w:ascii="宋体" w:hAnsi="宋体" w:eastAsia="宋体" w:cs="宋体"/>
                <w:b w:val="0"/>
                <w:bCs w:val="0"/>
                <w:sz w:val="21"/>
                <w:szCs w:val="21"/>
              </w:rPr>
            </w:pPr>
          </w:p>
        </w:tc>
        <w:tc>
          <w:tcPr>
            <w:tcW w:w="1116" w:type="dxa"/>
            <w:vAlign w:val="center"/>
          </w:tcPr>
          <w:p w14:paraId="31A96D08">
            <w:pPr>
              <w:pStyle w:val="16"/>
              <w:rPr>
                <w:rFonts w:hint="eastAsia" w:ascii="宋体" w:hAnsi="宋体" w:eastAsia="宋体" w:cs="宋体"/>
                <w:b w:val="0"/>
                <w:bCs w:val="0"/>
                <w:sz w:val="21"/>
                <w:szCs w:val="21"/>
              </w:rPr>
            </w:pPr>
          </w:p>
        </w:tc>
      </w:tr>
      <w:tr w14:paraId="41DE7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388133FC">
            <w:pPr>
              <w:pStyle w:val="16"/>
              <w:rPr>
                <w:rFonts w:hint="eastAsia" w:ascii="宋体" w:hAnsi="宋体" w:eastAsia="宋体" w:cs="宋体"/>
                <w:b w:val="0"/>
                <w:bCs w:val="0"/>
                <w:sz w:val="21"/>
                <w:szCs w:val="21"/>
              </w:rPr>
            </w:pPr>
          </w:p>
        </w:tc>
        <w:tc>
          <w:tcPr>
            <w:tcW w:w="5799" w:type="dxa"/>
            <w:gridSpan w:val="3"/>
            <w:vAlign w:val="center"/>
          </w:tcPr>
          <w:p w14:paraId="1AB66AEC">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3.开关等配电装置齐全有效；</w:t>
            </w:r>
          </w:p>
        </w:tc>
        <w:tc>
          <w:tcPr>
            <w:tcW w:w="1618" w:type="dxa"/>
            <w:gridSpan w:val="2"/>
            <w:vMerge w:val="continue"/>
            <w:vAlign w:val="center"/>
          </w:tcPr>
          <w:p w14:paraId="7776FE21">
            <w:pPr>
              <w:pStyle w:val="16"/>
              <w:rPr>
                <w:rFonts w:hint="eastAsia" w:ascii="宋体" w:hAnsi="宋体" w:eastAsia="宋体" w:cs="宋体"/>
                <w:b w:val="0"/>
                <w:bCs w:val="0"/>
                <w:sz w:val="21"/>
                <w:szCs w:val="21"/>
              </w:rPr>
            </w:pPr>
          </w:p>
        </w:tc>
        <w:tc>
          <w:tcPr>
            <w:tcW w:w="1116" w:type="dxa"/>
            <w:vAlign w:val="center"/>
          </w:tcPr>
          <w:p w14:paraId="4719CB72">
            <w:pPr>
              <w:pStyle w:val="16"/>
              <w:rPr>
                <w:rFonts w:hint="eastAsia" w:ascii="宋体" w:hAnsi="宋体" w:eastAsia="宋体" w:cs="宋体"/>
                <w:b w:val="0"/>
                <w:bCs w:val="0"/>
                <w:sz w:val="21"/>
                <w:szCs w:val="21"/>
              </w:rPr>
            </w:pPr>
          </w:p>
        </w:tc>
      </w:tr>
      <w:tr w14:paraId="0E3C3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667F223C">
            <w:pPr>
              <w:pStyle w:val="16"/>
              <w:rPr>
                <w:rFonts w:hint="eastAsia" w:ascii="宋体" w:hAnsi="宋体" w:eastAsia="宋体" w:cs="宋体"/>
                <w:b w:val="0"/>
                <w:bCs w:val="0"/>
                <w:sz w:val="21"/>
                <w:szCs w:val="21"/>
              </w:rPr>
            </w:pPr>
          </w:p>
        </w:tc>
        <w:tc>
          <w:tcPr>
            <w:tcW w:w="5799" w:type="dxa"/>
            <w:gridSpan w:val="3"/>
            <w:vAlign w:val="center"/>
          </w:tcPr>
          <w:p w14:paraId="67BBA615">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4.绝缘良好；</w:t>
            </w:r>
          </w:p>
        </w:tc>
        <w:tc>
          <w:tcPr>
            <w:tcW w:w="1618" w:type="dxa"/>
            <w:gridSpan w:val="2"/>
            <w:vMerge w:val="continue"/>
            <w:vAlign w:val="center"/>
          </w:tcPr>
          <w:p w14:paraId="541993E3">
            <w:pPr>
              <w:pStyle w:val="16"/>
              <w:rPr>
                <w:rFonts w:hint="eastAsia" w:ascii="宋体" w:hAnsi="宋体" w:eastAsia="宋体" w:cs="宋体"/>
                <w:b w:val="0"/>
                <w:bCs w:val="0"/>
                <w:sz w:val="21"/>
                <w:szCs w:val="21"/>
              </w:rPr>
            </w:pPr>
          </w:p>
        </w:tc>
        <w:tc>
          <w:tcPr>
            <w:tcW w:w="1116" w:type="dxa"/>
            <w:vAlign w:val="center"/>
          </w:tcPr>
          <w:p w14:paraId="0C93E3BE">
            <w:pPr>
              <w:pStyle w:val="16"/>
              <w:rPr>
                <w:rFonts w:hint="eastAsia" w:ascii="宋体" w:hAnsi="宋体" w:eastAsia="宋体" w:cs="宋体"/>
                <w:b w:val="0"/>
                <w:bCs w:val="0"/>
                <w:sz w:val="21"/>
                <w:szCs w:val="21"/>
              </w:rPr>
            </w:pPr>
          </w:p>
        </w:tc>
      </w:tr>
      <w:tr w14:paraId="41101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72FF28B0">
            <w:pPr>
              <w:pStyle w:val="16"/>
              <w:rPr>
                <w:rFonts w:hint="eastAsia" w:ascii="宋体" w:hAnsi="宋体" w:eastAsia="宋体" w:cs="宋体"/>
                <w:b w:val="0"/>
                <w:bCs w:val="0"/>
                <w:sz w:val="21"/>
                <w:szCs w:val="21"/>
              </w:rPr>
            </w:pPr>
          </w:p>
        </w:tc>
        <w:tc>
          <w:tcPr>
            <w:tcW w:w="5799" w:type="dxa"/>
            <w:gridSpan w:val="3"/>
            <w:vAlign w:val="center"/>
          </w:tcPr>
          <w:p w14:paraId="290BAE2C">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5.接闪器、避雷等接地装置良好,；</w:t>
            </w:r>
          </w:p>
        </w:tc>
        <w:tc>
          <w:tcPr>
            <w:tcW w:w="1618" w:type="dxa"/>
            <w:gridSpan w:val="2"/>
            <w:vMerge w:val="continue"/>
            <w:vAlign w:val="center"/>
          </w:tcPr>
          <w:p w14:paraId="32D63542">
            <w:pPr>
              <w:pStyle w:val="16"/>
              <w:rPr>
                <w:rFonts w:hint="eastAsia" w:ascii="宋体" w:hAnsi="宋体" w:eastAsia="宋体" w:cs="宋体"/>
                <w:b w:val="0"/>
                <w:bCs w:val="0"/>
                <w:sz w:val="21"/>
                <w:szCs w:val="21"/>
              </w:rPr>
            </w:pPr>
          </w:p>
        </w:tc>
        <w:tc>
          <w:tcPr>
            <w:tcW w:w="1116" w:type="dxa"/>
            <w:vAlign w:val="center"/>
          </w:tcPr>
          <w:p w14:paraId="7EE8BBA8">
            <w:pPr>
              <w:pStyle w:val="16"/>
              <w:rPr>
                <w:rFonts w:hint="eastAsia" w:ascii="宋体" w:hAnsi="宋体" w:eastAsia="宋体" w:cs="宋体"/>
                <w:b w:val="0"/>
                <w:bCs w:val="0"/>
                <w:sz w:val="21"/>
                <w:szCs w:val="21"/>
              </w:rPr>
            </w:pPr>
          </w:p>
        </w:tc>
      </w:tr>
      <w:tr w14:paraId="30E0F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3CD13993">
            <w:pPr>
              <w:pStyle w:val="16"/>
              <w:rPr>
                <w:rFonts w:hint="eastAsia" w:ascii="宋体" w:hAnsi="宋体" w:eastAsia="宋体" w:cs="宋体"/>
                <w:b w:val="0"/>
                <w:bCs w:val="0"/>
                <w:sz w:val="21"/>
                <w:szCs w:val="21"/>
              </w:rPr>
            </w:pPr>
          </w:p>
        </w:tc>
        <w:tc>
          <w:tcPr>
            <w:tcW w:w="5799" w:type="dxa"/>
            <w:gridSpan w:val="3"/>
            <w:vAlign w:val="center"/>
          </w:tcPr>
          <w:p w14:paraId="12CD1172">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6.动力电路和控制电路对地绝缘值不超过0.5兆欧；</w:t>
            </w:r>
          </w:p>
        </w:tc>
        <w:tc>
          <w:tcPr>
            <w:tcW w:w="1618" w:type="dxa"/>
            <w:gridSpan w:val="2"/>
            <w:vMerge w:val="continue"/>
            <w:vAlign w:val="center"/>
          </w:tcPr>
          <w:p w14:paraId="663468FD">
            <w:pPr>
              <w:pStyle w:val="16"/>
              <w:rPr>
                <w:rFonts w:hint="eastAsia" w:ascii="宋体" w:hAnsi="宋体" w:eastAsia="宋体" w:cs="宋体"/>
                <w:b w:val="0"/>
                <w:bCs w:val="0"/>
                <w:sz w:val="21"/>
                <w:szCs w:val="21"/>
              </w:rPr>
            </w:pPr>
          </w:p>
        </w:tc>
        <w:tc>
          <w:tcPr>
            <w:tcW w:w="1116" w:type="dxa"/>
            <w:vAlign w:val="center"/>
          </w:tcPr>
          <w:p w14:paraId="765F51FA">
            <w:pPr>
              <w:pStyle w:val="16"/>
              <w:rPr>
                <w:rFonts w:hint="eastAsia" w:ascii="宋体" w:hAnsi="宋体" w:eastAsia="宋体" w:cs="宋体"/>
                <w:b w:val="0"/>
                <w:bCs w:val="0"/>
                <w:sz w:val="21"/>
                <w:szCs w:val="21"/>
              </w:rPr>
            </w:pPr>
          </w:p>
        </w:tc>
      </w:tr>
      <w:tr w14:paraId="635C5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 w:hRule="atLeast"/>
          <w:jc w:val="center"/>
        </w:trPr>
        <w:tc>
          <w:tcPr>
            <w:tcW w:w="988" w:type="dxa"/>
            <w:gridSpan w:val="2"/>
            <w:vMerge w:val="restart"/>
            <w:vAlign w:val="center"/>
          </w:tcPr>
          <w:p w14:paraId="3283AC7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（十）机构油类</w:t>
            </w:r>
          </w:p>
        </w:tc>
        <w:tc>
          <w:tcPr>
            <w:tcW w:w="5799" w:type="dxa"/>
            <w:gridSpan w:val="3"/>
            <w:vAlign w:val="center"/>
          </w:tcPr>
          <w:p w14:paraId="6709F128">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1.减速机、卷扬机、回转机构、液压顶升系统部件齐全、工作正常；</w:t>
            </w:r>
          </w:p>
        </w:tc>
        <w:tc>
          <w:tcPr>
            <w:tcW w:w="1618" w:type="dxa"/>
            <w:gridSpan w:val="2"/>
            <w:vMerge w:val="restart"/>
            <w:vAlign w:val="center"/>
          </w:tcPr>
          <w:p w14:paraId="1B548BB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GBT5031-2008</w:t>
            </w:r>
          </w:p>
          <w:p w14:paraId="6FAB80C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6C5DA2BF">
            <w:pPr>
              <w:pStyle w:val="16"/>
              <w:rPr>
                <w:rFonts w:hint="eastAsia" w:ascii="宋体" w:hAnsi="宋体" w:eastAsia="宋体" w:cs="宋体"/>
                <w:b w:val="0"/>
                <w:bCs w:val="0"/>
                <w:sz w:val="21"/>
                <w:szCs w:val="21"/>
              </w:rPr>
            </w:pPr>
          </w:p>
        </w:tc>
      </w:tr>
      <w:tr w14:paraId="3F5ED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3BE2AC82">
            <w:pPr>
              <w:pStyle w:val="16"/>
              <w:rPr>
                <w:rFonts w:hint="eastAsia" w:ascii="宋体" w:hAnsi="宋体" w:eastAsia="宋体" w:cs="宋体"/>
                <w:b w:val="0"/>
                <w:bCs w:val="0"/>
                <w:sz w:val="21"/>
                <w:szCs w:val="21"/>
              </w:rPr>
            </w:pPr>
          </w:p>
        </w:tc>
        <w:tc>
          <w:tcPr>
            <w:tcW w:w="5799" w:type="dxa"/>
            <w:gridSpan w:val="3"/>
            <w:vAlign w:val="center"/>
          </w:tcPr>
          <w:p w14:paraId="2775AA36">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2.传动部位有防护罩；</w:t>
            </w:r>
          </w:p>
        </w:tc>
        <w:tc>
          <w:tcPr>
            <w:tcW w:w="1618" w:type="dxa"/>
            <w:gridSpan w:val="2"/>
            <w:vMerge w:val="continue"/>
            <w:vAlign w:val="center"/>
          </w:tcPr>
          <w:p w14:paraId="7809BE5E">
            <w:pPr>
              <w:pStyle w:val="16"/>
              <w:rPr>
                <w:rFonts w:hint="eastAsia" w:ascii="宋体" w:hAnsi="宋体" w:eastAsia="宋体" w:cs="宋体"/>
                <w:b w:val="0"/>
                <w:bCs w:val="0"/>
                <w:sz w:val="21"/>
                <w:szCs w:val="21"/>
              </w:rPr>
            </w:pPr>
          </w:p>
        </w:tc>
        <w:tc>
          <w:tcPr>
            <w:tcW w:w="1116" w:type="dxa"/>
            <w:vAlign w:val="center"/>
          </w:tcPr>
          <w:p w14:paraId="4A42837A">
            <w:pPr>
              <w:pStyle w:val="16"/>
              <w:rPr>
                <w:rFonts w:hint="eastAsia" w:ascii="宋体" w:hAnsi="宋体" w:eastAsia="宋体" w:cs="宋体"/>
                <w:b w:val="0"/>
                <w:bCs w:val="0"/>
                <w:sz w:val="21"/>
                <w:szCs w:val="21"/>
              </w:rPr>
            </w:pPr>
          </w:p>
        </w:tc>
      </w:tr>
      <w:tr w14:paraId="72CB6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continue"/>
            <w:vAlign w:val="center"/>
          </w:tcPr>
          <w:p w14:paraId="159F3CBE">
            <w:pPr>
              <w:pStyle w:val="16"/>
              <w:rPr>
                <w:rFonts w:hint="eastAsia" w:ascii="宋体" w:hAnsi="宋体" w:eastAsia="宋体" w:cs="宋体"/>
                <w:b w:val="0"/>
                <w:bCs w:val="0"/>
                <w:sz w:val="21"/>
                <w:szCs w:val="21"/>
              </w:rPr>
            </w:pPr>
          </w:p>
        </w:tc>
        <w:tc>
          <w:tcPr>
            <w:tcW w:w="5799" w:type="dxa"/>
            <w:gridSpan w:val="3"/>
            <w:vAlign w:val="center"/>
          </w:tcPr>
          <w:p w14:paraId="7BB43F12">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3.油箱有足够容量；</w:t>
            </w:r>
          </w:p>
        </w:tc>
        <w:tc>
          <w:tcPr>
            <w:tcW w:w="1618" w:type="dxa"/>
            <w:gridSpan w:val="2"/>
            <w:vMerge w:val="continue"/>
            <w:vAlign w:val="center"/>
          </w:tcPr>
          <w:p w14:paraId="6E5C8651">
            <w:pPr>
              <w:pStyle w:val="16"/>
              <w:rPr>
                <w:rFonts w:hint="eastAsia" w:ascii="宋体" w:hAnsi="宋体" w:eastAsia="宋体" w:cs="宋体"/>
                <w:b w:val="0"/>
                <w:bCs w:val="0"/>
                <w:sz w:val="21"/>
                <w:szCs w:val="21"/>
              </w:rPr>
            </w:pPr>
          </w:p>
        </w:tc>
        <w:tc>
          <w:tcPr>
            <w:tcW w:w="1116" w:type="dxa"/>
            <w:vAlign w:val="center"/>
          </w:tcPr>
          <w:p w14:paraId="6E3AB437">
            <w:pPr>
              <w:pStyle w:val="16"/>
              <w:rPr>
                <w:rFonts w:hint="eastAsia" w:ascii="宋体" w:hAnsi="宋体" w:eastAsia="宋体" w:cs="宋体"/>
                <w:b w:val="0"/>
                <w:bCs w:val="0"/>
                <w:sz w:val="21"/>
                <w:szCs w:val="21"/>
              </w:rPr>
            </w:pPr>
          </w:p>
        </w:tc>
      </w:tr>
      <w:tr w14:paraId="5198E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50979188">
            <w:pPr>
              <w:pStyle w:val="16"/>
              <w:rPr>
                <w:rFonts w:hint="eastAsia" w:ascii="宋体" w:hAnsi="宋体" w:eastAsia="宋体" w:cs="宋体"/>
                <w:b w:val="0"/>
                <w:bCs w:val="0"/>
                <w:sz w:val="21"/>
                <w:szCs w:val="21"/>
              </w:rPr>
            </w:pPr>
          </w:p>
        </w:tc>
        <w:tc>
          <w:tcPr>
            <w:tcW w:w="5799" w:type="dxa"/>
            <w:gridSpan w:val="3"/>
            <w:vAlign w:val="center"/>
          </w:tcPr>
          <w:p w14:paraId="4E5A6D39">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4.油路无泄露、堵塞现象。</w:t>
            </w:r>
          </w:p>
        </w:tc>
        <w:tc>
          <w:tcPr>
            <w:tcW w:w="1618" w:type="dxa"/>
            <w:gridSpan w:val="2"/>
            <w:vMerge w:val="continue"/>
            <w:vAlign w:val="center"/>
          </w:tcPr>
          <w:p w14:paraId="510664DA">
            <w:pPr>
              <w:pStyle w:val="16"/>
              <w:rPr>
                <w:rFonts w:hint="eastAsia" w:ascii="宋体" w:hAnsi="宋体" w:eastAsia="宋体" w:cs="宋体"/>
                <w:b w:val="0"/>
                <w:bCs w:val="0"/>
                <w:sz w:val="21"/>
                <w:szCs w:val="21"/>
              </w:rPr>
            </w:pPr>
          </w:p>
        </w:tc>
        <w:tc>
          <w:tcPr>
            <w:tcW w:w="1116" w:type="dxa"/>
            <w:vAlign w:val="center"/>
          </w:tcPr>
          <w:p w14:paraId="547636B4">
            <w:pPr>
              <w:pStyle w:val="16"/>
              <w:rPr>
                <w:rFonts w:hint="eastAsia" w:ascii="宋体" w:hAnsi="宋体" w:eastAsia="宋体" w:cs="宋体"/>
                <w:b w:val="0"/>
                <w:bCs w:val="0"/>
                <w:sz w:val="21"/>
                <w:szCs w:val="21"/>
              </w:rPr>
            </w:pPr>
          </w:p>
        </w:tc>
      </w:tr>
      <w:tr w14:paraId="5D95F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88" w:type="dxa"/>
            <w:gridSpan w:val="2"/>
            <w:vMerge w:val="restart"/>
            <w:vAlign w:val="center"/>
          </w:tcPr>
          <w:p w14:paraId="1C37A4A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十一</w:t>
            </w:r>
          </w:p>
          <w:p w14:paraId="24BE58A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制</w:t>
            </w:r>
          </w:p>
          <w:p w14:paraId="03FF570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动</w:t>
            </w:r>
          </w:p>
          <w:p w14:paraId="659FC9B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器</w:t>
            </w:r>
          </w:p>
        </w:tc>
        <w:tc>
          <w:tcPr>
            <w:tcW w:w="5799" w:type="dxa"/>
            <w:gridSpan w:val="3"/>
            <w:vAlign w:val="center"/>
          </w:tcPr>
          <w:p w14:paraId="5AA52962">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1.无可见裂纹;</w:t>
            </w:r>
          </w:p>
        </w:tc>
        <w:tc>
          <w:tcPr>
            <w:tcW w:w="1618" w:type="dxa"/>
            <w:gridSpan w:val="2"/>
            <w:vMerge w:val="restart"/>
            <w:vAlign w:val="center"/>
          </w:tcPr>
          <w:p w14:paraId="45A6DBA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GB5144-2006</w:t>
            </w:r>
          </w:p>
          <w:p w14:paraId="2CBF09F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7E14243C">
            <w:pPr>
              <w:pStyle w:val="16"/>
              <w:rPr>
                <w:rFonts w:hint="eastAsia" w:ascii="宋体" w:hAnsi="宋体" w:eastAsia="宋体" w:cs="宋体"/>
                <w:b w:val="0"/>
                <w:bCs w:val="0"/>
                <w:sz w:val="21"/>
                <w:szCs w:val="21"/>
              </w:rPr>
            </w:pPr>
          </w:p>
        </w:tc>
      </w:tr>
      <w:tr w14:paraId="3AB75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 w:hRule="atLeast"/>
          <w:jc w:val="center"/>
        </w:trPr>
        <w:tc>
          <w:tcPr>
            <w:tcW w:w="988" w:type="dxa"/>
            <w:gridSpan w:val="2"/>
            <w:vMerge w:val="continue"/>
            <w:vAlign w:val="center"/>
          </w:tcPr>
          <w:p w14:paraId="6B3AD314">
            <w:pPr>
              <w:pStyle w:val="16"/>
              <w:rPr>
                <w:rFonts w:hint="eastAsia" w:ascii="宋体" w:hAnsi="宋体" w:eastAsia="宋体" w:cs="宋体"/>
                <w:b w:val="0"/>
                <w:bCs w:val="0"/>
                <w:sz w:val="21"/>
                <w:szCs w:val="21"/>
              </w:rPr>
            </w:pPr>
          </w:p>
        </w:tc>
        <w:tc>
          <w:tcPr>
            <w:tcW w:w="5799" w:type="dxa"/>
            <w:gridSpan w:val="3"/>
            <w:vAlign w:val="center"/>
          </w:tcPr>
          <w:p w14:paraId="5CA47208">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2.制动块摩擦衬垫磨损量未达原厚度的50%;</w:t>
            </w:r>
          </w:p>
        </w:tc>
        <w:tc>
          <w:tcPr>
            <w:tcW w:w="1618" w:type="dxa"/>
            <w:gridSpan w:val="2"/>
            <w:vMerge w:val="continue"/>
            <w:vAlign w:val="center"/>
          </w:tcPr>
          <w:p w14:paraId="59C788CB">
            <w:pPr>
              <w:pStyle w:val="16"/>
              <w:rPr>
                <w:rFonts w:hint="eastAsia" w:ascii="宋体" w:hAnsi="宋体" w:eastAsia="宋体" w:cs="宋体"/>
                <w:b w:val="0"/>
                <w:bCs w:val="0"/>
                <w:sz w:val="21"/>
                <w:szCs w:val="21"/>
              </w:rPr>
            </w:pPr>
          </w:p>
        </w:tc>
        <w:tc>
          <w:tcPr>
            <w:tcW w:w="1116" w:type="dxa"/>
            <w:vAlign w:val="center"/>
          </w:tcPr>
          <w:p w14:paraId="550184BB">
            <w:pPr>
              <w:pStyle w:val="16"/>
              <w:rPr>
                <w:rFonts w:hint="eastAsia" w:ascii="宋体" w:hAnsi="宋体" w:eastAsia="宋体" w:cs="宋体"/>
                <w:b w:val="0"/>
                <w:bCs w:val="0"/>
                <w:sz w:val="21"/>
                <w:szCs w:val="21"/>
              </w:rPr>
            </w:pPr>
          </w:p>
        </w:tc>
      </w:tr>
      <w:tr w14:paraId="00C52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88" w:type="dxa"/>
            <w:gridSpan w:val="2"/>
            <w:vMerge w:val="continue"/>
            <w:vAlign w:val="center"/>
          </w:tcPr>
          <w:p w14:paraId="41BEA2E6">
            <w:pPr>
              <w:pStyle w:val="16"/>
              <w:rPr>
                <w:rFonts w:hint="eastAsia" w:ascii="宋体" w:hAnsi="宋体" w:eastAsia="宋体" w:cs="宋体"/>
                <w:b w:val="0"/>
                <w:bCs w:val="0"/>
                <w:sz w:val="21"/>
                <w:szCs w:val="21"/>
              </w:rPr>
            </w:pPr>
          </w:p>
        </w:tc>
        <w:tc>
          <w:tcPr>
            <w:tcW w:w="5799" w:type="dxa"/>
            <w:gridSpan w:val="3"/>
            <w:vAlign w:val="center"/>
          </w:tcPr>
          <w:p w14:paraId="43CE38AA">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3.制动轮表面磨损量未达1.5 mm ~2mm;</w:t>
            </w:r>
          </w:p>
        </w:tc>
        <w:tc>
          <w:tcPr>
            <w:tcW w:w="1618" w:type="dxa"/>
            <w:gridSpan w:val="2"/>
            <w:vMerge w:val="continue"/>
            <w:vAlign w:val="center"/>
          </w:tcPr>
          <w:p w14:paraId="1BB6A33A">
            <w:pPr>
              <w:pStyle w:val="16"/>
              <w:rPr>
                <w:rFonts w:hint="eastAsia" w:ascii="宋体" w:hAnsi="宋体" w:eastAsia="宋体" w:cs="宋体"/>
                <w:b w:val="0"/>
                <w:bCs w:val="0"/>
                <w:sz w:val="21"/>
                <w:szCs w:val="21"/>
              </w:rPr>
            </w:pPr>
          </w:p>
        </w:tc>
        <w:tc>
          <w:tcPr>
            <w:tcW w:w="1116" w:type="dxa"/>
            <w:vAlign w:val="center"/>
          </w:tcPr>
          <w:p w14:paraId="3DC908D5">
            <w:pPr>
              <w:pStyle w:val="16"/>
              <w:rPr>
                <w:rFonts w:hint="eastAsia" w:ascii="宋体" w:hAnsi="宋体" w:eastAsia="宋体" w:cs="宋体"/>
                <w:b w:val="0"/>
                <w:bCs w:val="0"/>
                <w:sz w:val="21"/>
                <w:szCs w:val="21"/>
              </w:rPr>
            </w:pPr>
          </w:p>
        </w:tc>
      </w:tr>
      <w:tr w14:paraId="0E30A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 w:hRule="atLeast"/>
          <w:jc w:val="center"/>
        </w:trPr>
        <w:tc>
          <w:tcPr>
            <w:tcW w:w="988" w:type="dxa"/>
            <w:gridSpan w:val="2"/>
            <w:vMerge w:val="continue"/>
            <w:vAlign w:val="center"/>
          </w:tcPr>
          <w:p w14:paraId="591ABD2B">
            <w:pPr>
              <w:pStyle w:val="16"/>
              <w:rPr>
                <w:rFonts w:hint="eastAsia" w:ascii="宋体" w:hAnsi="宋体" w:eastAsia="宋体" w:cs="宋体"/>
                <w:b w:val="0"/>
                <w:bCs w:val="0"/>
                <w:sz w:val="21"/>
                <w:szCs w:val="21"/>
              </w:rPr>
            </w:pPr>
          </w:p>
        </w:tc>
        <w:tc>
          <w:tcPr>
            <w:tcW w:w="5799" w:type="dxa"/>
            <w:gridSpan w:val="3"/>
            <w:vAlign w:val="center"/>
          </w:tcPr>
          <w:p w14:paraId="1F2A8BF3">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4.弹簧未出现塑性变形;</w:t>
            </w:r>
          </w:p>
        </w:tc>
        <w:tc>
          <w:tcPr>
            <w:tcW w:w="1618" w:type="dxa"/>
            <w:gridSpan w:val="2"/>
            <w:vMerge w:val="continue"/>
            <w:vAlign w:val="center"/>
          </w:tcPr>
          <w:p w14:paraId="464B90FA">
            <w:pPr>
              <w:pStyle w:val="16"/>
              <w:rPr>
                <w:rFonts w:hint="eastAsia" w:ascii="宋体" w:hAnsi="宋体" w:eastAsia="宋体" w:cs="宋体"/>
                <w:b w:val="0"/>
                <w:bCs w:val="0"/>
                <w:sz w:val="21"/>
                <w:szCs w:val="21"/>
              </w:rPr>
            </w:pPr>
          </w:p>
        </w:tc>
        <w:tc>
          <w:tcPr>
            <w:tcW w:w="1116" w:type="dxa"/>
            <w:vAlign w:val="center"/>
          </w:tcPr>
          <w:p w14:paraId="5E2B08FB">
            <w:pPr>
              <w:pStyle w:val="16"/>
              <w:rPr>
                <w:rFonts w:hint="eastAsia" w:ascii="宋体" w:hAnsi="宋体" w:eastAsia="宋体" w:cs="宋体"/>
                <w:b w:val="0"/>
                <w:bCs w:val="0"/>
                <w:sz w:val="21"/>
                <w:szCs w:val="21"/>
              </w:rPr>
            </w:pPr>
          </w:p>
        </w:tc>
      </w:tr>
      <w:tr w14:paraId="7722C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88" w:type="dxa"/>
            <w:gridSpan w:val="2"/>
            <w:vMerge w:val="restart"/>
            <w:vAlign w:val="center"/>
          </w:tcPr>
          <w:p w14:paraId="4EF4D56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十二</w:t>
            </w:r>
          </w:p>
          <w:p w14:paraId="73A8938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安</w:t>
            </w:r>
          </w:p>
          <w:p w14:paraId="631E4C4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全</w:t>
            </w:r>
          </w:p>
          <w:p w14:paraId="5DDCEC8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距</w:t>
            </w:r>
          </w:p>
          <w:p w14:paraId="4C083E1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离</w:t>
            </w:r>
          </w:p>
        </w:tc>
        <w:tc>
          <w:tcPr>
            <w:tcW w:w="5799" w:type="dxa"/>
            <w:gridSpan w:val="3"/>
            <w:vAlign w:val="center"/>
          </w:tcPr>
          <w:p w14:paraId="63055645">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1.与建筑物周围施工设施之间距离≥0.5米；</w:t>
            </w:r>
          </w:p>
        </w:tc>
        <w:tc>
          <w:tcPr>
            <w:tcW w:w="1618" w:type="dxa"/>
            <w:gridSpan w:val="2"/>
            <w:vMerge w:val="restart"/>
            <w:vAlign w:val="center"/>
          </w:tcPr>
          <w:p w14:paraId="1C52229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JGJ196-2010</w:t>
            </w:r>
          </w:p>
          <w:p w14:paraId="658EA20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172812BC">
            <w:pPr>
              <w:pStyle w:val="16"/>
              <w:rPr>
                <w:rFonts w:hint="eastAsia" w:ascii="宋体" w:hAnsi="宋体" w:eastAsia="宋体" w:cs="宋体"/>
                <w:b w:val="0"/>
                <w:bCs w:val="0"/>
                <w:sz w:val="21"/>
                <w:szCs w:val="21"/>
              </w:rPr>
            </w:pPr>
          </w:p>
        </w:tc>
      </w:tr>
      <w:tr w14:paraId="19DCC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4F6EBBE7">
            <w:pPr>
              <w:pStyle w:val="16"/>
              <w:rPr>
                <w:rFonts w:hint="eastAsia" w:ascii="宋体" w:hAnsi="宋体" w:eastAsia="宋体" w:cs="宋体"/>
                <w:b w:val="0"/>
                <w:bCs w:val="0"/>
                <w:sz w:val="21"/>
                <w:szCs w:val="21"/>
              </w:rPr>
            </w:pPr>
          </w:p>
        </w:tc>
        <w:tc>
          <w:tcPr>
            <w:tcW w:w="5799" w:type="dxa"/>
            <w:gridSpan w:val="3"/>
            <w:vAlign w:val="center"/>
          </w:tcPr>
          <w:p w14:paraId="750603A3">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2.多塔作业相互间应符合要求，有防碰撞措施；</w:t>
            </w:r>
          </w:p>
        </w:tc>
        <w:tc>
          <w:tcPr>
            <w:tcW w:w="1618" w:type="dxa"/>
            <w:gridSpan w:val="2"/>
            <w:vMerge w:val="continue"/>
            <w:vAlign w:val="center"/>
          </w:tcPr>
          <w:p w14:paraId="04BD1817">
            <w:pPr>
              <w:pStyle w:val="16"/>
              <w:rPr>
                <w:rFonts w:hint="eastAsia" w:ascii="宋体" w:hAnsi="宋体" w:eastAsia="宋体" w:cs="宋体"/>
                <w:b w:val="0"/>
                <w:bCs w:val="0"/>
                <w:sz w:val="21"/>
                <w:szCs w:val="21"/>
              </w:rPr>
            </w:pPr>
          </w:p>
        </w:tc>
        <w:tc>
          <w:tcPr>
            <w:tcW w:w="1116" w:type="dxa"/>
            <w:vAlign w:val="center"/>
          </w:tcPr>
          <w:p w14:paraId="5CD43C50">
            <w:pPr>
              <w:pStyle w:val="16"/>
              <w:rPr>
                <w:rFonts w:hint="eastAsia" w:ascii="宋体" w:hAnsi="宋体" w:eastAsia="宋体" w:cs="宋体"/>
                <w:b w:val="0"/>
                <w:bCs w:val="0"/>
                <w:sz w:val="21"/>
                <w:szCs w:val="21"/>
              </w:rPr>
            </w:pPr>
          </w:p>
        </w:tc>
      </w:tr>
      <w:tr w14:paraId="48097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988" w:type="dxa"/>
            <w:gridSpan w:val="2"/>
            <w:vMerge w:val="continue"/>
            <w:vAlign w:val="center"/>
          </w:tcPr>
          <w:p w14:paraId="7E2B6CC2">
            <w:pPr>
              <w:pStyle w:val="16"/>
              <w:rPr>
                <w:rFonts w:hint="eastAsia" w:ascii="宋体" w:hAnsi="宋体" w:eastAsia="宋体" w:cs="宋体"/>
                <w:b w:val="0"/>
                <w:bCs w:val="0"/>
                <w:sz w:val="21"/>
                <w:szCs w:val="21"/>
              </w:rPr>
            </w:pPr>
          </w:p>
        </w:tc>
        <w:tc>
          <w:tcPr>
            <w:tcW w:w="5799" w:type="dxa"/>
            <w:gridSpan w:val="3"/>
            <w:vAlign w:val="center"/>
          </w:tcPr>
          <w:p w14:paraId="75F6ED3D">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3.各部位与外电线路保持安全距离，达不到要求的必须按规定采取防护措施，防护措施应达到电业部门规定要求。</w:t>
            </w:r>
          </w:p>
        </w:tc>
        <w:tc>
          <w:tcPr>
            <w:tcW w:w="1618" w:type="dxa"/>
            <w:gridSpan w:val="2"/>
            <w:vMerge w:val="continue"/>
            <w:vAlign w:val="center"/>
          </w:tcPr>
          <w:p w14:paraId="6C21026C">
            <w:pPr>
              <w:pStyle w:val="16"/>
              <w:rPr>
                <w:rFonts w:hint="eastAsia" w:ascii="宋体" w:hAnsi="宋体" w:eastAsia="宋体" w:cs="宋体"/>
                <w:b w:val="0"/>
                <w:bCs w:val="0"/>
                <w:sz w:val="21"/>
                <w:szCs w:val="21"/>
              </w:rPr>
            </w:pPr>
          </w:p>
        </w:tc>
        <w:tc>
          <w:tcPr>
            <w:tcW w:w="1116" w:type="dxa"/>
            <w:vAlign w:val="center"/>
          </w:tcPr>
          <w:p w14:paraId="189A93C0">
            <w:pPr>
              <w:pStyle w:val="16"/>
              <w:rPr>
                <w:rFonts w:hint="eastAsia" w:ascii="宋体" w:hAnsi="宋体" w:eastAsia="宋体" w:cs="宋体"/>
                <w:b w:val="0"/>
                <w:bCs w:val="0"/>
                <w:sz w:val="21"/>
                <w:szCs w:val="21"/>
              </w:rPr>
            </w:pPr>
          </w:p>
        </w:tc>
      </w:tr>
      <w:tr w14:paraId="0B7B9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restart"/>
            <w:vAlign w:val="center"/>
          </w:tcPr>
          <w:p w14:paraId="6CD0AC2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十三</w:t>
            </w:r>
          </w:p>
          <w:p w14:paraId="00832B6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卷</w:t>
            </w:r>
          </w:p>
          <w:p w14:paraId="2AB5E07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筒</w:t>
            </w:r>
          </w:p>
          <w:p w14:paraId="57DE366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滑</w:t>
            </w:r>
          </w:p>
          <w:p w14:paraId="1ABC410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轮</w:t>
            </w:r>
          </w:p>
        </w:tc>
        <w:tc>
          <w:tcPr>
            <w:tcW w:w="5799" w:type="dxa"/>
            <w:gridSpan w:val="3"/>
            <w:vAlign w:val="center"/>
          </w:tcPr>
          <w:p w14:paraId="2C5BEEE0">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1.卷筒两侧边沿的高度大于钢丝绳直径2倍；</w:t>
            </w:r>
          </w:p>
        </w:tc>
        <w:tc>
          <w:tcPr>
            <w:tcW w:w="1618" w:type="dxa"/>
            <w:gridSpan w:val="2"/>
            <w:vMerge w:val="restart"/>
            <w:vAlign w:val="center"/>
          </w:tcPr>
          <w:p w14:paraId="50E545D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GBT13752-2017</w:t>
            </w:r>
          </w:p>
          <w:p w14:paraId="5B7DDD3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3165D1E3">
            <w:pPr>
              <w:pStyle w:val="16"/>
              <w:rPr>
                <w:rFonts w:hint="eastAsia" w:ascii="宋体" w:hAnsi="宋体" w:eastAsia="宋体" w:cs="宋体"/>
                <w:b w:val="0"/>
                <w:bCs w:val="0"/>
                <w:sz w:val="21"/>
                <w:szCs w:val="21"/>
              </w:rPr>
            </w:pPr>
          </w:p>
        </w:tc>
      </w:tr>
      <w:tr w14:paraId="6A09B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2186EC5F">
            <w:pPr>
              <w:pStyle w:val="16"/>
              <w:rPr>
                <w:rFonts w:hint="eastAsia" w:ascii="宋体" w:hAnsi="宋体" w:eastAsia="宋体" w:cs="宋体"/>
                <w:b w:val="0"/>
                <w:bCs w:val="0"/>
                <w:sz w:val="21"/>
                <w:szCs w:val="21"/>
              </w:rPr>
            </w:pPr>
          </w:p>
        </w:tc>
        <w:tc>
          <w:tcPr>
            <w:tcW w:w="5799" w:type="dxa"/>
            <w:gridSpan w:val="3"/>
            <w:vAlign w:val="center"/>
          </w:tcPr>
          <w:p w14:paraId="32134699">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2.卷筒上的钢丝绳至少保留3圈；</w:t>
            </w:r>
          </w:p>
        </w:tc>
        <w:tc>
          <w:tcPr>
            <w:tcW w:w="1618" w:type="dxa"/>
            <w:gridSpan w:val="2"/>
            <w:vMerge w:val="continue"/>
            <w:vAlign w:val="center"/>
          </w:tcPr>
          <w:p w14:paraId="13566001">
            <w:pPr>
              <w:pStyle w:val="16"/>
              <w:rPr>
                <w:rFonts w:hint="eastAsia" w:ascii="宋体" w:hAnsi="宋体" w:eastAsia="宋体" w:cs="宋体"/>
                <w:b w:val="0"/>
                <w:bCs w:val="0"/>
                <w:sz w:val="21"/>
                <w:szCs w:val="21"/>
              </w:rPr>
            </w:pPr>
          </w:p>
        </w:tc>
        <w:tc>
          <w:tcPr>
            <w:tcW w:w="1116" w:type="dxa"/>
            <w:vAlign w:val="center"/>
          </w:tcPr>
          <w:p w14:paraId="6E85B149">
            <w:pPr>
              <w:pStyle w:val="16"/>
              <w:rPr>
                <w:rFonts w:hint="eastAsia" w:ascii="宋体" w:hAnsi="宋体" w:eastAsia="宋体" w:cs="宋体"/>
                <w:b w:val="0"/>
                <w:bCs w:val="0"/>
                <w:sz w:val="21"/>
                <w:szCs w:val="21"/>
              </w:rPr>
            </w:pPr>
          </w:p>
        </w:tc>
      </w:tr>
      <w:tr w14:paraId="146F7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988" w:type="dxa"/>
            <w:gridSpan w:val="2"/>
            <w:vMerge w:val="continue"/>
            <w:vAlign w:val="center"/>
          </w:tcPr>
          <w:p w14:paraId="49FA4A5C">
            <w:pPr>
              <w:pStyle w:val="16"/>
              <w:rPr>
                <w:rFonts w:hint="eastAsia" w:ascii="宋体" w:hAnsi="宋体" w:eastAsia="宋体" w:cs="宋体"/>
                <w:b w:val="0"/>
                <w:bCs w:val="0"/>
                <w:sz w:val="21"/>
                <w:szCs w:val="21"/>
              </w:rPr>
            </w:pPr>
          </w:p>
        </w:tc>
        <w:tc>
          <w:tcPr>
            <w:tcW w:w="5799" w:type="dxa"/>
            <w:gridSpan w:val="3"/>
            <w:vAlign w:val="center"/>
          </w:tcPr>
          <w:p w14:paraId="62B7984F">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3.滑轮应设有防绳跳槽装置，且与滑轮最外沿间隙不得超过钢丝绳直径的20％；</w:t>
            </w:r>
          </w:p>
        </w:tc>
        <w:tc>
          <w:tcPr>
            <w:tcW w:w="1618" w:type="dxa"/>
            <w:gridSpan w:val="2"/>
            <w:vMerge w:val="continue"/>
            <w:vAlign w:val="center"/>
          </w:tcPr>
          <w:p w14:paraId="19890AA3">
            <w:pPr>
              <w:pStyle w:val="16"/>
              <w:rPr>
                <w:rFonts w:hint="eastAsia" w:ascii="宋体" w:hAnsi="宋体" w:eastAsia="宋体" w:cs="宋体"/>
                <w:b w:val="0"/>
                <w:bCs w:val="0"/>
                <w:sz w:val="21"/>
                <w:szCs w:val="21"/>
              </w:rPr>
            </w:pPr>
          </w:p>
        </w:tc>
        <w:tc>
          <w:tcPr>
            <w:tcW w:w="1116" w:type="dxa"/>
            <w:vAlign w:val="center"/>
          </w:tcPr>
          <w:p w14:paraId="4ECE59D3">
            <w:pPr>
              <w:pStyle w:val="16"/>
              <w:rPr>
                <w:rFonts w:hint="eastAsia" w:ascii="宋体" w:hAnsi="宋体" w:eastAsia="宋体" w:cs="宋体"/>
                <w:b w:val="0"/>
                <w:bCs w:val="0"/>
                <w:sz w:val="21"/>
                <w:szCs w:val="21"/>
              </w:rPr>
            </w:pPr>
          </w:p>
        </w:tc>
      </w:tr>
      <w:tr w14:paraId="4D537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88" w:type="dxa"/>
            <w:gridSpan w:val="2"/>
            <w:vMerge w:val="continue"/>
            <w:vAlign w:val="center"/>
          </w:tcPr>
          <w:p w14:paraId="7E4C256B">
            <w:pPr>
              <w:pStyle w:val="16"/>
              <w:rPr>
                <w:rFonts w:hint="eastAsia" w:ascii="宋体" w:hAnsi="宋体" w:eastAsia="宋体" w:cs="宋体"/>
                <w:b w:val="0"/>
                <w:bCs w:val="0"/>
                <w:sz w:val="21"/>
                <w:szCs w:val="21"/>
              </w:rPr>
            </w:pPr>
          </w:p>
        </w:tc>
        <w:tc>
          <w:tcPr>
            <w:tcW w:w="5799" w:type="dxa"/>
            <w:gridSpan w:val="3"/>
            <w:vAlign w:val="center"/>
          </w:tcPr>
          <w:p w14:paraId="10D029B9">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4.滑轮转动灵活、无卡塞现象。</w:t>
            </w:r>
          </w:p>
        </w:tc>
        <w:tc>
          <w:tcPr>
            <w:tcW w:w="1618" w:type="dxa"/>
            <w:gridSpan w:val="2"/>
            <w:vMerge w:val="continue"/>
            <w:vAlign w:val="center"/>
          </w:tcPr>
          <w:p w14:paraId="0C0D0223">
            <w:pPr>
              <w:pStyle w:val="16"/>
              <w:rPr>
                <w:rFonts w:hint="eastAsia" w:ascii="宋体" w:hAnsi="宋体" w:eastAsia="宋体" w:cs="宋体"/>
                <w:b w:val="0"/>
                <w:bCs w:val="0"/>
                <w:sz w:val="21"/>
                <w:szCs w:val="21"/>
              </w:rPr>
            </w:pPr>
          </w:p>
        </w:tc>
        <w:tc>
          <w:tcPr>
            <w:tcW w:w="1116" w:type="dxa"/>
            <w:vAlign w:val="center"/>
          </w:tcPr>
          <w:p w14:paraId="7C6418C5">
            <w:pPr>
              <w:pStyle w:val="16"/>
              <w:rPr>
                <w:rFonts w:hint="eastAsia" w:ascii="宋体" w:hAnsi="宋体" w:eastAsia="宋体" w:cs="宋体"/>
                <w:b w:val="0"/>
                <w:bCs w:val="0"/>
                <w:sz w:val="21"/>
                <w:szCs w:val="21"/>
              </w:rPr>
            </w:pPr>
          </w:p>
        </w:tc>
      </w:tr>
      <w:tr w14:paraId="737A9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1" w:hRule="atLeast"/>
          <w:jc w:val="center"/>
        </w:trPr>
        <w:tc>
          <w:tcPr>
            <w:tcW w:w="988" w:type="dxa"/>
            <w:gridSpan w:val="2"/>
            <w:vAlign w:val="center"/>
          </w:tcPr>
          <w:p w14:paraId="022BC61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十四</w:t>
            </w:r>
          </w:p>
          <w:p w14:paraId="19A90B5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持证上岗</w:t>
            </w:r>
          </w:p>
        </w:tc>
        <w:tc>
          <w:tcPr>
            <w:tcW w:w="5799" w:type="dxa"/>
            <w:gridSpan w:val="3"/>
            <w:vAlign w:val="center"/>
          </w:tcPr>
          <w:p w14:paraId="64FFDEBD">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1.使用过程中塔吊司机必须持证上岗。</w:t>
            </w:r>
          </w:p>
        </w:tc>
        <w:tc>
          <w:tcPr>
            <w:tcW w:w="1618" w:type="dxa"/>
            <w:gridSpan w:val="2"/>
            <w:vAlign w:val="center"/>
          </w:tcPr>
          <w:p w14:paraId="1BB1F08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JGJ196-2010</w:t>
            </w:r>
          </w:p>
        </w:tc>
        <w:tc>
          <w:tcPr>
            <w:tcW w:w="1116" w:type="dxa"/>
            <w:vAlign w:val="center"/>
          </w:tcPr>
          <w:p w14:paraId="36E677B1">
            <w:pPr>
              <w:pStyle w:val="16"/>
              <w:rPr>
                <w:rFonts w:hint="eastAsia" w:ascii="宋体" w:hAnsi="宋体" w:eastAsia="宋体" w:cs="宋体"/>
                <w:b w:val="0"/>
                <w:bCs w:val="0"/>
                <w:sz w:val="21"/>
                <w:szCs w:val="21"/>
              </w:rPr>
            </w:pPr>
          </w:p>
        </w:tc>
      </w:tr>
      <w:tr w14:paraId="4F175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0" w:hRule="atLeast"/>
          <w:jc w:val="center"/>
        </w:trPr>
        <w:tc>
          <w:tcPr>
            <w:tcW w:w="808" w:type="dxa"/>
            <w:tcBorders>
              <w:bottom w:val="single" w:color="auto" w:sz="4" w:space="0"/>
            </w:tcBorders>
            <w:vAlign w:val="center"/>
          </w:tcPr>
          <w:p w14:paraId="2A3A956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十五</w:t>
            </w:r>
          </w:p>
          <w:p w14:paraId="5F03260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检查结论及整改措施</w:t>
            </w:r>
          </w:p>
        </w:tc>
        <w:tc>
          <w:tcPr>
            <w:tcW w:w="8713" w:type="dxa"/>
            <w:gridSpan w:val="7"/>
            <w:tcBorders>
              <w:bottom w:val="single" w:color="auto" w:sz="4" w:space="0"/>
            </w:tcBorders>
            <w:vAlign w:val="center"/>
          </w:tcPr>
          <w:p w14:paraId="1038BC50">
            <w:pPr>
              <w:pStyle w:val="16"/>
              <w:rPr>
                <w:rFonts w:hint="eastAsia" w:ascii="宋体" w:hAnsi="宋体" w:eastAsia="宋体" w:cs="宋体"/>
                <w:b w:val="0"/>
                <w:bCs w:val="0"/>
                <w:sz w:val="21"/>
                <w:szCs w:val="21"/>
              </w:rPr>
            </w:pPr>
          </w:p>
          <w:p w14:paraId="659F91CC">
            <w:pPr>
              <w:pStyle w:val="16"/>
              <w:rPr>
                <w:rFonts w:hint="eastAsia" w:ascii="宋体" w:hAnsi="宋体" w:eastAsia="宋体" w:cs="宋体"/>
                <w:b w:val="0"/>
                <w:bCs w:val="0"/>
                <w:sz w:val="21"/>
                <w:szCs w:val="21"/>
              </w:rPr>
            </w:pPr>
          </w:p>
          <w:p w14:paraId="62B6090F">
            <w:pPr>
              <w:pStyle w:val="16"/>
              <w:rPr>
                <w:rFonts w:hint="eastAsia" w:ascii="宋体" w:hAnsi="宋体" w:eastAsia="宋体" w:cs="宋体"/>
                <w:b w:val="0"/>
                <w:bCs w:val="0"/>
                <w:sz w:val="21"/>
                <w:szCs w:val="21"/>
              </w:rPr>
            </w:pPr>
          </w:p>
        </w:tc>
      </w:tr>
    </w:tbl>
    <w:p w14:paraId="4E2F19A8">
      <w:pPr>
        <w:pStyle w:val="15"/>
        <w:rPr>
          <w:rFonts w:hint="eastAsia"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联合验收：塔式起重机工程验收内容</w:t>
      </w:r>
    </w:p>
    <w:tbl>
      <w:tblPr>
        <w:tblStyle w:val="28"/>
        <w:tblW w:w="9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666"/>
        <w:gridCol w:w="594"/>
        <w:gridCol w:w="1440"/>
        <w:gridCol w:w="1082"/>
        <w:gridCol w:w="435"/>
        <w:gridCol w:w="1902"/>
        <w:gridCol w:w="1103"/>
        <w:gridCol w:w="1092"/>
      </w:tblGrid>
      <w:tr w14:paraId="5D583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133AA0B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工程名称</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0C7C459E">
            <w:pPr>
              <w:pStyle w:val="16"/>
              <w:rPr>
                <w:rFonts w:hint="eastAsia" w:ascii="宋体" w:hAnsi="宋体" w:eastAsia="宋体" w:cs="宋体"/>
                <w:b w:val="0"/>
                <w:bCs w:val="0"/>
                <w:sz w:val="21"/>
                <w:szCs w:val="21"/>
              </w:rPr>
            </w:pPr>
          </w:p>
        </w:tc>
        <w:tc>
          <w:tcPr>
            <w:tcW w:w="1902" w:type="dxa"/>
            <w:tcBorders>
              <w:top w:val="single" w:color="auto" w:sz="4" w:space="0"/>
              <w:left w:val="single" w:color="auto" w:sz="4" w:space="0"/>
              <w:bottom w:val="single" w:color="auto" w:sz="4" w:space="0"/>
              <w:right w:val="single" w:color="auto" w:sz="4" w:space="0"/>
            </w:tcBorders>
            <w:vAlign w:val="center"/>
          </w:tcPr>
          <w:p w14:paraId="06A9EF6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安装日期</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673B821D">
            <w:pPr>
              <w:pStyle w:val="16"/>
              <w:rPr>
                <w:rFonts w:hint="eastAsia" w:ascii="宋体" w:hAnsi="宋体" w:eastAsia="宋体" w:cs="宋体"/>
                <w:b w:val="0"/>
                <w:bCs w:val="0"/>
                <w:sz w:val="21"/>
                <w:szCs w:val="21"/>
              </w:rPr>
            </w:pPr>
          </w:p>
        </w:tc>
      </w:tr>
      <w:tr w14:paraId="14B02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68BFDF3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建机一体化企业</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26E5EECB">
            <w:pPr>
              <w:pStyle w:val="16"/>
              <w:rPr>
                <w:rFonts w:hint="eastAsia" w:ascii="宋体" w:hAnsi="宋体" w:eastAsia="宋体" w:cs="宋体"/>
                <w:b w:val="0"/>
                <w:bCs w:val="0"/>
                <w:sz w:val="21"/>
                <w:szCs w:val="21"/>
              </w:rPr>
            </w:pPr>
          </w:p>
        </w:tc>
        <w:tc>
          <w:tcPr>
            <w:tcW w:w="1902" w:type="dxa"/>
            <w:tcBorders>
              <w:top w:val="single" w:color="auto" w:sz="4" w:space="0"/>
              <w:left w:val="single" w:color="auto" w:sz="4" w:space="0"/>
              <w:bottom w:val="single" w:color="auto" w:sz="4" w:space="0"/>
              <w:right w:val="single" w:color="auto" w:sz="4" w:space="0"/>
            </w:tcBorders>
            <w:vAlign w:val="center"/>
          </w:tcPr>
          <w:p w14:paraId="2C2252A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安装资质编号</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6B89AAD9">
            <w:pPr>
              <w:pStyle w:val="16"/>
              <w:rPr>
                <w:rFonts w:hint="eastAsia" w:ascii="宋体" w:hAnsi="宋体" w:eastAsia="宋体" w:cs="宋体"/>
                <w:b w:val="0"/>
                <w:bCs w:val="0"/>
                <w:sz w:val="21"/>
                <w:szCs w:val="21"/>
              </w:rPr>
            </w:pPr>
          </w:p>
        </w:tc>
      </w:tr>
      <w:tr w14:paraId="14C03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1EB4C19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制造厂家</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4153B180">
            <w:pPr>
              <w:pStyle w:val="16"/>
              <w:rPr>
                <w:rFonts w:hint="eastAsia" w:ascii="宋体" w:hAnsi="宋体" w:eastAsia="宋体" w:cs="宋体"/>
                <w:b w:val="0"/>
                <w:bCs w:val="0"/>
                <w:sz w:val="21"/>
                <w:szCs w:val="21"/>
              </w:rPr>
            </w:pPr>
          </w:p>
        </w:tc>
        <w:tc>
          <w:tcPr>
            <w:tcW w:w="1902" w:type="dxa"/>
            <w:tcBorders>
              <w:top w:val="single" w:color="auto" w:sz="4" w:space="0"/>
              <w:left w:val="single" w:color="auto" w:sz="4" w:space="0"/>
              <w:bottom w:val="single" w:color="auto" w:sz="4" w:space="0"/>
              <w:right w:val="single" w:color="auto" w:sz="4" w:space="0"/>
            </w:tcBorders>
            <w:vAlign w:val="center"/>
          </w:tcPr>
          <w:p w14:paraId="0203343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使用单位</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23E0D2D9">
            <w:pPr>
              <w:pStyle w:val="16"/>
              <w:rPr>
                <w:rFonts w:hint="eastAsia" w:ascii="宋体" w:hAnsi="宋体" w:eastAsia="宋体" w:cs="宋体"/>
                <w:b w:val="0"/>
                <w:bCs w:val="0"/>
                <w:sz w:val="21"/>
                <w:szCs w:val="21"/>
              </w:rPr>
            </w:pPr>
          </w:p>
        </w:tc>
      </w:tr>
      <w:tr w14:paraId="1835C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0D6493A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规格型号</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7C509975">
            <w:pPr>
              <w:pStyle w:val="16"/>
              <w:rPr>
                <w:rFonts w:hint="eastAsia" w:ascii="宋体" w:hAnsi="宋体" w:eastAsia="宋体" w:cs="宋体"/>
                <w:b w:val="0"/>
                <w:bCs w:val="0"/>
                <w:sz w:val="21"/>
                <w:szCs w:val="21"/>
              </w:rPr>
            </w:pPr>
          </w:p>
        </w:tc>
        <w:tc>
          <w:tcPr>
            <w:tcW w:w="1902" w:type="dxa"/>
            <w:tcBorders>
              <w:top w:val="single" w:color="auto" w:sz="4" w:space="0"/>
              <w:left w:val="single" w:color="auto" w:sz="4" w:space="0"/>
              <w:bottom w:val="single" w:color="auto" w:sz="4" w:space="0"/>
              <w:right w:val="single" w:color="auto" w:sz="4" w:space="0"/>
            </w:tcBorders>
            <w:vAlign w:val="center"/>
          </w:tcPr>
          <w:p w14:paraId="57AEA72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备案编号</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54667A35">
            <w:pPr>
              <w:pStyle w:val="16"/>
              <w:rPr>
                <w:rFonts w:hint="eastAsia" w:ascii="宋体" w:hAnsi="宋体" w:eastAsia="宋体" w:cs="宋体"/>
                <w:b w:val="0"/>
                <w:bCs w:val="0"/>
                <w:sz w:val="21"/>
                <w:szCs w:val="21"/>
              </w:rPr>
            </w:pPr>
          </w:p>
        </w:tc>
      </w:tr>
      <w:tr w14:paraId="41CE5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332CCFD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初始安装高度</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E279871">
            <w:pPr>
              <w:pStyle w:val="16"/>
              <w:rPr>
                <w:rFonts w:hint="eastAsia" w:ascii="宋体" w:hAnsi="宋体" w:eastAsia="宋体" w:cs="宋体"/>
                <w:b w:val="0"/>
                <w:bCs w:val="0"/>
                <w:sz w:val="21"/>
                <w:szCs w:val="21"/>
              </w:rPr>
            </w:pPr>
          </w:p>
        </w:tc>
        <w:tc>
          <w:tcPr>
            <w:tcW w:w="1517" w:type="dxa"/>
            <w:gridSpan w:val="2"/>
            <w:tcBorders>
              <w:top w:val="single" w:color="auto" w:sz="4" w:space="0"/>
              <w:left w:val="single" w:color="auto" w:sz="4" w:space="0"/>
              <w:bottom w:val="single" w:color="auto" w:sz="4" w:space="0"/>
              <w:right w:val="single" w:color="auto" w:sz="4" w:space="0"/>
            </w:tcBorders>
            <w:vAlign w:val="center"/>
          </w:tcPr>
          <w:p w14:paraId="6530032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本次自检高度</w:t>
            </w:r>
          </w:p>
        </w:tc>
        <w:tc>
          <w:tcPr>
            <w:tcW w:w="1902" w:type="dxa"/>
            <w:tcBorders>
              <w:top w:val="single" w:color="auto" w:sz="4" w:space="0"/>
              <w:left w:val="single" w:color="auto" w:sz="4" w:space="0"/>
              <w:bottom w:val="single" w:color="auto" w:sz="4" w:space="0"/>
              <w:right w:val="single" w:color="auto" w:sz="4" w:space="0"/>
            </w:tcBorders>
            <w:vAlign w:val="center"/>
          </w:tcPr>
          <w:p w14:paraId="1E96CD17">
            <w:pPr>
              <w:pStyle w:val="16"/>
              <w:rPr>
                <w:rFonts w:hint="eastAsia" w:ascii="宋体" w:hAnsi="宋体" w:eastAsia="宋体" w:cs="宋体"/>
                <w:b w:val="0"/>
                <w:bCs w:val="0"/>
                <w:sz w:val="21"/>
                <w:szCs w:val="21"/>
              </w:rPr>
            </w:pPr>
          </w:p>
        </w:tc>
        <w:tc>
          <w:tcPr>
            <w:tcW w:w="1103" w:type="dxa"/>
            <w:tcBorders>
              <w:top w:val="single" w:color="auto" w:sz="4" w:space="0"/>
              <w:left w:val="single" w:color="auto" w:sz="4" w:space="0"/>
              <w:bottom w:val="single" w:color="auto" w:sz="4" w:space="0"/>
              <w:right w:val="single" w:color="auto" w:sz="4" w:space="0"/>
            </w:tcBorders>
            <w:vAlign w:val="center"/>
          </w:tcPr>
          <w:p w14:paraId="46EE401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计划安装</w:t>
            </w:r>
          </w:p>
          <w:p w14:paraId="4CE66A4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高度</w:t>
            </w:r>
          </w:p>
        </w:tc>
        <w:tc>
          <w:tcPr>
            <w:tcW w:w="1092" w:type="dxa"/>
            <w:tcBorders>
              <w:top w:val="single" w:color="auto" w:sz="4" w:space="0"/>
              <w:left w:val="single" w:color="auto" w:sz="4" w:space="0"/>
              <w:bottom w:val="single" w:color="auto" w:sz="4" w:space="0"/>
              <w:right w:val="single" w:color="auto" w:sz="4" w:space="0"/>
            </w:tcBorders>
            <w:vAlign w:val="center"/>
          </w:tcPr>
          <w:p w14:paraId="747F5514">
            <w:pPr>
              <w:pStyle w:val="16"/>
              <w:rPr>
                <w:rFonts w:hint="eastAsia" w:ascii="宋体" w:hAnsi="宋体" w:eastAsia="宋体" w:cs="宋体"/>
                <w:b w:val="0"/>
                <w:bCs w:val="0"/>
                <w:sz w:val="21"/>
                <w:szCs w:val="21"/>
              </w:rPr>
            </w:pPr>
          </w:p>
        </w:tc>
      </w:tr>
      <w:tr w14:paraId="0E040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27353DE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检查结果</w:t>
            </w:r>
          </w:p>
          <w:p w14:paraId="2A68164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代号说明</w:t>
            </w:r>
          </w:p>
        </w:tc>
        <w:tc>
          <w:tcPr>
            <w:tcW w:w="7648" w:type="dxa"/>
            <w:gridSpan w:val="7"/>
            <w:tcBorders>
              <w:top w:val="single" w:color="auto" w:sz="4" w:space="0"/>
              <w:left w:val="single" w:color="auto" w:sz="4" w:space="0"/>
              <w:bottom w:val="single" w:color="auto" w:sz="4" w:space="0"/>
              <w:right w:val="single" w:color="auto" w:sz="4" w:space="0"/>
            </w:tcBorders>
            <w:vAlign w:val="center"/>
          </w:tcPr>
          <w:p w14:paraId="3F0DCEE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“√”=合格  “○”=整改后合格  “×”=不合格  “/”=无此项</w:t>
            </w:r>
          </w:p>
        </w:tc>
      </w:tr>
      <w:tr w14:paraId="22717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tcBorders>
              <w:top w:val="single" w:color="auto" w:sz="4" w:space="0"/>
              <w:left w:val="single" w:color="auto" w:sz="4" w:space="0"/>
              <w:bottom w:val="single" w:color="auto" w:sz="4" w:space="0"/>
              <w:right w:val="single" w:color="auto" w:sz="4" w:space="0"/>
            </w:tcBorders>
            <w:vAlign w:val="center"/>
          </w:tcPr>
          <w:p w14:paraId="166156A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名称</w:t>
            </w:r>
          </w:p>
        </w:tc>
        <w:tc>
          <w:tcPr>
            <w:tcW w:w="666" w:type="dxa"/>
            <w:tcBorders>
              <w:top w:val="single" w:color="auto" w:sz="4" w:space="0"/>
              <w:left w:val="single" w:color="auto" w:sz="4" w:space="0"/>
              <w:bottom w:val="single" w:color="auto" w:sz="4" w:space="0"/>
              <w:right w:val="single" w:color="auto" w:sz="4" w:space="0"/>
            </w:tcBorders>
            <w:vAlign w:val="center"/>
          </w:tcPr>
          <w:p w14:paraId="0751906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序号</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4C02E7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检查项目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E5F1B1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要求</w:t>
            </w:r>
          </w:p>
        </w:tc>
        <w:tc>
          <w:tcPr>
            <w:tcW w:w="1103" w:type="dxa"/>
            <w:tcBorders>
              <w:top w:val="single" w:color="auto" w:sz="4" w:space="0"/>
              <w:left w:val="single" w:color="auto" w:sz="4" w:space="0"/>
              <w:bottom w:val="single" w:color="auto" w:sz="4" w:space="0"/>
              <w:right w:val="single" w:color="auto" w:sz="4" w:space="0"/>
            </w:tcBorders>
            <w:vAlign w:val="center"/>
          </w:tcPr>
          <w:p w14:paraId="5041995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检查结果</w:t>
            </w:r>
          </w:p>
        </w:tc>
        <w:tc>
          <w:tcPr>
            <w:tcW w:w="1092" w:type="dxa"/>
            <w:tcBorders>
              <w:top w:val="single" w:color="auto" w:sz="4" w:space="0"/>
              <w:left w:val="single" w:color="auto" w:sz="4" w:space="0"/>
              <w:bottom w:val="single" w:color="auto" w:sz="4" w:space="0"/>
              <w:right w:val="single" w:color="auto" w:sz="4" w:space="0"/>
            </w:tcBorders>
            <w:vAlign w:val="center"/>
          </w:tcPr>
          <w:p w14:paraId="3A2777C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备注</w:t>
            </w:r>
          </w:p>
        </w:tc>
      </w:tr>
      <w:tr w14:paraId="1E98A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1A7BD13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资料</w:t>
            </w:r>
          </w:p>
        </w:tc>
        <w:tc>
          <w:tcPr>
            <w:tcW w:w="666" w:type="dxa"/>
            <w:tcBorders>
              <w:top w:val="single" w:color="auto" w:sz="4" w:space="0"/>
              <w:left w:val="single" w:color="auto" w:sz="4" w:space="0"/>
              <w:bottom w:val="single" w:color="auto" w:sz="4" w:space="0"/>
              <w:right w:val="single" w:color="auto" w:sz="4" w:space="0"/>
            </w:tcBorders>
            <w:vAlign w:val="center"/>
          </w:tcPr>
          <w:p w14:paraId="1646DAF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A01645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基础验收表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6A6BD4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检查或实测记录、应附资料及签章齐全</w:t>
            </w:r>
          </w:p>
        </w:tc>
        <w:tc>
          <w:tcPr>
            <w:tcW w:w="1103" w:type="dxa"/>
            <w:tcBorders>
              <w:top w:val="single" w:color="auto" w:sz="4" w:space="0"/>
              <w:left w:val="single" w:color="auto" w:sz="4" w:space="0"/>
              <w:bottom w:val="single" w:color="auto" w:sz="4" w:space="0"/>
              <w:right w:val="single" w:color="auto" w:sz="4" w:space="0"/>
            </w:tcBorders>
            <w:vAlign w:val="center"/>
          </w:tcPr>
          <w:p w14:paraId="50A0BE55">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A32908F">
            <w:pPr>
              <w:pStyle w:val="16"/>
              <w:rPr>
                <w:rFonts w:hint="eastAsia" w:ascii="宋体" w:hAnsi="宋体" w:eastAsia="宋体" w:cs="宋体"/>
                <w:b w:val="0"/>
                <w:bCs w:val="0"/>
                <w:sz w:val="21"/>
                <w:szCs w:val="21"/>
              </w:rPr>
            </w:pPr>
          </w:p>
        </w:tc>
      </w:tr>
      <w:tr w14:paraId="5111F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D826E04">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3C0CC90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30235D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安装方案、安全技术交底记录</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995144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内容及签章齐全</w:t>
            </w:r>
          </w:p>
        </w:tc>
        <w:tc>
          <w:tcPr>
            <w:tcW w:w="1103" w:type="dxa"/>
            <w:tcBorders>
              <w:top w:val="single" w:color="auto" w:sz="4" w:space="0"/>
              <w:left w:val="single" w:color="auto" w:sz="4" w:space="0"/>
              <w:bottom w:val="single" w:color="auto" w:sz="4" w:space="0"/>
              <w:right w:val="single" w:color="auto" w:sz="4" w:space="0"/>
            </w:tcBorders>
            <w:vAlign w:val="center"/>
          </w:tcPr>
          <w:p w14:paraId="271E7A92">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94FBBB0">
            <w:pPr>
              <w:pStyle w:val="16"/>
              <w:rPr>
                <w:rFonts w:hint="eastAsia" w:ascii="宋体" w:hAnsi="宋体" w:eastAsia="宋体" w:cs="宋体"/>
                <w:b w:val="0"/>
                <w:bCs w:val="0"/>
                <w:sz w:val="21"/>
                <w:szCs w:val="21"/>
              </w:rPr>
            </w:pPr>
          </w:p>
        </w:tc>
      </w:tr>
      <w:tr w14:paraId="3E90F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12BBF30">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F29D69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32634A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塔式起重机进场检查核验表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B001B2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内容及签章齐全</w:t>
            </w:r>
          </w:p>
        </w:tc>
        <w:tc>
          <w:tcPr>
            <w:tcW w:w="1103" w:type="dxa"/>
            <w:tcBorders>
              <w:top w:val="single" w:color="auto" w:sz="4" w:space="0"/>
              <w:left w:val="single" w:color="auto" w:sz="4" w:space="0"/>
              <w:bottom w:val="single" w:color="auto" w:sz="4" w:space="0"/>
              <w:right w:val="single" w:color="auto" w:sz="4" w:space="0"/>
            </w:tcBorders>
            <w:vAlign w:val="center"/>
          </w:tcPr>
          <w:p w14:paraId="2A86FB91">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DC07080">
            <w:pPr>
              <w:pStyle w:val="16"/>
              <w:rPr>
                <w:rFonts w:hint="eastAsia" w:ascii="宋体" w:hAnsi="宋体" w:eastAsia="宋体" w:cs="宋体"/>
                <w:b w:val="0"/>
                <w:bCs w:val="0"/>
                <w:sz w:val="21"/>
                <w:szCs w:val="21"/>
              </w:rPr>
            </w:pPr>
          </w:p>
        </w:tc>
      </w:tr>
      <w:tr w14:paraId="76592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1294FCF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基础</w:t>
            </w:r>
          </w:p>
        </w:tc>
        <w:tc>
          <w:tcPr>
            <w:tcW w:w="666" w:type="dxa"/>
            <w:tcBorders>
              <w:top w:val="single" w:color="auto" w:sz="4" w:space="0"/>
              <w:left w:val="single" w:color="auto" w:sz="4" w:space="0"/>
              <w:bottom w:val="single" w:color="auto" w:sz="4" w:space="0"/>
              <w:right w:val="single" w:color="auto" w:sz="4" w:space="0"/>
            </w:tcBorders>
            <w:vAlign w:val="center"/>
          </w:tcPr>
          <w:p w14:paraId="4841E56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EB03A6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塔式起重机底架水平度</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0CCA69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符合使用说明书要求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2A25D5C2">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11C4D7D">
            <w:pPr>
              <w:pStyle w:val="16"/>
              <w:rPr>
                <w:rFonts w:hint="eastAsia" w:ascii="宋体" w:hAnsi="宋体" w:eastAsia="宋体" w:cs="宋体"/>
                <w:b w:val="0"/>
                <w:bCs w:val="0"/>
                <w:sz w:val="21"/>
                <w:szCs w:val="21"/>
              </w:rPr>
            </w:pPr>
          </w:p>
        </w:tc>
      </w:tr>
      <w:tr w14:paraId="417BA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9E52B0A">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8CBDD0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161F1D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行走式塔式起重机导轨的水平度</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834E09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符合使用说明书要求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02E2C1C7">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78CE689">
            <w:pPr>
              <w:pStyle w:val="16"/>
              <w:rPr>
                <w:rFonts w:hint="eastAsia" w:ascii="宋体" w:hAnsi="宋体" w:eastAsia="宋体" w:cs="宋体"/>
                <w:b w:val="0"/>
                <w:bCs w:val="0"/>
                <w:sz w:val="21"/>
                <w:szCs w:val="21"/>
              </w:rPr>
            </w:pPr>
          </w:p>
        </w:tc>
      </w:tr>
      <w:tr w14:paraId="7D793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D843CDD">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7D50FC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AB7BEC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塔式起重机接地装置的设置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DE568F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符合规范要求</w:t>
            </w:r>
          </w:p>
        </w:tc>
        <w:tc>
          <w:tcPr>
            <w:tcW w:w="1103" w:type="dxa"/>
            <w:tcBorders>
              <w:top w:val="single" w:color="auto" w:sz="4" w:space="0"/>
              <w:left w:val="single" w:color="auto" w:sz="4" w:space="0"/>
              <w:bottom w:val="single" w:color="auto" w:sz="4" w:space="0"/>
              <w:right w:val="single" w:color="auto" w:sz="4" w:space="0"/>
            </w:tcBorders>
            <w:vAlign w:val="center"/>
          </w:tcPr>
          <w:p w14:paraId="43958A82">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DCA72A4">
            <w:pPr>
              <w:pStyle w:val="16"/>
              <w:rPr>
                <w:rFonts w:hint="eastAsia" w:ascii="宋体" w:hAnsi="宋体" w:eastAsia="宋体" w:cs="宋体"/>
                <w:b w:val="0"/>
                <w:bCs w:val="0"/>
                <w:sz w:val="21"/>
                <w:szCs w:val="21"/>
              </w:rPr>
            </w:pPr>
          </w:p>
        </w:tc>
      </w:tr>
      <w:tr w14:paraId="254AB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B510FD4">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802248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6B68F7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排水措施</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A33AF0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有排水措施，且无积水</w:t>
            </w:r>
          </w:p>
        </w:tc>
        <w:tc>
          <w:tcPr>
            <w:tcW w:w="1103" w:type="dxa"/>
            <w:tcBorders>
              <w:top w:val="single" w:color="auto" w:sz="4" w:space="0"/>
              <w:left w:val="single" w:color="auto" w:sz="4" w:space="0"/>
              <w:bottom w:val="single" w:color="auto" w:sz="4" w:space="0"/>
              <w:right w:val="single" w:color="auto" w:sz="4" w:space="0"/>
            </w:tcBorders>
            <w:vAlign w:val="center"/>
          </w:tcPr>
          <w:p w14:paraId="227A14E5">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063DE05">
            <w:pPr>
              <w:pStyle w:val="16"/>
              <w:rPr>
                <w:rFonts w:hint="eastAsia" w:ascii="宋体" w:hAnsi="宋体" w:eastAsia="宋体" w:cs="宋体"/>
                <w:b w:val="0"/>
                <w:bCs w:val="0"/>
                <w:sz w:val="21"/>
                <w:szCs w:val="21"/>
              </w:rPr>
            </w:pPr>
          </w:p>
        </w:tc>
      </w:tr>
      <w:tr w14:paraId="14683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39AA23C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标识与环境</w:t>
            </w:r>
          </w:p>
        </w:tc>
        <w:tc>
          <w:tcPr>
            <w:tcW w:w="666" w:type="dxa"/>
            <w:tcBorders>
              <w:top w:val="single" w:color="auto" w:sz="4" w:space="0"/>
              <w:left w:val="single" w:color="auto" w:sz="4" w:space="0"/>
              <w:bottom w:val="single" w:color="auto" w:sz="4" w:space="0"/>
              <w:right w:val="single" w:color="auto" w:sz="4" w:space="0"/>
            </w:tcBorders>
            <w:vAlign w:val="center"/>
          </w:tcPr>
          <w:p w14:paraId="2EB4E4E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FBFC60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产品标牌</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B22009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符合使用说明书和规范要求</w:t>
            </w:r>
          </w:p>
        </w:tc>
        <w:tc>
          <w:tcPr>
            <w:tcW w:w="1103" w:type="dxa"/>
            <w:tcBorders>
              <w:top w:val="single" w:color="auto" w:sz="4" w:space="0"/>
              <w:left w:val="single" w:color="auto" w:sz="4" w:space="0"/>
              <w:bottom w:val="single" w:color="auto" w:sz="4" w:space="0"/>
              <w:right w:val="single" w:color="auto" w:sz="4" w:space="0"/>
            </w:tcBorders>
            <w:vAlign w:val="center"/>
          </w:tcPr>
          <w:p w14:paraId="4F5A7909">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6D2C98D">
            <w:pPr>
              <w:pStyle w:val="16"/>
              <w:rPr>
                <w:rFonts w:hint="eastAsia" w:ascii="宋体" w:hAnsi="宋体" w:eastAsia="宋体" w:cs="宋体"/>
                <w:b w:val="0"/>
                <w:bCs w:val="0"/>
                <w:sz w:val="21"/>
                <w:szCs w:val="21"/>
              </w:rPr>
            </w:pPr>
          </w:p>
        </w:tc>
      </w:tr>
      <w:tr w14:paraId="75059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D648A6D">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51F177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9*</w:t>
            </w:r>
          </w:p>
        </w:tc>
        <w:tc>
          <w:tcPr>
            <w:tcW w:w="2034" w:type="dxa"/>
            <w:gridSpan w:val="2"/>
            <w:vMerge w:val="restart"/>
            <w:tcBorders>
              <w:top w:val="single" w:color="auto" w:sz="4" w:space="0"/>
              <w:left w:val="single" w:color="auto" w:sz="4" w:space="0"/>
              <w:bottom w:val="single" w:color="auto" w:sz="4" w:space="0"/>
              <w:right w:val="single" w:color="auto" w:sz="4" w:space="0"/>
            </w:tcBorders>
            <w:vAlign w:val="center"/>
          </w:tcPr>
          <w:p w14:paraId="3D63C92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塔式起重机与周围环境关系</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A17246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尾部与建(构)筑物及施工设施之间的距离不小于0.6m</w:t>
            </w:r>
          </w:p>
        </w:tc>
        <w:tc>
          <w:tcPr>
            <w:tcW w:w="1103" w:type="dxa"/>
            <w:tcBorders>
              <w:top w:val="single" w:color="auto" w:sz="4" w:space="0"/>
              <w:left w:val="single" w:color="auto" w:sz="4" w:space="0"/>
              <w:bottom w:val="single" w:color="auto" w:sz="4" w:space="0"/>
              <w:right w:val="single" w:color="auto" w:sz="4" w:space="0"/>
            </w:tcBorders>
            <w:vAlign w:val="center"/>
          </w:tcPr>
          <w:p w14:paraId="16382E8A">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1EB7FA8">
            <w:pPr>
              <w:pStyle w:val="16"/>
              <w:rPr>
                <w:rFonts w:hint="eastAsia" w:ascii="宋体" w:hAnsi="宋体" w:eastAsia="宋体" w:cs="宋体"/>
                <w:b w:val="0"/>
                <w:bCs w:val="0"/>
                <w:sz w:val="21"/>
                <w:szCs w:val="21"/>
              </w:rPr>
            </w:pPr>
          </w:p>
        </w:tc>
      </w:tr>
      <w:tr w14:paraId="2DDCB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8C9E8A8">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E40960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10*</w:t>
            </w: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70906C5D">
            <w:pPr>
              <w:pStyle w:val="16"/>
              <w:rPr>
                <w:rFonts w:hint="eastAsia" w:ascii="宋体" w:hAnsi="宋体" w:eastAsia="宋体" w:cs="宋体"/>
                <w:b w:val="0"/>
                <w:bCs w:val="0"/>
                <w:sz w:val="21"/>
                <w:szCs w:val="21"/>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79AE87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两台塔式起重机之间的最小架设距离应保证处于低位塔式起重机的起重臂端部与另一塔式起重机的塔身之间至少有2m的距离；处于高位塔式起重机的最低位置的部件与低位塔式起重机中处于最高位置部件之间的垂直距离不应小于2m</w:t>
            </w:r>
          </w:p>
        </w:tc>
        <w:tc>
          <w:tcPr>
            <w:tcW w:w="1103" w:type="dxa"/>
            <w:tcBorders>
              <w:top w:val="single" w:color="auto" w:sz="4" w:space="0"/>
              <w:left w:val="single" w:color="auto" w:sz="4" w:space="0"/>
              <w:bottom w:val="single" w:color="auto" w:sz="4" w:space="0"/>
              <w:right w:val="single" w:color="auto" w:sz="4" w:space="0"/>
            </w:tcBorders>
            <w:vAlign w:val="center"/>
          </w:tcPr>
          <w:p w14:paraId="432253C1">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0E5EBB10">
            <w:pPr>
              <w:pStyle w:val="16"/>
              <w:rPr>
                <w:rFonts w:hint="eastAsia" w:ascii="宋体" w:hAnsi="宋体" w:eastAsia="宋体" w:cs="宋体"/>
                <w:b w:val="0"/>
                <w:bCs w:val="0"/>
                <w:sz w:val="21"/>
                <w:szCs w:val="21"/>
              </w:rPr>
            </w:pPr>
          </w:p>
        </w:tc>
      </w:tr>
      <w:tr w14:paraId="09CDB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4B5F1D1">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477559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11*</w:t>
            </w: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0103592D">
            <w:pPr>
              <w:pStyle w:val="16"/>
              <w:rPr>
                <w:rFonts w:hint="eastAsia" w:ascii="宋体" w:hAnsi="宋体" w:eastAsia="宋体" w:cs="宋体"/>
                <w:b w:val="0"/>
                <w:bCs w:val="0"/>
                <w:sz w:val="21"/>
                <w:szCs w:val="21"/>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7C6950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与输电线的距离应不小于《施工现场临时用电安全技术规范》JGJ46的规定</w:t>
            </w:r>
          </w:p>
        </w:tc>
        <w:tc>
          <w:tcPr>
            <w:tcW w:w="1103" w:type="dxa"/>
            <w:tcBorders>
              <w:top w:val="single" w:color="auto" w:sz="4" w:space="0"/>
              <w:left w:val="single" w:color="auto" w:sz="4" w:space="0"/>
              <w:bottom w:val="single" w:color="auto" w:sz="4" w:space="0"/>
              <w:right w:val="single" w:color="auto" w:sz="4" w:space="0"/>
            </w:tcBorders>
            <w:vAlign w:val="center"/>
          </w:tcPr>
          <w:p w14:paraId="11E5B37B">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E27553D">
            <w:pPr>
              <w:pStyle w:val="16"/>
              <w:rPr>
                <w:rFonts w:hint="eastAsia" w:ascii="宋体" w:hAnsi="宋体" w:eastAsia="宋体" w:cs="宋体"/>
                <w:b w:val="0"/>
                <w:bCs w:val="0"/>
                <w:sz w:val="21"/>
                <w:szCs w:val="21"/>
              </w:rPr>
            </w:pPr>
          </w:p>
        </w:tc>
      </w:tr>
      <w:tr w14:paraId="7C492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34070421">
            <w:pPr>
              <w:pStyle w:val="16"/>
              <w:rPr>
                <w:rFonts w:hint="eastAsia" w:ascii="宋体" w:hAnsi="宋体" w:eastAsia="宋体" w:cs="宋体"/>
                <w:b w:val="0"/>
                <w:bCs w:val="0"/>
                <w:sz w:val="21"/>
                <w:szCs w:val="21"/>
              </w:rPr>
            </w:pPr>
          </w:p>
          <w:p w14:paraId="057C12C7">
            <w:pPr>
              <w:pStyle w:val="16"/>
              <w:rPr>
                <w:rFonts w:hint="eastAsia" w:ascii="宋体" w:hAnsi="宋体" w:eastAsia="宋体" w:cs="宋体"/>
                <w:b w:val="0"/>
                <w:bCs w:val="0"/>
                <w:sz w:val="21"/>
                <w:szCs w:val="21"/>
              </w:rPr>
            </w:pPr>
          </w:p>
          <w:p w14:paraId="5450FC14">
            <w:pPr>
              <w:pStyle w:val="16"/>
              <w:rPr>
                <w:rFonts w:hint="eastAsia" w:ascii="宋体" w:hAnsi="宋体" w:eastAsia="宋体" w:cs="宋体"/>
                <w:b w:val="0"/>
                <w:bCs w:val="0"/>
                <w:sz w:val="21"/>
                <w:szCs w:val="21"/>
              </w:rPr>
            </w:pPr>
          </w:p>
          <w:p w14:paraId="4A3C5C7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金属结构件</w:t>
            </w:r>
          </w:p>
          <w:p w14:paraId="2677EA2A">
            <w:pPr>
              <w:pStyle w:val="16"/>
              <w:rPr>
                <w:rFonts w:hint="eastAsia" w:ascii="宋体" w:hAnsi="宋体" w:eastAsia="宋体" w:cs="宋体"/>
                <w:b w:val="0"/>
                <w:bCs w:val="0"/>
                <w:sz w:val="21"/>
                <w:szCs w:val="21"/>
              </w:rPr>
            </w:pPr>
          </w:p>
          <w:p w14:paraId="70A480F6">
            <w:pPr>
              <w:pStyle w:val="16"/>
              <w:rPr>
                <w:rFonts w:hint="eastAsia" w:ascii="宋体" w:hAnsi="宋体" w:eastAsia="宋体" w:cs="宋体"/>
                <w:b w:val="0"/>
                <w:bCs w:val="0"/>
                <w:sz w:val="21"/>
                <w:szCs w:val="21"/>
              </w:rPr>
            </w:pPr>
          </w:p>
          <w:p w14:paraId="047B026E">
            <w:pPr>
              <w:pStyle w:val="16"/>
              <w:rPr>
                <w:rFonts w:hint="eastAsia" w:ascii="宋体" w:hAnsi="宋体" w:eastAsia="宋体" w:cs="宋体"/>
                <w:b w:val="0"/>
                <w:bCs w:val="0"/>
                <w:sz w:val="21"/>
                <w:szCs w:val="21"/>
              </w:rPr>
            </w:pPr>
          </w:p>
          <w:p w14:paraId="44C12F54">
            <w:pPr>
              <w:pStyle w:val="16"/>
              <w:rPr>
                <w:rFonts w:hint="eastAsia" w:ascii="宋体" w:hAnsi="宋体" w:eastAsia="宋体" w:cs="宋体"/>
                <w:b w:val="0"/>
                <w:bCs w:val="0"/>
                <w:sz w:val="21"/>
                <w:szCs w:val="21"/>
              </w:rPr>
            </w:pPr>
          </w:p>
          <w:p w14:paraId="37C32E5E">
            <w:pPr>
              <w:pStyle w:val="16"/>
              <w:rPr>
                <w:rFonts w:hint="eastAsia" w:ascii="宋体" w:hAnsi="宋体" w:eastAsia="宋体" w:cs="宋体"/>
                <w:b w:val="0"/>
                <w:bCs w:val="0"/>
                <w:sz w:val="21"/>
                <w:szCs w:val="21"/>
              </w:rPr>
            </w:pPr>
          </w:p>
          <w:p w14:paraId="07D72FB2">
            <w:pPr>
              <w:pStyle w:val="16"/>
              <w:rPr>
                <w:rFonts w:hint="eastAsia" w:ascii="宋体" w:hAnsi="宋体" w:eastAsia="宋体" w:cs="宋体"/>
                <w:b w:val="0"/>
                <w:bCs w:val="0"/>
                <w:sz w:val="21"/>
                <w:szCs w:val="21"/>
              </w:rPr>
            </w:pPr>
          </w:p>
          <w:p w14:paraId="793B7578">
            <w:pPr>
              <w:pStyle w:val="16"/>
              <w:rPr>
                <w:rFonts w:hint="eastAsia" w:ascii="宋体" w:hAnsi="宋体" w:eastAsia="宋体" w:cs="宋体"/>
                <w:b w:val="0"/>
                <w:bCs w:val="0"/>
                <w:sz w:val="21"/>
                <w:szCs w:val="21"/>
              </w:rPr>
            </w:pPr>
          </w:p>
          <w:p w14:paraId="45D3C2C6">
            <w:pPr>
              <w:pStyle w:val="16"/>
              <w:rPr>
                <w:rFonts w:hint="eastAsia" w:ascii="宋体" w:hAnsi="宋体" w:eastAsia="宋体" w:cs="宋体"/>
                <w:b w:val="0"/>
                <w:bCs w:val="0"/>
                <w:sz w:val="21"/>
                <w:szCs w:val="21"/>
              </w:rPr>
            </w:pPr>
          </w:p>
          <w:p w14:paraId="3BDC776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金属结构件</w:t>
            </w:r>
          </w:p>
        </w:tc>
        <w:tc>
          <w:tcPr>
            <w:tcW w:w="666" w:type="dxa"/>
            <w:tcBorders>
              <w:top w:val="single" w:color="auto" w:sz="4" w:space="0"/>
              <w:left w:val="single" w:color="auto" w:sz="4" w:space="0"/>
              <w:bottom w:val="single" w:color="auto" w:sz="4" w:space="0"/>
              <w:right w:val="single" w:color="auto" w:sz="4" w:space="0"/>
            </w:tcBorders>
            <w:vAlign w:val="center"/>
          </w:tcPr>
          <w:p w14:paraId="1DCD1DF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910BCF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主要结构件</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9921C0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无可见裂纹和明显变形</w:t>
            </w:r>
          </w:p>
        </w:tc>
        <w:tc>
          <w:tcPr>
            <w:tcW w:w="1103" w:type="dxa"/>
            <w:tcBorders>
              <w:top w:val="single" w:color="auto" w:sz="4" w:space="0"/>
              <w:left w:val="single" w:color="auto" w:sz="4" w:space="0"/>
              <w:bottom w:val="single" w:color="auto" w:sz="4" w:space="0"/>
              <w:right w:val="single" w:color="auto" w:sz="4" w:space="0"/>
            </w:tcBorders>
            <w:vAlign w:val="center"/>
          </w:tcPr>
          <w:p w14:paraId="287D1064">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65C4170">
            <w:pPr>
              <w:pStyle w:val="16"/>
              <w:rPr>
                <w:rFonts w:hint="eastAsia" w:ascii="宋体" w:hAnsi="宋体" w:eastAsia="宋体" w:cs="宋体"/>
                <w:b w:val="0"/>
                <w:bCs w:val="0"/>
                <w:sz w:val="21"/>
                <w:szCs w:val="21"/>
              </w:rPr>
            </w:pPr>
          </w:p>
        </w:tc>
      </w:tr>
      <w:tr w14:paraId="7FAE6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026E3F0">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742B9D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7195E6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主要连接螺栓</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FBB9E8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齐全，规格和预紧力达到使用说明书要求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61F39FAC">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9D3199E">
            <w:pPr>
              <w:pStyle w:val="16"/>
              <w:rPr>
                <w:rFonts w:hint="eastAsia" w:ascii="宋体" w:hAnsi="宋体" w:eastAsia="宋体" w:cs="宋体"/>
                <w:b w:val="0"/>
                <w:bCs w:val="0"/>
                <w:sz w:val="21"/>
                <w:szCs w:val="21"/>
              </w:rPr>
            </w:pPr>
          </w:p>
        </w:tc>
      </w:tr>
      <w:tr w14:paraId="13E12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0FE7B46">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B6B1B0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F1F9B4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主要连接销轴</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D81801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销轴符合出厂要求，连接可靠</w:t>
            </w:r>
          </w:p>
        </w:tc>
        <w:tc>
          <w:tcPr>
            <w:tcW w:w="1103" w:type="dxa"/>
            <w:tcBorders>
              <w:top w:val="single" w:color="auto" w:sz="4" w:space="0"/>
              <w:left w:val="single" w:color="auto" w:sz="4" w:space="0"/>
              <w:bottom w:val="single" w:color="auto" w:sz="4" w:space="0"/>
              <w:right w:val="single" w:color="auto" w:sz="4" w:space="0"/>
            </w:tcBorders>
            <w:vAlign w:val="center"/>
          </w:tcPr>
          <w:p w14:paraId="2399ACC5">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006122A">
            <w:pPr>
              <w:pStyle w:val="16"/>
              <w:rPr>
                <w:rFonts w:hint="eastAsia" w:ascii="宋体" w:hAnsi="宋体" w:eastAsia="宋体" w:cs="宋体"/>
                <w:b w:val="0"/>
                <w:bCs w:val="0"/>
                <w:sz w:val="21"/>
                <w:szCs w:val="21"/>
              </w:rPr>
            </w:pPr>
          </w:p>
        </w:tc>
      </w:tr>
      <w:tr w14:paraId="553CD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5C44B1B">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3F5E9F6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AB347E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过道、平台、栏杆、踏板</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E1586F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符合《塔式起重机安全规程》（GB5144-2006）的规定</w:t>
            </w:r>
          </w:p>
        </w:tc>
        <w:tc>
          <w:tcPr>
            <w:tcW w:w="1103" w:type="dxa"/>
            <w:tcBorders>
              <w:top w:val="single" w:color="auto" w:sz="4" w:space="0"/>
              <w:left w:val="single" w:color="auto" w:sz="4" w:space="0"/>
              <w:bottom w:val="single" w:color="auto" w:sz="4" w:space="0"/>
              <w:right w:val="single" w:color="auto" w:sz="4" w:space="0"/>
            </w:tcBorders>
            <w:vAlign w:val="center"/>
          </w:tcPr>
          <w:p w14:paraId="57F582E5">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9F80932">
            <w:pPr>
              <w:pStyle w:val="16"/>
              <w:rPr>
                <w:rFonts w:hint="eastAsia" w:ascii="宋体" w:hAnsi="宋体" w:eastAsia="宋体" w:cs="宋体"/>
                <w:b w:val="0"/>
                <w:bCs w:val="0"/>
                <w:sz w:val="21"/>
                <w:szCs w:val="21"/>
              </w:rPr>
            </w:pPr>
          </w:p>
        </w:tc>
      </w:tr>
      <w:tr w14:paraId="04881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091D37B">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EBAB5C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587B3D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梯子、护圈、休息平台</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AB9597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符合《塔式起重机安全规程》（GB5144-2006）的规定</w:t>
            </w:r>
          </w:p>
        </w:tc>
        <w:tc>
          <w:tcPr>
            <w:tcW w:w="1103" w:type="dxa"/>
            <w:tcBorders>
              <w:top w:val="single" w:color="auto" w:sz="4" w:space="0"/>
              <w:left w:val="single" w:color="auto" w:sz="4" w:space="0"/>
              <w:bottom w:val="single" w:color="auto" w:sz="4" w:space="0"/>
              <w:right w:val="single" w:color="auto" w:sz="4" w:space="0"/>
            </w:tcBorders>
            <w:vAlign w:val="center"/>
          </w:tcPr>
          <w:p w14:paraId="36E66637">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0B3AB0E2">
            <w:pPr>
              <w:pStyle w:val="16"/>
              <w:rPr>
                <w:rFonts w:hint="eastAsia" w:ascii="宋体" w:hAnsi="宋体" w:eastAsia="宋体" w:cs="宋体"/>
                <w:b w:val="0"/>
                <w:bCs w:val="0"/>
                <w:sz w:val="21"/>
                <w:szCs w:val="21"/>
              </w:rPr>
            </w:pPr>
          </w:p>
        </w:tc>
      </w:tr>
      <w:tr w14:paraId="7D3C6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8F52A1E">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47397E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CA2EA0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塔身高度</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BC75BF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塔身独立状态下的高度符合使用说明书要求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115CB263">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C92DB3B">
            <w:pPr>
              <w:pStyle w:val="16"/>
              <w:rPr>
                <w:rFonts w:hint="eastAsia" w:ascii="宋体" w:hAnsi="宋体" w:eastAsia="宋体" w:cs="宋体"/>
                <w:b w:val="0"/>
                <w:bCs w:val="0"/>
                <w:sz w:val="21"/>
                <w:szCs w:val="21"/>
              </w:rPr>
            </w:pPr>
          </w:p>
        </w:tc>
      </w:tr>
      <w:tr w14:paraId="6B359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D4310A5">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733DDD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286885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平衡重、压重</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91A982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平衡重、压重的重量与位置符合使用说明书要求，且安装牢固。</w:t>
            </w:r>
          </w:p>
        </w:tc>
        <w:tc>
          <w:tcPr>
            <w:tcW w:w="1103" w:type="dxa"/>
            <w:tcBorders>
              <w:top w:val="single" w:color="auto" w:sz="4" w:space="0"/>
              <w:left w:val="single" w:color="auto" w:sz="4" w:space="0"/>
              <w:bottom w:val="single" w:color="auto" w:sz="4" w:space="0"/>
              <w:right w:val="single" w:color="auto" w:sz="4" w:space="0"/>
            </w:tcBorders>
            <w:vAlign w:val="center"/>
          </w:tcPr>
          <w:p w14:paraId="219FCAEF">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DE1C40C">
            <w:pPr>
              <w:pStyle w:val="16"/>
              <w:rPr>
                <w:rFonts w:hint="eastAsia" w:ascii="宋体" w:hAnsi="宋体" w:eastAsia="宋体" w:cs="宋体"/>
                <w:b w:val="0"/>
                <w:bCs w:val="0"/>
                <w:sz w:val="21"/>
                <w:szCs w:val="21"/>
              </w:rPr>
            </w:pPr>
          </w:p>
        </w:tc>
      </w:tr>
      <w:tr w14:paraId="18C84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85757D0">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F7BCF3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61A4B1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塔身垂直度偏差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5911C4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在空载、风速不大于3m/s状态下，塔身独立状态的轴心线对支承面的垂直度≤4／1000</w:t>
            </w:r>
          </w:p>
        </w:tc>
        <w:tc>
          <w:tcPr>
            <w:tcW w:w="1103" w:type="dxa"/>
            <w:tcBorders>
              <w:top w:val="single" w:color="auto" w:sz="4" w:space="0"/>
              <w:left w:val="single" w:color="auto" w:sz="4" w:space="0"/>
              <w:bottom w:val="single" w:color="auto" w:sz="4" w:space="0"/>
              <w:right w:val="single" w:color="auto" w:sz="4" w:space="0"/>
            </w:tcBorders>
            <w:vAlign w:val="center"/>
          </w:tcPr>
          <w:p w14:paraId="290E397D">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1A3A537">
            <w:pPr>
              <w:pStyle w:val="16"/>
              <w:rPr>
                <w:rFonts w:hint="eastAsia" w:ascii="宋体" w:hAnsi="宋体" w:eastAsia="宋体" w:cs="宋体"/>
                <w:b w:val="0"/>
                <w:bCs w:val="0"/>
                <w:sz w:val="21"/>
                <w:szCs w:val="21"/>
              </w:rPr>
            </w:pPr>
          </w:p>
        </w:tc>
      </w:tr>
      <w:tr w14:paraId="1F3EF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34A8883">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E3441D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06D48A2">
            <w:pPr>
              <w:pStyle w:val="16"/>
              <w:rPr>
                <w:rFonts w:hint="eastAsia" w:ascii="宋体" w:hAnsi="宋体" w:eastAsia="宋体" w:cs="宋体"/>
                <w:b w:val="0"/>
                <w:bCs w:val="0"/>
                <w:sz w:val="21"/>
                <w:szCs w:val="21"/>
              </w:rPr>
            </w:pPr>
            <w:r>
              <w:rPr>
                <w:rFonts w:hint="eastAsia" w:ascii="宋体" w:hAnsi="宋体" w:eastAsia="宋体" w:cs="宋体"/>
                <w:b w:val="0"/>
                <w:bCs w:val="0"/>
                <w:spacing w:val="-11"/>
                <w:sz w:val="21"/>
                <w:szCs w:val="21"/>
              </w:rPr>
              <w:t>内爬式塔式起重机的爬升框与支承钢梁、支承钢梁与建筑结构之间的连接</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692F5D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连接可靠</w:t>
            </w:r>
          </w:p>
        </w:tc>
        <w:tc>
          <w:tcPr>
            <w:tcW w:w="1103" w:type="dxa"/>
            <w:tcBorders>
              <w:top w:val="single" w:color="auto" w:sz="4" w:space="0"/>
              <w:left w:val="single" w:color="auto" w:sz="4" w:space="0"/>
              <w:bottom w:val="single" w:color="auto" w:sz="4" w:space="0"/>
              <w:right w:val="single" w:color="auto" w:sz="4" w:space="0"/>
            </w:tcBorders>
            <w:vAlign w:val="center"/>
          </w:tcPr>
          <w:p w14:paraId="003F11E1">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CAAED49">
            <w:pPr>
              <w:pStyle w:val="16"/>
              <w:rPr>
                <w:rFonts w:hint="eastAsia" w:ascii="宋体" w:hAnsi="宋体" w:eastAsia="宋体" w:cs="宋体"/>
                <w:b w:val="0"/>
                <w:bCs w:val="0"/>
                <w:sz w:val="21"/>
                <w:szCs w:val="21"/>
              </w:rPr>
            </w:pPr>
          </w:p>
        </w:tc>
      </w:tr>
      <w:tr w14:paraId="35074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42CAF8B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爬升与回转</w:t>
            </w:r>
          </w:p>
        </w:tc>
        <w:tc>
          <w:tcPr>
            <w:tcW w:w="666" w:type="dxa"/>
            <w:tcBorders>
              <w:top w:val="single" w:color="auto" w:sz="4" w:space="0"/>
              <w:left w:val="single" w:color="auto" w:sz="4" w:space="0"/>
              <w:bottom w:val="single" w:color="auto" w:sz="4" w:space="0"/>
              <w:right w:val="single" w:color="auto" w:sz="4" w:space="0"/>
            </w:tcBorders>
            <w:vAlign w:val="center"/>
          </w:tcPr>
          <w:p w14:paraId="39BA910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1C6675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平衡阀或液压锁与油缸间连接</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8A69D7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设平衡阀或液压锁，且与油缸用硬管连接</w:t>
            </w:r>
          </w:p>
        </w:tc>
        <w:tc>
          <w:tcPr>
            <w:tcW w:w="1103" w:type="dxa"/>
            <w:tcBorders>
              <w:top w:val="single" w:color="auto" w:sz="4" w:space="0"/>
              <w:left w:val="single" w:color="auto" w:sz="4" w:space="0"/>
              <w:bottom w:val="single" w:color="auto" w:sz="4" w:space="0"/>
              <w:right w:val="single" w:color="auto" w:sz="4" w:space="0"/>
            </w:tcBorders>
            <w:vAlign w:val="center"/>
          </w:tcPr>
          <w:p w14:paraId="3AEE5CA2">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F6FA917">
            <w:pPr>
              <w:pStyle w:val="16"/>
              <w:rPr>
                <w:rFonts w:hint="eastAsia" w:ascii="宋体" w:hAnsi="宋体" w:eastAsia="宋体" w:cs="宋体"/>
                <w:b w:val="0"/>
                <w:bCs w:val="0"/>
                <w:sz w:val="21"/>
                <w:szCs w:val="21"/>
              </w:rPr>
            </w:pPr>
          </w:p>
        </w:tc>
      </w:tr>
      <w:tr w14:paraId="39EBD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04F4FB7">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2A1D4D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651594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爬升装置防脱功能</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A93F9C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自升式塔式起重在正常加节、降节作业时，具有可靠的防止爬升装置在塔身支承中或油缸端头从其连接结构中自行(非人为操作)脱出的功能</w:t>
            </w:r>
          </w:p>
        </w:tc>
        <w:tc>
          <w:tcPr>
            <w:tcW w:w="1103" w:type="dxa"/>
            <w:tcBorders>
              <w:top w:val="single" w:color="auto" w:sz="4" w:space="0"/>
              <w:left w:val="single" w:color="auto" w:sz="4" w:space="0"/>
              <w:bottom w:val="single" w:color="auto" w:sz="4" w:space="0"/>
              <w:right w:val="single" w:color="auto" w:sz="4" w:space="0"/>
            </w:tcBorders>
            <w:vAlign w:val="center"/>
          </w:tcPr>
          <w:p w14:paraId="683EA35C">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1936FFB">
            <w:pPr>
              <w:pStyle w:val="16"/>
              <w:rPr>
                <w:rFonts w:hint="eastAsia" w:ascii="宋体" w:hAnsi="宋体" w:eastAsia="宋体" w:cs="宋体"/>
                <w:b w:val="0"/>
                <w:bCs w:val="0"/>
                <w:sz w:val="21"/>
                <w:szCs w:val="21"/>
              </w:rPr>
            </w:pPr>
          </w:p>
        </w:tc>
      </w:tr>
      <w:tr w14:paraId="4B2F0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CA56B50">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8A93E3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4B46A7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回转限位器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4CFF9D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对回转处不设集电器供电的塔式起重机，设置正反两个方向回转限位开关。开关动作时臂架旋转角度不大于±540°</w:t>
            </w:r>
          </w:p>
        </w:tc>
        <w:tc>
          <w:tcPr>
            <w:tcW w:w="1103" w:type="dxa"/>
            <w:tcBorders>
              <w:top w:val="single" w:color="auto" w:sz="4" w:space="0"/>
              <w:left w:val="single" w:color="auto" w:sz="4" w:space="0"/>
              <w:bottom w:val="single" w:color="auto" w:sz="4" w:space="0"/>
              <w:right w:val="single" w:color="auto" w:sz="4" w:space="0"/>
            </w:tcBorders>
            <w:vAlign w:val="center"/>
          </w:tcPr>
          <w:p w14:paraId="3E765467">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1391CF6">
            <w:pPr>
              <w:pStyle w:val="16"/>
              <w:rPr>
                <w:rFonts w:hint="eastAsia" w:ascii="宋体" w:hAnsi="宋体" w:eastAsia="宋体" w:cs="宋体"/>
                <w:b w:val="0"/>
                <w:bCs w:val="0"/>
                <w:sz w:val="21"/>
                <w:szCs w:val="21"/>
              </w:rPr>
            </w:pPr>
          </w:p>
        </w:tc>
      </w:tr>
      <w:tr w14:paraId="00850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5363885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起升系统</w:t>
            </w:r>
          </w:p>
        </w:tc>
        <w:tc>
          <w:tcPr>
            <w:tcW w:w="666" w:type="dxa"/>
            <w:tcBorders>
              <w:top w:val="single" w:color="auto" w:sz="4" w:space="0"/>
              <w:left w:val="single" w:color="auto" w:sz="4" w:space="0"/>
              <w:bottom w:val="single" w:color="auto" w:sz="4" w:space="0"/>
              <w:right w:val="single" w:color="auto" w:sz="4" w:space="0"/>
            </w:tcBorders>
            <w:vAlign w:val="center"/>
          </w:tcPr>
          <w:p w14:paraId="12C738E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62E71E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起重力矩限制器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3583AB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灵敏可靠，限制值＜额定载荷ll0％，且显示误差≤±5%</w:t>
            </w:r>
          </w:p>
        </w:tc>
        <w:tc>
          <w:tcPr>
            <w:tcW w:w="1103" w:type="dxa"/>
            <w:tcBorders>
              <w:top w:val="single" w:color="auto" w:sz="4" w:space="0"/>
              <w:left w:val="single" w:color="auto" w:sz="4" w:space="0"/>
              <w:bottom w:val="single" w:color="auto" w:sz="4" w:space="0"/>
              <w:right w:val="single" w:color="auto" w:sz="4" w:space="0"/>
            </w:tcBorders>
            <w:vAlign w:val="center"/>
          </w:tcPr>
          <w:p w14:paraId="002761A8">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7D314BD">
            <w:pPr>
              <w:pStyle w:val="16"/>
              <w:rPr>
                <w:rFonts w:hint="eastAsia" w:ascii="宋体" w:hAnsi="宋体" w:eastAsia="宋体" w:cs="宋体"/>
                <w:b w:val="0"/>
                <w:bCs w:val="0"/>
                <w:sz w:val="21"/>
                <w:szCs w:val="21"/>
              </w:rPr>
            </w:pPr>
          </w:p>
        </w:tc>
      </w:tr>
      <w:tr w14:paraId="17542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5515414">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D29CC6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BF7C94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起升高度限位</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D106F3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对动臂变幅和小车变幅的塔式起重机，当吊钩装置顶部升至起重臂下端的最小距离为800mm处时，能立即停止起升运动</w:t>
            </w:r>
          </w:p>
        </w:tc>
        <w:tc>
          <w:tcPr>
            <w:tcW w:w="1103" w:type="dxa"/>
            <w:tcBorders>
              <w:top w:val="single" w:color="auto" w:sz="4" w:space="0"/>
              <w:left w:val="single" w:color="auto" w:sz="4" w:space="0"/>
              <w:bottom w:val="single" w:color="auto" w:sz="4" w:space="0"/>
              <w:right w:val="single" w:color="auto" w:sz="4" w:space="0"/>
            </w:tcBorders>
            <w:vAlign w:val="center"/>
          </w:tcPr>
          <w:p w14:paraId="05A3E706">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31A080F">
            <w:pPr>
              <w:pStyle w:val="16"/>
              <w:rPr>
                <w:rFonts w:hint="eastAsia" w:ascii="宋体" w:hAnsi="宋体" w:eastAsia="宋体" w:cs="宋体"/>
                <w:b w:val="0"/>
                <w:bCs w:val="0"/>
                <w:sz w:val="21"/>
                <w:szCs w:val="21"/>
              </w:rPr>
            </w:pPr>
          </w:p>
        </w:tc>
      </w:tr>
      <w:tr w14:paraId="3F7B9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3E9B44A">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112D4E4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D00D38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起重量限制器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035A32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灵敏可靠，限制值＜额定载荷110％，且显示误差≤±5％</w:t>
            </w:r>
          </w:p>
        </w:tc>
        <w:tc>
          <w:tcPr>
            <w:tcW w:w="1103" w:type="dxa"/>
            <w:tcBorders>
              <w:top w:val="single" w:color="auto" w:sz="4" w:space="0"/>
              <w:left w:val="single" w:color="auto" w:sz="4" w:space="0"/>
              <w:bottom w:val="single" w:color="auto" w:sz="4" w:space="0"/>
              <w:right w:val="single" w:color="auto" w:sz="4" w:space="0"/>
            </w:tcBorders>
            <w:vAlign w:val="center"/>
          </w:tcPr>
          <w:p w14:paraId="2C40C85E">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C78BC04">
            <w:pPr>
              <w:pStyle w:val="16"/>
              <w:rPr>
                <w:rFonts w:hint="eastAsia" w:ascii="宋体" w:hAnsi="宋体" w:eastAsia="宋体" w:cs="宋体"/>
                <w:b w:val="0"/>
                <w:bCs w:val="0"/>
                <w:sz w:val="21"/>
                <w:szCs w:val="21"/>
              </w:rPr>
            </w:pPr>
          </w:p>
        </w:tc>
      </w:tr>
      <w:tr w14:paraId="54FC2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639EED3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变幅系统</w:t>
            </w:r>
          </w:p>
        </w:tc>
        <w:tc>
          <w:tcPr>
            <w:tcW w:w="666" w:type="dxa"/>
            <w:tcBorders>
              <w:top w:val="single" w:color="auto" w:sz="4" w:space="0"/>
              <w:left w:val="single" w:color="auto" w:sz="4" w:space="0"/>
              <w:bottom w:val="single" w:color="auto" w:sz="4" w:space="0"/>
              <w:right w:val="single" w:color="auto" w:sz="4" w:space="0"/>
            </w:tcBorders>
            <w:vAlign w:val="center"/>
          </w:tcPr>
          <w:p w14:paraId="6893A9E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641D54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小车断绳保护装置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044041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双向均设置</w:t>
            </w:r>
          </w:p>
        </w:tc>
        <w:tc>
          <w:tcPr>
            <w:tcW w:w="1103" w:type="dxa"/>
            <w:tcBorders>
              <w:top w:val="single" w:color="auto" w:sz="4" w:space="0"/>
              <w:left w:val="single" w:color="auto" w:sz="4" w:space="0"/>
              <w:bottom w:val="single" w:color="auto" w:sz="4" w:space="0"/>
              <w:right w:val="single" w:color="auto" w:sz="4" w:space="0"/>
            </w:tcBorders>
            <w:vAlign w:val="center"/>
          </w:tcPr>
          <w:p w14:paraId="5C5652F6">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84A1022">
            <w:pPr>
              <w:pStyle w:val="16"/>
              <w:rPr>
                <w:rFonts w:hint="eastAsia" w:ascii="宋体" w:hAnsi="宋体" w:eastAsia="宋体" w:cs="宋体"/>
                <w:b w:val="0"/>
                <w:bCs w:val="0"/>
                <w:sz w:val="21"/>
                <w:szCs w:val="21"/>
              </w:rPr>
            </w:pPr>
          </w:p>
        </w:tc>
      </w:tr>
      <w:tr w14:paraId="7FDBB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4C8E6C0">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BE1CDC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654CE1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小车断轴保护装置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5A784B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齐全，设置位置合理</w:t>
            </w:r>
          </w:p>
        </w:tc>
        <w:tc>
          <w:tcPr>
            <w:tcW w:w="1103" w:type="dxa"/>
            <w:tcBorders>
              <w:top w:val="single" w:color="auto" w:sz="4" w:space="0"/>
              <w:left w:val="single" w:color="auto" w:sz="4" w:space="0"/>
              <w:bottom w:val="single" w:color="auto" w:sz="4" w:space="0"/>
              <w:right w:val="single" w:color="auto" w:sz="4" w:space="0"/>
            </w:tcBorders>
            <w:vAlign w:val="center"/>
          </w:tcPr>
          <w:p w14:paraId="7D77712C">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D951D9B">
            <w:pPr>
              <w:pStyle w:val="16"/>
              <w:rPr>
                <w:rFonts w:hint="eastAsia" w:ascii="宋体" w:hAnsi="宋体" w:eastAsia="宋体" w:cs="宋体"/>
                <w:b w:val="0"/>
                <w:bCs w:val="0"/>
                <w:sz w:val="21"/>
                <w:szCs w:val="21"/>
              </w:rPr>
            </w:pPr>
          </w:p>
        </w:tc>
      </w:tr>
      <w:tr w14:paraId="0FCE5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C7E2CC8">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BD6742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38C5B3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小车变幅检修挂篮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AB42EC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连接可靠</w:t>
            </w:r>
          </w:p>
        </w:tc>
        <w:tc>
          <w:tcPr>
            <w:tcW w:w="1103" w:type="dxa"/>
            <w:tcBorders>
              <w:top w:val="single" w:color="auto" w:sz="4" w:space="0"/>
              <w:left w:val="single" w:color="auto" w:sz="4" w:space="0"/>
              <w:bottom w:val="single" w:color="auto" w:sz="4" w:space="0"/>
              <w:right w:val="single" w:color="auto" w:sz="4" w:space="0"/>
            </w:tcBorders>
            <w:vAlign w:val="center"/>
          </w:tcPr>
          <w:p w14:paraId="2B7ADE5C">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C76A4AB">
            <w:pPr>
              <w:pStyle w:val="16"/>
              <w:rPr>
                <w:rFonts w:hint="eastAsia" w:ascii="宋体" w:hAnsi="宋体" w:eastAsia="宋体" w:cs="宋体"/>
                <w:b w:val="0"/>
                <w:bCs w:val="0"/>
                <w:sz w:val="21"/>
                <w:szCs w:val="21"/>
              </w:rPr>
            </w:pPr>
          </w:p>
        </w:tc>
      </w:tr>
      <w:tr w14:paraId="653A3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D85B934">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9E203B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7B56AA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小车变幅限位和终端止挡装置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6A4BA2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对小车变幅的塔机，设置小车行程限位开关和终端缓冲装置。限位开关动作后应保证小车停车时其端部距缓冲装置最小距离为200mm</w:t>
            </w:r>
          </w:p>
        </w:tc>
        <w:tc>
          <w:tcPr>
            <w:tcW w:w="1103" w:type="dxa"/>
            <w:tcBorders>
              <w:top w:val="single" w:color="auto" w:sz="4" w:space="0"/>
              <w:left w:val="single" w:color="auto" w:sz="4" w:space="0"/>
              <w:bottom w:val="single" w:color="auto" w:sz="4" w:space="0"/>
              <w:right w:val="single" w:color="auto" w:sz="4" w:space="0"/>
            </w:tcBorders>
            <w:vAlign w:val="center"/>
          </w:tcPr>
          <w:p w14:paraId="0BEF015A">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BF2F45F">
            <w:pPr>
              <w:pStyle w:val="16"/>
              <w:rPr>
                <w:rFonts w:hint="eastAsia" w:ascii="宋体" w:hAnsi="宋体" w:eastAsia="宋体" w:cs="宋体"/>
                <w:b w:val="0"/>
                <w:bCs w:val="0"/>
                <w:sz w:val="21"/>
                <w:szCs w:val="21"/>
              </w:rPr>
            </w:pPr>
          </w:p>
        </w:tc>
      </w:tr>
      <w:tr w14:paraId="00DD5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B931D7F">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1798014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C37F05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动臂式变幅限位和防臂架后翻装置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8AC454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动臂变幅有最大和最小幅度限位器，限制范围符合使用说明书要求；防止臂架反弹后翻的装置牢固可靠</w:t>
            </w:r>
          </w:p>
        </w:tc>
        <w:tc>
          <w:tcPr>
            <w:tcW w:w="1103" w:type="dxa"/>
            <w:tcBorders>
              <w:top w:val="single" w:color="auto" w:sz="4" w:space="0"/>
              <w:left w:val="single" w:color="auto" w:sz="4" w:space="0"/>
              <w:bottom w:val="single" w:color="auto" w:sz="4" w:space="0"/>
              <w:right w:val="single" w:color="auto" w:sz="4" w:space="0"/>
            </w:tcBorders>
            <w:vAlign w:val="center"/>
          </w:tcPr>
          <w:p w14:paraId="4CF51329">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49890B9">
            <w:pPr>
              <w:pStyle w:val="16"/>
              <w:rPr>
                <w:rFonts w:hint="eastAsia" w:ascii="宋体" w:hAnsi="宋体" w:eastAsia="宋体" w:cs="宋体"/>
                <w:b w:val="0"/>
                <w:bCs w:val="0"/>
                <w:sz w:val="21"/>
                <w:szCs w:val="21"/>
              </w:rPr>
            </w:pPr>
          </w:p>
        </w:tc>
      </w:tr>
      <w:tr w14:paraId="02573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72377DA1">
            <w:pPr>
              <w:pStyle w:val="16"/>
              <w:rPr>
                <w:rFonts w:hint="eastAsia" w:ascii="宋体" w:hAnsi="宋体" w:eastAsia="宋体" w:cs="宋体"/>
                <w:b w:val="0"/>
                <w:bCs w:val="0"/>
                <w:sz w:val="21"/>
                <w:szCs w:val="21"/>
              </w:rPr>
            </w:pPr>
          </w:p>
          <w:p w14:paraId="44DBFE47">
            <w:pPr>
              <w:pStyle w:val="16"/>
              <w:rPr>
                <w:rFonts w:hint="eastAsia" w:ascii="宋体" w:hAnsi="宋体" w:eastAsia="宋体" w:cs="宋体"/>
                <w:b w:val="0"/>
                <w:bCs w:val="0"/>
                <w:sz w:val="21"/>
                <w:szCs w:val="21"/>
              </w:rPr>
            </w:pPr>
          </w:p>
          <w:p w14:paraId="12F677E5">
            <w:pPr>
              <w:pStyle w:val="16"/>
              <w:rPr>
                <w:rFonts w:hint="eastAsia" w:ascii="宋体" w:hAnsi="宋体" w:eastAsia="宋体" w:cs="宋体"/>
                <w:b w:val="0"/>
                <w:bCs w:val="0"/>
                <w:sz w:val="21"/>
                <w:szCs w:val="21"/>
              </w:rPr>
            </w:pPr>
          </w:p>
          <w:p w14:paraId="15458CC3">
            <w:pPr>
              <w:pStyle w:val="16"/>
              <w:rPr>
                <w:rFonts w:hint="eastAsia" w:ascii="宋体" w:hAnsi="宋体" w:eastAsia="宋体" w:cs="宋体"/>
                <w:b w:val="0"/>
                <w:bCs w:val="0"/>
                <w:sz w:val="21"/>
                <w:szCs w:val="21"/>
              </w:rPr>
            </w:pPr>
          </w:p>
          <w:p w14:paraId="483D2F5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机构及</w:t>
            </w:r>
          </w:p>
          <w:p w14:paraId="5258617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零部件</w:t>
            </w:r>
          </w:p>
          <w:p w14:paraId="2997D440">
            <w:pPr>
              <w:pStyle w:val="16"/>
              <w:rPr>
                <w:rFonts w:hint="eastAsia" w:ascii="宋体" w:hAnsi="宋体" w:eastAsia="宋体" w:cs="宋体"/>
                <w:b w:val="0"/>
                <w:bCs w:val="0"/>
                <w:sz w:val="21"/>
                <w:szCs w:val="21"/>
              </w:rPr>
            </w:pPr>
          </w:p>
          <w:p w14:paraId="54404B3C">
            <w:pPr>
              <w:pStyle w:val="16"/>
              <w:rPr>
                <w:rFonts w:hint="eastAsia" w:ascii="宋体" w:hAnsi="宋体" w:eastAsia="宋体" w:cs="宋体"/>
                <w:b w:val="0"/>
                <w:bCs w:val="0"/>
                <w:sz w:val="21"/>
                <w:szCs w:val="21"/>
              </w:rPr>
            </w:pPr>
          </w:p>
          <w:p w14:paraId="26B62C65">
            <w:pPr>
              <w:pStyle w:val="16"/>
              <w:rPr>
                <w:rFonts w:hint="eastAsia" w:ascii="宋体" w:hAnsi="宋体" w:eastAsia="宋体" w:cs="宋体"/>
                <w:b w:val="0"/>
                <w:bCs w:val="0"/>
                <w:sz w:val="21"/>
                <w:szCs w:val="21"/>
              </w:rPr>
            </w:pPr>
          </w:p>
          <w:p w14:paraId="207F83CB">
            <w:pPr>
              <w:pStyle w:val="16"/>
              <w:rPr>
                <w:rFonts w:hint="eastAsia" w:ascii="宋体" w:hAnsi="宋体" w:eastAsia="宋体" w:cs="宋体"/>
                <w:b w:val="0"/>
                <w:bCs w:val="0"/>
                <w:sz w:val="21"/>
                <w:szCs w:val="21"/>
              </w:rPr>
            </w:pPr>
          </w:p>
          <w:p w14:paraId="01648A94">
            <w:pPr>
              <w:pStyle w:val="16"/>
              <w:rPr>
                <w:rFonts w:hint="eastAsia" w:ascii="宋体" w:hAnsi="宋体" w:eastAsia="宋体" w:cs="宋体"/>
                <w:b w:val="0"/>
                <w:bCs w:val="0"/>
                <w:sz w:val="21"/>
                <w:szCs w:val="21"/>
              </w:rPr>
            </w:pPr>
          </w:p>
          <w:p w14:paraId="1F4F1688">
            <w:pPr>
              <w:pStyle w:val="16"/>
              <w:rPr>
                <w:rFonts w:hint="eastAsia" w:ascii="宋体" w:hAnsi="宋体" w:eastAsia="宋体" w:cs="宋体"/>
                <w:b w:val="0"/>
                <w:bCs w:val="0"/>
                <w:sz w:val="21"/>
                <w:szCs w:val="21"/>
              </w:rPr>
            </w:pPr>
          </w:p>
          <w:p w14:paraId="353E3611">
            <w:pPr>
              <w:pStyle w:val="16"/>
              <w:rPr>
                <w:rFonts w:hint="eastAsia" w:ascii="宋体" w:hAnsi="宋体" w:eastAsia="宋体" w:cs="宋体"/>
                <w:b w:val="0"/>
                <w:bCs w:val="0"/>
                <w:sz w:val="21"/>
                <w:szCs w:val="21"/>
              </w:rPr>
            </w:pPr>
          </w:p>
          <w:p w14:paraId="2282AC24">
            <w:pPr>
              <w:pStyle w:val="16"/>
              <w:rPr>
                <w:rFonts w:hint="eastAsia" w:ascii="宋体" w:hAnsi="宋体" w:eastAsia="宋体" w:cs="宋体"/>
                <w:b w:val="0"/>
                <w:bCs w:val="0"/>
                <w:sz w:val="21"/>
                <w:szCs w:val="21"/>
              </w:rPr>
            </w:pPr>
          </w:p>
          <w:p w14:paraId="417C8744">
            <w:pPr>
              <w:pStyle w:val="16"/>
              <w:rPr>
                <w:rFonts w:hint="eastAsia" w:ascii="宋体" w:hAnsi="宋体" w:eastAsia="宋体" w:cs="宋体"/>
                <w:b w:val="0"/>
                <w:bCs w:val="0"/>
                <w:sz w:val="21"/>
                <w:szCs w:val="21"/>
              </w:rPr>
            </w:pPr>
          </w:p>
          <w:p w14:paraId="6FC44A63">
            <w:pPr>
              <w:pStyle w:val="16"/>
              <w:rPr>
                <w:rFonts w:hint="eastAsia" w:ascii="宋体" w:hAnsi="宋体" w:eastAsia="宋体" w:cs="宋体"/>
                <w:b w:val="0"/>
                <w:bCs w:val="0"/>
                <w:sz w:val="21"/>
                <w:szCs w:val="21"/>
              </w:rPr>
            </w:pPr>
          </w:p>
          <w:p w14:paraId="55A8A989">
            <w:pPr>
              <w:pStyle w:val="16"/>
              <w:rPr>
                <w:rFonts w:hint="eastAsia" w:ascii="宋体" w:hAnsi="宋体" w:eastAsia="宋体" w:cs="宋体"/>
                <w:b w:val="0"/>
                <w:bCs w:val="0"/>
                <w:sz w:val="21"/>
                <w:szCs w:val="21"/>
              </w:rPr>
            </w:pPr>
          </w:p>
          <w:p w14:paraId="1E1C063A">
            <w:pPr>
              <w:pStyle w:val="16"/>
              <w:rPr>
                <w:rFonts w:hint="eastAsia" w:ascii="宋体" w:hAnsi="宋体" w:eastAsia="宋体" w:cs="宋体"/>
                <w:b w:val="0"/>
                <w:bCs w:val="0"/>
                <w:sz w:val="21"/>
                <w:szCs w:val="21"/>
              </w:rPr>
            </w:pPr>
          </w:p>
          <w:p w14:paraId="3EDCE21E">
            <w:pPr>
              <w:pStyle w:val="16"/>
              <w:rPr>
                <w:rFonts w:hint="eastAsia" w:ascii="宋体" w:hAnsi="宋体" w:eastAsia="宋体" w:cs="宋体"/>
                <w:b w:val="0"/>
                <w:bCs w:val="0"/>
                <w:sz w:val="21"/>
                <w:szCs w:val="21"/>
              </w:rPr>
            </w:pPr>
          </w:p>
          <w:p w14:paraId="11AB050C">
            <w:pPr>
              <w:pStyle w:val="16"/>
              <w:rPr>
                <w:rFonts w:hint="eastAsia" w:ascii="宋体" w:hAnsi="宋体" w:eastAsia="宋体" w:cs="宋体"/>
                <w:b w:val="0"/>
                <w:bCs w:val="0"/>
                <w:sz w:val="21"/>
                <w:szCs w:val="21"/>
              </w:rPr>
            </w:pPr>
          </w:p>
          <w:p w14:paraId="0EE9FA5A">
            <w:pPr>
              <w:pStyle w:val="16"/>
              <w:rPr>
                <w:rFonts w:hint="eastAsia" w:ascii="宋体" w:hAnsi="宋体" w:eastAsia="宋体" w:cs="宋体"/>
                <w:b w:val="0"/>
                <w:bCs w:val="0"/>
                <w:sz w:val="21"/>
                <w:szCs w:val="21"/>
              </w:rPr>
            </w:pPr>
          </w:p>
          <w:p w14:paraId="3D01DEE8">
            <w:pPr>
              <w:pStyle w:val="16"/>
              <w:rPr>
                <w:rFonts w:hint="eastAsia" w:ascii="宋体" w:hAnsi="宋体" w:eastAsia="宋体" w:cs="宋体"/>
                <w:b w:val="0"/>
                <w:bCs w:val="0"/>
                <w:sz w:val="21"/>
                <w:szCs w:val="21"/>
              </w:rPr>
            </w:pPr>
          </w:p>
          <w:p w14:paraId="583D803A">
            <w:pPr>
              <w:pStyle w:val="16"/>
              <w:rPr>
                <w:rFonts w:hint="eastAsia" w:ascii="宋体" w:hAnsi="宋体" w:eastAsia="宋体" w:cs="宋体"/>
                <w:b w:val="0"/>
                <w:bCs w:val="0"/>
                <w:sz w:val="21"/>
                <w:szCs w:val="21"/>
              </w:rPr>
            </w:pPr>
          </w:p>
          <w:p w14:paraId="4F768CFF">
            <w:pPr>
              <w:pStyle w:val="16"/>
              <w:rPr>
                <w:rFonts w:hint="eastAsia" w:ascii="宋体" w:hAnsi="宋体" w:eastAsia="宋体" w:cs="宋体"/>
                <w:b w:val="0"/>
                <w:bCs w:val="0"/>
                <w:sz w:val="21"/>
                <w:szCs w:val="21"/>
              </w:rPr>
            </w:pPr>
          </w:p>
          <w:p w14:paraId="3E5A5957">
            <w:pPr>
              <w:pStyle w:val="16"/>
              <w:rPr>
                <w:rFonts w:hint="eastAsia" w:ascii="宋体" w:hAnsi="宋体" w:eastAsia="宋体" w:cs="宋体"/>
                <w:b w:val="0"/>
                <w:bCs w:val="0"/>
                <w:sz w:val="21"/>
                <w:szCs w:val="21"/>
              </w:rPr>
            </w:pPr>
          </w:p>
          <w:p w14:paraId="2DC83BA9">
            <w:pPr>
              <w:pStyle w:val="16"/>
              <w:rPr>
                <w:rFonts w:hint="eastAsia" w:ascii="宋体" w:hAnsi="宋体" w:eastAsia="宋体" w:cs="宋体"/>
                <w:b w:val="0"/>
                <w:bCs w:val="0"/>
                <w:sz w:val="21"/>
                <w:szCs w:val="21"/>
              </w:rPr>
            </w:pPr>
          </w:p>
          <w:p w14:paraId="63E8C671">
            <w:pPr>
              <w:pStyle w:val="16"/>
              <w:rPr>
                <w:rFonts w:hint="eastAsia" w:ascii="宋体" w:hAnsi="宋体" w:eastAsia="宋体" w:cs="宋体"/>
                <w:b w:val="0"/>
                <w:bCs w:val="0"/>
                <w:sz w:val="21"/>
                <w:szCs w:val="21"/>
              </w:rPr>
            </w:pPr>
          </w:p>
          <w:p w14:paraId="452F6473">
            <w:pPr>
              <w:pStyle w:val="16"/>
              <w:rPr>
                <w:rFonts w:hint="eastAsia" w:ascii="宋体" w:hAnsi="宋体" w:eastAsia="宋体" w:cs="宋体"/>
                <w:b w:val="0"/>
                <w:bCs w:val="0"/>
                <w:sz w:val="21"/>
                <w:szCs w:val="21"/>
              </w:rPr>
            </w:pPr>
          </w:p>
          <w:p w14:paraId="7B69CD9F">
            <w:pPr>
              <w:pStyle w:val="16"/>
              <w:rPr>
                <w:rFonts w:hint="eastAsia" w:ascii="宋体" w:hAnsi="宋体" w:eastAsia="宋体" w:cs="宋体"/>
                <w:b w:val="0"/>
                <w:bCs w:val="0"/>
                <w:sz w:val="21"/>
                <w:szCs w:val="21"/>
              </w:rPr>
            </w:pPr>
          </w:p>
          <w:p w14:paraId="10E22D5E">
            <w:pPr>
              <w:pStyle w:val="16"/>
              <w:rPr>
                <w:rFonts w:hint="eastAsia" w:ascii="宋体" w:hAnsi="宋体" w:eastAsia="宋体" w:cs="宋体"/>
                <w:b w:val="0"/>
                <w:bCs w:val="0"/>
                <w:sz w:val="21"/>
                <w:szCs w:val="21"/>
              </w:rPr>
            </w:pPr>
          </w:p>
          <w:p w14:paraId="4B2477D6">
            <w:pPr>
              <w:pStyle w:val="16"/>
              <w:rPr>
                <w:rFonts w:hint="eastAsia" w:ascii="宋体" w:hAnsi="宋体" w:eastAsia="宋体" w:cs="宋体"/>
                <w:b w:val="0"/>
                <w:bCs w:val="0"/>
                <w:sz w:val="21"/>
                <w:szCs w:val="21"/>
              </w:rPr>
            </w:pPr>
          </w:p>
          <w:p w14:paraId="33F0E7A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机构及</w:t>
            </w:r>
          </w:p>
          <w:p w14:paraId="375A684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零部件</w:t>
            </w:r>
          </w:p>
        </w:tc>
        <w:tc>
          <w:tcPr>
            <w:tcW w:w="666" w:type="dxa"/>
            <w:tcBorders>
              <w:top w:val="single" w:color="auto" w:sz="4" w:space="0"/>
              <w:left w:val="single" w:color="auto" w:sz="4" w:space="0"/>
              <w:bottom w:val="single" w:color="auto" w:sz="4" w:space="0"/>
              <w:right w:val="single" w:color="auto" w:sz="4" w:space="0"/>
            </w:tcBorders>
            <w:vAlign w:val="center"/>
          </w:tcPr>
          <w:p w14:paraId="02210BE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C59FA7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吊钩</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D8BB11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钩体无裂纹、磨损、补焊，危险截面，钩筋无塑性变形</w:t>
            </w:r>
          </w:p>
        </w:tc>
        <w:tc>
          <w:tcPr>
            <w:tcW w:w="1103" w:type="dxa"/>
            <w:tcBorders>
              <w:top w:val="single" w:color="auto" w:sz="4" w:space="0"/>
              <w:left w:val="single" w:color="auto" w:sz="4" w:space="0"/>
              <w:bottom w:val="single" w:color="auto" w:sz="4" w:space="0"/>
              <w:right w:val="single" w:color="auto" w:sz="4" w:space="0"/>
            </w:tcBorders>
            <w:vAlign w:val="center"/>
          </w:tcPr>
          <w:p w14:paraId="7475C278">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B1A43E9">
            <w:pPr>
              <w:pStyle w:val="16"/>
              <w:rPr>
                <w:rFonts w:hint="eastAsia" w:ascii="宋体" w:hAnsi="宋体" w:eastAsia="宋体" w:cs="宋体"/>
                <w:b w:val="0"/>
                <w:bCs w:val="0"/>
                <w:sz w:val="21"/>
                <w:szCs w:val="21"/>
              </w:rPr>
            </w:pPr>
          </w:p>
        </w:tc>
      </w:tr>
      <w:tr w14:paraId="6A2FE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3EF9D4B">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AAE286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25F37C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吊钩防钢丝绳脱钩装置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F2F4BE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完整、可靠</w:t>
            </w:r>
          </w:p>
        </w:tc>
        <w:tc>
          <w:tcPr>
            <w:tcW w:w="1103" w:type="dxa"/>
            <w:tcBorders>
              <w:top w:val="single" w:color="auto" w:sz="4" w:space="0"/>
              <w:left w:val="single" w:color="auto" w:sz="4" w:space="0"/>
              <w:bottom w:val="single" w:color="auto" w:sz="4" w:space="0"/>
              <w:right w:val="single" w:color="auto" w:sz="4" w:space="0"/>
            </w:tcBorders>
            <w:vAlign w:val="center"/>
          </w:tcPr>
          <w:p w14:paraId="1E6C5836">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F65F43C">
            <w:pPr>
              <w:pStyle w:val="16"/>
              <w:rPr>
                <w:rFonts w:hint="eastAsia" w:ascii="宋体" w:hAnsi="宋体" w:eastAsia="宋体" w:cs="宋体"/>
                <w:b w:val="0"/>
                <w:bCs w:val="0"/>
                <w:sz w:val="21"/>
                <w:szCs w:val="21"/>
              </w:rPr>
            </w:pPr>
          </w:p>
        </w:tc>
      </w:tr>
      <w:tr w14:paraId="26D1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6316A68">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3B40DE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1A812C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滑轮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611AB6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滑轮转动良好，出现下列情况应报废：1．裂纹或轮缘破损；2.滑轮绳槽壁厚磨损量达原壁厚的20％；3．滑轮槽底的磨损量超过相应钢丝绳直径的25％</w:t>
            </w:r>
          </w:p>
        </w:tc>
        <w:tc>
          <w:tcPr>
            <w:tcW w:w="1103" w:type="dxa"/>
            <w:tcBorders>
              <w:top w:val="single" w:color="auto" w:sz="4" w:space="0"/>
              <w:left w:val="single" w:color="auto" w:sz="4" w:space="0"/>
              <w:bottom w:val="single" w:color="auto" w:sz="4" w:space="0"/>
              <w:right w:val="single" w:color="auto" w:sz="4" w:space="0"/>
            </w:tcBorders>
            <w:vAlign w:val="center"/>
          </w:tcPr>
          <w:p w14:paraId="3AA59E76">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8F82245">
            <w:pPr>
              <w:pStyle w:val="16"/>
              <w:rPr>
                <w:rFonts w:hint="eastAsia" w:ascii="宋体" w:hAnsi="宋体" w:eastAsia="宋体" w:cs="宋体"/>
                <w:b w:val="0"/>
                <w:bCs w:val="0"/>
                <w:sz w:val="21"/>
                <w:szCs w:val="21"/>
              </w:rPr>
            </w:pPr>
          </w:p>
        </w:tc>
      </w:tr>
      <w:tr w14:paraId="1553F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2C32986">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A8BAF3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1D2867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滑轮上钢丝绳防脱装置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6D5699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完整、可靠，该装置与滑轮最外缘的间隙不应超过钢丝绳直径的20％</w:t>
            </w:r>
          </w:p>
        </w:tc>
        <w:tc>
          <w:tcPr>
            <w:tcW w:w="1103" w:type="dxa"/>
            <w:tcBorders>
              <w:top w:val="single" w:color="auto" w:sz="4" w:space="0"/>
              <w:left w:val="single" w:color="auto" w:sz="4" w:space="0"/>
              <w:bottom w:val="single" w:color="auto" w:sz="4" w:space="0"/>
              <w:right w:val="single" w:color="auto" w:sz="4" w:space="0"/>
            </w:tcBorders>
            <w:vAlign w:val="center"/>
          </w:tcPr>
          <w:p w14:paraId="25A50A09">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33D8C79">
            <w:pPr>
              <w:pStyle w:val="16"/>
              <w:rPr>
                <w:rFonts w:hint="eastAsia" w:ascii="宋体" w:hAnsi="宋体" w:eastAsia="宋体" w:cs="宋体"/>
                <w:b w:val="0"/>
                <w:bCs w:val="0"/>
                <w:sz w:val="21"/>
                <w:szCs w:val="21"/>
              </w:rPr>
            </w:pPr>
          </w:p>
        </w:tc>
      </w:tr>
      <w:tr w14:paraId="29C22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888887D">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F1B8FB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310B9B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卷筒</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48375E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卷筒壁不应有裂纹。筒壁磨损量不应大于原壁厚的10％；多层缠绕的卷筒，端部应有比最外层钢丝绳高出2倍钢丝绳直径的凸缘</w:t>
            </w:r>
          </w:p>
        </w:tc>
        <w:tc>
          <w:tcPr>
            <w:tcW w:w="1103" w:type="dxa"/>
            <w:tcBorders>
              <w:top w:val="single" w:color="auto" w:sz="4" w:space="0"/>
              <w:left w:val="single" w:color="auto" w:sz="4" w:space="0"/>
              <w:bottom w:val="single" w:color="auto" w:sz="4" w:space="0"/>
              <w:right w:val="single" w:color="auto" w:sz="4" w:space="0"/>
            </w:tcBorders>
            <w:vAlign w:val="center"/>
          </w:tcPr>
          <w:p w14:paraId="540B5013">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2DDF4D3">
            <w:pPr>
              <w:pStyle w:val="16"/>
              <w:rPr>
                <w:rFonts w:hint="eastAsia" w:ascii="宋体" w:hAnsi="宋体" w:eastAsia="宋体" w:cs="宋体"/>
                <w:b w:val="0"/>
                <w:bCs w:val="0"/>
                <w:sz w:val="21"/>
                <w:szCs w:val="21"/>
              </w:rPr>
            </w:pPr>
          </w:p>
        </w:tc>
      </w:tr>
      <w:tr w14:paraId="2F12A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77245DC">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296599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338AD6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卷筒上钢丝绳防脱装置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A6217A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卷筒上钢丝绳,应排列有序，设有防钢丝绳脱槽装置。该装置与卷筒最外缘的间隙不应超过钢丝绳直径的20%</w:t>
            </w:r>
          </w:p>
        </w:tc>
        <w:tc>
          <w:tcPr>
            <w:tcW w:w="1103" w:type="dxa"/>
            <w:tcBorders>
              <w:top w:val="single" w:color="auto" w:sz="4" w:space="0"/>
              <w:left w:val="single" w:color="auto" w:sz="4" w:space="0"/>
              <w:bottom w:val="single" w:color="auto" w:sz="4" w:space="0"/>
              <w:right w:val="single" w:color="auto" w:sz="4" w:space="0"/>
            </w:tcBorders>
            <w:vAlign w:val="center"/>
          </w:tcPr>
          <w:p w14:paraId="03DF82FA">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CE6C699">
            <w:pPr>
              <w:pStyle w:val="16"/>
              <w:rPr>
                <w:rFonts w:hint="eastAsia" w:ascii="宋体" w:hAnsi="宋体" w:eastAsia="宋体" w:cs="宋体"/>
                <w:b w:val="0"/>
                <w:bCs w:val="0"/>
                <w:sz w:val="21"/>
                <w:szCs w:val="21"/>
              </w:rPr>
            </w:pPr>
          </w:p>
        </w:tc>
      </w:tr>
      <w:tr w14:paraId="5B622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35E33A8">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1DC1A09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0F964F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钢丝绳端部固定</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360A6D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符合使用说明书规定</w:t>
            </w:r>
          </w:p>
        </w:tc>
        <w:tc>
          <w:tcPr>
            <w:tcW w:w="1103" w:type="dxa"/>
            <w:tcBorders>
              <w:top w:val="single" w:color="auto" w:sz="4" w:space="0"/>
              <w:left w:val="single" w:color="auto" w:sz="4" w:space="0"/>
              <w:bottom w:val="single" w:color="auto" w:sz="4" w:space="0"/>
              <w:right w:val="single" w:color="auto" w:sz="4" w:space="0"/>
            </w:tcBorders>
            <w:vAlign w:val="center"/>
          </w:tcPr>
          <w:p w14:paraId="28F2D797">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861CD8E">
            <w:pPr>
              <w:pStyle w:val="16"/>
              <w:rPr>
                <w:rFonts w:hint="eastAsia" w:ascii="宋体" w:hAnsi="宋体" w:eastAsia="宋体" w:cs="宋体"/>
                <w:b w:val="0"/>
                <w:bCs w:val="0"/>
                <w:sz w:val="21"/>
                <w:szCs w:val="21"/>
              </w:rPr>
            </w:pPr>
          </w:p>
        </w:tc>
      </w:tr>
      <w:tr w14:paraId="0FA03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8F7C5B1">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3FB1B74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7AC87E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钢丝绳穿绕方式、润</w:t>
            </w:r>
          </w:p>
          <w:p w14:paraId="6673FCA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滑与干涉</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FCB9D5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穿绕正确，润滑良好，无干涉</w:t>
            </w:r>
          </w:p>
        </w:tc>
        <w:tc>
          <w:tcPr>
            <w:tcW w:w="1103" w:type="dxa"/>
            <w:tcBorders>
              <w:top w:val="single" w:color="auto" w:sz="4" w:space="0"/>
              <w:left w:val="single" w:color="auto" w:sz="4" w:space="0"/>
              <w:bottom w:val="single" w:color="auto" w:sz="4" w:space="0"/>
              <w:right w:val="single" w:color="auto" w:sz="4" w:space="0"/>
            </w:tcBorders>
            <w:vAlign w:val="center"/>
          </w:tcPr>
          <w:p w14:paraId="1C203408">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B1A35D9">
            <w:pPr>
              <w:pStyle w:val="16"/>
              <w:rPr>
                <w:rFonts w:hint="eastAsia" w:ascii="宋体" w:hAnsi="宋体" w:eastAsia="宋体" w:cs="宋体"/>
                <w:b w:val="0"/>
                <w:bCs w:val="0"/>
                <w:sz w:val="21"/>
                <w:szCs w:val="21"/>
              </w:rPr>
            </w:pPr>
          </w:p>
        </w:tc>
      </w:tr>
      <w:tr w14:paraId="0DA47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5086E7C">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270845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B827EA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钢丝绳磨损量</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839E90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钢丝绳实测直径相对于公称直径减小7％或更多时，应报废</w:t>
            </w:r>
          </w:p>
        </w:tc>
        <w:tc>
          <w:tcPr>
            <w:tcW w:w="1103" w:type="dxa"/>
            <w:tcBorders>
              <w:top w:val="single" w:color="auto" w:sz="4" w:space="0"/>
              <w:left w:val="single" w:color="auto" w:sz="4" w:space="0"/>
              <w:bottom w:val="single" w:color="auto" w:sz="4" w:space="0"/>
              <w:right w:val="single" w:color="auto" w:sz="4" w:space="0"/>
            </w:tcBorders>
            <w:vAlign w:val="center"/>
          </w:tcPr>
          <w:p w14:paraId="68B04E29">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5F7676F">
            <w:pPr>
              <w:pStyle w:val="16"/>
              <w:rPr>
                <w:rFonts w:hint="eastAsia" w:ascii="宋体" w:hAnsi="宋体" w:eastAsia="宋体" w:cs="宋体"/>
                <w:b w:val="0"/>
                <w:bCs w:val="0"/>
                <w:sz w:val="21"/>
                <w:szCs w:val="21"/>
              </w:rPr>
            </w:pPr>
          </w:p>
        </w:tc>
      </w:tr>
      <w:tr w14:paraId="61132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23584AA">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C2F7ED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22E2F7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常用规格钢丝绳规定长度内达到报废标准的断丝数</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E14584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钢制滑轮上工作的圆股钢丝绳、抗扭钢丝绳中断丝根数的控制标准参照《起重机用钢丝绳检验和报废实用规范》GB/T 5972，达到报废标准应报废</w:t>
            </w:r>
          </w:p>
        </w:tc>
        <w:tc>
          <w:tcPr>
            <w:tcW w:w="1103" w:type="dxa"/>
            <w:tcBorders>
              <w:top w:val="single" w:color="auto" w:sz="4" w:space="0"/>
              <w:left w:val="single" w:color="auto" w:sz="4" w:space="0"/>
              <w:bottom w:val="single" w:color="auto" w:sz="4" w:space="0"/>
              <w:right w:val="single" w:color="auto" w:sz="4" w:space="0"/>
            </w:tcBorders>
            <w:vAlign w:val="center"/>
          </w:tcPr>
          <w:p w14:paraId="4286F689">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1FC114E">
            <w:pPr>
              <w:pStyle w:val="16"/>
              <w:rPr>
                <w:rFonts w:hint="eastAsia" w:ascii="宋体" w:hAnsi="宋体" w:eastAsia="宋体" w:cs="宋体"/>
                <w:b w:val="0"/>
                <w:bCs w:val="0"/>
                <w:sz w:val="21"/>
                <w:szCs w:val="21"/>
              </w:rPr>
            </w:pPr>
          </w:p>
        </w:tc>
      </w:tr>
      <w:tr w14:paraId="31CB6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6CAA2DE">
            <w:pPr>
              <w:pStyle w:val="16"/>
              <w:rPr>
                <w:rFonts w:hint="eastAsia" w:ascii="宋体" w:hAnsi="宋体" w:eastAsia="宋体" w:cs="宋体"/>
                <w:b w:val="0"/>
                <w:bCs w:val="0"/>
                <w:sz w:val="21"/>
                <w:szCs w:val="21"/>
              </w:rPr>
            </w:pPr>
          </w:p>
        </w:tc>
        <w:tc>
          <w:tcPr>
            <w:tcW w:w="666" w:type="dxa"/>
            <w:vMerge w:val="restart"/>
            <w:tcBorders>
              <w:top w:val="single" w:color="auto" w:sz="4" w:space="0"/>
              <w:left w:val="single" w:color="auto" w:sz="4" w:space="0"/>
              <w:bottom w:val="single" w:color="auto" w:sz="4" w:space="0"/>
              <w:right w:val="single" w:color="auto" w:sz="4" w:space="0"/>
            </w:tcBorders>
            <w:vAlign w:val="center"/>
          </w:tcPr>
          <w:p w14:paraId="6130EAF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42</w:t>
            </w:r>
          </w:p>
        </w:tc>
        <w:tc>
          <w:tcPr>
            <w:tcW w:w="2034" w:type="dxa"/>
            <w:gridSpan w:val="2"/>
            <w:vMerge w:val="restart"/>
            <w:tcBorders>
              <w:top w:val="single" w:color="auto" w:sz="4" w:space="0"/>
              <w:left w:val="single" w:color="auto" w:sz="4" w:space="0"/>
              <w:bottom w:val="single" w:color="auto" w:sz="4" w:space="0"/>
              <w:right w:val="single" w:color="auto" w:sz="4" w:space="0"/>
            </w:tcBorders>
            <w:vAlign w:val="center"/>
          </w:tcPr>
          <w:p w14:paraId="4159425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钢丝绳的变形</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2C32F6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出现波浪形时，在钢丝绳长度不超过25d范围内，若波形幅度值达到4d／3或以上，则钢丝绳应报废</w:t>
            </w:r>
          </w:p>
        </w:tc>
        <w:tc>
          <w:tcPr>
            <w:tcW w:w="1103" w:type="dxa"/>
            <w:tcBorders>
              <w:top w:val="single" w:color="auto" w:sz="4" w:space="0"/>
              <w:left w:val="single" w:color="auto" w:sz="4" w:space="0"/>
              <w:bottom w:val="single" w:color="auto" w:sz="4" w:space="0"/>
              <w:right w:val="single" w:color="auto" w:sz="4" w:space="0"/>
            </w:tcBorders>
            <w:vAlign w:val="center"/>
          </w:tcPr>
          <w:p w14:paraId="7C189247">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5322B8C">
            <w:pPr>
              <w:pStyle w:val="16"/>
              <w:rPr>
                <w:rFonts w:hint="eastAsia" w:ascii="宋体" w:hAnsi="宋体" w:eastAsia="宋体" w:cs="宋体"/>
                <w:b w:val="0"/>
                <w:bCs w:val="0"/>
                <w:sz w:val="21"/>
                <w:szCs w:val="21"/>
              </w:rPr>
            </w:pPr>
          </w:p>
        </w:tc>
      </w:tr>
      <w:tr w14:paraId="72EA7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A76DD4E">
            <w:pPr>
              <w:pStyle w:val="16"/>
              <w:rPr>
                <w:rFonts w:hint="eastAsia" w:ascii="宋体" w:hAnsi="宋体" w:eastAsia="宋体" w:cs="宋体"/>
                <w:b w:val="0"/>
                <w:bCs w:val="0"/>
                <w:sz w:val="21"/>
                <w:szCs w:val="21"/>
              </w:rPr>
            </w:pPr>
          </w:p>
        </w:tc>
        <w:tc>
          <w:tcPr>
            <w:tcW w:w="666" w:type="dxa"/>
            <w:vMerge w:val="continue"/>
            <w:tcBorders>
              <w:top w:val="single" w:color="auto" w:sz="4" w:space="0"/>
              <w:left w:val="single" w:color="auto" w:sz="4" w:space="0"/>
              <w:bottom w:val="single" w:color="auto" w:sz="4" w:space="0"/>
              <w:right w:val="single" w:color="auto" w:sz="4" w:space="0"/>
            </w:tcBorders>
            <w:vAlign w:val="center"/>
          </w:tcPr>
          <w:p w14:paraId="456848C1">
            <w:pPr>
              <w:pStyle w:val="16"/>
              <w:rPr>
                <w:rFonts w:hint="eastAsia" w:ascii="宋体" w:hAnsi="宋体" w:eastAsia="宋体" w:cs="宋体"/>
                <w:b w:val="0"/>
                <w:bCs w:val="0"/>
                <w:sz w:val="21"/>
                <w:szCs w:val="21"/>
              </w:rPr>
            </w:pP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3D236435">
            <w:pPr>
              <w:pStyle w:val="16"/>
              <w:rPr>
                <w:rFonts w:hint="eastAsia" w:ascii="宋体" w:hAnsi="宋体" w:eastAsia="宋体" w:cs="宋体"/>
                <w:b w:val="0"/>
                <w:bCs w:val="0"/>
                <w:sz w:val="21"/>
                <w:szCs w:val="21"/>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BEF4D5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笼状畸变、绳股挤出或钢丝挤出变形严重的钢丝绳应报废</w:t>
            </w:r>
          </w:p>
        </w:tc>
        <w:tc>
          <w:tcPr>
            <w:tcW w:w="1103" w:type="dxa"/>
            <w:tcBorders>
              <w:top w:val="single" w:color="auto" w:sz="4" w:space="0"/>
              <w:left w:val="single" w:color="auto" w:sz="4" w:space="0"/>
              <w:bottom w:val="single" w:color="auto" w:sz="4" w:space="0"/>
              <w:right w:val="single" w:color="auto" w:sz="4" w:space="0"/>
            </w:tcBorders>
            <w:vAlign w:val="center"/>
          </w:tcPr>
          <w:p w14:paraId="75D86C12">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9007DEF">
            <w:pPr>
              <w:pStyle w:val="16"/>
              <w:rPr>
                <w:rFonts w:hint="eastAsia" w:ascii="宋体" w:hAnsi="宋体" w:eastAsia="宋体" w:cs="宋体"/>
                <w:b w:val="0"/>
                <w:bCs w:val="0"/>
                <w:sz w:val="21"/>
                <w:szCs w:val="21"/>
              </w:rPr>
            </w:pPr>
          </w:p>
        </w:tc>
      </w:tr>
      <w:tr w14:paraId="35E18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EE3F4BE">
            <w:pPr>
              <w:pStyle w:val="16"/>
              <w:rPr>
                <w:rFonts w:hint="eastAsia" w:ascii="宋体" w:hAnsi="宋体" w:eastAsia="宋体" w:cs="宋体"/>
                <w:b w:val="0"/>
                <w:bCs w:val="0"/>
                <w:sz w:val="21"/>
                <w:szCs w:val="21"/>
              </w:rPr>
            </w:pPr>
          </w:p>
        </w:tc>
        <w:tc>
          <w:tcPr>
            <w:tcW w:w="666" w:type="dxa"/>
            <w:vMerge w:val="continue"/>
            <w:tcBorders>
              <w:top w:val="single" w:color="auto" w:sz="4" w:space="0"/>
              <w:left w:val="single" w:color="auto" w:sz="4" w:space="0"/>
              <w:bottom w:val="single" w:color="auto" w:sz="4" w:space="0"/>
              <w:right w:val="single" w:color="auto" w:sz="4" w:space="0"/>
            </w:tcBorders>
            <w:vAlign w:val="center"/>
          </w:tcPr>
          <w:p w14:paraId="66C56737">
            <w:pPr>
              <w:pStyle w:val="16"/>
              <w:rPr>
                <w:rFonts w:hint="eastAsia" w:ascii="宋体" w:hAnsi="宋体" w:eastAsia="宋体" w:cs="宋体"/>
                <w:b w:val="0"/>
                <w:bCs w:val="0"/>
                <w:sz w:val="21"/>
                <w:szCs w:val="21"/>
              </w:rPr>
            </w:pP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54B0F622">
            <w:pPr>
              <w:pStyle w:val="16"/>
              <w:rPr>
                <w:rFonts w:hint="eastAsia" w:ascii="宋体" w:hAnsi="宋体" w:eastAsia="宋体" w:cs="宋体"/>
                <w:b w:val="0"/>
                <w:bCs w:val="0"/>
                <w:sz w:val="21"/>
                <w:szCs w:val="21"/>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CD44F0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钢丝绳出现严重的扭结、压扁和弯折现象应报废</w:t>
            </w:r>
          </w:p>
        </w:tc>
        <w:tc>
          <w:tcPr>
            <w:tcW w:w="1103" w:type="dxa"/>
            <w:tcBorders>
              <w:top w:val="single" w:color="auto" w:sz="4" w:space="0"/>
              <w:left w:val="single" w:color="auto" w:sz="4" w:space="0"/>
              <w:bottom w:val="single" w:color="auto" w:sz="4" w:space="0"/>
              <w:right w:val="single" w:color="auto" w:sz="4" w:space="0"/>
            </w:tcBorders>
            <w:vAlign w:val="center"/>
          </w:tcPr>
          <w:p w14:paraId="3896F464">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8E3DB4B">
            <w:pPr>
              <w:pStyle w:val="16"/>
              <w:rPr>
                <w:rFonts w:hint="eastAsia" w:ascii="宋体" w:hAnsi="宋体" w:eastAsia="宋体" w:cs="宋体"/>
                <w:b w:val="0"/>
                <w:bCs w:val="0"/>
                <w:sz w:val="21"/>
                <w:szCs w:val="21"/>
              </w:rPr>
            </w:pPr>
          </w:p>
        </w:tc>
      </w:tr>
      <w:tr w14:paraId="2F7F4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472D305">
            <w:pPr>
              <w:pStyle w:val="16"/>
              <w:rPr>
                <w:rFonts w:hint="eastAsia" w:ascii="宋体" w:hAnsi="宋体" w:eastAsia="宋体" w:cs="宋体"/>
                <w:b w:val="0"/>
                <w:bCs w:val="0"/>
                <w:sz w:val="21"/>
                <w:szCs w:val="21"/>
              </w:rPr>
            </w:pPr>
          </w:p>
        </w:tc>
        <w:tc>
          <w:tcPr>
            <w:tcW w:w="666" w:type="dxa"/>
            <w:vMerge w:val="continue"/>
            <w:tcBorders>
              <w:top w:val="single" w:color="auto" w:sz="4" w:space="0"/>
              <w:left w:val="single" w:color="auto" w:sz="4" w:space="0"/>
              <w:bottom w:val="single" w:color="auto" w:sz="4" w:space="0"/>
              <w:right w:val="single" w:color="auto" w:sz="4" w:space="0"/>
            </w:tcBorders>
            <w:vAlign w:val="center"/>
          </w:tcPr>
          <w:p w14:paraId="650159CF">
            <w:pPr>
              <w:pStyle w:val="16"/>
              <w:rPr>
                <w:rFonts w:hint="eastAsia" w:ascii="宋体" w:hAnsi="宋体" w:eastAsia="宋体" w:cs="宋体"/>
                <w:b w:val="0"/>
                <w:bCs w:val="0"/>
                <w:sz w:val="21"/>
                <w:szCs w:val="21"/>
              </w:rPr>
            </w:pP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47F1E4F6">
            <w:pPr>
              <w:pStyle w:val="16"/>
              <w:rPr>
                <w:rFonts w:hint="eastAsia" w:ascii="宋体" w:hAnsi="宋体" w:eastAsia="宋体" w:cs="宋体"/>
                <w:b w:val="0"/>
                <w:bCs w:val="0"/>
                <w:sz w:val="21"/>
                <w:szCs w:val="21"/>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8E4AFC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绳径局部严重增大或减小均应报废</w:t>
            </w:r>
          </w:p>
        </w:tc>
        <w:tc>
          <w:tcPr>
            <w:tcW w:w="1103" w:type="dxa"/>
            <w:tcBorders>
              <w:top w:val="single" w:color="auto" w:sz="4" w:space="0"/>
              <w:left w:val="single" w:color="auto" w:sz="4" w:space="0"/>
              <w:bottom w:val="single" w:color="auto" w:sz="4" w:space="0"/>
              <w:right w:val="single" w:color="auto" w:sz="4" w:space="0"/>
            </w:tcBorders>
            <w:vAlign w:val="center"/>
          </w:tcPr>
          <w:p w14:paraId="59B224AE">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BB1685E">
            <w:pPr>
              <w:pStyle w:val="16"/>
              <w:rPr>
                <w:rFonts w:hint="eastAsia" w:ascii="宋体" w:hAnsi="宋体" w:eastAsia="宋体" w:cs="宋体"/>
                <w:b w:val="0"/>
                <w:bCs w:val="0"/>
                <w:sz w:val="21"/>
                <w:szCs w:val="21"/>
              </w:rPr>
            </w:pPr>
          </w:p>
        </w:tc>
      </w:tr>
      <w:tr w14:paraId="62B4A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C80300C">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36FE50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F50760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制动器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00E23C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起升、回转、变幅、行走机构都应配备制动器，制动器不应有裂纹、过度磨损、塑性变形、缺件等缺陷。调整适宜，制动平稳可靠</w:t>
            </w:r>
          </w:p>
        </w:tc>
        <w:tc>
          <w:tcPr>
            <w:tcW w:w="1103" w:type="dxa"/>
            <w:tcBorders>
              <w:top w:val="single" w:color="auto" w:sz="4" w:space="0"/>
              <w:left w:val="single" w:color="auto" w:sz="4" w:space="0"/>
              <w:bottom w:val="single" w:color="auto" w:sz="4" w:space="0"/>
              <w:right w:val="single" w:color="auto" w:sz="4" w:space="0"/>
            </w:tcBorders>
            <w:vAlign w:val="center"/>
          </w:tcPr>
          <w:p w14:paraId="763DEE95">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01E0977E">
            <w:pPr>
              <w:pStyle w:val="16"/>
              <w:rPr>
                <w:rFonts w:hint="eastAsia" w:ascii="宋体" w:hAnsi="宋体" w:eastAsia="宋体" w:cs="宋体"/>
                <w:b w:val="0"/>
                <w:bCs w:val="0"/>
                <w:sz w:val="21"/>
                <w:szCs w:val="21"/>
              </w:rPr>
            </w:pPr>
          </w:p>
        </w:tc>
      </w:tr>
      <w:tr w14:paraId="0F9A3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87DD129">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5F6C83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C07F32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传动装置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E19859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固定牢固，运行平稳</w:t>
            </w:r>
          </w:p>
        </w:tc>
        <w:tc>
          <w:tcPr>
            <w:tcW w:w="1103" w:type="dxa"/>
            <w:tcBorders>
              <w:top w:val="single" w:color="auto" w:sz="4" w:space="0"/>
              <w:left w:val="single" w:color="auto" w:sz="4" w:space="0"/>
              <w:bottom w:val="single" w:color="auto" w:sz="4" w:space="0"/>
              <w:right w:val="single" w:color="auto" w:sz="4" w:space="0"/>
            </w:tcBorders>
            <w:vAlign w:val="center"/>
          </w:tcPr>
          <w:p w14:paraId="31516A48">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8FC8183">
            <w:pPr>
              <w:pStyle w:val="16"/>
              <w:rPr>
                <w:rFonts w:hint="eastAsia" w:ascii="宋体" w:hAnsi="宋体" w:eastAsia="宋体" w:cs="宋体"/>
                <w:b w:val="0"/>
                <w:bCs w:val="0"/>
                <w:sz w:val="21"/>
                <w:szCs w:val="21"/>
              </w:rPr>
            </w:pPr>
          </w:p>
        </w:tc>
      </w:tr>
      <w:tr w14:paraId="5027E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DC4AFC1">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9AC4E3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84BBD4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有可能伤人的活动零部件外露部分</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EF8F9E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防护罩齐全</w:t>
            </w:r>
          </w:p>
        </w:tc>
        <w:tc>
          <w:tcPr>
            <w:tcW w:w="1103" w:type="dxa"/>
            <w:tcBorders>
              <w:top w:val="single" w:color="auto" w:sz="4" w:space="0"/>
              <w:left w:val="single" w:color="auto" w:sz="4" w:space="0"/>
              <w:bottom w:val="single" w:color="auto" w:sz="4" w:space="0"/>
              <w:right w:val="single" w:color="auto" w:sz="4" w:space="0"/>
            </w:tcBorders>
            <w:vAlign w:val="center"/>
          </w:tcPr>
          <w:p w14:paraId="521BBA30">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07E7FE2D">
            <w:pPr>
              <w:pStyle w:val="16"/>
              <w:rPr>
                <w:rFonts w:hint="eastAsia" w:ascii="宋体" w:hAnsi="宋体" w:eastAsia="宋体" w:cs="宋体"/>
                <w:b w:val="0"/>
                <w:bCs w:val="0"/>
                <w:sz w:val="21"/>
                <w:szCs w:val="21"/>
              </w:rPr>
            </w:pPr>
          </w:p>
        </w:tc>
      </w:tr>
      <w:tr w14:paraId="0E226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4EA912F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电气及保护</w:t>
            </w:r>
          </w:p>
        </w:tc>
        <w:tc>
          <w:tcPr>
            <w:tcW w:w="666" w:type="dxa"/>
            <w:tcBorders>
              <w:top w:val="single" w:color="auto" w:sz="4" w:space="0"/>
              <w:left w:val="single" w:color="auto" w:sz="4" w:space="0"/>
              <w:bottom w:val="single" w:color="auto" w:sz="4" w:space="0"/>
              <w:right w:val="single" w:color="auto" w:sz="4" w:space="0"/>
            </w:tcBorders>
            <w:vAlign w:val="center"/>
          </w:tcPr>
          <w:p w14:paraId="2016181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6A9A37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紧急断电开关</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A0C955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非自动复位，有效，且便于司机操作</w:t>
            </w:r>
          </w:p>
        </w:tc>
        <w:tc>
          <w:tcPr>
            <w:tcW w:w="1103" w:type="dxa"/>
            <w:tcBorders>
              <w:top w:val="single" w:color="auto" w:sz="4" w:space="0"/>
              <w:left w:val="single" w:color="auto" w:sz="4" w:space="0"/>
              <w:bottom w:val="single" w:color="auto" w:sz="4" w:space="0"/>
              <w:right w:val="single" w:color="auto" w:sz="4" w:space="0"/>
            </w:tcBorders>
            <w:vAlign w:val="center"/>
          </w:tcPr>
          <w:p w14:paraId="2F74BC87">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3C9ED21">
            <w:pPr>
              <w:pStyle w:val="16"/>
              <w:rPr>
                <w:rFonts w:hint="eastAsia" w:ascii="宋体" w:hAnsi="宋体" w:eastAsia="宋体" w:cs="宋体"/>
                <w:b w:val="0"/>
                <w:bCs w:val="0"/>
                <w:sz w:val="21"/>
                <w:szCs w:val="21"/>
              </w:rPr>
            </w:pPr>
          </w:p>
        </w:tc>
      </w:tr>
      <w:tr w14:paraId="28327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6A0062C">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F16E12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68336F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绝缘电阻</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36EB4F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主电路和控制电路的对地绝缘电阻不应小于0.5MΩ</w:t>
            </w:r>
          </w:p>
        </w:tc>
        <w:tc>
          <w:tcPr>
            <w:tcW w:w="1103" w:type="dxa"/>
            <w:tcBorders>
              <w:top w:val="single" w:color="auto" w:sz="4" w:space="0"/>
              <w:left w:val="single" w:color="auto" w:sz="4" w:space="0"/>
              <w:bottom w:val="single" w:color="auto" w:sz="4" w:space="0"/>
              <w:right w:val="single" w:color="auto" w:sz="4" w:space="0"/>
            </w:tcBorders>
            <w:vAlign w:val="center"/>
          </w:tcPr>
          <w:p w14:paraId="0BCD312A">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BE460E4">
            <w:pPr>
              <w:pStyle w:val="16"/>
              <w:rPr>
                <w:rFonts w:hint="eastAsia" w:ascii="宋体" w:hAnsi="宋体" w:eastAsia="宋体" w:cs="宋体"/>
                <w:b w:val="0"/>
                <w:bCs w:val="0"/>
                <w:sz w:val="21"/>
                <w:szCs w:val="21"/>
              </w:rPr>
            </w:pPr>
          </w:p>
        </w:tc>
      </w:tr>
      <w:tr w14:paraId="2148C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0282C4A">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230ADF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EA0F17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接地电阻</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8A3350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接地系统应便于复核检查，接地电阻不大于4Ω</w:t>
            </w:r>
          </w:p>
        </w:tc>
        <w:tc>
          <w:tcPr>
            <w:tcW w:w="1103" w:type="dxa"/>
            <w:tcBorders>
              <w:top w:val="single" w:color="auto" w:sz="4" w:space="0"/>
              <w:left w:val="single" w:color="auto" w:sz="4" w:space="0"/>
              <w:bottom w:val="single" w:color="auto" w:sz="4" w:space="0"/>
              <w:right w:val="single" w:color="auto" w:sz="4" w:space="0"/>
            </w:tcBorders>
            <w:vAlign w:val="center"/>
          </w:tcPr>
          <w:p w14:paraId="19DEB6C8">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BFF8F39">
            <w:pPr>
              <w:pStyle w:val="16"/>
              <w:rPr>
                <w:rFonts w:hint="eastAsia" w:ascii="宋体" w:hAnsi="宋体" w:eastAsia="宋体" w:cs="宋体"/>
                <w:b w:val="0"/>
                <w:bCs w:val="0"/>
                <w:sz w:val="21"/>
                <w:szCs w:val="21"/>
              </w:rPr>
            </w:pPr>
          </w:p>
        </w:tc>
      </w:tr>
      <w:tr w14:paraId="3BF52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2913916">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3B7B0F2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28EC95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专用开关箱</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5D6256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单独设置并有警示标志</w:t>
            </w:r>
          </w:p>
        </w:tc>
        <w:tc>
          <w:tcPr>
            <w:tcW w:w="1103" w:type="dxa"/>
            <w:tcBorders>
              <w:top w:val="single" w:color="auto" w:sz="4" w:space="0"/>
              <w:left w:val="single" w:color="auto" w:sz="4" w:space="0"/>
              <w:bottom w:val="single" w:color="auto" w:sz="4" w:space="0"/>
              <w:right w:val="single" w:color="auto" w:sz="4" w:space="0"/>
            </w:tcBorders>
            <w:vAlign w:val="center"/>
          </w:tcPr>
          <w:p w14:paraId="4A300449">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54775E2">
            <w:pPr>
              <w:pStyle w:val="16"/>
              <w:rPr>
                <w:rFonts w:hint="eastAsia" w:ascii="宋体" w:hAnsi="宋体" w:eastAsia="宋体" w:cs="宋体"/>
                <w:b w:val="0"/>
                <w:bCs w:val="0"/>
                <w:sz w:val="21"/>
                <w:szCs w:val="21"/>
              </w:rPr>
            </w:pPr>
          </w:p>
        </w:tc>
      </w:tr>
      <w:tr w14:paraId="274E0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3B5D12F">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1C0E6B1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AAEA1F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声响信号器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731E8B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完好</w:t>
            </w:r>
          </w:p>
        </w:tc>
        <w:tc>
          <w:tcPr>
            <w:tcW w:w="1103" w:type="dxa"/>
            <w:tcBorders>
              <w:top w:val="single" w:color="auto" w:sz="4" w:space="0"/>
              <w:left w:val="single" w:color="auto" w:sz="4" w:space="0"/>
              <w:bottom w:val="single" w:color="auto" w:sz="4" w:space="0"/>
              <w:right w:val="single" w:color="auto" w:sz="4" w:space="0"/>
            </w:tcBorders>
            <w:vAlign w:val="center"/>
          </w:tcPr>
          <w:p w14:paraId="4E574A21">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FDCAE98">
            <w:pPr>
              <w:pStyle w:val="16"/>
              <w:rPr>
                <w:rFonts w:hint="eastAsia" w:ascii="宋体" w:hAnsi="宋体" w:eastAsia="宋体" w:cs="宋体"/>
                <w:b w:val="0"/>
                <w:bCs w:val="0"/>
                <w:sz w:val="21"/>
                <w:szCs w:val="21"/>
              </w:rPr>
            </w:pPr>
          </w:p>
        </w:tc>
      </w:tr>
      <w:tr w14:paraId="36C6F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89D05B0">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506E38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9BD05E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保护零线</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7BF95E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绿/黄双色绝缘铜芯线，且不得作为载流回路</w:t>
            </w:r>
          </w:p>
        </w:tc>
        <w:tc>
          <w:tcPr>
            <w:tcW w:w="1103" w:type="dxa"/>
            <w:tcBorders>
              <w:top w:val="single" w:color="auto" w:sz="4" w:space="0"/>
              <w:left w:val="single" w:color="auto" w:sz="4" w:space="0"/>
              <w:bottom w:val="single" w:color="auto" w:sz="4" w:space="0"/>
              <w:right w:val="single" w:color="auto" w:sz="4" w:space="0"/>
            </w:tcBorders>
            <w:vAlign w:val="center"/>
          </w:tcPr>
          <w:p w14:paraId="777C5C78">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F3DC750">
            <w:pPr>
              <w:pStyle w:val="16"/>
              <w:rPr>
                <w:rFonts w:hint="eastAsia" w:ascii="宋体" w:hAnsi="宋体" w:eastAsia="宋体" w:cs="宋体"/>
                <w:b w:val="0"/>
                <w:bCs w:val="0"/>
                <w:sz w:val="21"/>
                <w:szCs w:val="21"/>
              </w:rPr>
            </w:pPr>
          </w:p>
        </w:tc>
      </w:tr>
      <w:tr w14:paraId="00AF1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28BC8F7">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50F094C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D9F0E7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电源电缆与电缆保护</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9BF94C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无破损，老化。与金属接触处有绝缘材料隔离，移动电缆有电缆卷筒或其他防止磨损措施</w:t>
            </w:r>
          </w:p>
        </w:tc>
        <w:tc>
          <w:tcPr>
            <w:tcW w:w="1103" w:type="dxa"/>
            <w:tcBorders>
              <w:top w:val="single" w:color="auto" w:sz="4" w:space="0"/>
              <w:left w:val="single" w:color="auto" w:sz="4" w:space="0"/>
              <w:bottom w:val="single" w:color="auto" w:sz="4" w:space="0"/>
              <w:right w:val="single" w:color="auto" w:sz="4" w:space="0"/>
            </w:tcBorders>
            <w:vAlign w:val="center"/>
          </w:tcPr>
          <w:p w14:paraId="56C78021">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210D16E">
            <w:pPr>
              <w:pStyle w:val="16"/>
              <w:rPr>
                <w:rFonts w:hint="eastAsia" w:ascii="宋体" w:hAnsi="宋体" w:eastAsia="宋体" w:cs="宋体"/>
                <w:b w:val="0"/>
                <w:bCs w:val="0"/>
                <w:sz w:val="21"/>
                <w:szCs w:val="21"/>
              </w:rPr>
            </w:pPr>
          </w:p>
        </w:tc>
      </w:tr>
      <w:tr w14:paraId="02FE6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79D8D48">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5041975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8D153F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障碍指示灯</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631A3F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回转塔身高度大于30m且高于周围建筑物时应安装，该指示灯的供电不应受停机的影响</w:t>
            </w:r>
          </w:p>
        </w:tc>
        <w:tc>
          <w:tcPr>
            <w:tcW w:w="1103" w:type="dxa"/>
            <w:tcBorders>
              <w:top w:val="single" w:color="auto" w:sz="4" w:space="0"/>
              <w:left w:val="single" w:color="auto" w:sz="4" w:space="0"/>
              <w:bottom w:val="single" w:color="auto" w:sz="4" w:space="0"/>
              <w:right w:val="single" w:color="auto" w:sz="4" w:space="0"/>
            </w:tcBorders>
            <w:vAlign w:val="center"/>
          </w:tcPr>
          <w:p w14:paraId="7C77D2DA">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069FC74E">
            <w:pPr>
              <w:pStyle w:val="16"/>
              <w:rPr>
                <w:rFonts w:hint="eastAsia" w:ascii="宋体" w:hAnsi="宋体" w:eastAsia="宋体" w:cs="宋体"/>
                <w:b w:val="0"/>
                <w:bCs w:val="0"/>
                <w:sz w:val="21"/>
                <w:szCs w:val="21"/>
              </w:rPr>
            </w:pPr>
          </w:p>
        </w:tc>
      </w:tr>
      <w:tr w14:paraId="3EFDF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756977A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轨道</w:t>
            </w:r>
          </w:p>
        </w:tc>
        <w:tc>
          <w:tcPr>
            <w:tcW w:w="666" w:type="dxa"/>
            <w:tcBorders>
              <w:top w:val="single" w:color="auto" w:sz="4" w:space="0"/>
              <w:left w:val="single" w:color="auto" w:sz="4" w:space="0"/>
              <w:bottom w:val="single" w:color="auto" w:sz="4" w:space="0"/>
              <w:right w:val="single" w:color="auto" w:sz="4" w:space="0"/>
            </w:tcBorders>
            <w:vAlign w:val="center"/>
          </w:tcPr>
          <w:p w14:paraId="1518121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FC28D8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行走轨道端部止挡装置与缓冲</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A65671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齐全，有效</w:t>
            </w:r>
          </w:p>
        </w:tc>
        <w:tc>
          <w:tcPr>
            <w:tcW w:w="1103" w:type="dxa"/>
            <w:tcBorders>
              <w:top w:val="single" w:color="auto" w:sz="4" w:space="0"/>
              <w:left w:val="single" w:color="auto" w:sz="4" w:space="0"/>
              <w:bottom w:val="single" w:color="auto" w:sz="4" w:space="0"/>
              <w:right w:val="single" w:color="auto" w:sz="4" w:space="0"/>
            </w:tcBorders>
            <w:vAlign w:val="center"/>
          </w:tcPr>
          <w:p w14:paraId="4242F6D9">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2F0BFD9">
            <w:pPr>
              <w:pStyle w:val="16"/>
              <w:rPr>
                <w:rFonts w:hint="eastAsia" w:ascii="宋体" w:hAnsi="宋体" w:eastAsia="宋体" w:cs="宋体"/>
                <w:b w:val="0"/>
                <w:bCs w:val="0"/>
                <w:sz w:val="21"/>
                <w:szCs w:val="21"/>
              </w:rPr>
            </w:pPr>
          </w:p>
        </w:tc>
      </w:tr>
      <w:tr w14:paraId="50D63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6240B59">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5FC7AB5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5EBA8D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行走限位装置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F0C807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制停后距止档装置≥1m</w:t>
            </w:r>
          </w:p>
        </w:tc>
        <w:tc>
          <w:tcPr>
            <w:tcW w:w="1103" w:type="dxa"/>
            <w:tcBorders>
              <w:top w:val="single" w:color="auto" w:sz="4" w:space="0"/>
              <w:left w:val="single" w:color="auto" w:sz="4" w:space="0"/>
              <w:bottom w:val="single" w:color="auto" w:sz="4" w:space="0"/>
              <w:right w:val="single" w:color="auto" w:sz="4" w:space="0"/>
            </w:tcBorders>
            <w:vAlign w:val="center"/>
          </w:tcPr>
          <w:p w14:paraId="278EC2DA">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05765A2C">
            <w:pPr>
              <w:pStyle w:val="16"/>
              <w:rPr>
                <w:rFonts w:hint="eastAsia" w:ascii="宋体" w:hAnsi="宋体" w:eastAsia="宋体" w:cs="宋体"/>
                <w:b w:val="0"/>
                <w:bCs w:val="0"/>
                <w:sz w:val="21"/>
                <w:szCs w:val="21"/>
              </w:rPr>
            </w:pPr>
          </w:p>
        </w:tc>
      </w:tr>
      <w:tr w14:paraId="6B15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E89FF24">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F6E9F6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68101D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防风夹轨器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BD7009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齐全，有效</w:t>
            </w:r>
          </w:p>
        </w:tc>
        <w:tc>
          <w:tcPr>
            <w:tcW w:w="1103" w:type="dxa"/>
            <w:tcBorders>
              <w:top w:val="single" w:color="auto" w:sz="4" w:space="0"/>
              <w:left w:val="single" w:color="auto" w:sz="4" w:space="0"/>
              <w:bottom w:val="single" w:color="auto" w:sz="4" w:space="0"/>
              <w:right w:val="single" w:color="auto" w:sz="4" w:space="0"/>
            </w:tcBorders>
            <w:vAlign w:val="center"/>
          </w:tcPr>
          <w:p w14:paraId="367D1A80">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EA27DAA">
            <w:pPr>
              <w:pStyle w:val="16"/>
              <w:rPr>
                <w:rFonts w:hint="eastAsia" w:ascii="宋体" w:hAnsi="宋体" w:eastAsia="宋体" w:cs="宋体"/>
                <w:b w:val="0"/>
                <w:bCs w:val="0"/>
                <w:sz w:val="21"/>
                <w:szCs w:val="21"/>
              </w:rPr>
            </w:pPr>
          </w:p>
        </w:tc>
      </w:tr>
      <w:tr w14:paraId="25250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6199A06">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B1CF66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16FB82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排障清轨板</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440FE0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清孰板与轨道之目的间隙不应大于5mm</w:t>
            </w:r>
          </w:p>
        </w:tc>
        <w:tc>
          <w:tcPr>
            <w:tcW w:w="1103" w:type="dxa"/>
            <w:tcBorders>
              <w:top w:val="single" w:color="auto" w:sz="4" w:space="0"/>
              <w:left w:val="single" w:color="auto" w:sz="4" w:space="0"/>
              <w:bottom w:val="single" w:color="auto" w:sz="4" w:space="0"/>
              <w:right w:val="single" w:color="auto" w:sz="4" w:space="0"/>
            </w:tcBorders>
            <w:vAlign w:val="center"/>
          </w:tcPr>
          <w:p w14:paraId="16464027">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FD4BA6B">
            <w:pPr>
              <w:pStyle w:val="16"/>
              <w:rPr>
                <w:rFonts w:hint="eastAsia" w:ascii="宋体" w:hAnsi="宋体" w:eastAsia="宋体" w:cs="宋体"/>
                <w:b w:val="0"/>
                <w:bCs w:val="0"/>
                <w:sz w:val="21"/>
                <w:szCs w:val="21"/>
              </w:rPr>
            </w:pPr>
          </w:p>
        </w:tc>
      </w:tr>
      <w:tr w14:paraId="5A9E8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ACA34BA">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25D8B9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E3D7DD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钢轨接头位置及误差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E909D2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支承在道木或路基箱上时，两侧错开≥1.5m；间隙≤4mm；高差≤2mm</w:t>
            </w:r>
          </w:p>
        </w:tc>
        <w:tc>
          <w:tcPr>
            <w:tcW w:w="1103" w:type="dxa"/>
            <w:tcBorders>
              <w:top w:val="single" w:color="auto" w:sz="4" w:space="0"/>
              <w:left w:val="single" w:color="auto" w:sz="4" w:space="0"/>
              <w:bottom w:val="single" w:color="auto" w:sz="4" w:space="0"/>
              <w:right w:val="single" w:color="auto" w:sz="4" w:space="0"/>
            </w:tcBorders>
            <w:vAlign w:val="center"/>
          </w:tcPr>
          <w:p w14:paraId="64A3A489">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A76B11B">
            <w:pPr>
              <w:pStyle w:val="16"/>
              <w:rPr>
                <w:rFonts w:hint="eastAsia" w:ascii="宋体" w:hAnsi="宋体" w:eastAsia="宋体" w:cs="宋体"/>
                <w:b w:val="0"/>
                <w:bCs w:val="0"/>
                <w:sz w:val="21"/>
                <w:szCs w:val="21"/>
              </w:rPr>
            </w:pPr>
          </w:p>
        </w:tc>
      </w:tr>
      <w:tr w14:paraId="6EEB9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5C745E6">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32C409D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27D413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轨距误差及轨距拉杆设置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344E46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＜1／1000且最大应＜6mm；相邻两根间距≤6m</w:t>
            </w:r>
          </w:p>
        </w:tc>
        <w:tc>
          <w:tcPr>
            <w:tcW w:w="1103" w:type="dxa"/>
            <w:tcBorders>
              <w:top w:val="single" w:color="auto" w:sz="4" w:space="0"/>
              <w:left w:val="single" w:color="auto" w:sz="4" w:space="0"/>
              <w:bottom w:val="single" w:color="auto" w:sz="4" w:space="0"/>
              <w:right w:val="single" w:color="auto" w:sz="4" w:space="0"/>
            </w:tcBorders>
            <w:vAlign w:val="center"/>
          </w:tcPr>
          <w:p w14:paraId="18C3CD9B">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B9A165E">
            <w:pPr>
              <w:pStyle w:val="16"/>
              <w:rPr>
                <w:rFonts w:hint="eastAsia" w:ascii="宋体" w:hAnsi="宋体" w:eastAsia="宋体" w:cs="宋体"/>
                <w:b w:val="0"/>
                <w:bCs w:val="0"/>
                <w:sz w:val="21"/>
                <w:szCs w:val="21"/>
              </w:rPr>
            </w:pPr>
          </w:p>
        </w:tc>
      </w:tr>
      <w:tr w14:paraId="6A619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27B333D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司机室</w:t>
            </w:r>
          </w:p>
        </w:tc>
        <w:tc>
          <w:tcPr>
            <w:tcW w:w="666" w:type="dxa"/>
            <w:tcBorders>
              <w:top w:val="single" w:color="auto" w:sz="4" w:space="0"/>
              <w:left w:val="single" w:color="auto" w:sz="4" w:space="0"/>
              <w:bottom w:val="single" w:color="auto" w:sz="4" w:space="0"/>
              <w:right w:val="single" w:color="auto" w:sz="4" w:space="0"/>
            </w:tcBorders>
            <w:vAlign w:val="center"/>
          </w:tcPr>
          <w:p w14:paraId="2A60EE3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60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92D5BF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性能标牌(显示屏)</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97E670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齐全，清晰</w:t>
            </w:r>
          </w:p>
        </w:tc>
        <w:tc>
          <w:tcPr>
            <w:tcW w:w="1103" w:type="dxa"/>
            <w:tcBorders>
              <w:top w:val="single" w:color="auto" w:sz="4" w:space="0"/>
              <w:left w:val="single" w:color="auto" w:sz="4" w:space="0"/>
              <w:bottom w:val="single" w:color="auto" w:sz="4" w:space="0"/>
              <w:right w:val="single" w:color="auto" w:sz="4" w:space="0"/>
            </w:tcBorders>
            <w:vAlign w:val="center"/>
          </w:tcPr>
          <w:p w14:paraId="5410E273">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2BB12D3">
            <w:pPr>
              <w:pStyle w:val="16"/>
              <w:rPr>
                <w:rFonts w:hint="eastAsia" w:ascii="宋体" w:hAnsi="宋体" w:eastAsia="宋体" w:cs="宋体"/>
                <w:b w:val="0"/>
                <w:bCs w:val="0"/>
                <w:sz w:val="21"/>
                <w:szCs w:val="21"/>
              </w:rPr>
            </w:pPr>
          </w:p>
        </w:tc>
      </w:tr>
      <w:tr w14:paraId="3E9AD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CFC1295">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DB213F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61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1A9035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门窗和灭火器、雨刷</w:t>
            </w:r>
          </w:p>
          <w:p w14:paraId="4CFB9E5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等附属设施</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348FD0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齐全，有效</w:t>
            </w:r>
          </w:p>
        </w:tc>
        <w:tc>
          <w:tcPr>
            <w:tcW w:w="1103" w:type="dxa"/>
            <w:tcBorders>
              <w:top w:val="single" w:color="auto" w:sz="4" w:space="0"/>
              <w:left w:val="single" w:color="auto" w:sz="4" w:space="0"/>
              <w:bottom w:val="single" w:color="auto" w:sz="4" w:space="0"/>
              <w:right w:val="single" w:color="auto" w:sz="4" w:space="0"/>
            </w:tcBorders>
            <w:vAlign w:val="center"/>
          </w:tcPr>
          <w:p w14:paraId="5404E4CF">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3B2778A">
            <w:pPr>
              <w:pStyle w:val="16"/>
              <w:rPr>
                <w:rFonts w:hint="eastAsia" w:ascii="宋体" w:hAnsi="宋体" w:eastAsia="宋体" w:cs="宋体"/>
                <w:b w:val="0"/>
                <w:bCs w:val="0"/>
                <w:sz w:val="21"/>
                <w:szCs w:val="21"/>
              </w:rPr>
            </w:pPr>
          </w:p>
        </w:tc>
      </w:tr>
      <w:tr w14:paraId="3FFFC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tcBorders>
              <w:top w:val="single" w:color="auto" w:sz="4" w:space="0"/>
              <w:left w:val="single" w:color="auto" w:sz="4" w:space="0"/>
              <w:bottom w:val="single" w:color="auto" w:sz="4" w:space="0"/>
              <w:right w:val="single" w:color="auto" w:sz="4" w:space="0"/>
            </w:tcBorders>
            <w:vAlign w:val="center"/>
          </w:tcPr>
          <w:p w14:paraId="5C66750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其他</w:t>
            </w:r>
          </w:p>
        </w:tc>
        <w:tc>
          <w:tcPr>
            <w:tcW w:w="666" w:type="dxa"/>
            <w:tcBorders>
              <w:top w:val="single" w:color="auto" w:sz="4" w:space="0"/>
              <w:left w:val="single" w:color="auto" w:sz="4" w:space="0"/>
              <w:bottom w:val="single" w:color="auto" w:sz="4" w:space="0"/>
              <w:right w:val="single" w:color="auto" w:sz="4" w:space="0"/>
            </w:tcBorders>
            <w:vAlign w:val="center"/>
          </w:tcPr>
          <w:p w14:paraId="44C3362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62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804AE1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风速仪</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665EDF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臂架根部铰点高于50m时应设置</w:t>
            </w:r>
          </w:p>
        </w:tc>
        <w:tc>
          <w:tcPr>
            <w:tcW w:w="1103" w:type="dxa"/>
            <w:tcBorders>
              <w:top w:val="single" w:color="auto" w:sz="4" w:space="0"/>
              <w:left w:val="single" w:color="auto" w:sz="4" w:space="0"/>
              <w:bottom w:val="single" w:color="auto" w:sz="4" w:space="0"/>
              <w:right w:val="single" w:color="auto" w:sz="4" w:space="0"/>
            </w:tcBorders>
            <w:vAlign w:val="center"/>
          </w:tcPr>
          <w:p w14:paraId="4FF7A647">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84A3CE2">
            <w:pPr>
              <w:pStyle w:val="16"/>
              <w:rPr>
                <w:rFonts w:hint="eastAsia" w:ascii="宋体" w:hAnsi="宋体" w:eastAsia="宋体" w:cs="宋体"/>
                <w:b w:val="0"/>
                <w:bCs w:val="0"/>
                <w:sz w:val="21"/>
                <w:szCs w:val="21"/>
              </w:rPr>
            </w:pPr>
          </w:p>
        </w:tc>
      </w:tr>
      <w:tr w14:paraId="03D7E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0" w:type="dxa"/>
            <w:gridSpan w:val="9"/>
            <w:tcBorders>
              <w:top w:val="single" w:color="auto" w:sz="4" w:space="0"/>
              <w:left w:val="single" w:color="auto" w:sz="4" w:space="0"/>
              <w:bottom w:val="single" w:color="auto" w:sz="4" w:space="0"/>
              <w:right w:val="single" w:color="auto" w:sz="4" w:space="0"/>
            </w:tcBorders>
            <w:vAlign w:val="center"/>
          </w:tcPr>
          <w:p w14:paraId="14A0CB8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检查结果</w:t>
            </w:r>
          </w:p>
        </w:tc>
      </w:tr>
      <w:tr w14:paraId="454EA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6" w:type="dxa"/>
            <w:gridSpan w:val="3"/>
            <w:tcBorders>
              <w:top w:val="single" w:color="auto" w:sz="4" w:space="0"/>
              <w:left w:val="single" w:color="auto" w:sz="4" w:space="0"/>
              <w:bottom w:val="single" w:color="auto" w:sz="4" w:space="0"/>
              <w:right w:val="single" w:color="auto" w:sz="4" w:space="0"/>
            </w:tcBorders>
            <w:vAlign w:val="center"/>
          </w:tcPr>
          <w:p w14:paraId="08AAAA5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保证项目不合格项数</w:t>
            </w:r>
          </w:p>
        </w:tc>
        <w:tc>
          <w:tcPr>
            <w:tcW w:w="2522" w:type="dxa"/>
            <w:gridSpan w:val="2"/>
            <w:tcBorders>
              <w:top w:val="single" w:color="auto" w:sz="4" w:space="0"/>
              <w:left w:val="single" w:color="auto" w:sz="4" w:space="0"/>
              <w:bottom w:val="single" w:color="auto" w:sz="4" w:space="0"/>
              <w:right w:val="single" w:color="auto" w:sz="4" w:space="0"/>
            </w:tcBorders>
            <w:vAlign w:val="center"/>
          </w:tcPr>
          <w:p w14:paraId="4CBFAAA4">
            <w:pPr>
              <w:pStyle w:val="16"/>
              <w:rPr>
                <w:rFonts w:hint="eastAsia" w:ascii="宋体" w:hAnsi="宋体" w:eastAsia="宋体" w:cs="宋体"/>
                <w:b w:val="0"/>
                <w:bCs w:val="0"/>
                <w:sz w:val="21"/>
                <w:szCs w:val="21"/>
              </w:rPr>
            </w:pPr>
          </w:p>
        </w:tc>
        <w:tc>
          <w:tcPr>
            <w:tcW w:w="2337" w:type="dxa"/>
            <w:gridSpan w:val="2"/>
            <w:tcBorders>
              <w:top w:val="single" w:color="auto" w:sz="4" w:space="0"/>
              <w:left w:val="single" w:color="auto" w:sz="4" w:space="0"/>
              <w:bottom w:val="single" w:color="auto" w:sz="4" w:space="0"/>
              <w:right w:val="single" w:color="auto" w:sz="4" w:space="0"/>
            </w:tcBorders>
            <w:vAlign w:val="center"/>
          </w:tcPr>
          <w:p w14:paraId="5943E97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一般项目不合格项数</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7EFB6BD2">
            <w:pPr>
              <w:pStyle w:val="16"/>
              <w:rPr>
                <w:rFonts w:hint="eastAsia" w:ascii="宋体" w:hAnsi="宋体" w:eastAsia="宋体" w:cs="宋体"/>
                <w:b w:val="0"/>
                <w:bCs w:val="0"/>
                <w:sz w:val="21"/>
                <w:szCs w:val="21"/>
              </w:rPr>
            </w:pPr>
          </w:p>
        </w:tc>
      </w:tr>
      <w:tr w14:paraId="6BAF4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68" w:type="dxa"/>
            <w:gridSpan w:val="5"/>
            <w:tcBorders>
              <w:top w:val="single" w:color="auto" w:sz="4" w:space="0"/>
              <w:left w:val="single" w:color="auto" w:sz="4" w:space="0"/>
              <w:bottom w:val="single" w:color="auto" w:sz="4" w:space="0"/>
              <w:right w:val="single" w:color="auto" w:sz="4" w:space="0"/>
            </w:tcBorders>
            <w:vAlign w:val="center"/>
          </w:tcPr>
          <w:p w14:paraId="096E4C7B">
            <w:pPr>
              <w:pStyle w:val="16"/>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租赁单位意见：</w:t>
            </w:r>
          </w:p>
          <w:p w14:paraId="45D624CE">
            <w:pPr>
              <w:pStyle w:val="16"/>
              <w:rPr>
                <w:rFonts w:hint="eastAsia" w:ascii="宋体" w:hAnsi="宋体" w:eastAsia="宋体" w:cs="宋体"/>
                <w:b w:val="0"/>
                <w:bCs w:val="0"/>
                <w:kern w:val="0"/>
                <w:sz w:val="21"/>
                <w:szCs w:val="21"/>
                <w:lang w:bidi="ar"/>
              </w:rPr>
            </w:pPr>
          </w:p>
          <w:p w14:paraId="46D2CA42">
            <w:pPr>
              <w:pStyle w:val="16"/>
              <w:rPr>
                <w:rFonts w:hint="eastAsia" w:ascii="宋体" w:hAnsi="宋体" w:eastAsia="宋体" w:cs="宋体"/>
                <w:b w:val="0"/>
                <w:bCs w:val="0"/>
                <w:kern w:val="0"/>
                <w:sz w:val="21"/>
                <w:szCs w:val="21"/>
                <w:lang w:bidi="ar"/>
              </w:rPr>
            </w:pPr>
          </w:p>
          <w:p w14:paraId="22E6C22B">
            <w:pPr>
              <w:pStyle w:val="16"/>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租赁负责人（签字）：                      （盖章）</w:t>
            </w:r>
          </w:p>
          <w:p w14:paraId="1024F6C8">
            <w:pPr>
              <w:pStyle w:val="16"/>
              <w:rPr>
                <w:rFonts w:hint="eastAsia" w:ascii="宋体" w:hAnsi="宋体" w:eastAsia="宋体" w:cs="宋体"/>
                <w:b w:val="0"/>
                <w:bCs w:val="0"/>
                <w:kern w:val="0"/>
                <w:sz w:val="21"/>
                <w:szCs w:val="21"/>
                <w:lang w:bidi="ar"/>
              </w:rPr>
            </w:pPr>
          </w:p>
          <w:p w14:paraId="1DBBCF44">
            <w:pPr>
              <w:pStyle w:val="16"/>
              <w:rPr>
                <w:rFonts w:hint="eastAsia" w:ascii="宋体" w:hAnsi="宋体" w:eastAsia="宋体" w:cs="宋体"/>
                <w:b w:val="0"/>
                <w:bCs w:val="0"/>
                <w:sz w:val="21"/>
                <w:szCs w:val="21"/>
              </w:rPr>
            </w:pPr>
            <w:r>
              <w:rPr>
                <w:rFonts w:hint="eastAsia" w:ascii="宋体" w:hAnsi="宋体" w:eastAsia="宋体" w:cs="宋体"/>
                <w:b w:val="0"/>
                <w:bCs w:val="0"/>
                <w:kern w:val="0"/>
                <w:sz w:val="21"/>
                <w:szCs w:val="21"/>
                <w:lang w:bidi="ar"/>
              </w:rPr>
              <w:t>年    月    日</w:t>
            </w:r>
          </w:p>
        </w:tc>
        <w:tc>
          <w:tcPr>
            <w:tcW w:w="4532" w:type="dxa"/>
            <w:gridSpan w:val="4"/>
            <w:tcBorders>
              <w:top w:val="single" w:color="auto" w:sz="4" w:space="0"/>
              <w:left w:val="single" w:color="auto" w:sz="4" w:space="0"/>
              <w:bottom w:val="single" w:color="auto" w:sz="4" w:space="0"/>
              <w:right w:val="single" w:color="auto" w:sz="4" w:space="0"/>
            </w:tcBorders>
            <w:vAlign w:val="center"/>
          </w:tcPr>
          <w:p w14:paraId="68826EB2">
            <w:pPr>
              <w:pStyle w:val="16"/>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使用单位意见：</w:t>
            </w:r>
          </w:p>
          <w:p w14:paraId="778023AC">
            <w:pPr>
              <w:pStyle w:val="16"/>
              <w:rPr>
                <w:rFonts w:hint="eastAsia" w:ascii="宋体" w:hAnsi="宋体" w:eastAsia="宋体" w:cs="宋体"/>
                <w:b w:val="0"/>
                <w:bCs w:val="0"/>
                <w:kern w:val="0"/>
                <w:sz w:val="21"/>
                <w:szCs w:val="21"/>
                <w:lang w:bidi="ar"/>
              </w:rPr>
            </w:pPr>
          </w:p>
          <w:p w14:paraId="685CEEE3">
            <w:pPr>
              <w:pStyle w:val="16"/>
              <w:rPr>
                <w:rFonts w:hint="eastAsia" w:ascii="宋体" w:hAnsi="宋体" w:eastAsia="宋体" w:cs="宋体"/>
                <w:b w:val="0"/>
                <w:bCs w:val="0"/>
                <w:kern w:val="0"/>
                <w:sz w:val="21"/>
                <w:szCs w:val="21"/>
                <w:lang w:bidi="ar"/>
              </w:rPr>
            </w:pPr>
          </w:p>
          <w:p w14:paraId="2C16466C">
            <w:pPr>
              <w:pStyle w:val="16"/>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项目技术负责人或机械员（签字）            （盖章）</w:t>
            </w:r>
          </w:p>
          <w:p w14:paraId="5B58C867">
            <w:pPr>
              <w:pStyle w:val="16"/>
              <w:rPr>
                <w:rFonts w:hint="eastAsia" w:ascii="宋体" w:hAnsi="宋体" w:eastAsia="宋体" w:cs="宋体"/>
                <w:b w:val="0"/>
                <w:bCs w:val="0"/>
                <w:kern w:val="0"/>
                <w:sz w:val="21"/>
                <w:szCs w:val="21"/>
                <w:lang w:bidi="ar"/>
              </w:rPr>
            </w:pPr>
          </w:p>
          <w:p w14:paraId="4B388AFE">
            <w:pPr>
              <w:pStyle w:val="16"/>
              <w:rPr>
                <w:rFonts w:hint="eastAsia" w:ascii="宋体" w:hAnsi="宋体" w:eastAsia="宋体" w:cs="宋体"/>
                <w:b w:val="0"/>
                <w:bCs w:val="0"/>
                <w:sz w:val="21"/>
                <w:szCs w:val="21"/>
              </w:rPr>
            </w:pPr>
            <w:r>
              <w:rPr>
                <w:rFonts w:hint="eastAsia" w:ascii="宋体" w:hAnsi="宋体" w:eastAsia="宋体" w:cs="宋体"/>
                <w:b w:val="0"/>
                <w:bCs w:val="0"/>
                <w:kern w:val="0"/>
                <w:sz w:val="21"/>
                <w:szCs w:val="21"/>
                <w:lang w:bidi="ar"/>
              </w:rPr>
              <w:t>年   月   日</w:t>
            </w:r>
          </w:p>
        </w:tc>
      </w:tr>
      <w:tr w14:paraId="75AF4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68" w:type="dxa"/>
            <w:gridSpan w:val="5"/>
            <w:tcBorders>
              <w:top w:val="single" w:color="auto" w:sz="4" w:space="0"/>
              <w:left w:val="single" w:color="auto" w:sz="4" w:space="0"/>
              <w:bottom w:val="single" w:color="auto" w:sz="4" w:space="0"/>
              <w:right w:val="single" w:color="auto" w:sz="4" w:space="0"/>
            </w:tcBorders>
            <w:vAlign w:val="center"/>
          </w:tcPr>
          <w:p w14:paraId="2102903B">
            <w:pPr>
              <w:pStyle w:val="16"/>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安装单位意见：</w:t>
            </w:r>
          </w:p>
          <w:p w14:paraId="00B62F57">
            <w:pPr>
              <w:pStyle w:val="16"/>
              <w:rPr>
                <w:rFonts w:hint="eastAsia" w:ascii="宋体" w:hAnsi="宋体" w:eastAsia="宋体" w:cs="宋体"/>
                <w:b w:val="0"/>
                <w:bCs w:val="0"/>
                <w:kern w:val="0"/>
                <w:sz w:val="21"/>
                <w:szCs w:val="21"/>
                <w:lang w:bidi="ar"/>
              </w:rPr>
            </w:pPr>
          </w:p>
          <w:p w14:paraId="677214A4">
            <w:pPr>
              <w:pStyle w:val="16"/>
              <w:rPr>
                <w:rFonts w:hint="eastAsia" w:ascii="宋体" w:hAnsi="宋体" w:eastAsia="宋体" w:cs="宋体"/>
                <w:b w:val="0"/>
                <w:bCs w:val="0"/>
                <w:kern w:val="0"/>
                <w:sz w:val="21"/>
                <w:szCs w:val="21"/>
                <w:lang w:bidi="ar"/>
              </w:rPr>
            </w:pPr>
          </w:p>
          <w:p w14:paraId="471FF717">
            <w:pPr>
              <w:pStyle w:val="16"/>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 xml:space="preserve"> 技术负责人（或受委托负责人）（签字）      （盖章）</w:t>
            </w:r>
          </w:p>
          <w:p w14:paraId="0F3F6B15">
            <w:pPr>
              <w:pStyle w:val="16"/>
              <w:rPr>
                <w:rFonts w:hint="eastAsia" w:ascii="宋体" w:hAnsi="宋体" w:eastAsia="宋体" w:cs="宋体"/>
                <w:b w:val="0"/>
                <w:bCs w:val="0"/>
                <w:kern w:val="0"/>
                <w:sz w:val="21"/>
                <w:szCs w:val="21"/>
                <w:lang w:bidi="ar"/>
              </w:rPr>
            </w:pPr>
          </w:p>
          <w:p w14:paraId="7E2CF95D">
            <w:pPr>
              <w:pStyle w:val="16"/>
              <w:rPr>
                <w:rFonts w:hint="eastAsia" w:ascii="宋体" w:hAnsi="宋体" w:eastAsia="宋体" w:cs="宋体"/>
                <w:b w:val="0"/>
                <w:bCs w:val="0"/>
                <w:sz w:val="21"/>
                <w:szCs w:val="21"/>
              </w:rPr>
            </w:pPr>
            <w:r>
              <w:rPr>
                <w:rFonts w:hint="eastAsia" w:ascii="宋体" w:hAnsi="宋体" w:eastAsia="宋体" w:cs="宋体"/>
                <w:b w:val="0"/>
                <w:bCs w:val="0"/>
                <w:kern w:val="0"/>
                <w:sz w:val="21"/>
                <w:szCs w:val="21"/>
                <w:lang w:bidi="ar"/>
              </w:rPr>
              <w:t>年    月    日</w:t>
            </w:r>
          </w:p>
        </w:tc>
        <w:tc>
          <w:tcPr>
            <w:tcW w:w="4532" w:type="dxa"/>
            <w:gridSpan w:val="4"/>
            <w:tcBorders>
              <w:top w:val="single" w:color="auto" w:sz="4" w:space="0"/>
              <w:left w:val="single" w:color="auto" w:sz="4" w:space="0"/>
              <w:bottom w:val="single" w:color="auto" w:sz="4" w:space="0"/>
              <w:right w:val="single" w:color="auto" w:sz="4" w:space="0"/>
            </w:tcBorders>
            <w:vAlign w:val="center"/>
          </w:tcPr>
          <w:p w14:paraId="3C3DFCC1">
            <w:pPr>
              <w:pStyle w:val="16"/>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监理单位意见：</w:t>
            </w:r>
          </w:p>
          <w:p w14:paraId="5DB66222">
            <w:pPr>
              <w:pStyle w:val="16"/>
              <w:rPr>
                <w:rFonts w:hint="eastAsia" w:ascii="宋体" w:hAnsi="宋体" w:eastAsia="宋体" w:cs="宋体"/>
                <w:b w:val="0"/>
                <w:bCs w:val="0"/>
                <w:kern w:val="0"/>
                <w:sz w:val="21"/>
                <w:szCs w:val="21"/>
                <w:lang w:bidi="ar"/>
              </w:rPr>
            </w:pPr>
          </w:p>
          <w:p w14:paraId="1FC8C720">
            <w:pPr>
              <w:pStyle w:val="16"/>
              <w:rPr>
                <w:rFonts w:hint="eastAsia" w:ascii="宋体" w:hAnsi="宋体" w:eastAsia="宋体" w:cs="宋体"/>
                <w:b w:val="0"/>
                <w:bCs w:val="0"/>
                <w:kern w:val="0"/>
                <w:sz w:val="21"/>
                <w:szCs w:val="21"/>
                <w:lang w:bidi="ar"/>
              </w:rPr>
            </w:pPr>
          </w:p>
          <w:p w14:paraId="15ABBA5A">
            <w:pPr>
              <w:pStyle w:val="16"/>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总监或专业监理工程师（签字）：             （盖章）</w:t>
            </w:r>
          </w:p>
          <w:p w14:paraId="281606BE">
            <w:pPr>
              <w:pStyle w:val="16"/>
              <w:rPr>
                <w:rFonts w:hint="eastAsia" w:ascii="宋体" w:hAnsi="宋体" w:eastAsia="宋体" w:cs="宋体"/>
                <w:b w:val="0"/>
                <w:bCs w:val="0"/>
                <w:kern w:val="0"/>
                <w:sz w:val="21"/>
                <w:szCs w:val="21"/>
                <w:lang w:bidi="ar"/>
              </w:rPr>
            </w:pPr>
          </w:p>
          <w:p w14:paraId="4C0798B7">
            <w:pPr>
              <w:pStyle w:val="16"/>
              <w:rPr>
                <w:rFonts w:hint="eastAsia" w:ascii="宋体" w:hAnsi="宋体" w:eastAsia="宋体" w:cs="宋体"/>
                <w:b w:val="0"/>
                <w:bCs w:val="0"/>
                <w:sz w:val="21"/>
                <w:szCs w:val="21"/>
              </w:rPr>
            </w:pPr>
            <w:r>
              <w:rPr>
                <w:rFonts w:hint="eastAsia" w:ascii="宋体" w:hAnsi="宋体" w:eastAsia="宋体" w:cs="宋体"/>
                <w:b w:val="0"/>
                <w:bCs w:val="0"/>
                <w:kern w:val="0"/>
                <w:sz w:val="21"/>
                <w:szCs w:val="21"/>
                <w:lang w:bidi="ar"/>
              </w:rPr>
              <w:t>年   月   日</w:t>
            </w:r>
          </w:p>
        </w:tc>
      </w:tr>
    </w:tbl>
    <w:p w14:paraId="41BCCFBA"/>
    <w:p w14:paraId="105D7FD2">
      <w:pPr>
        <w:pStyle w:val="3"/>
        <w:bidi w:val="0"/>
        <w:rPr>
          <w:rFonts w:hint="eastAsia"/>
          <w:lang w:val="en-US" w:eastAsia="zh-CN"/>
        </w:rPr>
      </w:pPr>
      <w:bookmarkStart w:id="141" w:name="_Toc26622"/>
      <w:r>
        <w:rPr>
          <w:rFonts w:hint="eastAsia"/>
          <w:lang w:val="en-US" w:eastAsia="zh-CN"/>
        </w:rPr>
        <w:t>附件四：工序参考工效</w:t>
      </w:r>
      <w:bookmarkEnd w:id="138"/>
      <w:bookmarkEnd w:id="139"/>
      <w:bookmarkEnd w:id="140"/>
      <w:bookmarkEnd w:id="141"/>
    </w:p>
    <w:p w14:paraId="4AEAC8C9">
      <w:pPr>
        <w:spacing w:line="360" w:lineRule="auto"/>
        <w:ind w:firstLine="560"/>
        <w:rPr>
          <w:rFonts w:hint="eastAsia" w:ascii="仿宋" w:hAnsi="仿宋" w:eastAsia="仿宋" w:cs="仿宋"/>
          <w:color w:val="auto"/>
          <w:lang w:val="en-US" w:eastAsia="zh-CN"/>
        </w:rPr>
      </w:pPr>
      <w:r>
        <w:rPr>
          <w:rFonts w:hint="eastAsia" w:ascii="仿宋" w:hAnsi="仿宋" w:eastAsia="仿宋" w:cs="仿宋"/>
          <w:b/>
          <w:bCs/>
          <w:color w:val="auto"/>
          <w:sz w:val="28"/>
          <w:szCs w:val="28"/>
          <w:lang w:val="en-US" w:eastAsia="zh-CN"/>
        </w:rPr>
        <w:t>内容说明：</w:t>
      </w:r>
      <w:r>
        <w:rPr>
          <w:rFonts w:hint="eastAsia" w:ascii="仿宋" w:hAnsi="仿宋" w:eastAsia="仿宋" w:cs="仿宋"/>
          <w:color w:val="auto"/>
          <w:sz w:val="28"/>
          <w:szCs w:val="28"/>
          <w:lang w:val="en-US" w:eastAsia="zh-CN"/>
        </w:rPr>
        <w:t>每</w:t>
      </w:r>
      <w:r>
        <w:rPr>
          <w:rFonts w:hint="default" w:ascii="仿宋" w:hAnsi="仿宋" w:eastAsia="仿宋" w:cs="仿宋"/>
          <w:color w:val="auto"/>
          <w:sz w:val="28"/>
          <w:szCs w:val="28"/>
          <w:lang w:val="en-US" w:eastAsia="zh-CN"/>
        </w:rPr>
        <w:t>台塔吊的安装时间主要考虑基础施工时间及首节安装时间，根据项目部工期安排及承台施工时间安排基础及首节安装时间，其他时间随着构筑物的上升而相应设置（同时需根据天气及环境因素调整合适的时间）</w:t>
      </w:r>
    </w:p>
    <w:p w14:paraId="33682F6D">
      <w:pPr>
        <w:pStyle w:val="15"/>
        <w:rPr>
          <w:rFonts w:hint="default" w:eastAsia="黑体"/>
          <w:lang w:val="en-US" w:eastAsia="zh-CN"/>
        </w:rPr>
      </w:pPr>
      <w:r>
        <w:rPr>
          <w:rFonts w:hint="eastAsia"/>
          <w:lang w:val="en-US" w:eastAsia="zh-CN"/>
        </w:rPr>
        <w:t>塔吊安装施工计划</w:t>
      </w:r>
    </w:p>
    <w:tbl>
      <w:tblPr>
        <w:tblStyle w:val="28"/>
        <w:tblW w:w="4998" w:type="pct"/>
        <w:jc w:val="center"/>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Layout w:type="autofit"/>
        <w:tblCellMar>
          <w:top w:w="15" w:type="dxa"/>
          <w:left w:w="15" w:type="dxa"/>
          <w:bottom w:w="15" w:type="dxa"/>
          <w:right w:w="15" w:type="dxa"/>
        </w:tblCellMar>
      </w:tblPr>
      <w:tblGrid>
        <w:gridCol w:w="1800"/>
        <w:gridCol w:w="5783"/>
        <w:gridCol w:w="1877"/>
      </w:tblGrid>
      <w:tr w14:paraId="7115339E">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4007" w:type="pct"/>
            <w:gridSpan w:val="2"/>
            <w:shd w:val="clear" w:color="auto" w:fill="D4F4F1" w:themeFill="accent5" w:themeFillTint="32"/>
            <w:noWrap w:val="0"/>
            <w:vAlign w:val="center"/>
          </w:tcPr>
          <w:p w14:paraId="708639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工序</w:t>
            </w:r>
          </w:p>
        </w:tc>
        <w:tc>
          <w:tcPr>
            <w:tcW w:w="992" w:type="pct"/>
            <w:shd w:val="clear" w:color="auto" w:fill="D4F4F1" w:themeFill="accent5" w:themeFillTint="32"/>
            <w:noWrap w:val="0"/>
            <w:vAlign w:val="center"/>
          </w:tcPr>
          <w:p w14:paraId="4F8345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工 期（天）</w:t>
            </w:r>
          </w:p>
        </w:tc>
      </w:tr>
      <w:tr w14:paraId="74104814">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951" w:type="pct"/>
            <w:vMerge w:val="restart"/>
            <w:noWrap w:val="0"/>
            <w:vAlign w:val="center"/>
          </w:tcPr>
          <w:p w14:paraId="6644ACAA">
            <w:pPr>
              <w:pStyle w:val="16"/>
              <w:keepNext w:val="0"/>
              <w:pageBreakBefore w:val="0"/>
              <w:widowControl w:val="0"/>
              <w:kinsoku/>
              <w:wordWrap/>
              <w:overflowPunct/>
              <w:topLinePunct w:val="0"/>
              <w:autoSpaceDE/>
              <w:autoSpaceDN/>
              <w:bidi w:val="0"/>
              <w:adjustRightInd/>
              <w:snapToGrid/>
              <w:ind w:firstLine="0" w:firstLineChars="0"/>
              <w:textAlignment w:val="auto"/>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安装</w:t>
            </w:r>
          </w:p>
        </w:tc>
        <w:tc>
          <w:tcPr>
            <w:tcW w:w="3056" w:type="pct"/>
            <w:shd w:val="clear" w:color="auto" w:fill="auto"/>
            <w:noWrap w:val="0"/>
            <w:vAlign w:val="center"/>
          </w:tcPr>
          <w:p w14:paraId="4618A6D0">
            <w:pPr>
              <w:pStyle w:val="16"/>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b/>
                <w:bCs/>
                <w:color w:val="000000" w:themeColor="text1"/>
                <w:kern w:val="2"/>
                <w:sz w:val="21"/>
                <w:szCs w:val="21"/>
                <w:lang w:val="en-US" w:eastAsia="zh-CN" w:bidi="ar-SA"/>
                <w14:textFill>
                  <w14:solidFill>
                    <w14:schemeClr w14:val="tx1"/>
                  </w14:solidFill>
                </w14:textFill>
              </w:rPr>
            </w:pPr>
            <w:r>
              <w:rPr>
                <w:rFonts w:hint="eastAsia" w:ascii="仿宋" w:hAnsi="仿宋" w:eastAsia="仿宋" w:cs="仿宋"/>
                <w:kern w:val="2"/>
                <w:sz w:val="21"/>
                <w:szCs w:val="21"/>
                <w:lang w:val="en-US" w:eastAsia="zh-CN" w:bidi="ar-SA"/>
              </w:rPr>
              <w:t>基础节、标准节、爬升架</w:t>
            </w:r>
          </w:p>
        </w:tc>
        <w:tc>
          <w:tcPr>
            <w:tcW w:w="992" w:type="pct"/>
            <w:shd w:val="clear" w:color="auto" w:fill="auto"/>
            <w:noWrap w:val="0"/>
            <w:vAlign w:val="center"/>
          </w:tcPr>
          <w:p w14:paraId="344034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1</w:t>
            </w:r>
          </w:p>
        </w:tc>
      </w:tr>
      <w:tr w14:paraId="13C3EAA3">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951" w:type="pct"/>
            <w:vMerge w:val="continue"/>
            <w:noWrap w:val="0"/>
            <w:vAlign w:val="center"/>
          </w:tcPr>
          <w:p w14:paraId="0880D209">
            <w:pPr>
              <w:pStyle w:val="16"/>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p>
        </w:tc>
        <w:tc>
          <w:tcPr>
            <w:tcW w:w="3056" w:type="pct"/>
            <w:noWrap w:val="0"/>
            <w:vAlign w:val="center"/>
          </w:tcPr>
          <w:p w14:paraId="3FA5B550">
            <w:pPr>
              <w:pStyle w:val="16"/>
              <w:keepNext w:val="0"/>
              <w:pageBreakBefore w:val="0"/>
              <w:widowControl w:val="0"/>
              <w:kinsoku/>
              <w:wordWrap/>
              <w:overflowPunct/>
              <w:topLinePunct w:val="0"/>
              <w:autoSpaceDE/>
              <w:autoSpaceDN/>
              <w:bidi w:val="0"/>
              <w:adjustRightInd/>
              <w:snapToGrid/>
              <w:ind w:firstLine="0" w:firstLineChars="0"/>
              <w:textAlignment w:val="auto"/>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特殊节、回转总成，臂根节</w:t>
            </w:r>
          </w:p>
        </w:tc>
        <w:tc>
          <w:tcPr>
            <w:tcW w:w="992" w:type="pct"/>
            <w:noWrap w:val="0"/>
            <w:vAlign w:val="center"/>
          </w:tcPr>
          <w:p w14:paraId="05077F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r>
      <w:tr w14:paraId="1EC64550">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424" w:hRule="atLeast"/>
          <w:jc w:val="center"/>
        </w:trPr>
        <w:tc>
          <w:tcPr>
            <w:tcW w:w="951" w:type="pct"/>
            <w:vMerge w:val="continue"/>
            <w:noWrap w:val="0"/>
            <w:vAlign w:val="center"/>
          </w:tcPr>
          <w:p w14:paraId="6403437F">
            <w:pPr>
              <w:pStyle w:val="16"/>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p>
        </w:tc>
        <w:tc>
          <w:tcPr>
            <w:tcW w:w="3056" w:type="pct"/>
            <w:noWrap w:val="0"/>
            <w:vAlign w:val="center"/>
          </w:tcPr>
          <w:p w14:paraId="58EC694C">
            <w:pPr>
              <w:pStyle w:val="16"/>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平衡臂、平衡重、起重臂、钢丝绳</w:t>
            </w:r>
          </w:p>
        </w:tc>
        <w:tc>
          <w:tcPr>
            <w:tcW w:w="992" w:type="pct"/>
            <w:noWrap w:val="0"/>
            <w:vAlign w:val="center"/>
          </w:tcPr>
          <w:p w14:paraId="772D9F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r>
      <w:tr w14:paraId="73365B50">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951" w:type="pct"/>
            <w:vMerge w:val="continue"/>
            <w:noWrap w:val="0"/>
            <w:vAlign w:val="center"/>
          </w:tcPr>
          <w:p w14:paraId="06112CC5">
            <w:pPr>
              <w:pStyle w:val="16"/>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p>
        </w:tc>
        <w:tc>
          <w:tcPr>
            <w:tcW w:w="3056" w:type="pct"/>
            <w:noWrap w:val="0"/>
            <w:vAlign w:val="center"/>
          </w:tcPr>
          <w:p w14:paraId="2AE34302">
            <w:pPr>
              <w:pStyle w:val="16"/>
              <w:keepNext w:val="0"/>
              <w:pageBreakBefore w:val="0"/>
              <w:widowControl w:val="0"/>
              <w:kinsoku/>
              <w:wordWrap/>
              <w:overflowPunct/>
              <w:topLinePunct w:val="0"/>
              <w:autoSpaceDE/>
              <w:autoSpaceDN/>
              <w:bidi w:val="0"/>
              <w:adjustRightInd/>
              <w:snapToGrid/>
              <w:ind w:firstLine="0" w:firstLineChars="0"/>
              <w:textAlignment w:val="auto"/>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顶升加节</w:t>
            </w:r>
          </w:p>
        </w:tc>
        <w:tc>
          <w:tcPr>
            <w:tcW w:w="992" w:type="pct"/>
            <w:noWrap w:val="0"/>
            <w:vAlign w:val="center"/>
          </w:tcPr>
          <w:p w14:paraId="4881B5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r>
      <w:tr w14:paraId="5B320900">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4007" w:type="pct"/>
            <w:gridSpan w:val="2"/>
            <w:noWrap w:val="0"/>
            <w:vAlign w:val="center"/>
          </w:tcPr>
          <w:p w14:paraId="19EA58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lang w:val="en-US" w:eastAsia="zh-CN"/>
              </w:rPr>
            </w:pPr>
            <w:r>
              <w:rPr>
                <w:rFonts w:hint="eastAsia" w:ascii="仿宋" w:hAnsi="仿宋" w:eastAsia="仿宋" w:cs="仿宋"/>
                <w:b/>
                <w:bCs/>
                <w:color w:val="000000" w:themeColor="text1"/>
                <w:kern w:val="2"/>
                <w:sz w:val="21"/>
                <w:szCs w:val="21"/>
                <w:lang w:val="en-US" w:eastAsia="zh-CN" w:bidi="ar-SA"/>
                <w14:textFill>
                  <w14:solidFill>
                    <w14:schemeClr w14:val="tx1"/>
                  </w14:solidFill>
                </w14:textFill>
              </w:rPr>
              <w:t>工期</w:t>
            </w:r>
          </w:p>
        </w:tc>
        <w:tc>
          <w:tcPr>
            <w:tcW w:w="992" w:type="pct"/>
            <w:noWrap w:val="0"/>
            <w:vAlign w:val="center"/>
          </w:tcPr>
          <w:p w14:paraId="172C0C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w:t>
            </w:r>
          </w:p>
        </w:tc>
      </w:tr>
    </w:tbl>
    <w:p w14:paraId="453A4F57">
      <w:pPr>
        <w:pStyle w:val="14"/>
        <w:spacing w:line="360" w:lineRule="auto"/>
        <w:ind w:left="0" w:leftChars="0" w:firstLine="0" w:firstLineChars="0"/>
        <w:rPr>
          <w:rFonts w:hint="default" w:ascii="仿宋" w:hAnsi="仿宋" w:eastAsia="仿宋" w:cs="仿宋"/>
          <w:color w:val="auto"/>
          <w:lang w:val="en-US" w:eastAsia="zh-CN"/>
        </w:rPr>
      </w:pPr>
    </w:p>
    <w:sectPr>
      <w:pgSz w:w="11906" w:h="16838"/>
      <w:pgMar w:top="1440" w:right="1236" w:bottom="1440" w:left="1236"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ISOCT">
    <w:panose1 w:val="00000400000000000000"/>
    <w:charset w:val="00"/>
    <w:family w:val="auto"/>
    <w:pitch w:val="default"/>
    <w:sig w:usb0="00000007" w:usb1="00000000" w:usb2="00000000" w:usb3="00000000" w:csb0="000001FF" w:csb1="00000000"/>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4B1F5">
    <w:pPr>
      <w:pStyle w:val="2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6ACE4">
    <w:pPr>
      <w:pStyle w:val="21"/>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D46C7F">
                          <w:pPr>
                            <w:pStyle w:val="21"/>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1D46C7F">
                    <w:pPr>
                      <w:pStyle w:val="21"/>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8C536">
    <w:pPr>
      <w:pStyle w:val="22"/>
      <w:pBdr>
        <w:top w:val="none" w:color="auto" w:sz="0" w:space="0"/>
        <w:left w:val="none" w:color="auto" w:sz="0" w:space="0"/>
        <w:bottom w:val="none" w:color="auto" w:sz="0" w:space="1"/>
        <w:right w:val="none" w:color="auto" w:sz="0" w:space="0"/>
        <w:between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71427">
    <w:pPr>
      <w:pStyle w:val="22"/>
      <w:keepNext w:val="0"/>
      <w:keepLines w:val="0"/>
      <w:pageBreakBefore w:val="0"/>
      <w:widowControl w:val="0"/>
      <w:pBdr>
        <w:top w:val="none" w:color="auto" w:sz="0" w:space="1"/>
        <w:left w:val="none" w:color="auto" w:sz="0" w:space="4"/>
        <w:bottom w:val="none" w:color="auto" w:sz="0" w:space="0"/>
        <w:right w:val="none" w:color="auto" w:sz="0" w:space="4"/>
        <w:between w:val="none" w:color="auto" w:sz="0" w:space="0"/>
      </w:pBdr>
      <w:kinsoku/>
      <w:wordWrap/>
      <w:overflowPunct/>
      <w:topLinePunct w:val="0"/>
      <w:autoSpaceDE/>
      <w:autoSpaceDN/>
      <w:bidi w:val="0"/>
      <w:adjustRightInd/>
      <w:snapToGrid/>
      <w:spacing w:line="240" w:lineRule="auto"/>
      <w:ind w:firstLine="0" w:firstLineChars="0"/>
      <w:jc w:val="both"/>
      <w:textAlignment w:val="auto"/>
    </w:pPr>
    <w:r>
      <w:rPr>
        <w:rFonts w:hint="eastAsia" w:ascii="楷体_GB2312" w:eastAsia="楷体_GB2312"/>
        <w:sz w:val="21"/>
        <w:szCs w:val="21"/>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9333F">
    <w:pPr>
      <w:pStyle w:val="22"/>
      <w:keepNext w:val="0"/>
      <w:keepLines w:val="0"/>
      <w:pageBreakBefore w:val="0"/>
      <w:widowControl w:val="0"/>
      <w:pBdr>
        <w:top w:val="none" w:color="auto" w:sz="0" w:space="1"/>
        <w:left w:val="none" w:color="auto" w:sz="0" w:space="4"/>
        <w:bottom w:val="none" w:color="auto" w:sz="0" w:space="0"/>
        <w:right w:val="none" w:color="auto" w:sz="0" w:space="4"/>
        <w:between w:val="none" w:color="auto" w:sz="0" w:space="0"/>
      </w:pBdr>
      <w:kinsoku/>
      <w:wordWrap/>
      <w:overflowPunct/>
      <w:topLinePunct w:val="0"/>
      <w:autoSpaceDE/>
      <w:autoSpaceDN/>
      <w:bidi w:val="0"/>
      <w:adjustRightInd/>
      <w:snapToGrid/>
      <w:spacing w:line="240" w:lineRule="auto"/>
      <w:ind w:firstLine="0" w:firstLineChars="0"/>
      <w:jc w:val="both"/>
      <w:textAlignment w:val="auto"/>
    </w:pPr>
    <w:r>
      <w:rPr>
        <w:rFonts w:hint="eastAsia" w:ascii="楷体_GB2312" w:eastAsia="楷体_GB2312"/>
        <w:sz w:val="21"/>
        <w:szCs w:val="21"/>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487062"/>
    <w:multiLevelType w:val="multilevel"/>
    <w:tmpl w:val="E4487062"/>
    <w:lvl w:ilvl="0" w:tentative="0">
      <w:start w:val="1"/>
      <w:numFmt w:val="decimal"/>
      <w:lvlText w:val="%1."/>
      <w:lvlJc w:val="left"/>
      <w:pPr>
        <w:ind w:left="425" w:hanging="425"/>
      </w:pPr>
      <w:rPr>
        <w:rFonts w:hint="default" w:ascii="微软雅黑" w:hAnsi="微软雅黑" w:eastAsia="微软雅黑"/>
      </w:rPr>
    </w:lvl>
    <w:lvl w:ilvl="1" w:tentative="0">
      <w:start w:val="1"/>
      <w:numFmt w:val="decimal"/>
      <w:lvlText w:val="%1.%2."/>
      <w:lvlJc w:val="left"/>
      <w:pPr>
        <w:ind w:left="567" w:hanging="567"/>
      </w:pPr>
      <w:rPr>
        <w:rFonts w:hint="default" w:ascii="微软雅黑" w:hAnsi="微软雅黑" w:eastAsia="微软雅黑"/>
      </w:rPr>
    </w:lvl>
    <w:lvl w:ilvl="2" w:tentative="0">
      <w:start w:val="1"/>
      <w:numFmt w:val="decimal"/>
      <w:lvlText w:val="%1.%2.%3."/>
      <w:lvlJc w:val="left"/>
      <w:pPr>
        <w:ind w:left="709" w:hanging="709"/>
      </w:pPr>
      <w:rPr>
        <w:rFonts w:hint="default" w:ascii="微软雅黑" w:hAnsi="微软雅黑" w:eastAsia="微软雅黑"/>
      </w:rPr>
    </w:lvl>
    <w:lvl w:ilvl="3" w:tentative="0">
      <w:start w:val="1"/>
      <w:numFmt w:val="decimal"/>
      <w:lvlText w:val="%1.%2.%3.%4."/>
      <w:lvlJc w:val="left"/>
      <w:pPr>
        <w:ind w:left="850" w:hanging="850"/>
      </w:pPr>
      <w:rPr>
        <w:rFonts w:hint="default" w:ascii="微软雅黑" w:hAnsi="微软雅黑" w:eastAsia="微软雅黑"/>
      </w:rPr>
    </w:lvl>
    <w:lvl w:ilvl="4" w:tentative="0">
      <w:start w:val="1"/>
      <w:numFmt w:val="decimal"/>
      <w:pStyle w:val="7"/>
      <w:lvlText w:val="%1.%2.%3.%4.%5."/>
      <w:lvlJc w:val="left"/>
      <w:pPr>
        <w:ind w:left="991" w:hanging="991"/>
      </w:pPr>
      <w:rPr>
        <w:rFonts w:hint="default" w:ascii="微软雅黑" w:hAnsi="微软雅黑" w:eastAsia="微软雅黑"/>
      </w:rPr>
    </w:lvl>
    <w:lvl w:ilvl="5" w:tentative="0">
      <w:start w:val="1"/>
      <w:numFmt w:val="decimal"/>
      <w:pStyle w:val="8"/>
      <w:lvlText w:val="%1.%2.%3.%4.%5.%6."/>
      <w:lvlJc w:val="left"/>
      <w:pPr>
        <w:ind w:left="1134" w:hanging="1134"/>
      </w:pPr>
      <w:rPr>
        <w:rFonts w:hint="default"/>
      </w:rPr>
    </w:lvl>
    <w:lvl w:ilvl="6" w:tentative="0">
      <w:start w:val="1"/>
      <w:numFmt w:val="decimal"/>
      <w:pStyle w:val="9"/>
      <w:lvlText w:val="%1.%2.%3.%4.%5.%6.%7."/>
      <w:lvlJc w:val="left"/>
      <w:pPr>
        <w:ind w:left="1275" w:hanging="1275"/>
      </w:pPr>
      <w:rPr>
        <w:rFonts w:hint="default"/>
      </w:rPr>
    </w:lvl>
    <w:lvl w:ilvl="7" w:tentative="0">
      <w:start w:val="1"/>
      <w:numFmt w:val="decimal"/>
      <w:pStyle w:val="10"/>
      <w:lvlText w:val="%1.%2.%3.%4.%5.%6.%7.%8."/>
      <w:lvlJc w:val="left"/>
      <w:pPr>
        <w:ind w:left="1418" w:hanging="1418"/>
      </w:pPr>
      <w:rPr>
        <w:rFonts w:hint="default"/>
      </w:rPr>
    </w:lvl>
    <w:lvl w:ilvl="8" w:tentative="0">
      <w:start w:val="1"/>
      <w:numFmt w:val="decimal"/>
      <w:pStyle w:val="11"/>
      <w:lvlText w:val="%1.%2.%3.%4.%5.%6.%7.%8.%9."/>
      <w:lvlJc w:val="left"/>
      <w:pPr>
        <w:ind w:left="1558" w:hanging="1558"/>
      </w:pPr>
      <w:rPr>
        <w:rFonts w:hint="default"/>
      </w:rPr>
    </w:lvl>
  </w:abstractNum>
  <w:abstractNum w:abstractNumId="1">
    <w:nsid w:val="0BA2A609"/>
    <w:multiLevelType w:val="multilevel"/>
    <w:tmpl w:val="0BA2A609"/>
    <w:lvl w:ilvl="0" w:tentative="0">
      <w:start w:val="2"/>
      <w:numFmt w:val="decimal"/>
      <w:lvlText w:val="%1."/>
      <w:lvlJc w:val="left"/>
      <w:pPr>
        <w:ind w:left="425" w:hanging="425"/>
      </w:pPr>
      <w:rPr>
        <w:rFonts w:hint="default"/>
      </w:rPr>
    </w:lvl>
    <w:lvl w:ilvl="1" w:tentative="0">
      <w:start w:val="1"/>
      <w:numFmt w:val="decimal"/>
      <w:suff w:val="nothing"/>
      <w:lvlText w:val="%1.%2."/>
      <w:lvlJc w:val="left"/>
      <w:pPr>
        <w:ind w:left="567" w:hanging="567"/>
      </w:pPr>
      <w:rPr>
        <w:rFonts w:hint="default"/>
      </w:rPr>
    </w:lvl>
    <w:lvl w:ilvl="2" w:tentative="0">
      <w:start w:val="1"/>
      <w:numFmt w:val="decimal"/>
      <w:suff w:val="nothing"/>
      <w:lvlText w:val="%1.%2.%3."/>
      <w:lvlJc w:val="left"/>
      <w:pPr>
        <w:ind w:left="0" w:leftChars="0" w:firstLine="0" w:firstLineChars="0"/>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300C7EC9"/>
    <w:multiLevelType w:val="multilevel"/>
    <w:tmpl w:val="300C7EC9"/>
    <w:lvl w:ilvl="0" w:tentative="0">
      <w:start w:val="1"/>
      <w:numFmt w:val="decimal"/>
      <w:suff w:val="space"/>
      <w:lvlText w:val="%1"/>
      <w:lvlJc w:val="left"/>
      <w:pPr>
        <w:ind w:left="0" w:firstLine="0"/>
      </w:pPr>
      <w:rPr>
        <w:rFonts w:hint="eastAsia" w:ascii="宋体" w:hAnsi="宋体" w:eastAsia="宋体"/>
        <w:b/>
        <w:i w:val="0"/>
        <w:color w:val="auto"/>
        <w:sz w:val="30"/>
      </w:rPr>
    </w:lvl>
    <w:lvl w:ilvl="1" w:tentative="0">
      <w:start w:val="1"/>
      <w:numFmt w:val="decimal"/>
      <w:isLgl/>
      <w:suff w:val="space"/>
      <w:lvlText w:val="%1.%2"/>
      <w:lvlJc w:val="left"/>
      <w:pPr>
        <w:ind w:left="0" w:firstLine="0"/>
      </w:pPr>
      <w:rPr>
        <w:rFonts w:hint="eastAsia" w:ascii="宋体" w:hAnsi="宋体" w:eastAsia="宋体"/>
        <w:b/>
        <w:i w:val="0"/>
        <w:color w:val="000000"/>
        <w:sz w:val="24"/>
      </w:rPr>
    </w:lvl>
    <w:lvl w:ilvl="2" w:tentative="0">
      <w:start w:val="1"/>
      <w:numFmt w:val="decimal"/>
      <w:pStyle w:val="32"/>
      <w:isLgl/>
      <w:suff w:val="space"/>
      <w:lvlText w:val="%1.%2.%3"/>
      <w:lvlJc w:val="left"/>
      <w:pPr>
        <w:ind w:left="0" w:firstLine="0"/>
      </w:pPr>
      <w:rPr>
        <w:rFonts w:hint="eastAsia" w:ascii="宋体" w:hAnsi="宋体"/>
        <w:b/>
        <w:bCs/>
        <w:i w:val="0"/>
        <w:iCs w:val="0"/>
        <w:caps w:val="0"/>
        <w:smallCaps w:val="0"/>
        <w:strike w:val="0"/>
        <w:dstrike w:val="0"/>
        <w:vanish w:val="0"/>
        <w:color w:val="000000"/>
        <w:spacing w:val="0"/>
        <w:position w:val="0"/>
        <w:sz w:val="24"/>
        <w:u w:val="none"/>
        <w:vertAlign w:val="baseline"/>
      </w:rPr>
    </w:lvl>
    <w:lvl w:ilvl="3" w:tentative="0">
      <w:start w:val="1"/>
      <w:numFmt w:val="decimal"/>
      <w:isLgl/>
      <w:suff w:val="space"/>
      <w:lvlText w:val="%1.%2.%3.%4"/>
      <w:lvlJc w:val="left"/>
      <w:pPr>
        <w:ind w:left="0" w:firstLine="0"/>
      </w:pPr>
      <w:rPr>
        <w:rFonts w:hint="eastAsia" w:ascii="宋体" w:hAnsi="宋体" w:cs="Times New Roman"/>
        <w:b/>
        <w:bCs/>
        <w:i w:val="0"/>
        <w:iCs w:val="0"/>
        <w:caps w:val="0"/>
        <w:smallCaps w:val="0"/>
        <w:strike w:val="0"/>
        <w:dstrike w:val="0"/>
        <w:vanish w:val="0"/>
        <w:color w:val="000000"/>
        <w:spacing w:val="0"/>
        <w:kern w:val="0"/>
        <w:position w:val="0"/>
        <w:sz w:val="24"/>
        <w:u w:val="none"/>
        <w:vertAlign w:val="baseline"/>
      </w:rPr>
    </w:lvl>
    <w:lvl w:ilvl="4" w:tentative="0">
      <w:start w:val="1"/>
      <w:numFmt w:val="decimal"/>
      <w:suff w:val="space"/>
      <w:lvlText w:val="%1.%2.%3.%4.%5"/>
      <w:lvlJc w:val="left"/>
      <w:pPr>
        <w:ind w:left="0" w:firstLine="0"/>
      </w:pPr>
      <w:rPr>
        <w:rFonts w:hint="eastAsia" w:ascii="宋体" w:hAnsi="宋体" w:eastAsia="宋体"/>
        <w:b/>
        <w:i w:val="0"/>
        <w:color w:val="000000"/>
        <w:sz w:val="24"/>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3">
    <w:nsid w:val="47242BD0"/>
    <w:multiLevelType w:val="multilevel"/>
    <w:tmpl w:val="47242BD0"/>
    <w:lvl w:ilvl="0" w:tentative="0">
      <w:start w:val="2"/>
      <w:numFmt w:val="decimal"/>
      <w:suff w:val="space"/>
      <w:lvlText w:val="%1"/>
      <w:lvlJc w:val="left"/>
      <w:pPr>
        <w:tabs>
          <w:tab w:val="left" w:pos="0"/>
        </w:tabs>
        <w:ind w:left="0" w:firstLine="0"/>
      </w:pPr>
      <w:rPr>
        <w:rFonts w:hint="default" w:ascii="宋体" w:hAnsi="宋体" w:eastAsia="宋体"/>
        <w:b/>
        <w:i w:val="0"/>
        <w:color w:val="0000FF"/>
        <w:sz w:val="30"/>
      </w:rPr>
    </w:lvl>
    <w:lvl w:ilvl="1" w:tentative="0">
      <w:start w:val="1"/>
      <w:numFmt w:val="decimal"/>
      <w:isLgl/>
      <w:suff w:val="space"/>
      <w:lvlText w:val="%1.%2"/>
      <w:lvlJc w:val="left"/>
      <w:pPr>
        <w:ind w:left="0" w:firstLine="0"/>
      </w:pPr>
      <w:rPr>
        <w:rFonts w:hint="eastAsia" w:ascii="宋体" w:hAnsi="宋体" w:eastAsia="宋体"/>
        <w:b/>
        <w:i w:val="0"/>
        <w:color w:val="000000"/>
        <w:sz w:val="24"/>
      </w:rPr>
    </w:lvl>
    <w:lvl w:ilvl="2" w:tentative="0">
      <w:start w:val="1"/>
      <w:numFmt w:val="decimal"/>
      <w:isLgl/>
      <w:suff w:val="space"/>
      <w:lvlText w:val="%1.%2.%3"/>
      <w:lvlJc w:val="left"/>
      <w:pPr>
        <w:ind w:left="0" w:firstLine="0"/>
      </w:pPr>
      <w:rPr>
        <w:rFonts w:hint="eastAsia" w:ascii="宋体" w:hAnsi="宋体"/>
        <w:b/>
        <w:bCs/>
        <w:i w:val="0"/>
        <w:iCs w:val="0"/>
        <w:caps w:val="0"/>
        <w:smallCaps w:val="0"/>
        <w:strike w:val="0"/>
        <w:dstrike w:val="0"/>
        <w:vanish w:val="0"/>
        <w:color w:val="000000"/>
        <w:spacing w:val="0"/>
        <w:position w:val="0"/>
        <w:sz w:val="24"/>
        <w:u w:val="none"/>
        <w:vertAlign w:val="baseline"/>
      </w:rPr>
    </w:lvl>
    <w:lvl w:ilvl="3" w:tentative="0">
      <w:start w:val="1"/>
      <w:numFmt w:val="decimal"/>
      <w:isLgl/>
      <w:suff w:val="space"/>
      <w:lvlText w:val="%1.%2.%3.%4"/>
      <w:lvlJc w:val="left"/>
      <w:pPr>
        <w:ind w:left="0" w:firstLine="0"/>
      </w:pPr>
      <w:rPr>
        <w:rFonts w:hint="eastAsia" w:ascii="宋体" w:hAnsi="宋体" w:cs="Times New Roman"/>
        <w:b/>
        <w:bCs/>
        <w:i w:val="0"/>
        <w:iCs w:val="0"/>
        <w:caps w:val="0"/>
        <w:smallCaps w:val="0"/>
        <w:strike w:val="0"/>
        <w:dstrike w:val="0"/>
        <w:vanish w:val="0"/>
        <w:color w:val="000000"/>
        <w:spacing w:val="0"/>
        <w:kern w:val="0"/>
        <w:position w:val="0"/>
        <w:sz w:val="24"/>
        <w:u w:val="none"/>
        <w:vertAlign w:val="baseline"/>
      </w:rPr>
    </w:lvl>
    <w:lvl w:ilvl="4" w:tentative="0">
      <w:start w:val="1"/>
      <w:numFmt w:val="decimal"/>
      <w:suff w:val="space"/>
      <w:lvlText w:val="%1.%2.%3.%4.%5"/>
      <w:lvlJc w:val="left"/>
      <w:pPr>
        <w:ind w:left="0" w:firstLine="0"/>
      </w:pPr>
      <w:rPr>
        <w:rFonts w:hint="eastAsia" w:ascii="宋体" w:hAnsi="宋体" w:eastAsia="宋体"/>
        <w:b/>
        <w:i w:val="0"/>
        <w:color w:val="000000"/>
        <w:sz w:val="24"/>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4">
    <w:nsid w:val="5CF49B8C"/>
    <w:multiLevelType w:val="singleLevel"/>
    <w:tmpl w:val="5CF49B8C"/>
    <w:lvl w:ilvl="0" w:tentative="0">
      <w:start w:val="1"/>
      <w:numFmt w:val="decimal"/>
      <w:suff w:val="nothing"/>
      <w:lvlText w:val="%1"/>
      <w:lvlJc w:val="left"/>
      <w:pPr>
        <w:tabs>
          <w:tab w:val="left" w:pos="0"/>
        </w:tabs>
        <w:ind w:left="0" w:leftChars="0" w:firstLine="0" w:firstLineChars="0"/>
      </w:pPr>
      <w:rPr>
        <w:rFont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6269C6"/>
    <w:rsid w:val="00BA7CA7"/>
    <w:rsid w:val="02BA49FA"/>
    <w:rsid w:val="02C40969"/>
    <w:rsid w:val="02EB4148"/>
    <w:rsid w:val="03C07B58"/>
    <w:rsid w:val="043B7CF6"/>
    <w:rsid w:val="053A4D56"/>
    <w:rsid w:val="07006FA3"/>
    <w:rsid w:val="097B73B5"/>
    <w:rsid w:val="09C94AB7"/>
    <w:rsid w:val="0A0750BB"/>
    <w:rsid w:val="0AEC3153"/>
    <w:rsid w:val="0AF112FD"/>
    <w:rsid w:val="0DD13BC6"/>
    <w:rsid w:val="0E8530AF"/>
    <w:rsid w:val="0E8611C8"/>
    <w:rsid w:val="0E9C6845"/>
    <w:rsid w:val="0ED2440E"/>
    <w:rsid w:val="0FB66492"/>
    <w:rsid w:val="107C6D27"/>
    <w:rsid w:val="11400705"/>
    <w:rsid w:val="11D72E87"/>
    <w:rsid w:val="122E4051"/>
    <w:rsid w:val="12D93FBD"/>
    <w:rsid w:val="14B101D2"/>
    <w:rsid w:val="155B5152"/>
    <w:rsid w:val="17E717E0"/>
    <w:rsid w:val="19A37470"/>
    <w:rsid w:val="1A7A165A"/>
    <w:rsid w:val="1B495A57"/>
    <w:rsid w:val="1B724934"/>
    <w:rsid w:val="1B8448F8"/>
    <w:rsid w:val="1C4954A8"/>
    <w:rsid w:val="1D097256"/>
    <w:rsid w:val="1D1125BF"/>
    <w:rsid w:val="1E1B2B3C"/>
    <w:rsid w:val="1ECD61C2"/>
    <w:rsid w:val="1EFB52BB"/>
    <w:rsid w:val="1F3A074E"/>
    <w:rsid w:val="1F521A61"/>
    <w:rsid w:val="1FB25809"/>
    <w:rsid w:val="204F4FBC"/>
    <w:rsid w:val="213539EE"/>
    <w:rsid w:val="24151124"/>
    <w:rsid w:val="25DA3E7C"/>
    <w:rsid w:val="268661F7"/>
    <w:rsid w:val="283D7E81"/>
    <w:rsid w:val="293E5DCA"/>
    <w:rsid w:val="294A6DC7"/>
    <w:rsid w:val="29766DCC"/>
    <w:rsid w:val="2B567E47"/>
    <w:rsid w:val="2EBD27EC"/>
    <w:rsid w:val="2FE31DE5"/>
    <w:rsid w:val="317F1A54"/>
    <w:rsid w:val="31EC573B"/>
    <w:rsid w:val="322028F1"/>
    <w:rsid w:val="33245CBD"/>
    <w:rsid w:val="357A03C4"/>
    <w:rsid w:val="364B7A83"/>
    <w:rsid w:val="371B2122"/>
    <w:rsid w:val="371B361D"/>
    <w:rsid w:val="39C11B7F"/>
    <w:rsid w:val="39D32C64"/>
    <w:rsid w:val="3B9E2D5F"/>
    <w:rsid w:val="3F743FC9"/>
    <w:rsid w:val="3FCF5D54"/>
    <w:rsid w:val="3FEA7202"/>
    <w:rsid w:val="414C5861"/>
    <w:rsid w:val="42146583"/>
    <w:rsid w:val="42613D77"/>
    <w:rsid w:val="44BD02DA"/>
    <w:rsid w:val="4541761C"/>
    <w:rsid w:val="46560EA5"/>
    <w:rsid w:val="46AE329E"/>
    <w:rsid w:val="481E56FF"/>
    <w:rsid w:val="489803A9"/>
    <w:rsid w:val="49F807DC"/>
    <w:rsid w:val="4A45370A"/>
    <w:rsid w:val="4B0B5835"/>
    <w:rsid w:val="4B9B2D83"/>
    <w:rsid w:val="4C6A664B"/>
    <w:rsid w:val="4EC07B5F"/>
    <w:rsid w:val="50020B50"/>
    <w:rsid w:val="50813520"/>
    <w:rsid w:val="54DD7D86"/>
    <w:rsid w:val="55CA2106"/>
    <w:rsid w:val="57D45054"/>
    <w:rsid w:val="593212FE"/>
    <w:rsid w:val="59E01002"/>
    <w:rsid w:val="5BFE196B"/>
    <w:rsid w:val="607E39E0"/>
    <w:rsid w:val="62F647DD"/>
    <w:rsid w:val="646269C6"/>
    <w:rsid w:val="64D11F7B"/>
    <w:rsid w:val="66CA7019"/>
    <w:rsid w:val="676E7F3D"/>
    <w:rsid w:val="68010AE0"/>
    <w:rsid w:val="696C13D9"/>
    <w:rsid w:val="69740693"/>
    <w:rsid w:val="6A8B7E5B"/>
    <w:rsid w:val="6AE218D7"/>
    <w:rsid w:val="6C5C14B3"/>
    <w:rsid w:val="6C866EFE"/>
    <w:rsid w:val="6DD62748"/>
    <w:rsid w:val="70241EE0"/>
    <w:rsid w:val="70651BCC"/>
    <w:rsid w:val="70DA7C66"/>
    <w:rsid w:val="7301673F"/>
    <w:rsid w:val="73CE3FD7"/>
    <w:rsid w:val="743C5BB1"/>
    <w:rsid w:val="76107D30"/>
    <w:rsid w:val="765B20CA"/>
    <w:rsid w:val="77F933B9"/>
    <w:rsid w:val="78281DF2"/>
    <w:rsid w:val="791D56CF"/>
    <w:rsid w:val="793D48A8"/>
    <w:rsid w:val="7C395C9C"/>
    <w:rsid w:val="7E9837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39"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5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Calibri" w:hAnsi="Calibri" w:eastAsia="宋体" w:cs="Times New Roman"/>
      <w:kern w:val="2"/>
      <w:sz w:val="24"/>
      <w:szCs w:val="22"/>
      <w:lang w:val="en-US" w:eastAsia="zh-CN" w:bidi="ar-SA"/>
    </w:rPr>
  </w:style>
  <w:style w:type="paragraph" w:styleId="2">
    <w:name w:val="heading 1"/>
    <w:basedOn w:val="1"/>
    <w:next w:val="1"/>
    <w:qFormat/>
    <w:uiPriority w:val="0"/>
    <w:pPr>
      <w:keepNext/>
      <w:keepLines/>
      <w:tabs>
        <w:tab w:val="left" w:pos="0"/>
      </w:tabs>
      <w:spacing w:line="288" w:lineRule="auto"/>
      <w:jc w:val="left"/>
      <w:outlineLvl w:val="0"/>
    </w:pPr>
    <w:rPr>
      <w:rFonts w:ascii="宋体" w:hAnsi="宋体" w:eastAsia="宋体" w:cs="宋体"/>
      <w:b/>
      <w:bCs/>
      <w:color w:val="0000D9"/>
      <w:kern w:val="44"/>
      <w:sz w:val="28"/>
    </w:rPr>
  </w:style>
  <w:style w:type="paragraph" w:styleId="3">
    <w:name w:val="heading 2"/>
    <w:basedOn w:val="1"/>
    <w:next w:val="1"/>
    <w:link w:val="33"/>
    <w:unhideWhenUsed/>
    <w:qFormat/>
    <w:uiPriority w:val="0"/>
    <w:pPr>
      <w:tabs>
        <w:tab w:val="left" w:pos="240"/>
      </w:tabs>
      <w:spacing w:before="30" w:beforeLines="30"/>
      <w:ind w:leftChars="0" w:firstLine="0" w:firstLineChars="0"/>
      <w:jc w:val="left"/>
      <w:outlineLvl w:val="1"/>
    </w:pPr>
    <w:rPr>
      <w:rFonts w:ascii="宋体" w:hAnsi="宋体" w:eastAsia="宋体" w:cs="宋体"/>
      <w:b/>
      <w:color w:val="0000D9"/>
    </w:rPr>
  </w:style>
  <w:style w:type="paragraph" w:styleId="4">
    <w:name w:val="heading 3"/>
    <w:basedOn w:val="3"/>
    <w:next w:val="1"/>
    <w:unhideWhenUsed/>
    <w:qFormat/>
    <w:uiPriority w:val="0"/>
    <w:pPr>
      <w:tabs>
        <w:tab w:val="left" w:pos="312"/>
        <w:tab w:val="clear" w:pos="240"/>
      </w:tabs>
      <w:spacing w:line="360" w:lineRule="auto"/>
      <w:ind w:left="709" w:hanging="709"/>
      <w:outlineLvl w:val="2"/>
    </w:pPr>
    <w:rPr>
      <w:rFonts w:ascii="宋体" w:hAnsi="宋体" w:eastAsia="宋体" w:cs="宋体"/>
      <w:color w:val="0000D9"/>
      <w:szCs w:val="30"/>
    </w:rPr>
  </w:style>
  <w:style w:type="paragraph" w:styleId="5">
    <w:name w:val="heading 4"/>
    <w:basedOn w:val="6"/>
    <w:next w:val="1"/>
    <w:unhideWhenUsed/>
    <w:qFormat/>
    <w:uiPriority w:val="0"/>
    <w:pPr>
      <w:tabs>
        <w:tab w:val="left" w:pos="0"/>
      </w:tabs>
      <w:spacing w:line="360" w:lineRule="auto"/>
      <w:ind w:left="850" w:hanging="850"/>
      <w:outlineLvl w:val="3"/>
    </w:pPr>
    <w:rPr>
      <w:rFonts w:ascii="宋体" w:hAnsi="宋体" w:eastAsia="宋体" w:cs="宋体"/>
      <w:color w:val="0000D9"/>
    </w:rPr>
  </w:style>
  <w:style w:type="paragraph" w:styleId="7">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991" w:hanging="991"/>
      <w:outlineLvl w:val="4"/>
    </w:pPr>
    <w:rPr>
      <w:b/>
      <w:sz w:val="28"/>
    </w:rPr>
  </w:style>
  <w:style w:type="paragraph" w:styleId="8">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34" w:hanging="1134"/>
      <w:outlineLvl w:val="5"/>
    </w:pPr>
    <w:rPr>
      <w:rFonts w:ascii="Arial" w:hAnsi="Arial" w:eastAsia="黑体"/>
      <w:b/>
      <w:sz w:val="24"/>
    </w:rPr>
  </w:style>
  <w:style w:type="paragraph" w:styleId="9">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75" w:hanging="1275"/>
      <w:outlineLvl w:val="6"/>
    </w:pPr>
    <w:rPr>
      <w:b/>
      <w:sz w:val="24"/>
    </w:rPr>
  </w:style>
  <w:style w:type="paragraph" w:styleId="10">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18" w:hanging="1418"/>
      <w:outlineLvl w:val="7"/>
    </w:pPr>
    <w:rPr>
      <w:rFonts w:ascii="Arial" w:hAnsi="Arial" w:eastAsia="黑体"/>
      <w:sz w:val="24"/>
    </w:rPr>
  </w:style>
  <w:style w:type="paragraph" w:styleId="11">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58" w:hanging="1558"/>
      <w:outlineLvl w:val="8"/>
    </w:pPr>
    <w:rPr>
      <w:rFonts w:ascii="Arial" w:hAnsi="Arial" w:eastAsia="黑体"/>
      <w:sz w:val="21"/>
    </w:rPr>
  </w:style>
  <w:style w:type="character" w:default="1" w:styleId="30">
    <w:name w:val="Default Paragraph Font"/>
    <w:unhideWhenUsed/>
    <w:qFormat/>
    <w:uiPriority w:val="1"/>
  </w:style>
  <w:style w:type="table" w:default="1" w:styleId="28">
    <w:name w:val="Normal Table"/>
    <w:semiHidden/>
    <w:qFormat/>
    <w:uiPriority w:val="0"/>
    <w:tblPr>
      <w:tblCellMar>
        <w:top w:w="0" w:type="dxa"/>
        <w:left w:w="108" w:type="dxa"/>
        <w:bottom w:w="0" w:type="dxa"/>
        <w:right w:w="108" w:type="dxa"/>
      </w:tblCellMar>
    </w:tblPr>
  </w:style>
  <w:style w:type="paragraph" w:customStyle="1" w:styleId="6">
    <w:name w:val="基准-无缩进"/>
    <w:basedOn w:val="4"/>
    <w:qFormat/>
    <w:uiPriority w:val="0"/>
    <w:pPr>
      <w:numPr>
        <w:ilvl w:val="0"/>
        <w:numId w:val="0"/>
      </w:numPr>
      <w:tabs>
        <w:tab w:val="left" w:pos="0"/>
        <w:tab w:val="clear" w:pos="312"/>
      </w:tabs>
    </w:pPr>
  </w:style>
  <w:style w:type="paragraph" w:styleId="12">
    <w:name w:val="Normal Indent"/>
    <w:basedOn w:val="1"/>
    <w:next w:val="13"/>
    <w:qFormat/>
    <w:uiPriority w:val="0"/>
    <w:pPr>
      <w:ind w:firstLine="420" w:firstLineChars="200"/>
    </w:pPr>
  </w:style>
  <w:style w:type="paragraph" w:styleId="13">
    <w:name w:val="Body Text First Indent"/>
    <w:basedOn w:val="14"/>
    <w:next w:val="1"/>
    <w:unhideWhenUsed/>
    <w:qFormat/>
    <w:uiPriority w:val="99"/>
    <w:pPr>
      <w:widowControl w:val="0"/>
      <w:spacing w:before="154"/>
      <w:ind w:left="121" w:firstLine="420" w:firstLineChars="100"/>
      <w:jc w:val="both"/>
    </w:pPr>
    <w:rPr>
      <w:rFonts w:hint="eastAsia" w:eastAsia="仿宋" w:asciiTheme="minorHAnsi" w:hAnsiTheme="minorHAnsi" w:cstheme="minorBidi"/>
      <w:kern w:val="2"/>
      <w:sz w:val="28"/>
      <w:szCs w:val="21"/>
      <w:lang w:val="en-US" w:eastAsia="zh-CN" w:bidi="ar-SA"/>
    </w:rPr>
  </w:style>
  <w:style w:type="paragraph" w:styleId="14">
    <w:name w:val="Body Text"/>
    <w:basedOn w:val="1"/>
    <w:qFormat/>
    <w:uiPriority w:val="1"/>
    <w:pPr>
      <w:ind w:firstLine="562" w:firstLineChars="200"/>
    </w:pPr>
    <w:rPr>
      <w:rFonts w:ascii="宋体" w:hAnsi="宋体" w:eastAsia="仿宋"/>
      <w:kern w:val="0"/>
      <w:sz w:val="28"/>
      <w:szCs w:val="28"/>
      <w:lang w:eastAsia="en-US"/>
    </w:rPr>
  </w:style>
  <w:style w:type="paragraph" w:styleId="15">
    <w:name w:val="caption"/>
    <w:basedOn w:val="1"/>
    <w:next w:val="16"/>
    <w:link w:val="37"/>
    <w:unhideWhenUsed/>
    <w:qFormat/>
    <w:uiPriority w:val="0"/>
    <w:pPr>
      <w:ind w:firstLine="0" w:firstLineChars="0"/>
      <w:jc w:val="center"/>
    </w:pPr>
    <w:rPr>
      <w:rFonts w:eastAsia="黑体"/>
      <w:sz w:val="21"/>
      <w:szCs w:val="21"/>
    </w:rPr>
  </w:style>
  <w:style w:type="paragraph" w:customStyle="1" w:styleId="16">
    <w:name w:val="表内文字"/>
    <w:basedOn w:val="17"/>
    <w:next w:val="1"/>
    <w:qFormat/>
    <w:uiPriority w:val="0"/>
    <w:pPr>
      <w:spacing w:line="240" w:lineRule="auto"/>
      <w:ind w:firstLine="0" w:firstLineChars="0"/>
      <w:jc w:val="center"/>
    </w:pPr>
    <w:rPr>
      <w:sz w:val="21"/>
    </w:rPr>
  </w:style>
  <w:style w:type="paragraph" w:customStyle="1" w:styleId="17">
    <w:name w:val="图表名称"/>
    <w:basedOn w:val="1"/>
    <w:autoRedefine/>
    <w:qFormat/>
    <w:uiPriority w:val="0"/>
    <w:pPr>
      <w:ind w:firstLine="0" w:firstLineChars="0"/>
      <w:jc w:val="center"/>
    </w:pPr>
    <w:rPr>
      <w:b/>
      <w:bCs/>
      <w:color w:val="000000" w:themeColor="text1"/>
      <w:sz w:val="21"/>
      <w14:textFill>
        <w14:solidFill>
          <w14:schemeClr w14:val="tx1"/>
        </w14:solidFill>
      </w14:textFill>
    </w:rPr>
  </w:style>
  <w:style w:type="paragraph" w:styleId="18">
    <w:name w:val="Body Text Indent"/>
    <w:basedOn w:val="1"/>
    <w:next w:val="19"/>
    <w:qFormat/>
    <w:uiPriority w:val="99"/>
    <w:pPr>
      <w:spacing w:after="120"/>
      <w:ind w:left="420" w:leftChars="200"/>
    </w:pPr>
    <w:rPr>
      <w:rFonts w:ascii="Times New Roman" w:hAnsi="Times New Roman"/>
      <w:kern w:val="0"/>
    </w:rPr>
  </w:style>
  <w:style w:type="paragraph" w:customStyle="1" w:styleId="19">
    <w:name w:val="样式 正文文本缩进正文文本缩进 Char + Times New Roman"/>
    <w:basedOn w:val="1"/>
    <w:autoRedefine/>
    <w:qFormat/>
    <w:uiPriority w:val="0"/>
    <w:pPr>
      <w:spacing w:line="300" w:lineRule="auto"/>
      <w:ind w:firstLine="480" w:firstLineChars="200"/>
    </w:pPr>
    <w:rPr>
      <w:rFonts w:asciiTheme="majorEastAsia" w:hAnsiTheme="majorEastAsia" w:eastAsiaTheme="majorEastAsia"/>
      <w:sz w:val="24"/>
    </w:rPr>
  </w:style>
  <w:style w:type="paragraph" w:styleId="20">
    <w:name w:val="Plain Text"/>
    <w:basedOn w:val="1"/>
    <w:qFormat/>
    <w:uiPriority w:val="0"/>
    <w:rPr>
      <w:rFonts w:ascii="宋体" w:hAnsi="ISOCT"/>
      <w:szCs w:val="20"/>
    </w:rPr>
  </w:style>
  <w:style w:type="paragraph" w:styleId="21">
    <w:name w:val="footer"/>
    <w:basedOn w:val="1"/>
    <w:unhideWhenUsed/>
    <w:qFormat/>
    <w:uiPriority w:val="99"/>
    <w:pPr>
      <w:tabs>
        <w:tab w:val="center" w:pos="4153"/>
        <w:tab w:val="right" w:pos="8306"/>
      </w:tabs>
      <w:snapToGrid w:val="0"/>
      <w:jc w:val="left"/>
    </w:pPr>
    <w:rPr>
      <w:sz w:val="18"/>
      <w:szCs w:val="18"/>
    </w:rPr>
  </w:style>
  <w:style w:type="paragraph" w:styleId="22">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unhideWhenUsed/>
    <w:qFormat/>
    <w:uiPriority w:val="39"/>
    <w:pPr>
      <w:spacing w:after="100" w:line="259" w:lineRule="auto"/>
    </w:pPr>
    <w:rPr>
      <w:rFonts w:cs="Times New Roman" w:asciiTheme="minorHAnsi" w:hAnsiTheme="minorHAnsi" w:eastAsiaTheme="minorEastAsia"/>
      <w:kern w:val="0"/>
      <w:sz w:val="22"/>
    </w:rPr>
  </w:style>
  <w:style w:type="paragraph" w:styleId="24">
    <w:name w:val="toc 6"/>
    <w:basedOn w:val="1"/>
    <w:next w:val="1"/>
    <w:qFormat/>
    <w:uiPriority w:val="39"/>
    <w:pPr>
      <w:ind w:left="1050"/>
      <w:jc w:val="left"/>
    </w:pPr>
    <w:rPr>
      <w:sz w:val="18"/>
      <w:szCs w:val="18"/>
    </w:rPr>
  </w:style>
  <w:style w:type="paragraph" w:styleId="25">
    <w:name w:val="toc 2"/>
    <w:basedOn w:val="1"/>
    <w:next w:val="1"/>
    <w:unhideWhenUsed/>
    <w:qFormat/>
    <w:uiPriority w:val="39"/>
    <w:pPr>
      <w:spacing w:after="100" w:line="259" w:lineRule="auto"/>
      <w:ind w:left="220"/>
    </w:pPr>
    <w:rPr>
      <w:rFonts w:cs="Times New Roman" w:asciiTheme="minorHAnsi" w:hAnsiTheme="minorHAnsi" w:eastAsiaTheme="minorEastAsia"/>
      <w:kern w:val="0"/>
      <w:sz w:val="22"/>
    </w:rPr>
  </w:style>
  <w:style w:type="paragraph" w:styleId="2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7">
    <w:name w:val="Body Text First Indent 2"/>
    <w:basedOn w:val="18"/>
    <w:next w:val="20"/>
    <w:qFormat/>
    <w:uiPriority w:val="99"/>
    <w:pPr>
      <w:ind w:firstLine="420" w:firstLineChars="200"/>
    </w:pPr>
  </w:style>
  <w:style w:type="table" w:styleId="29">
    <w:name w:val="Table Grid"/>
    <w:basedOn w:val="28"/>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0"/>
    <w:rPr>
      <w:b/>
    </w:rPr>
  </w:style>
  <w:style w:type="paragraph" w:customStyle="1" w:styleId="32">
    <w:name w:val="1.1.1 标题"/>
    <w:qFormat/>
    <w:uiPriority w:val="2"/>
    <w:pPr>
      <w:numPr>
        <w:ilvl w:val="2"/>
        <w:numId w:val="2"/>
      </w:numPr>
      <w:snapToGrid w:val="0"/>
      <w:spacing w:line="360" w:lineRule="auto"/>
      <w:outlineLvl w:val="2"/>
    </w:pPr>
    <w:rPr>
      <w:rFonts w:ascii="Times New Roman" w:hAnsi="Times New Roman" w:eastAsia="宋体" w:cs="Times New Roman"/>
      <w:b/>
      <w:color w:val="215868"/>
      <w:kern w:val="2"/>
      <w:sz w:val="24"/>
      <w:szCs w:val="24"/>
      <w:lang w:val="en-US" w:eastAsia="zh-CN" w:bidi="ar-SA"/>
    </w:rPr>
  </w:style>
  <w:style w:type="character" w:customStyle="1" w:styleId="33">
    <w:name w:val="标题 2 字符"/>
    <w:basedOn w:val="30"/>
    <w:link w:val="3"/>
    <w:qFormat/>
    <w:uiPriority w:val="9"/>
    <w:rPr>
      <w:rFonts w:ascii="宋体" w:hAnsi="宋体" w:eastAsia="宋体" w:cs="宋体"/>
      <w:b/>
      <w:color w:val="0000D9"/>
      <w:kern w:val="44"/>
      <w:sz w:val="24"/>
      <w:szCs w:val="24"/>
    </w:rPr>
  </w:style>
  <w:style w:type="paragraph" w:customStyle="1" w:styleId="34">
    <w:name w:val="图名"/>
    <w:basedOn w:val="35"/>
    <w:qFormat/>
    <w:uiPriority w:val="0"/>
    <w:rPr>
      <w:rFonts w:ascii="仿宋" w:hAnsi="仿宋" w:eastAsia="仿宋" w:cs="仿宋"/>
      <w:color w:val="C00000"/>
      <w:szCs w:val="24"/>
    </w:rPr>
  </w:style>
  <w:style w:type="paragraph" w:customStyle="1" w:styleId="35">
    <w:name w:val="表头"/>
    <w:next w:val="1"/>
    <w:qFormat/>
    <w:uiPriority w:val="0"/>
    <w:pPr>
      <w:jc w:val="center"/>
    </w:pPr>
    <w:rPr>
      <w:rFonts w:ascii="仿宋" w:hAnsi="仿宋" w:eastAsia="仿宋" w:cs="仿宋"/>
      <w:b/>
      <w:bCs/>
      <w:color w:val="C00000"/>
      <w:kern w:val="2"/>
      <w:sz w:val="24"/>
      <w:szCs w:val="24"/>
      <w:lang w:val="en-US" w:eastAsia="zh-CN" w:bidi="ar-SA"/>
    </w:rPr>
  </w:style>
  <w:style w:type="character" w:customStyle="1" w:styleId="36">
    <w:name w:val="题注 Char"/>
    <w:qFormat/>
    <w:uiPriority w:val="0"/>
    <w:rPr>
      <w:rFonts w:ascii="黑体" w:hAnsi="黑体" w:eastAsia="黑体" w:cs="黑体"/>
      <w:kern w:val="2"/>
      <w:sz w:val="21"/>
      <w:szCs w:val="21"/>
      <w:lang w:val="en-US" w:eastAsia="zh-CN" w:bidi="ar-SA"/>
    </w:rPr>
  </w:style>
  <w:style w:type="character" w:customStyle="1" w:styleId="37">
    <w:name w:val="题注 字符"/>
    <w:link w:val="15"/>
    <w:qFormat/>
    <w:uiPriority w:val="0"/>
    <w:rPr>
      <w:rFonts w:eastAsia="黑体"/>
      <w:sz w:val="21"/>
      <w:szCs w:val="21"/>
    </w:rPr>
  </w:style>
  <w:style w:type="paragraph" w:customStyle="1" w:styleId="38">
    <w:name w:val="表格文字"/>
    <w:basedOn w:val="1"/>
    <w:qFormat/>
    <w:uiPriority w:val="0"/>
    <w:pPr>
      <w:adjustRightInd w:val="0"/>
      <w:snapToGrid w:val="0"/>
      <w:spacing w:line="360" w:lineRule="exact"/>
      <w:jc w:val="center"/>
    </w:pPr>
    <w:rPr>
      <w:rFonts w:ascii="宋体" w:hAnsi="宋体" w:eastAsia="宋体" w:cs="宋体"/>
      <w:snapToGrid w:val="0"/>
      <w:kern w:val="0"/>
      <w:sz w:val="21"/>
      <w:szCs w:val="24"/>
    </w:rPr>
  </w:style>
  <w:style w:type="paragraph" w:customStyle="1" w:styleId="39">
    <w:name w:val="表格内容"/>
    <w:basedOn w:val="40"/>
    <w:qFormat/>
    <w:uiPriority w:val="0"/>
    <w:rPr>
      <w:b w:val="0"/>
      <w:sz w:val="20"/>
    </w:rPr>
  </w:style>
  <w:style w:type="paragraph" w:customStyle="1" w:styleId="40">
    <w:name w:val="表格标题"/>
    <w:basedOn w:val="1"/>
    <w:qFormat/>
    <w:uiPriority w:val="0"/>
    <w:pPr>
      <w:jc w:val="center"/>
    </w:pPr>
    <w:rPr>
      <w:b/>
      <w:sz w:val="21"/>
    </w:rPr>
  </w:style>
  <w:style w:type="table" w:customStyle="1" w:styleId="41">
    <w:name w:val="K表格"/>
    <w:basedOn w:val="28"/>
    <w:autoRedefine/>
    <w:qFormat/>
    <w:uiPriority w:val="99"/>
    <w:pPr>
      <w:jc w:val="center"/>
    </w:pPr>
    <w:rPr>
      <w:sz w:val="21"/>
      <w:szCs w:val="24"/>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28" w:type="dxa"/>
        <w:left w:w="57" w:type="dxa"/>
        <w:bottom w:w="28" w:type="dxa"/>
        <w:right w:w="57" w:type="dxa"/>
      </w:tblCellMar>
    </w:tblPr>
    <w:trPr>
      <w:tblHeader/>
      <w:jc w:val="center"/>
    </w:trPr>
    <w:tcPr>
      <w:tcMar>
        <w:top w:w="28" w:type="dxa"/>
        <w:left w:w="28" w:type="dxa"/>
        <w:bottom w:w="28" w:type="dxa"/>
        <w:right w:w="28" w:type="dxa"/>
      </w:tcMar>
      <w:vAlign w:val="center"/>
    </w:tcPr>
    <w:tblStylePr w:type="firstRow">
      <w:rPr>
        <w:rFonts w:ascii="Times New Roman" w:hAnsi="Times New Roman" w:eastAsia="宋体"/>
        <w:b w:val="0"/>
        <w:i w:val="0"/>
        <w:sz w:val="21"/>
      </w:rPr>
    </w:tblStylePr>
  </w:style>
  <w:style w:type="paragraph" w:customStyle="1" w:styleId="42">
    <w:name w:val="图表名字"/>
    <w:qFormat/>
    <w:uiPriority w:val="6"/>
    <w:pPr>
      <w:spacing w:line="300" w:lineRule="auto"/>
      <w:jc w:val="center"/>
    </w:pPr>
    <w:rPr>
      <w:rFonts w:ascii="Times New Roman" w:hAnsi="Times New Roman" w:eastAsia="宋体" w:cs="Times New Roman"/>
      <w:b/>
      <w:color w:val="215868"/>
      <w:kern w:val="2"/>
      <w:sz w:val="21"/>
      <w:szCs w:val="24"/>
      <w:lang w:val="en-US" w:eastAsia="zh-CN" w:bidi="ar-SA"/>
    </w:rPr>
  </w:style>
  <w:style w:type="paragraph" w:customStyle="1" w:styleId="43">
    <w:name w:val="余杭图表"/>
    <w:next w:val="1"/>
    <w:qFormat/>
    <w:uiPriority w:val="6"/>
    <w:pPr>
      <w:snapToGrid w:val="0"/>
      <w:spacing w:before="113" w:line="300" w:lineRule="auto"/>
      <w:jc w:val="center"/>
    </w:pPr>
    <w:rPr>
      <w:rFonts w:ascii="Times New Roman" w:hAnsi="Times New Roman" w:eastAsia="宋体" w:cs="Times New Roman"/>
      <w:b/>
      <w:color w:val="215868"/>
      <w:kern w:val="2"/>
      <w:sz w:val="21"/>
      <w:szCs w:val="24"/>
      <w:lang w:val="en-US" w:eastAsia="zh-CN" w:bidi="ar-SA"/>
    </w:rPr>
  </w:style>
  <w:style w:type="paragraph" w:customStyle="1" w:styleId="44">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45">
    <w:name w:val="空港正文"/>
    <w:qFormat/>
    <w:uiPriority w:val="5"/>
    <w:pPr>
      <w:widowControl w:val="0"/>
      <w:adjustRightInd w:val="0"/>
      <w:snapToGrid w:val="0"/>
      <w:spacing w:line="360" w:lineRule="auto"/>
      <w:ind w:firstLine="200" w:firstLineChars="200"/>
      <w:jc w:val="both"/>
    </w:pPr>
    <w:rPr>
      <w:rFonts w:ascii="Times New Roman" w:hAnsi="Times New Roman" w:eastAsia="宋体" w:cs="Times New Roman"/>
      <w:sz w:val="24"/>
      <w:lang w:val="en-US" w:eastAsia="zh-CN" w:bidi="ar-SA"/>
    </w:rPr>
  </w:style>
  <w:style w:type="paragraph" w:customStyle="1" w:styleId="46">
    <w:name w:val="正文2.13"/>
    <w:basedOn w:val="1"/>
    <w:qFormat/>
    <w:uiPriority w:val="99"/>
    <w:pPr>
      <w:topLinePunct/>
      <w:adjustRightInd w:val="0"/>
      <w:snapToGrid w:val="0"/>
      <w:spacing w:line="360" w:lineRule="auto"/>
      <w:ind w:firstLine="200" w:firstLineChars="200"/>
    </w:pPr>
    <w:rPr>
      <w:rFonts w:ascii="Calibri" w:hAnsi="Calibri" w:eastAsia="仿宋_GB2312"/>
      <w:sz w:val="24"/>
      <w:szCs w:val="24"/>
    </w:rPr>
  </w:style>
  <w:style w:type="character" w:customStyle="1" w:styleId="47">
    <w:name w:val="表格内文字"/>
    <w:qFormat/>
    <w:uiPriority w:val="0"/>
    <w:rPr>
      <w:rFonts w:ascii="Times New Roman" w:hAnsi="Times New Roman" w:eastAsia="宋体"/>
      <w:color w:val="auto"/>
      <w:sz w:val="21"/>
    </w:rPr>
  </w:style>
  <w:style w:type="paragraph" w:customStyle="1" w:styleId="48">
    <w:name w:val="表格居中"/>
    <w:basedOn w:val="49"/>
    <w:next w:val="1"/>
    <w:qFormat/>
    <w:uiPriority w:val="0"/>
    <w:pPr>
      <w:adjustRightInd w:val="0"/>
      <w:snapToGrid w:val="0"/>
      <w:spacing w:line="288" w:lineRule="auto"/>
      <w:ind w:firstLine="0" w:firstLineChars="0"/>
      <w:jc w:val="center"/>
      <w:textAlignment w:val="center"/>
    </w:pPr>
    <w:rPr>
      <w:rFonts w:ascii="宋体" w:hAnsi="宋体"/>
      <w:kern w:val="22"/>
    </w:rPr>
  </w:style>
  <w:style w:type="paragraph" w:customStyle="1" w:styleId="49">
    <w:name w:val="插图"/>
    <w:basedOn w:val="50"/>
    <w:qFormat/>
    <w:uiPriority w:val="0"/>
    <w:pPr>
      <w:spacing w:line="240" w:lineRule="auto"/>
      <w:ind w:firstLine="0"/>
      <w:jc w:val="center"/>
    </w:pPr>
  </w:style>
  <w:style w:type="paragraph" w:customStyle="1" w:styleId="50">
    <w:name w:val="方案正文"/>
    <w:basedOn w:val="1"/>
    <w:qFormat/>
    <w:uiPriority w:val="0"/>
    <w:pPr>
      <w:adjustRightInd w:val="0"/>
      <w:snapToGrid w:val="0"/>
      <w:spacing w:line="312" w:lineRule="auto"/>
      <w:ind w:firstLine="425"/>
    </w:pPr>
    <w:rPr>
      <w:sz w:val="24"/>
    </w:rPr>
  </w:style>
  <w:style w:type="paragraph" w:customStyle="1" w:styleId="51">
    <w:name w:val="k 正文"/>
    <w:basedOn w:val="1"/>
    <w:qFormat/>
    <w:uiPriority w:val="0"/>
  </w:style>
  <w:style w:type="paragraph" w:styleId="52">
    <w:name w:val="No Spacing"/>
    <w:basedOn w:val="1"/>
    <w:next w:val="1"/>
    <w:qFormat/>
    <w:uiPriority w:val="0"/>
    <w:pPr>
      <w:widowControl w:val="0"/>
      <w:spacing w:line="360" w:lineRule="auto"/>
      <w:jc w:val="center"/>
    </w:pPr>
    <w:rPr>
      <w:rFonts w:ascii="黑体" w:hAnsi="黑体" w:eastAsia="黑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0" Type="http://schemas.openxmlformats.org/officeDocument/2006/relationships/fontTable" Target="fontTable.xml"/><Relationship Id="rId5" Type="http://schemas.openxmlformats.org/officeDocument/2006/relationships/header" Target="head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endnotes" Target="endnotes.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62</Pages>
  <Words>26727</Words>
  <Characters>28500</Characters>
  <Lines>0</Lines>
  <Paragraphs>0</Paragraphs>
  <TotalTime>0</TotalTime>
  <ScaleCrop>false</ScaleCrop>
  <LinksUpToDate>false</LinksUpToDate>
  <CharactersWithSpaces>29008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2025-07-22T11:56:00Z</dcterms:created>
  <dc:creator>噜啦嘞</dc:creator>
  <cp:lastModifiedBy>杭州渝港机械施工有限公司</cp:lastModifiedBy>
  <cp:lastPrinted>2025-07-23T08:09:00Z</cp:lastPrinted>
  <dcterms:modified xsi:type="dcterms:W3CDTF">2025-09-09T07:14:37Z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F21162F098E34CF19334B9A145B7F18C_13</vt:lpwstr>
  </property>
  <property fmtid="{D5CDD505-2E9C-101B-9397-08002B2CF9AE}" pid="4" name="KSOTemplateDocerSaveRecord">
    <vt:lpwstr>eyJoZGlkIjoiYjMyYjBlMGJhZjI3ZDdiYzUzOWVmOGZjYTMwOWZhYzEiLCJ1c2VySWQiOiIyMDEyMTQ5OSJ9</vt:lpwstr>
  </property>
</Properties>
</file>